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A6EC6" w:rsidRPr="00875BEF" w:rsidRDefault="002A6EC6" w:rsidP="002A6EC6">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FF0000"/>
          <w:spacing w:val="-4"/>
          <w:sz w:val="16"/>
          <w:szCs w:val="16"/>
          <w:lang w:val="es-CO" w:eastAsia="fr-FR"/>
        </w:rPr>
      </w:pPr>
      <w:r w:rsidRPr="00875BEF">
        <w:rPr>
          <w:rFonts w:ascii="Calibri" w:eastAsia="Times New Roman" w:hAnsi="Calibri" w:cs="Calibri"/>
          <w:color w:val="FF0000"/>
          <w:spacing w:val="-4"/>
          <w:sz w:val="16"/>
          <w:szCs w:val="16"/>
          <w:lang w:val="es-CO" w:eastAsia="fr-FR"/>
        </w:rPr>
        <w:t xml:space="preserve">El siguiente </w:t>
      </w:r>
      <w:r w:rsidR="0093781E">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sidR="0093781E">
        <w:rPr>
          <w:rFonts w:ascii="Calibri" w:eastAsia="Times New Roman" w:hAnsi="Calibri" w:cs="Calibri"/>
          <w:color w:val="FF0000"/>
          <w:spacing w:val="-4"/>
          <w:sz w:val="16"/>
          <w:szCs w:val="16"/>
          <w:lang w:val="es-CO" w:eastAsia="fr-FR"/>
        </w:rPr>
        <w:t>a Magistrada</w:t>
      </w:r>
      <w:bookmarkStart w:id="0" w:name="_GoBack"/>
      <w:bookmarkEnd w:id="0"/>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rsidR="002A6EC6" w:rsidRPr="0094372D" w:rsidRDefault="002A6EC6" w:rsidP="002A6EC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rsidR="00C73708" w:rsidRPr="00C73708" w:rsidRDefault="00C73708" w:rsidP="00AF0591">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A6EC6">
        <w:rPr>
          <w:rFonts w:ascii="Tahoma" w:hAnsi="Tahoma" w:cs="Tahoma"/>
          <w:sz w:val="18"/>
          <w:szCs w:val="18"/>
        </w:rPr>
        <w:t>Sentencia - 2ª instancia -</w:t>
      </w:r>
      <w:r w:rsidR="00F003CD">
        <w:rPr>
          <w:rFonts w:ascii="Tahoma" w:hAnsi="Tahoma" w:cs="Tahoma"/>
          <w:sz w:val="18"/>
          <w:szCs w:val="18"/>
        </w:rPr>
        <w:t xml:space="preserve"> </w:t>
      </w:r>
      <w:r w:rsidR="004831C1">
        <w:rPr>
          <w:rFonts w:ascii="Tahoma" w:hAnsi="Tahoma" w:cs="Tahoma"/>
          <w:sz w:val="18"/>
          <w:szCs w:val="18"/>
        </w:rPr>
        <w:t>22</w:t>
      </w:r>
      <w:r w:rsidR="00D47A65">
        <w:rPr>
          <w:rFonts w:ascii="Tahoma" w:hAnsi="Tahoma" w:cs="Tahoma"/>
          <w:sz w:val="18"/>
          <w:szCs w:val="18"/>
        </w:rPr>
        <w:t xml:space="preserve"> de junio</w:t>
      </w:r>
      <w:r w:rsidR="00DE3DA6">
        <w:rPr>
          <w:rFonts w:ascii="Tahoma" w:hAnsi="Tahoma" w:cs="Tahoma"/>
          <w:sz w:val="18"/>
          <w:szCs w:val="18"/>
        </w:rPr>
        <w:t xml:space="preserve"> de 2017</w:t>
      </w:r>
      <w:r w:rsidRPr="00C73708">
        <w:rPr>
          <w:rFonts w:ascii="Tahoma" w:hAnsi="Tahoma" w:cs="Tahoma"/>
          <w:sz w:val="18"/>
          <w:szCs w:val="18"/>
        </w:rPr>
        <w:t xml:space="preserve"> </w:t>
      </w:r>
    </w:p>
    <w:p w:rsidR="002A6EC6" w:rsidRPr="00C73708" w:rsidRDefault="002A6EC6" w:rsidP="002A6EC6">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r>
        <w:rPr>
          <w:rFonts w:ascii="Tahoma" w:hAnsi="Tahoma" w:cs="Tahoma"/>
          <w:sz w:val="18"/>
          <w:szCs w:val="18"/>
        </w:rPr>
        <w:t xml:space="preserve"> – Revoca decisión del a quo y concede amparo</w:t>
      </w:r>
    </w:p>
    <w:p w:rsidR="00C73708" w:rsidRPr="00C73708" w:rsidRDefault="00C73708" w:rsidP="00AF0591">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446A7F">
        <w:rPr>
          <w:rFonts w:ascii="Tahoma" w:hAnsi="Tahoma" w:cs="Tahoma"/>
          <w:sz w:val="18"/>
          <w:szCs w:val="18"/>
        </w:rPr>
        <w:t>66001-31-05-00</w:t>
      </w:r>
      <w:r w:rsidR="00DE3DA6">
        <w:rPr>
          <w:rFonts w:ascii="Tahoma" w:hAnsi="Tahoma" w:cs="Tahoma"/>
          <w:sz w:val="18"/>
          <w:szCs w:val="18"/>
        </w:rPr>
        <w:t>2</w:t>
      </w:r>
      <w:r w:rsidR="004426CE">
        <w:rPr>
          <w:rFonts w:ascii="Tahoma" w:hAnsi="Tahoma" w:cs="Tahoma"/>
          <w:sz w:val="18"/>
          <w:szCs w:val="18"/>
        </w:rPr>
        <w:t>-201</w:t>
      </w:r>
      <w:r w:rsidR="00DE3DA6">
        <w:rPr>
          <w:rFonts w:ascii="Tahoma" w:hAnsi="Tahoma" w:cs="Tahoma"/>
          <w:sz w:val="18"/>
          <w:szCs w:val="18"/>
        </w:rPr>
        <w:t>7</w:t>
      </w:r>
      <w:r w:rsidR="004426CE">
        <w:rPr>
          <w:rFonts w:ascii="Tahoma" w:hAnsi="Tahoma" w:cs="Tahoma"/>
          <w:sz w:val="18"/>
          <w:szCs w:val="18"/>
        </w:rPr>
        <w:t>-00</w:t>
      </w:r>
      <w:r w:rsidR="00DE3DA6">
        <w:rPr>
          <w:rFonts w:ascii="Tahoma" w:hAnsi="Tahoma" w:cs="Tahoma"/>
          <w:sz w:val="18"/>
          <w:szCs w:val="18"/>
        </w:rPr>
        <w:t>176</w:t>
      </w:r>
      <w:r w:rsidRPr="00C73708">
        <w:rPr>
          <w:rFonts w:ascii="Tahoma" w:hAnsi="Tahoma" w:cs="Tahoma"/>
          <w:sz w:val="18"/>
          <w:szCs w:val="18"/>
        </w:rPr>
        <w:t>-01</w:t>
      </w:r>
    </w:p>
    <w:p w:rsidR="00142CF0" w:rsidRPr="00C73708" w:rsidRDefault="00C73708" w:rsidP="00AF0591">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B302F9">
        <w:rPr>
          <w:rFonts w:ascii="Tahoma" w:hAnsi="Tahoma" w:cs="Tahoma"/>
          <w:sz w:val="18"/>
          <w:szCs w:val="18"/>
        </w:rPr>
        <w:t xml:space="preserve">Hernando </w:t>
      </w:r>
      <w:r w:rsidR="00397021">
        <w:rPr>
          <w:rFonts w:ascii="Tahoma" w:hAnsi="Tahoma" w:cs="Tahoma"/>
          <w:sz w:val="18"/>
          <w:szCs w:val="18"/>
        </w:rPr>
        <w:t xml:space="preserve">Pinzón Rodríguez </w:t>
      </w:r>
    </w:p>
    <w:p w:rsidR="00C73708" w:rsidRPr="00C73708" w:rsidRDefault="00C73708" w:rsidP="00AF0591">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Pr="00C73708">
        <w:rPr>
          <w:rFonts w:ascii="Tahoma" w:hAnsi="Tahoma" w:cs="Tahoma"/>
          <w:sz w:val="18"/>
          <w:szCs w:val="18"/>
        </w:rPr>
        <w:t xml:space="preserve">     </w:t>
      </w:r>
      <w:r>
        <w:rPr>
          <w:rFonts w:ascii="Tahoma" w:hAnsi="Tahoma" w:cs="Tahoma"/>
          <w:sz w:val="18"/>
          <w:szCs w:val="18"/>
        </w:rPr>
        <w:t xml:space="preserve">  </w:t>
      </w:r>
      <w:r w:rsidR="00397021">
        <w:rPr>
          <w:rFonts w:ascii="Tahoma" w:hAnsi="Tahoma" w:cs="Tahoma"/>
          <w:sz w:val="18"/>
          <w:szCs w:val="18"/>
        </w:rPr>
        <w:t xml:space="preserve"> Ministerio de Educación y Otros</w:t>
      </w:r>
    </w:p>
    <w:p w:rsidR="00C73708" w:rsidRPr="00C73708" w:rsidRDefault="00C73708" w:rsidP="00AF0591">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397021">
        <w:rPr>
          <w:rFonts w:ascii="Tahoma" w:hAnsi="Tahoma" w:cs="Tahoma"/>
          <w:sz w:val="18"/>
          <w:szCs w:val="18"/>
        </w:rPr>
        <w:t>Segund</w:t>
      </w:r>
      <w:r w:rsidR="00446A7F">
        <w:rPr>
          <w:rFonts w:ascii="Tahoma" w:hAnsi="Tahoma" w:cs="Tahoma"/>
          <w:sz w:val="18"/>
          <w:szCs w:val="18"/>
        </w:rPr>
        <w:t>o</w:t>
      </w:r>
      <w:r w:rsidR="00664F0F">
        <w:rPr>
          <w:rFonts w:ascii="Tahoma" w:hAnsi="Tahoma" w:cs="Tahoma"/>
          <w:sz w:val="18"/>
          <w:szCs w:val="18"/>
        </w:rPr>
        <w:t xml:space="preserve"> </w:t>
      </w:r>
      <w:r w:rsidR="003D60BD">
        <w:rPr>
          <w:rFonts w:ascii="Tahoma" w:hAnsi="Tahoma" w:cs="Tahoma"/>
          <w:sz w:val="18"/>
          <w:szCs w:val="18"/>
        </w:rPr>
        <w:t>Laboral</w:t>
      </w:r>
      <w:r w:rsidR="004426CE">
        <w:rPr>
          <w:rFonts w:ascii="Tahoma" w:hAnsi="Tahoma" w:cs="Tahoma"/>
          <w:sz w:val="18"/>
          <w:szCs w:val="18"/>
        </w:rPr>
        <w:t xml:space="preserve"> </w:t>
      </w:r>
      <w:r w:rsidR="00254101">
        <w:rPr>
          <w:rFonts w:ascii="Tahoma" w:hAnsi="Tahoma" w:cs="Tahoma"/>
          <w:sz w:val="18"/>
          <w:szCs w:val="18"/>
        </w:rPr>
        <w:t xml:space="preserve">del Circuito de </w:t>
      </w:r>
      <w:r w:rsidR="00664F0F">
        <w:rPr>
          <w:rFonts w:ascii="Tahoma" w:hAnsi="Tahoma" w:cs="Tahoma"/>
          <w:sz w:val="18"/>
          <w:szCs w:val="18"/>
        </w:rPr>
        <w:t>Pereira</w:t>
      </w:r>
      <w:r w:rsidR="00254101">
        <w:rPr>
          <w:rFonts w:ascii="Tahoma" w:hAnsi="Tahoma" w:cs="Tahoma"/>
          <w:sz w:val="18"/>
          <w:szCs w:val="18"/>
        </w:rPr>
        <w:t xml:space="preserve"> </w:t>
      </w:r>
    </w:p>
    <w:p w:rsidR="00C73708" w:rsidRPr="00C73708" w:rsidRDefault="00C73708" w:rsidP="00AF0591">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2D36E7" w:rsidRPr="002D36E7" w:rsidRDefault="002D36E7" w:rsidP="006E0F04">
      <w:pPr>
        <w:spacing w:after="0" w:line="240" w:lineRule="auto"/>
        <w:ind w:left="1843"/>
        <w:jc w:val="both"/>
        <w:rPr>
          <w:rFonts w:ascii="Tahoma" w:hAnsi="Tahoma" w:cs="Tahoma"/>
          <w:sz w:val="18"/>
          <w:szCs w:val="18"/>
        </w:rPr>
      </w:pPr>
      <w:r w:rsidRPr="002D36E7">
        <w:rPr>
          <w:rFonts w:ascii="Tahoma" w:hAnsi="Tahoma" w:cs="Tahoma"/>
          <w:b/>
          <w:sz w:val="18"/>
          <w:szCs w:val="18"/>
        </w:rPr>
        <w:t xml:space="preserve">VIOLACIÓN DEL DERECHO A LA IGUALDAD POR PARTE DEL ARTÍCULO 7º DEL DECRETO 224 DE 1972 AL EXCLUIR DE LA PRERROGATIVA A QUIEN TIENE LA CALIDAD DE COMPAÑERO(A) PERMANENTE: </w:t>
      </w:r>
      <w:r w:rsidRPr="002D36E7">
        <w:rPr>
          <w:rFonts w:ascii="Tahoma" w:hAnsi="Tahoma" w:cs="Tahoma"/>
          <w:sz w:val="18"/>
          <w:szCs w:val="18"/>
        </w:rPr>
        <w:t xml:space="preserve">En consecuencia, a la luz del artículo 4º de la Constitución, se debe armonizar  el contenido del artículo 7º del Decreto 224 de 1972 a nuestra Carta Política, para entender que cuando la norma se refiere al cónyuge supérstite como beneficiario de la pensión post morten, se debe incluir dentro de ese concepto a quien tiene la calidad de compañero o compañera permanente del o la docente fallecida, por cuanto la aplicación literal o exegética del texto viola  el derecho a la igualdad de quien fue la pareja de hecho de aquel o aquella. Pero si con todo, la entidad obligada a reconocer la pensión post morten considera que no puede desatender el tenor literal de esa norma (artículo 7 Decreto 224 de 1972), debe utilizar la figura de la excepción de inconstitucionalidad al caso concreto a efectos de no violar el derecho a la igualdad del o la compañera permanente. </w:t>
      </w:r>
    </w:p>
    <w:p w:rsidR="002D36E7" w:rsidRPr="002D36E7" w:rsidRDefault="002D36E7" w:rsidP="002D36E7">
      <w:pPr>
        <w:spacing w:after="0" w:line="240" w:lineRule="auto"/>
        <w:ind w:firstLine="708"/>
        <w:jc w:val="both"/>
        <w:rPr>
          <w:rFonts w:ascii="Tahoma" w:hAnsi="Tahoma" w:cs="Tahoma"/>
          <w:sz w:val="18"/>
          <w:szCs w:val="18"/>
        </w:rPr>
      </w:pPr>
    </w:p>
    <w:p w:rsidR="002D36E7" w:rsidRPr="002D36E7" w:rsidRDefault="002D36E7" w:rsidP="002D36E7">
      <w:pPr>
        <w:spacing w:after="0" w:line="240" w:lineRule="auto"/>
        <w:ind w:firstLine="708"/>
        <w:jc w:val="both"/>
        <w:rPr>
          <w:rFonts w:ascii="Tahoma" w:hAnsi="Tahoma" w:cs="Tahoma"/>
          <w:sz w:val="18"/>
          <w:szCs w:val="18"/>
        </w:rPr>
      </w:pPr>
    </w:p>
    <w:p w:rsidR="002D36E7" w:rsidRPr="002D36E7" w:rsidRDefault="002D36E7" w:rsidP="006E0F04">
      <w:pPr>
        <w:spacing w:after="0" w:line="240" w:lineRule="auto"/>
        <w:ind w:left="1843"/>
        <w:jc w:val="both"/>
        <w:rPr>
          <w:rFonts w:ascii="Tahoma" w:hAnsi="Tahoma" w:cs="Tahoma"/>
          <w:sz w:val="18"/>
          <w:szCs w:val="18"/>
        </w:rPr>
      </w:pPr>
      <w:r w:rsidRPr="002D36E7">
        <w:rPr>
          <w:rFonts w:ascii="Tahoma" w:hAnsi="Tahoma" w:cs="Tahoma"/>
          <w:b/>
          <w:sz w:val="18"/>
          <w:szCs w:val="18"/>
        </w:rPr>
        <w:t xml:space="preserve">PROCEDENCIA DE LA ACCIÓN DE TUTELA PARA AMPARAR EL DERECHO A LA IGUALDAD: </w:t>
      </w:r>
      <w:r w:rsidRPr="002D36E7">
        <w:rPr>
          <w:rFonts w:ascii="Tahoma" w:hAnsi="Tahoma" w:cs="Tahoma"/>
          <w:sz w:val="18"/>
          <w:szCs w:val="18"/>
        </w:rPr>
        <w:t xml:space="preserve">Ahora, siendo evidente la violación directa de la constitución, la acción por excelencia para salvaguardarla es la acción de tutela, por cuanto aunque pudiera alegarse que el actor puede acudir a la acción de nulidad y restablecimiento ante la jurisdicción contencioso administrativa, ello pondría en entredicho la figura de la excepción de inconstitucionalidad consagrada en el artículo 4º de la Carta, que establece la primacía de la Constitución sobre la ley u otra norma jurídica en caso incompatibilidad entre aquella y éstas, sin necesidad de acudir a un proceso especial ante la jurisdicción ordinaria o contencioso administrativa. En otras palabras, en caso de violación directa de la Constitución, la acción de tutela tiene la misma naturaleza y fuerza de la excepción de inconstitucionalidad.  </w:t>
      </w:r>
    </w:p>
    <w:p w:rsidR="002D36E7" w:rsidRPr="002D36E7" w:rsidRDefault="002D36E7" w:rsidP="006E0F04">
      <w:pPr>
        <w:spacing w:after="0" w:line="240" w:lineRule="auto"/>
        <w:ind w:left="1843" w:firstLine="708"/>
        <w:jc w:val="both"/>
        <w:rPr>
          <w:rFonts w:ascii="Tahoma" w:hAnsi="Tahoma" w:cs="Tahoma"/>
          <w:sz w:val="18"/>
          <w:szCs w:val="18"/>
        </w:rPr>
      </w:pPr>
    </w:p>
    <w:p w:rsidR="002D36E7" w:rsidRPr="002D36E7" w:rsidRDefault="002D36E7" w:rsidP="006E0F04">
      <w:pPr>
        <w:spacing w:after="0" w:line="240" w:lineRule="auto"/>
        <w:ind w:left="1843" w:firstLine="708"/>
        <w:jc w:val="both"/>
        <w:rPr>
          <w:rFonts w:ascii="Tahoma" w:hAnsi="Tahoma" w:cs="Tahoma"/>
          <w:bCs/>
          <w:sz w:val="18"/>
          <w:szCs w:val="18"/>
        </w:rPr>
      </w:pPr>
    </w:p>
    <w:p w:rsidR="002D36E7" w:rsidRPr="002D36E7" w:rsidRDefault="002D36E7" w:rsidP="006E0F04">
      <w:pPr>
        <w:spacing w:after="0" w:line="240" w:lineRule="auto"/>
        <w:ind w:left="1843"/>
        <w:jc w:val="both"/>
        <w:rPr>
          <w:rFonts w:ascii="Tahoma" w:hAnsi="Tahoma" w:cs="Tahoma"/>
          <w:sz w:val="18"/>
          <w:szCs w:val="18"/>
        </w:rPr>
      </w:pPr>
      <w:r w:rsidRPr="002D36E7">
        <w:rPr>
          <w:rFonts w:ascii="Tahoma" w:hAnsi="Tahoma" w:cs="Tahoma"/>
          <w:b/>
          <w:bCs/>
          <w:sz w:val="18"/>
          <w:szCs w:val="18"/>
        </w:rPr>
        <w:t xml:space="preserve">DIFERENCIAS ENTRE LA PENSIÓN DE SOBREVIVIENTES Y LA PENSIÓN POST MORTEM-18 AÑOS: </w:t>
      </w:r>
      <w:r w:rsidRPr="002D36E7">
        <w:rPr>
          <w:rFonts w:ascii="Tahoma" w:hAnsi="Tahoma" w:cs="Tahoma"/>
          <w:bCs/>
          <w:sz w:val="18"/>
          <w:szCs w:val="18"/>
        </w:rPr>
        <w:t xml:space="preserve">Cosa diferente ocurre con el reconocimiento del derecho a la pensión de sobrevivientes </w:t>
      </w:r>
      <w:r w:rsidRPr="002D36E7">
        <w:rPr>
          <w:rFonts w:ascii="Tahoma" w:hAnsi="Tahoma" w:cs="Tahoma"/>
          <w:b/>
          <w:bCs/>
          <w:sz w:val="18"/>
          <w:szCs w:val="18"/>
        </w:rPr>
        <w:t xml:space="preserve"> </w:t>
      </w:r>
      <w:r w:rsidRPr="002D36E7">
        <w:rPr>
          <w:rFonts w:ascii="Tahoma" w:hAnsi="Tahoma" w:cs="Tahoma"/>
          <w:bCs/>
          <w:sz w:val="18"/>
          <w:szCs w:val="18"/>
        </w:rPr>
        <w:t xml:space="preserve">reclamada por el actor, cuyos requisitos y efectos en el tiempo son diferentes a la pensión post morten consagrada en el artículo 7º del Decreto 224 de 1972,  por cuanto el actor no se encuentra en ninguna de las circunstancias descritas en la jurisprudencia de la Corte Constitucional para que en vez del Decreto 224 de 1972 (pensión post morten) se le aplique la ley 100 de 1993 (pensión de sobrevivientes) ya que </w:t>
      </w:r>
      <w:r w:rsidRPr="002D36E7">
        <w:rPr>
          <w:rFonts w:ascii="Tahoma" w:hAnsi="Tahoma" w:cs="Tahoma"/>
          <w:sz w:val="18"/>
          <w:szCs w:val="18"/>
        </w:rPr>
        <w:t xml:space="preserve">no se demostró en este proceso que sea un sujeto de especial protección bien por la edad o por la incapacidad para laborar </w:t>
      </w:r>
      <w:r w:rsidRPr="002D36E7">
        <w:rPr>
          <w:rFonts w:ascii="Tahoma" w:hAnsi="Tahoma" w:cs="Tahoma"/>
          <w:i/>
          <w:sz w:val="18"/>
          <w:szCs w:val="18"/>
        </w:rPr>
        <w:t xml:space="preserve">–tiene 56 años y es trabajador activo- , </w:t>
      </w:r>
      <w:r w:rsidRPr="002D36E7">
        <w:rPr>
          <w:rFonts w:ascii="Tahoma" w:hAnsi="Tahoma" w:cs="Tahoma"/>
          <w:sz w:val="18"/>
          <w:szCs w:val="18"/>
        </w:rPr>
        <w:t xml:space="preserve"> ni que se le esté causando un perjuicio irremediable como quiera que gana una salario superior al mínimo.</w:t>
      </w:r>
    </w:p>
    <w:p w:rsidR="002D36E7" w:rsidRPr="002D36E7" w:rsidRDefault="002D36E7" w:rsidP="006E0F04">
      <w:pPr>
        <w:spacing w:after="0" w:line="240" w:lineRule="auto"/>
        <w:ind w:left="1843" w:firstLine="708"/>
        <w:jc w:val="both"/>
        <w:rPr>
          <w:rFonts w:ascii="Tahoma" w:hAnsi="Tahoma" w:cs="Tahoma"/>
          <w:sz w:val="18"/>
          <w:szCs w:val="18"/>
        </w:rPr>
      </w:pPr>
    </w:p>
    <w:p w:rsidR="002D36E7" w:rsidRPr="002D36E7" w:rsidRDefault="002D36E7" w:rsidP="006E0F04">
      <w:pPr>
        <w:spacing w:after="0" w:line="240" w:lineRule="auto"/>
        <w:ind w:left="1843"/>
        <w:jc w:val="both"/>
        <w:rPr>
          <w:rFonts w:ascii="Tahoma" w:hAnsi="Tahoma" w:cs="Tahoma"/>
          <w:sz w:val="18"/>
          <w:szCs w:val="18"/>
        </w:rPr>
      </w:pPr>
      <w:r w:rsidRPr="002D36E7">
        <w:rPr>
          <w:rFonts w:ascii="Tahoma" w:hAnsi="Tahoma" w:cs="Tahoma"/>
          <w:sz w:val="18"/>
          <w:szCs w:val="18"/>
        </w:rPr>
        <w:t>En consecuencia, hay que aclarar que el amparo que se otorga en esta acción de tutela al derecho a la igualdad va encaminado a que se le aplique al actor el artículo 7º del Decreto 224 de 1972 cuyos efectos son temporales (5 años) y por lo tanto, si lo que pretende es que se le reconozca la pensión de sobrevivientes del sistema general de pensiones (que es vitalicia) en subsidio de la pensión post morten, debe acudir a la jurisdicción contencioso administrativa.</w:t>
      </w:r>
    </w:p>
    <w:p w:rsidR="002A0A90" w:rsidRDefault="002A0A90" w:rsidP="00AF0591">
      <w:pPr>
        <w:pStyle w:val="Sinespaciado"/>
        <w:ind w:left="1843"/>
        <w:jc w:val="both"/>
        <w:rPr>
          <w:rFonts w:ascii="Tahoma" w:hAnsi="Tahoma" w:cs="Tahoma"/>
          <w:b/>
          <w:iCs/>
          <w:sz w:val="18"/>
          <w:szCs w:val="18"/>
        </w:rPr>
      </w:pPr>
    </w:p>
    <w:p w:rsidR="006E0F04" w:rsidRDefault="006E0F04" w:rsidP="00AF0591">
      <w:pPr>
        <w:pStyle w:val="Sinespaciado"/>
        <w:ind w:left="1843"/>
        <w:jc w:val="both"/>
        <w:rPr>
          <w:rFonts w:ascii="Tahoma" w:hAnsi="Tahoma" w:cs="Tahoma"/>
          <w:b/>
          <w:iCs/>
          <w:sz w:val="18"/>
          <w:szCs w:val="18"/>
        </w:rPr>
      </w:pPr>
    </w:p>
    <w:p w:rsidR="006E0F04" w:rsidRDefault="006E0F04" w:rsidP="00AF0591">
      <w:pPr>
        <w:pStyle w:val="Sinespaciado"/>
        <w:ind w:left="1843"/>
        <w:jc w:val="both"/>
        <w:rPr>
          <w:rFonts w:ascii="Tahoma" w:hAnsi="Tahoma" w:cs="Tahoma"/>
          <w:b/>
          <w:iCs/>
          <w:sz w:val="18"/>
          <w:szCs w:val="18"/>
        </w:rPr>
      </w:pPr>
    </w:p>
    <w:p w:rsidR="00A2472D" w:rsidRPr="004D3ABA" w:rsidRDefault="00A2472D" w:rsidP="00AF0591">
      <w:pPr>
        <w:pStyle w:val="Sinespaciado"/>
      </w:pPr>
    </w:p>
    <w:p w:rsidR="00C73708" w:rsidRPr="00014769" w:rsidRDefault="00C73708" w:rsidP="00AF059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AF0591">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4D3ABA" w:rsidRDefault="00C73708" w:rsidP="00AF0591">
      <w:pPr>
        <w:pStyle w:val="Sinespaciado"/>
      </w:pPr>
    </w:p>
    <w:p w:rsidR="00C73708" w:rsidRDefault="00C73708" w:rsidP="00AF0591">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AF0591">
      <w:pPr>
        <w:pStyle w:val="Sinespaciado"/>
        <w:spacing w:line="276" w:lineRule="auto"/>
      </w:pPr>
    </w:p>
    <w:p w:rsidR="00C73708" w:rsidRPr="00014769" w:rsidRDefault="00C73708" w:rsidP="00AF0591">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AF0591">
      <w:pPr>
        <w:spacing w:after="0" w:line="276" w:lineRule="auto"/>
        <w:jc w:val="center"/>
        <w:rPr>
          <w:rFonts w:ascii="Tahoma" w:hAnsi="Tahoma" w:cs="Tahoma"/>
          <w:sz w:val="24"/>
          <w:szCs w:val="24"/>
        </w:rPr>
      </w:pPr>
      <w:r w:rsidRPr="004831C1">
        <w:rPr>
          <w:rFonts w:ascii="Tahoma" w:hAnsi="Tahoma" w:cs="Tahoma"/>
          <w:b/>
          <w:sz w:val="24"/>
          <w:szCs w:val="24"/>
        </w:rPr>
        <w:t>(</w:t>
      </w:r>
      <w:r w:rsidR="004831C1" w:rsidRPr="004831C1">
        <w:rPr>
          <w:rFonts w:ascii="Tahoma" w:hAnsi="Tahoma" w:cs="Tahoma"/>
          <w:b/>
          <w:sz w:val="24"/>
          <w:szCs w:val="24"/>
        </w:rPr>
        <w:t>22</w:t>
      </w:r>
      <w:r w:rsidR="00D47A65">
        <w:rPr>
          <w:rFonts w:ascii="Tahoma" w:hAnsi="Tahoma" w:cs="Tahoma"/>
          <w:b/>
          <w:sz w:val="24"/>
          <w:szCs w:val="24"/>
        </w:rPr>
        <w:t xml:space="preserve"> de junio</w:t>
      </w:r>
      <w:r w:rsidR="00253285">
        <w:rPr>
          <w:rFonts w:ascii="Tahoma" w:hAnsi="Tahoma" w:cs="Tahoma"/>
          <w:b/>
          <w:sz w:val="24"/>
          <w:szCs w:val="24"/>
        </w:rPr>
        <w:t xml:space="preserve"> </w:t>
      </w:r>
      <w:r w:rsidR="00077791">
        <w:rPr>
          <w:rFonts w:ascii="Tahoma" w:hAnsi="Tahoma" w:cs="Tahoma"/>
          <w:b/>
          <w:sz w:val="24"/>
          <w:szCs w:val="24"/>
        </w:rPr>
        <w:t>de 201</w:t>
      </w:r>
      <w:r w:rsidR="006D0C01">
        <w:rPr>
          <w:rFonts w:ascii="Tahoma" w:hAnsi="Tahoma" w:cs="Tahoma"/>
          <w:b/>
          <w:sz w:val="24"/>
          <w:szCs w:val="24"/>
        </w:rPr>
        <w:t>7</w:t>
      </w:r>
      <w:r w:rsidRPr="00014769">
        <w:rPr>
          <w:rFonts w:ascii="Tahoma" w:hAnsi="Tahoma" w:cs="Tahoma"/>
          <w:sz w:val="24"/>
          <w:szCs w:val="24"/>
        </w:rPr>
        <w:t>)</w:t>
      </w:r>
    </w:p>
    <w:p w:rsidR="00C73708" w:rsidRPr="005D0698" w:rsidRDefault="00C73708" w:rsidP="00AF0591">
      <w:pPr>
        <w:pStyle w:val="Sinespaciado"/>
        <w:spacing w:line="276" w:lineRule="auto"/>
        <w:jc w:val="both"/>
        <w:rPr>
          <w:rFonts w:ascii="Tahoma" w:hAnsi="Tahoma" w:cs="Tahoma"/>
          <w:sz w:val="24"/>
          <w:szCs w:val="24"/>
        </w:rPr>
      </w:pPr>
    </w:p>
    <w:p w:rsidR="00C73708" w:rsidRPr="005F0DE0" w:rsidRDefault="00C73708" w:rsidP="00AF0591">
      <w:pPr>
        <w:spacing w:after="0" w:line="276" w:lineRule="auto"/>
        <w:ind w:right="3" w:firstLine="709"/>
        <w:jc w:val="both"/>
        <w:rPr>
          <w:rFonts w:ascii="Tahoma" w:hAnsi="Tahoma" w:cs="Tahoma"/>
          <w:b/>
          <w:bCs/>
        </w:rPr>
      </w:pPr>
      <w:r w:rsidRPr="005F0DE0">
        <w:rPr>
          <w:rFonts w:ascii="Tahoma" w:hAnsi="Tahoma" w:cs="Tahoma"/>
          <w:iCs/>
        </w:rPr>
        <w:t>P</w:t>
      </w:r>
      <w:r w:rsidRPr="005F0DE0">
        <w:rPr>
          <w:rFonts w:ascii="Tahoma" w:hAnsi="Tahoma" w:cs="Tahoma"/>
        </w:rPr>
        <w:t>rocede la Judicatura a resolver la impugnación propuesta contr</w:t>
      </w:r>
      <w:r w:rsidR="00254101" w:rsidRPr="005F0DE0">
        <w:rPr>
          <w:rFonts w:ascii="Tahoma" w:hAnsi="Tahoma" w:cs="Tahoma"/>
        </w:rPr>
        <w:t xml:space="preserve">a </w:t>
      </w:r>
      <w:r w:rsidR="00DF136E" w:rsidRPr="005F0DE0">
        <w:rPr>
          <w:rFonts w:ascii="Tahoma" w:hAnsi="Tahoma" w:cs="Tahoma"/>
        </w:rPr>
        <w:t>la sentencia proferida el día 3</w:t>
      </w:r>
      <w:r w:rsidRPr="005F0DE0">
        <w:rPr>
          <w:rFonts w:ascii="Tahoma" w:hAnsi="Tahoma" w:cs="Tahoma"/>
        </w:rPr>
        <w:t xml:space="preserve"> de </w:t>
      </w:r>
      <w:r w:rsidR="00DF136E" w:rsidRPr="005F0DE0">
        <w:rPr>
          <w:rFonts w:ascii="Tahoma" w:hAnsi="Tahoma" w:cs="Tahoma"/>
        </w:rPr>
        <w:t>mayo</w:t>
      </w:r>
      <w:r w:rsidR="00446A7F" w:rsidRPr="005F0DE0">
        <w:rPr>
          <w:rFonts w:ascii="Tahoma" w:hAnsi="Tahoma" w:cs="Tahoma"/>
        </w:rPr>
        <w:t xml:space="preserve"> </w:t>
      </w:r>
      <w:r w:rsidR="00DF136E" w:rsidRPr="005F0DE0">
        <w:rPr>
          <w:rFonts w:ascii="Tahoma" w:hAnsi="Tahoma" w:cs="Tahoma"/>
        </w:rPr>
        <w:t>de 2017</w:t>
      </w:r>
      <w:r w:rsidR="004426CE" w:rsidRPr="005F0DE0">
        <w:rPr>
          <w:rFonts w:ascii="Tahoma" w:hAnsi="Tahoma" w:cs="Tahoma"/>
        </w:rPr>
        <w:t xml:space="preserve"> por el Juzgado</w:t>
      </w:r>
      <w:r w:rsidR="00446A7F" w:rsidRPr="005F0DE0">
        <w:rPr>
          <w:rFonts w:ascii="Tahoma" w:hAnsi="Tahoma" w:cs="Tahoma"/>
        </w:rPr>
        <w:t xml:space="preserve"> </w:t>
      </w:r>
      <w:r w:rsidR="00DF136E" w:rsidRPr="005F0DE0">
        <w:rPr>
          <w:rFonts w:ascii="Tahoma" w:hAnsi="Tahoma" w:cs="Tahoma"/>
        </w:rPr>
        <w:t>segund</w:t>
      </w:r>
      <w:r w:rsidR="00446A7F" w:rsidRPr="005F0DE0">
        <w:rPr>
          <w:rFonts w:ascii="Tahoma" w:hAnsi="Tahoma" w:cs="Tahoma"/>
        </w:rPr>
        <w:t>o</w:t>
      </w:r>
      <w:r w:rsidR="004426CE" w:rsidRPr="005F0DE0">
        <w:rPr>
          <w:rFonts w:ascii="Tahoma" w:hAnsi="Tahoma" w:cs="Tahoma"/>
        </w:rPr>
        <w:t xml:space="preserve"> </w:t>
      </w:r>
      <w:r w:rsidRPr="005F0DE0">
        <w:rPr>
          <w:rFonts w:ascii="Tahoma" w:hAnsi="Tahoma" w:cs="Tahoma"/>
        </w:rPr>
        <w:t xml:space="preserve">Laboral del Circuito de </w:t>
      </w:r>
      <w:r w:rsidR="00664F0F" w:rsidRPr="005F0DE0">
        <w:rPr>
          <w:rFonts w:ascii="Tahoma" w:hAnsi="Tahoma" w:cs="Tahoma"/>
        </w:rPr>
        <w:t>Pereira</w:t>
      </w:r>
      <w:r w:rsidRPr="005F0DE0">
        <w:rPr>
          <w:rFonts w:ascii="Tahoma" w:hAnsi="Tahoma" w:cs="Tahoma"/>
        </w:rPr>
        <w:t xml:space="preserve">, dentro de la acción de tutela </w:t>
      </w:r>
      <w:r w:rsidR="00D03F82" w:rsidRPr="005F0DE0">
        <w:rPr>
          <w:rFonts w:ascii="Tahoma" w:hAnsi="Tahoma" w:cs="Tahoma"/>
        </w:rPr>
        <w:t xml:space="preserve">impetrada </w:t>
      </w:r>
      <w:r w:rsidR="004426CE" w:rsidRPr="005F0DE0">
        <w:rPr>
          <w:rFonts w:ascii="Tahoma" w:hAnsi="Tahoma" w:cs="Tahoma"/>
        </w:rPr>
        <w:t xml:space="preserve">por </w:t>
      </w:r>
      <w:r w:rsidR="00446A7F" w:rsidRPr="005F0DE0">
        <w:rPr>
          <w:rFonts w:ascii="Tahoma" w:hAnsi="Tahoma" w:cs="Tahoma"/>
          <w:b/>
        </w:rPr>
        <w:t xml:space="preserve">Hernando </w:t>
      </w:r>
      <w:r w:rsidR="00731C33" w:rsidRPr="005F0DE0">
        <w:rPr>
          <w:rFonts w:ascii="Tahoma" w:hAnsi="Tahoma" w:cs="Tahoma"/>
          <w:b/>
        </w:rPr>
        <w:t>Pinzón Rodríguez</w:t>
      </w:r>
      <w:r w:rsidR="00A44D4F" w:rsidRPr="005F0DE0">
        <w:rPr>
          <w:rFonts w:ascii="Tahoma" w:hAnsi="Tahoma" w:cs="Tahoma"/>
        </w:rPr>
        <w:t xml:space="preserve"> </w:t>
      </w:r>
      <w:r w:rsidR="00D03F82" w:rsidRPr="005F0DE0">
        <w:rPr>
          <w:rFonts w:ascii="Tahoma" w:hAnsi="Tahoma" w:cs="Tahoma"/>
        </w:rPr>
        <w:t xml:space="preserve">en </w:t>
      </w:r>
      <w:r w:rsidR="00216361" w:rsidRPr="005F0DE0">
        <w:rPr>
          <w:rFonts w:ascii="Tahoma" w:hAnsi="Tahoma" w:cs="Tahoma"/>
          <w:bCs/>
        </w:rPr>
        <w:t>contra</w:t>
      </w:r>
      <w:r w:rsidR="00142CF0" w:rsidRPr="005F0DE0">
        <w:rPr>
          <w:rFonts w:ascii="Tahoma" w:hAnsi="Tahoma" w:cs="Tahoma"/>
          <w:b/>
          <w:bCs/>
        </w:rPr>
        <w:t xml:space="preserve"> </w:t>
      </w:r>
      <w:r w:rsidR="005341DC" w:rsidRPr="005F0DE0">
        <w:rPr>
          <w:rFonts w:ascii="Tahoma" w:hAnsi="Tahoma" w:cs="Tahoma"/>
          <w:bCs/>
        </w:rPr>
        <w:t>de</w:t>
      </w:r>
      <w:r w:rsidR="00A16D3C" w:rsidRPr="005F0DE0">
        <w:rPr>
          <w:rFonts w:ascii="Tahoma" w:hAnsi="Tahoma" w:cs="Tahoma"/>
          <w:bCs/>
        </w:rPr>
        <w:t>l</w:t>
      </w:r>
      <w:r w:rsidR="00254101" w:rsidRPr="005F0DE0">
        <w:rPr>
          <w:rFonts w:ascii="Tahoma" w:hAnsi="Tahoma" w:cs="Tahoma"/>
          <w:bCs/>
        </w:rPr>
        <w:t xml:space="preserve"> </w:t>
      </w:r>
      <w:r w:rsidR="00A16D3C" w:rsidRPr="005F0DE0">
        <w:rPr>
          <w:rFonts w:ascii="Tahoma" w:hAnsi="Tahoma" w:cs="Tahoma"/>
          <w:b/>
          <w:bCs/>
        </w:rPr>
        <w:t>Ministerio</w:t>
      </w:r>
      <w:r w:rsidR="00731C33" w:rsidRPr="005F0DE0">
        <w:rPr>
          <w:rFonts w:ascii="Tahoma" w:hAnsi="Tahoma" w:cs="Tahoma"/>
          <w:b/>
          <w:bCs/>
        </w:rPr>
        <w:t xml:space="preserve"> de </w:t>
      </w:r>
      <w:r w:rsidR="00A16D3C" w:rsidRPr="005F0DE0">
        <w:rPr>
          <w:rFonts w:ascii="Tahoma" w:hAnsi="Tahoma" w:cs="Tahoma"/>
          <w:b/>
          <w:bCs/>
        </w:rPr>
        <w:t>Educación</w:t>
      </w:r>
      <w:r w:rsidR="00731C33" w:rsidRPr="005F0DE0">
        <w:rPr>
          <w:rFonts w:ascii="Tahoma" w:hAnsi="Tahoma" w:cs="Tahoma"/>
          <w:b/>
          <w:bCs/>
        </w:rPr>
        <w:t xml:space="preserve">, </w:t>
      </w:r>
      <w:r w:rsidR="00A16D3C" w:rsidRPr="005F0DE0">
        <w:rPr>
          <w:rFonts w:ascii="Tahoma" w:hAnsi="Tahoma" w:cs="Tahoma"/>
          <w:b/>
          <w:bCs/>
        </w:rPr>
        <w:lastRenderedPageBreak/>
        <w:t xml:space="preserve">Fondo De Prestaciones Sociales Del Magisterio, Municipio De Pereira </w:t>
      </w:r>
      <w:r w:rsidR="00A16D3C" w:rsidRPr="005F0DE0">
        <w:rPr>
          <w:rFonts w:ascii="Tahoma" w:hAnsi="Tahoma" w:cs="Tahoma"/>
          <w:bCs/>
        </w:rPr>
        <w:t>y la entidad vinculada</w:t>
      </w:r>
      <w:r w:rsidR="00A16D3C" w:rsidRPr="005F0DE0">
        <w:rPr>
          <w:rFonts w:ascii="Tahoma" w:hAnsi="Tahoma" w:cs="Tahoma"/>
          <w:b/>
          <w:bCs/>
        </w:rPr>
        <w:t xml:space="preserve"> Fiduprevisora S.A</w:t>
      </w:r>
      <w:r w:rsidR="00216361" w:rsidRPr="005F0DE0">
        <w:rPr>
          <w:rFonts w:ascii="Tahoma" w:hAnsi="Tahoma" w:cs="Tahoma"/>
          <w:b/>
          <w:bCs/>
        </w:rPr>
        <w:t xml:space="preserve">, </w:t>
      </w:r>
      <w:r w:rsidR="00216361" w:rsidRPr="005F0DE0">
        <w:rPr>
          <w:rFonts w:ascii="Tahoma" w:hAnsi="Tahoma" w:cs="Tahoma"/>
          <w:bCs/>
        </w:rPr>
        <w:t xml:space="preserve">a través de la cual pretende </w:t>
      </w:r>
      <w:r w:rsidR="005341DC" w:rsidRPr="005F0DE0">
        <w:rPr>
          <w:rFonts w:ascii="Tahoma" w:hAnsi="Tahoma" w:cs="Tahoma"/>
          <w:bCs/>
        </w:rPr>
        <w:t>el amparo de</w:t>
      </w:r>
      <w:r w:rsidR="00216361" w:rsidRPr="005F0DE0">
        <w:rPr>
          <w:rFonts w:ascii="Tahoma" w:hAnsi="Tahoma" w:cs="Tahoma"/>
          <w:bCs/>
        </w:rPr>
        <w:t xml:space="preserve"> </w:t>
      </w:r>
      <w:r w:rsidR="00142CF0" w:rsidRPr="005F0DE0">
        <w:rPr>
          <w:rFonts w:ascii="Tahoma" w:hAnsi="Tahoma" w:cs="Tahoma"/>
          <w:bCs/>
        </w:rPr>
        <w:t xml:space="preserve">los derechos fundamentales </w:t>
      </w:r>
      <w:r w:rsidR="00A16D3C" w:rsidRPr="005F0DE0">
        <w:rPr>
          <w:rFonts w:ascii="Tahoma" w:hAnsi="Tahoma" w:cs="Tahoma"/>
          <w:bCs/>
        </w:rPr>
        <w:t xml:space="preserve">a la </w:t>
      </w:r>
      <w:r w:rsidR="00A16D3C" w:rsidRPr="005F0DE0">
        <w:rPr>
          <w:rFonts w:ascii="Tahoma" w:hAnsi="Tahoma" w:cs="Tahoma"/>
          <w:b/>
          <w:bCs/>
        </w:rPr>
        <w:t>igualdad, debido proceso administrativo</w:t>
      </w:r>
      <w:r w:rsidR="006C0EB5" w:rsidRPr="005F0DE0">
        <w:rPr>
          <w:rFonts w:ascii="Tahoma" w:hAnsi="Tahoma" w:cs="Tahoma"/>
          <w:b/>
          <w:bCs/>
        </w:rPr>
        <w:t xml:space="preserve"> en igualdad de condiciones</w:t>
      </w:r>
      <w:r w:rsidR="00A16D3C" w:rsidRPr="005F0DE0">
        <w:rPr>
          <w:rFonts w:ascii="Tahoma" w:hAnsi="Tahoma" w:cs="Tahoma"/>
          <w:b/>
          <w:bCs/>
        </w:rPr>
        <w:t>,</w:t>
      </w:r>
      <w:r w:rsidR="00664F0F" w:rsidRPr="005F0DE0">
        <w:rPr>
          <w:rFonts w:ascii="Tahoma" w:hAnsi="Tahoma" w:cs="Tahoma"/>
          <w:b/>
          <w:bCs/>
        </w:rPr>
        <w:t xml:space="preserve"> </w:t>
      </w:r>
      <w:r w:rsidR="00A16D3C" w:rsidRPr="005F0DE0">
        <w:rPr>
          <w:rFonts w:ascii="Tahoma" w:hAnsi="Tahoma" w:cs="Tahoma"/>
          <w:b/>
          <w:bCs/>
        </w:rPr>
        <w:t xml:space="preserve">seguridad , </w:t>
      </w:r>
      <w:r w:rsidR="00664F0F" w:rsidRPr="005F0DE0">
        <w:rPr>
          <w:rFonts w:ascii="Tahoma" w:hAnsi="Tahoma" w:cs="Tahoma"/>
          <w:b/>
          <w:bCs/>
        </w:rPr>
        <w:t xml:space="preserve">mínimo vital </w:t>
      </w:r>
      <w:r w:rsidR="00A16D3C" w:rsidRPr="005F0DE0">
        <w:rPr>
          <w:rFonts w:ascii="Tahoma" w:hAnsi="Tahoma" w:cs="Tahoma"/>
          <w:b/>
          <w:bCs/>
        </w:rPr>
        <w:t xml:space="preserve"> </w:t>
      </w:r>
      <w:r w:rsidR="00A16D3C" w:rsidRPr="005F0DE0">
        <w:rPr>
          <w:rFonts w:ascii="Tahoma" w:hAnsi="Tahoma" w:cs="Tahoma"/>
          <w:bCs/>
        </w:rPr>
        <w:t>y el derecho al reconocimiento de la pensión de sobrevivientes</w:t>
      </w:r>
      <w:r w:rsidR="00664F0F" w:rsidRPr="005F0DE0">
        <w:rPr>
          <w:rFonts w:ascii="Tahoma" w:hAnsi="Tahoma" w:cs="Tahoma"/>
          <w:b/>
          <w:bCs/>
        </w:rPr>
        <w:t>.</w:t>
      </w:r>
    </w:p>
    <w:p w:rsidR="00C73708" w:rsidRPr="005F0DE0" w:rsidRDefault="00C73708" w:rsidP="00AF0591">
      <w:pPr>
        <w:pStyle w:val="Sinespaciado"/>
        <w:spacing w:line="276" w:lineRule="auto"/>
        <w:jc w:val="both"/>
        <w:rPr>
          <w:rFonts w:ascii="Tahoma" w:hAnsi="Tahoma" w:cs="Tahoma"/>
        </w:rPr>
      </w:pPr>
    </w:p>
    <w:p w:rsidR="00C73708" w:rsidRPr="005F0DE0" w:rsidRDefault="00216361" w:rsidP="00AF0591">
      <w:pPr>
        <w:pStyle w:val="Ttulo4"/>
        <w:numPr>
          <w:ilvl w:val="0"/>
          <w:numId w:val="2"/>
        </w:numPr>
        <w:tabs>
          <w:tab w:val="clear" w:pos="1080"/>
          <w:tab w:val="left" w:pos="426"/>
        </w:tabs>
        <w:spacing w:line="276" w:lineRule="auto"/>
        <w:ind w:left="0" w:firstLine="0"/>
        <w:rPr>
          <w:rFonts w:ascii="Tahoma" w:hAnsi="Tahoma" w:cs="Tahoma"/>
          <w:sz w:val="22"/>
          <w:szCs w:val="22"/>
        </w:rPr>
      </w:pPr>
      <w:r w:rsidRPr="005F0DE0">
        <w:rPr>
          <w:rFonts w:ascii="Tahoma" w:hAnsi="Tahoma" w:cs="Tahoma"/>
          <w:sz w:val="22"/>
          <w:szCs w:val="22"/>
        </w:rPr>
        <w:t>La demanda</w:t>
      </w:r>
    </w:p>
    <w:p w:rsidR="004369D9" w:rsidRPr="005F0DE0" w:rsidRDefault="004369D9" w:rsidP="00AF0591">
      <w:pPr>
        <w:pStyle w:val="Sinespaciado"/>
        <w:spacing w:line="276" w:lineRule="auto"/>
        <w:jc w:val="both"/>
        <w:rPr>
          <w:rFonts w:ascii="Tahoma" w:hAnsi="Tahoma" w:cs="Tahoma"/>
          <w:lang w:eastAsia="es-ES"/>
        </w:rPr>
      </w:pPr>
    </w:p>
    <w:p w:rsidR="00DE3DA6" w:rsidRPr="005F0DE0" w:rsidRDefault="00A44D4F" w:rsidP="00AF0591">
      <w:pPr>
        <w:spacing w:after="0" w:line="276" w:lineRule="auto"/>
        <w:ind w:right="-187" w:firstLine="709"/>
        <w:jc w:val="both"/>
        <w:rPr>
          <w:rFonts w:ascii="Tahoma" w:hAnsi="Tahoma" w:cs="Tahoma"/>
        </w:rPr>
      </w:pPr>
      <w:r w:rsidRPr="005F0DE0">
        <w:rPr>
          <w:rFonts w:ascii="Tahoma" w:hAnsi="Tahoma" w:cs="Tahoma"/>
        </w:rPr>
        <w:t xml:space="preserve">Manifestó </w:t>
      </w:r>
      <w:r w:rsidR="00C83BF0" w:rsidRPr="005F0DE0">
        <w:rPr>
          <w:rFonts w:ascii="Tahoma" w:hAnsi="Tahoma" w:cs="Tahoma"/>
        </w:rPr>
        <w:t>la</w:t>
      </w:r>
      <w:r w:rsidR="005269D5" w:rsidRPr="005F0DE0">
        <w:rPr>
          <w:rFonts w:ascii="Tahoma" w:hAnsi="Tahoma" w:cs="Tahoma"/>
        </w:rPr>
        <w:t xml:space="preserve"> </w:t>
      </w:r>
      <w:r w:rsidR="00C83BF0" w:rsidRPr="005F0DE0">
        <w:rPr>
          <w:rFonts w:ascii="Tahoma" w:hAnsi="Tahoma" w:cs="Tahoma"/>
        </w:rPr>
        <w:t>apoderada</w:t>
      </w:r>
      <w:r w:rsidR="00397021" w:rsidRPr="005F0DE0">
        <w:rPr>
          <w:rFonts w:ascii="Tahoma" w:hAnsi="Tahoma" w:cs="Tahoma"/>
        </w:rPr>
        <w:t xml:space="preserve"> judicial del </w:t>
      </w:r>
      <w:r w:rsidR="005269D5" w:rsidRPr="005F0DE0">
        <w:rPr>
          <w:rFonts w:ascii="Tahoma" w:hAnsi="Tahoma" w:cs="Tahoma"/>
        </w:rPr>
        <w:t>accionante</w:t>
      </w:r>
      <w:r w:rsidR="00C83BF0" w:rsidRPr="005F0DE0">
        <w:rPr>
          <w:rFonts w:ascii="Tahoma" w:hAnsi="Tahoma" w:cs="Tahoma"/>
        </w:rPr>
        <w:t>,</w:t>
      </w:r>
      <w:r w:rsidR="005269D5" w:rsidRPr="005F0DE0">
        <w:rPr>
          <w:rFonts w:ascii="Tahoma" w:hAnsi="Tahoma" w:cs="Tahoma"/>
        </w:rPr>
        <w:t xml:space="preserve"> que</w:t>
      </w:r>
      <w:r w:rsidR="00397021" w:rsidRPr="005F0DE0">
        <w:rPr>
          <w:rFonts w:ascii="Tahoma" w:hAnsi="Tahoma" w:cs="Tahoma"/>
        </w:rPr>
        <w:t xml:space="preserve"> la señora Olga Beatriz Henao </w:t>
      </w:r>
      <w:r w:rsidR="00DE3DA6" w:rsidRPr="005F0DE0">
        <w:rPr>
          <w:rFonts w:ascii="Tahoma" w:hAnsi="Tahoma" w:cs="Tahoma"/>
        </w:rPr>
        <w:t>laboró</w:t>
      </w:r>
      <w:r w:rsidR="00C76521" w:rsidRPr="005F0DE0">
        <w:rPr>
          <w:rFonts w:ascii="Tahoma" w:hAnsi="Tahoma" w:cs="Tahoma"/>
        </w:rPr>
        <w:t xml:space="preserve"> en el servicio educativo a cargo del municipio de Pereira como docente desde el </w:t>
      </w:r>
      <w:r w:rsidR="00AF0591">
        <w:rPr>
          <w:rFonts w:ascii="Tahoma" w:hAnsi="Tahoma" w:cs="Tahoma"/>
        </w:rPr>
        <w:t xml:space="preserve">12 de febrero de 1997 hasta el </w:t>
      </w:r>
      <w:r w:rsidR="00C76521" w:rsidRPr="005F0DE0">
        <w:rPr>
          <w:rFonts w:ascii="Tahoma" w:hAnsi="Tahoma" w:cs="Tahoma"/>
        </w:rPr>
        <w:t>5 de marzo del 2015</w:t>
      </w:r>
      <w:r w:rsidR="00A10B3A" w:rsidRPr="005F0DE0">
        <w:rPr>
          <w:rFonts w:ascii="Tahoma" w:hAnsi="Tahoma" w:cs="Tahoma"/>
        </w:rPr>
        <w:t>,</w:t>
      </w:r>
      <w:r w:rsidR="00E14B77">
        <w:rPr>
          <w:rFonts w:ascii="Tahoma" w:hAnsi="Tahoma" w:cs="Tahoma"/>
        </w:rPr>
        <w:t xml:space="preserve"> fecha en que falleció</w:t>
      </w:r>
      <w:r w:rsidR="00AF0591">
        <w:rPr>
          <w:rFonts w:ascii="Tahoma" w:hAnsi="Tahoma" w:cs="Tahoma"/>
        </w:rPr>
        <w:t>;</w:t>
      </w:r>
      <w:r w:rsidR="00A10B3A" w:rsidRPr="005F0DE0">
        <w:rPr>
          <w:rFonts w:ascii="Tahoma" w:hAnsi="Tahoma" w:cs="Tahoma"/>
        </w:rPr>
        <w:t xml:space="preserve"> que</w:t>
      </w:r>
      <w:r w:rsidR="00DF136E" w:rsidRPr="005F0DE0">
        <w:rPr>
          <w:rFonts w:ascii="Tahoma" w:hAnsi="Tahoma" w:cs="Tahoma"/>
        </w:rPr>
        <w:t xml:space="preserve"> la causante</w:t>
      </w:r>
      <w:r w:rsidR="00C76521" w:rsidRPr="005F0DE0">
        <w:rPr>
          <w:rFonts w:ascii="Tahoma" w:hAnsi="Tahoma" w:cs="Tahoma"/>
        </w:rPr>
        <w:t xml:space="preserve"> se encontraba en grado de escalafón 12 con nombramiento en propiedad</w:t>
      </w:r>
      <w:r w:rsidR="002D78D0" w:rsidRPr="005F0DE0">
        <w:rPr>
          <w:rFonts w:ascii="Tahoma" w:hAnsi="Tahoma" w:cs="Tahoma"/>
        </w:rPr>
        <w:t>,</w:t>
      </w:r>
      <w:r w:rsidR="00A97971" w:rsidRPr="005F0DE0">
        <w:rPr>
          <w:rFonts w:ascii="Tahoma" w:hAnsi="Tahoma" w:cs="Tahoma"/>
        </w:rPr>
        <w:t xml:space="preserve"> devengaba un salario </w:t>
      </w:r>
      <w:r w:rsidR="004A6392" w:rsidRPr="005F0DE0">
        <w:rPr>
          <w:rFonts w:ascii="Tahoma" w:hAnsi="Tahoma" w:cs="Tahoma"/>
        </w:rPr>
        <w:t xml:space="preserve">de </w:t>
      </w:r>
      <w:r w:rsidR="00C64C23" w:rsidRPr="005F0DE0">
        <w:rPr>
          <w:rFonts w:ascii="Tahoma" w:hAnsi="Tahoma" w:cs="Tahoma"/>
        </w:rPr>
        <w:t>$2.173.34</w:t>
      </w:r>
      <w:r w:rsidR="002D78D0" w:rsidRPr="005F0DE0">
        <w:rPr>
          <w:rFonts w:ascii="Tahoma" w:hAnsi="Tahoma" w:cs="Tahoma"/>
        </w:rPr>
        <w:t xml:space="preserve">9 y </w:t>
      </w:r>
      <w:r w:rsidR="00DE3DA6" w:rsidRPr="005F0DE0">
        <w:rPr>
          <w:rFonts w:ascii="Tahoma" w:hAnsi="Tahoma" w:cs="Tahoma"/>
        </w:rPr>
        <w:t>pertenecía</w:t>
      </w:r>
      <w:r w:rsidR="00C76521" w:rsidRPr="005F0DE0">
        <w:rPr>
          <w:rFonts w:ascii="Tahoma" w:hAnsi="Tahoma" w:cs="Tahoma"/>
        </w:rPr>
        <w:t xml:space="preserve"> al fondo de prest</w:t>
      </w:r>
      <w:r w:rsidR="00DE3DA6" w:rsidRPr="005F0DE0">
        <w:rPr>
          <w:rFonts w:ascii="Tahoma" w:hAnsi="Tahoma" w:cs="Tahoma"/>
        </w:rPr>
        <w:t>aciones sociales del magisterio donde hacia sus aportes</w:t>
      </w:r>
      <w:r w:rsidR="00A10B3A" w:rsidRPr="005F0DE0">
        <w:rPr>
          <w:rFonts w:ascii="Tahoma" w:hAnsi="Tahoma" w:cs="Tahoma"/>
        </w:rPr>
        <w:t xml:space="preserve"> a la previsión social.</w:t>
      </w:r>
    </w:p>
    <w:p w:rsidR="00397021" w:rsidRPr="005F0DE0" w:rsidRDefault="00397021" w:rsidP="00AF0591">
      <w:pPr>
        <w:spacing w:after="0" w:line="276" w:lineRule="auto"/>
        <w:ind w:right="-187" w:firstLine="709"/>
        <w:jc w:val="both"/>
        <w:rPr>
          <w:rFonts w:ascii="Tahoma" w:hAnsi="Tahoma" w:cs="Tahoma"/>
        </w:rPr>
      </w:pPr>
    </w:p>
    <w:p w:rsidR="00A97971" w:rsidRPr="005F0DE0" w:rsidRDefault="00A10B3A" w:rsidP="00AF0591">
      <w:pPr>
        <w:spacing w:after="0" w:line="276" w:lineRule="auto"/>
        <w:ind w:right="-187" w:firstLine="709"/>
        <w:jc w:val="both"/>
        <w:rPr>
          <w:rFonts w:ascii="Tahoma" w:hAnsi="Tahoma" w:cs="Tahoma"/>
        </w:rPr>
      </w:pPr>
      <w:r w:rsidRPr="005F0DE0">
        <w:rPr>
          <w:rFonts w:ascii="Tahoma" w:hAnsi="Tahoma" w:cs="Tahoma"/>
        </w:rPr>
        <w:t xml:space="preserve">Indicó que </w:t>
      </w:r>
      <w:r w:rsidR="00A97971" w:rsidRPr="005F0DE0">
        <w:rPr>
          <w:rFonts w:ascii="Tahoma" w:hAnsi="Tahoma" w:cs="Tahoma"/>
        </w:rPr>
        <w:t>el señor Hernando Pinzón Rodríguez tenia</w:t>
      </w:r>
      <w:r w:rsidR="00DF136E" w:rsidRPr="005F0DE0">
        <w:rPr>
          <w:rFonts w:ascii="Tahoma" w:hAnsi="Tahoma" w:cs="Tahoma"/>
        </w:rPr>
        <w:t xml:space="preserve"> </w:t>
      </w:r>
      <w:r w:rsidRPr="005F0DE0">
        <w:rPr>
          <w:rFonts w:ascii="Tahoma" w:hAnsi="Tahoma" w:cs="Tahoma"/>
        </w:rPr>
        <w:t xml:space="preserve">unión marital </w:t>
      </w:r>
      <w:r w:rsidR="00A97971" w:rsidRPr="005F0DE0">
        <w:rPr>
          <w:rFonts w:ascii="Tahoma" w:hAnsi="Tahoma" w:cs="Tahoma"/>
        </w:rPr>
        <w:t xml:space="preserve">de hecho con la señora Olga Beatriz Henao </w:t>
      </w:r>
      <w:r w:rsidRPr="005F0DE0">
        <w:rPr>
          <w:rFonts w:ascii="Tahoma" w:hAnsi="Tahoma" w:cs="Tahoma"/>
        </w:rPr>
        <w:t xml:space="preserve">desde el 13 de enero de 1992, la cual se dio de manera ininterrumpida, viviendo bajo el mismo techo y compartiendo el mismo lecho, con ayuda mutua, afecto de pareja y sin impedimento alguno, conformando un hogar, </w:t>
      </w:r>
      <w:r w:rsidR="00DF136E" w:rsidRPr="005F0DE0">
        <w:rPr>
          <w:rFonts w:ascii="Tahoma" w:hAnsi="Tahoma" w:cs="Tahoma"/>
        </w:rPr>
        <w:t xml:space="preserve">teniendo una </w:t>
      </w:r>
      <w:r w:rsidRPr="005F0DE0">
        <w:rPr>
          <w:rFonts w:ascii="Tahoma" w:hAnsi="Tahoma" w:cs="Tahoma"/>
        </w:rPr>
        <w:t xml:space="preserve">unión permanente y singular hasta el </w:t>
      </w:r>
      <w:r w:rsidR="005F7C03" w:rsidRPr="005F0DE0">
        <w:rPr>
          <w:rFonts w:ascii="Tahoma" w:hAnsi="Tahoma" w:cs="Tahoma"/>
        </w:rPr>
        <w:t>día</w:t>
      </w:r>
      <w:r w:rsidRPr="005F0DE0">
        <w:rPr>
          <w:rFonts w:ascii="Tahoma" w:hAnsi="Tahoma" w:cs="Tahoma"/>
        </w:rPr>
        <w:t xml:space="preserve"> 05 de marzo de 2015</w:t>
      </w:r>
      <w:r w:rsidR="005F7C03" w:rsidRPr="005F0DE0">
        <w:rPr>
          <w:rFonts w:ascii="Tahoma" w:hAnsi="Tahoma" w:cs="Tahoma"/>
        </w:rPr>
        <w:t>, fecha de</w:t>
      </w:r>
      <w:r w:rsidR="00CC3C8F" w:rsidRPr="005F0DE0">
        <w:rPr>
          <w:rFonts w:ascii="Tahoma" w:hAnsi="Tahoma" w:cs="Tahoma"/>
        </w:rPr>
        <w:t>l</w:t>
      </w:r>
      <w:r w:rsidR="005F7C03" w:rsidRPr="005F0DE0">
        <w:rPr>
          <w:rFonts w:ascii="Tahoma" w:hAnsi="Tahoma" w:cs="Tahoma"/>
        </w:rPr>
        <w:t xml:space="preserve"> fallecimi</w:t>
      </w:r>
      <w:r w:rsidR="00A97971" w:rsidRPr="005F0DE0">
        <w:rPr>
          <w:rFonts w:ascii="Tahoma" w:hAnsi="Tahoma" w:cs="Tahoma"/>
        </w:rPr>
        <w:t>ento de su compañera permanente</w:t>
      </w:r>
      <w:r w:rsidR="00E14B77">
        <w:rPr>
          <w:rFonts w:ascii="Tahoma" w:hAnsi="Tahoma" w:cs="Tahoma"/>
        </w:rPr>
        <w:t>, de cuya</w:t>
      </w:r>
      <w:r w:rsidR="00A97971" w:rsidRPr="005F0DE0">
        <w:rPr>
          <w:rFonts w:ascii="Tahoma" w:hAnsi="Tahoma" w:cs="Tahoma"/>
        </w:rPr>
        <w:t xml:space="preserve"> unión </w:t>
      </w:r>
      <w:r w:rsidR="00E14B77">
        <w:rPr>
          <w:rFonts w:ascii="Tahoma" w:hAnsi="Tahoma" w:cs="Tahoma"/>
        </w:rPr>
        <w:t>nacieron</w:t>
      </w:r>
      <w:r w:rsidR="00A97971" w:rsidRPr="005F0DE0">
        <w:rPr>
          <w:rFonts w:ascii="Tahoma" w:hAnsi="Tahoma" w:cs="Tahoma"/>
        </w:rPr>
        <w:t xml:space="preserve"> dos hijos, Milton Daniel</w:t>
      </w:r>
      <w:r w:rsidR="00C64C23" w:rsidRPr="005F0DE0">
        <w:rPr>
          <w:rFonts w:ascii="Tahoma" w:hAnsi="Tahoma" w:cs="Tahoma"/>
        </w:rPr>
        <w:t xml:space="preserve"> </w:t>
      </w:r>
      <w:r w:rsidR="00C12DD8">
        <w:rPr>
          <w:rFonts w:ascii="Tahoma" w:hAnsi="Tahoma" w:cs="Tahoma"/>
        </w:rPr>
        <w:t xml:space="preserve">y Edwin Alexander Pinzón Henao; </w:t>
      </w:r>
      <w:r w:rsidR="005F7C03" w:rsidRPr="005F0DE0">
        <w:rPr>
          <w:rFonts w:ascii="Tahoma" w:hAnsi="Tahoma" w:cs="Tahoma"/>
        </w:rPr>
        <w:t>unión</w:t>
      </w:r>
      <w:r w:rsidR="00CC3C8F" w:rsidRPr="005F0DE0">
        <w:rPr>
          <w:rFonts w:ascii="Tahoma" w:hAnsi="Tahoma" w:cs="Tahoma"/>
        </w:rPr>
        <w:t xml:space="preserve"> marital de hecho</w:t>
      </w:r>
      <w:r w:rsidR="005F7C03" w:rsidRPr="005F0DE0">
        <w:rPr>
          <w:rFonts w:ascii="Tahoma" w:hAnsi="Tahoma" w:cs="Tahoma"/>
        </w:rPr>
        <w:t xml:space="preserve"> </w:t>
      </w:r>
      <w:r w:rsidR="00E14B77">
        <w:rPr>
          <w:rFonts w:ascii="Tahoma" w:hAnsi="Tahoma" w:cs="Tahoma"/>
        </w:rPr>
        <w:t xml:space="preserve">que </w:t>
      </w:r>
      <w:r w:rsidR="005F7C03" w:rsidRPr="005F0DE0">
        <w:rPr>
          <w:rFonts w:ascii="Tahoma" w:hAnsi="Tahoma" w:cs="Tahoma"/>
        </w:rPr>
        <w:t xml:space="preserve">fue declarada </w:t>
      </w:r>
      <w:r w:rsidR="00A97971" w:rsidRPr="005F0DE0">
        <w:rPr>
          <w:rFonts w:ascii="Tahoma" w:hAnsi="Tahoma" w:cs="Tahoma"/>
        </w:rPr>
        <w:t>por el Juzgado Único de Familia de Dosquebradas el 2 de marzo de 2016.</w:t>
      </w:r>
    </w:p>
    <w:p w:rsidR="00702FF4" w:rsidRPr="005F0DE0" w:rsidRDefault="00702FF4" w:rsidP="00AF0591">
      <w:pPr>
        <w:spacing w:after="0" w:line="276" w:lineRule="auto"/>
        <w:ind w:right="-187" w:firstLine="709"/>
        <w:jc w:val="both"/>
        <w:rPr>
          <w:rFonts w:ascii="Tahoma" w:hAnsi="Tahoma" w:cs="Tahoma"/>
        </w:rPr>
      </w:pPr>
    </w:p>
    <w:p w:rsidR="00071A0D" w:rsidRPr="005F0DE0" w:rsidRDefault="00DF136E" w:rsidP="00AF0591">
      <w:pPr>
        <w:spacing w:after="0" w:line="276" w:lineRule="auto"/>
        <w:ind w:right="-187" w:firstLine="709"/>
        <w:jc w:val="both"/>
        <w:rPr>
          <w:rFonts w:ascii="Tahoma" w:hAnsi="Tahoma" w:cs="Tahoma"/>
        </w:rPr>
      </w:pPr>
      <w:r w:rsidRPr="005F0DE0">
        <w:rPr>
          <w:rFonts w:ascii="Tahoma" w:hAnsi="Tahoma" w:cs="Tahoma"/>
        </w:rPr>
        <w:t>Agregó</w:t>
      </w:r>
      <w:r w:rsidR="00702FF4" w:rsidRPr="005F0DE0">
        <w:rPr>
          <w:rFonts w:ascii="Tahoma" w:hAnsi="Tahoma" w:cs="Tahoma"/>
        </w:rPr>
        <w:t xml:space="preserve"> </w:t>
      </w:r>
      <w:r w:rsidRPr="005F0DE0">
        <w:rPr>
          <w:rFonts w:ascii="Tahoma" w:hAnsi="Tahoma" w:cs="Tahoma"/>
        </w:rPr>
        <w:t>que e</w:t>
      </w:r>
      <w:r w:rsidR="00071A0D" w:rsidRPr="005F0DE0">
        <w:rPr>
          <w:rFonts w:ascii="Tahoma" w:hAnsi="Tahoma" w:cs="Tahoma"/>
        </w:rPr>
        <w:t xml:space="preserve">l </w:t>
      </w:r>
      <w:r w:rsidR="00702FF4" w:rsidRPr="005F0DE0">
        <w:rPr>
          <w:rFonts w:ascii="Tahoma" w:hAnsi="Tahoma" w:cs="Tahoma"/>
        </w:rPr>
        <w:t>accionante</w:t>
      </w:r>
      <w:r w:rsidR="00071A0D" w:rsidRPr="005F0DE0">
        <w:rPr>
          <w:rFonts w:ascii="Tahoma" w:hAnsi="Tahoma" w:cs="Tahoma"/>
        </w:rPr>
        <w:t xml:space="preserve"> dependía económicamente de su esposa</w:t>
      </w:r>
      <w:r w:rsidR="007B2511" w:rsidRPr="005F0DE0">
        <w:rPr>
          <w:rFonts w:ascii="Tahoma" w:hAnsi="Tahoma" w:cs="Tahoma"/>
        </w:rPr>
        <w:t>,</w:t>
      </w:r>
      <w:r w:rsidR="00071A0D" w:rsidRPr="005F0DE0">
        <w:rPr>
          <w:rFonts w:ascii="Tahoma" w:hAnsi="Tahoma" w:cs="Tahoma"/>
        </w:rPr>
        <w:t xml:space="preserve"> quien con sus ingresos mensuales sufragaba la mayor parte de los gastos de manutención del hogar y los gastos personales </w:t>
      </w:r>
      <w:r w:rsidR="00A1683B" w:rsidRPr="005F0DE0">
        <w:rPr>
          <w:rFonts w:ascii="Tahoma" w:hAnsi="Tahoma" w:cs="Tahoma"/>
        </w:rPr>
        <w:t>del accionante</w:t>
      </w:r>
      <w:r w:rsidR="00892442" w:rsidRPr="005F0DE0">
        <w:rPr>
          <w:rFonts w:ascii="Tahoma" w:hAnsi="Tahoma" w:cs="Tahoma"/>
        </w:rPr>
        <w:t>,</w:t>
      </w:r>
      <w:r w:rsidR="001C2DED" w:rsidRPr="005F0DE0">
        <w:rPr>
          <w:rFonts w:ascii="Tahoma" w:hAnsi="Tahoma" w:cs="Tahoma"/>
        </w:rPr>
        <w:t xml:space="preserve"> por lo que d</w:t>
      </w:r>
      <w:r w:rsidR="00071A0D" w:rsidRPr="005F0DE0">
        <w:rPr>
          <w:rFonts w:ascii="Tahoma" w:hAnsi="Tahoma" w:cs="Tahoma"/>
        </w:rPr>
        <w:t>esde el fallecimiento de su compañera ha pasado por</w:t>
      </w:r>
      <w:r w:rsidR="00E14B77">
        <w:rPr>
          <w:rFonts w:ascii="Tahoma" w:hAnsi="Tahoma" w:cs="Tahoma"/>
        </w:rPr>
        <w:t xml:space="preserve"> una situación económica crí</w:t>
      </w:r>
      <w:r w:rsidR="00071A0D" w:rsidRPr="005F0DE0">
        <w:rPr>
          <w:rFonts w:ascii="Tahoma" w:hAnsi="Tahoma" w:cs="Tahoma"/>
        </w:rPr>
        <w:t>tica p</w:t>
      </w:r>
      <w:r w:rsidR="001C2DED" w:rsidRPr="005F0DE0">
        <w:rPr>
          <w:rFonts w:ascii="Tahoma" w:hAnsi="Tahoma" w:cs="Tahoma"/>
        </w:rPr>
        <w:t>uesto que</w:t>
      </w:r>
      <w:r w:rsidR="00071A0D" w:rsidRPr="005F0DE0">
        <w:rPr>
          <w:rFonts w:ascii="Tahoma" w:hAnsi="Tahoma" w:cs="Tahoma"/>
        </w:rPr>
        <w:t xml:space="preserve"> solo devenga un salario </w:t>
      </w:r>
      <w:r w:rsidR="001C2DED" w:rsidRPr="005F0DE0">
        <w:rPr>
          <w:rFonts w:ascii="Tahoma" w:hAnsi="Tahoma" w:cs="Tahoma"/>
        </w:rPr>
        <w:t>mínimo</w:t>
      </w:r>
      <w:r w:rsidR="00071A0D" w:rsidRPr="005F0DE0">
        <w:rPr>
          <w:rFonts w:ascii="Tahoma" w:hAnsi="Tahoma" w:cs="Tahoma"/>
        </w:rPr>
        <w:t xml:space="preserve"> legal mensual vigente con el </w:t>
      </w:r>
      <w:r w:rsidR="00A1683B" w:rsidRPr="005F0DE0">
        <w:rPr>
          <w:rFonts w:ascii="Tahoma" w:hAnsi="Tahoma" w:cs="Tahoma"/>
        </w:rPr>
        <w:t>que tiene que sufragar</w:t>
      </w:r>
      <w:r w:rsidR="00071A0D" w:rsidRPr="005F0DE0">
        <w:rPr>
          <w:rFonts w:ascii="Tahoma" w:hAnsi="Tahoma" w:cs="Tahoma"/>
        </w:rPr>
        <w:t xml:space="preserve"> sus gastos y los de su madr</w:t>
      </w:r>
      <w:r w:rsidR="001C2DED" w:rsidRPr="005F0DE0">
        <w:rPr>
          <w:rFonts w:ascii="Tahoma" w:hAnsi="Tahoma" w:cs="Tahoma"/>
        </w:rPr>
        <w:t>e quien tiene 92 años de edad y</w:t>
      </w:r>
      <w:r w:rsidR="00071A0D" w:rsidRPr="005F0DE0">
        <w:rPr>
          <w:rFonts w:ascii="Tahoma" w:hAnsi="Tahoma" w:cs="Tahoma"/>
        </w:rPr>
        <w:t xml:space="preserve"> siempre ha dependido económicamente de él.</w:t>
      </w:r>
    </w:p>
    <w:p w:rsidR="00DF136E" w:rsidRPr="005F0DE0" w:rsidRDefault="00DF136E" w:rsidP="00AF0591">
      <w:pPr>
        <w:spacing w:after="0" w:line="276" w:lineRule="auto"/>
        <w:ind w:right="-187" w:firstLine="709"/>
        <w:jc w:val="both"/>
        <w:rPr>
          <w:rFonts w:ascii="Tahoma" w:hAnsi="Tahoma" w:cs="Tahoma"/>
        </w:rPr>
      </w:pPr>
    </w:p>
    <w:p w:rsidR="00071A0D" w:rsidRPr="005F0DE0" w:rsidRDefault="00071A0D" w:rsidP="00AF0591">
      <w:pPr>
        <w:spacing w:after="0" w:line="276" w:lineRule="auto"/>
        <w:ind w:right="-187" w:firstLine="709"/>
        <w:jc w:val="both"/>
        <w:rPr>
          <w:rFonts w:ascii="Tahoma" w:hAnsi="Tahoma" w:cs="Tahoma"/>
        </w:rPr>
      </w:pPr>
      <w:r w:rsidRPr="005F0DE0">
        <w:rPr>
          <w:rFonts w:ascii="Tahoma" w:hAnsi="Tahoma" w:cs="Tahoma"/>
        </w:rPr>
        <w:t xml:space="preserve"> </w:t>
      </w:r>
      <w:r w:rsidR="00A40D16" w:rsidRPr="005F0DE0">
        <w:rPr>
          <w:rFonts w:ascii="Tahoma" w:hAnsi="Tahoma" w:cs="Tahoma"/>
        </w:rPr>
        <w:t xml:space="preserve">Relató que </w:t>
      </w:r>
      <w:r w:rsidR="00892442" w:rsidRPr="005F0DE0">
        <w:rPr>
          <w:rFonts w:ascii="Tahoma" w:hAnsi="Tahoma" w:cs="Tahoma"/>
        </w:rPr>
        <w:t>p</w:t>
      </w:r>
      <w:r w:rsidR="009D02FF" w:rsidRPr="005F0DE0">
        <w:rPr>
          <w:rFonts w:ascii="Tahoma" w:hAnsi="Tahoma" w:cs="Tahoma"/>
        </w:rPr>
        <w:t xml:space="preserve">resentó solicitud </w:t>
      </w:r>
      <w:r w:rsidR="00892442" w:rsidRPr="005F0DE0">
        <w:rPr>
          <w:rFonts w:ascii="Tahoma" w:hAnsi="Tahoma" w:cs="Tahoma"/>
        </w:rPr>
        <w:t xml:space="preserve">de pensión </w:t>
      </w:r>
      <w:r w:rsidR="00A1683B" w:rsidRPr="005F0DE0">
        <w:rPr>
          <w:rFonts w:ascii="Tahoma" w:hAnsi="Tahoma" w:cs="Tahoma"/>
        </w:rPr>
        <w:t xml:space="preserve">de sobrevivencia </w:t>
      </w:r>
      <w:r w:rsidR="00A40D16" w:rsidRPr="005F0DE0">
        <w:rPr>
          <w:rFonts w:ascii="Tahoma" w:hAnsi="Tahoma" w:cs="Tahoma"/>
        </w:rPr>
        <w:t xml:space="preserve">el 9 de junio de 2015 </w:t>
      </w:r>
      <w:r w:rsidR="009D02FF" w:rsidRPr="005F0DE0">
        <w:rPr>
          <w:rFonts w:ascii="Tahoma" w:hAnsi="Tahoma" w:cs="Tahoma"/>
        </w:rPr>
        <w:t>baj</w:t>
      </w:r>
      <w:r w:rsidR="00A40D16" w:rsidRPr="005F0DE0">
        <w:rPr>
          <w:rFonts w:ascii="Tahoma" w:hAnsi="Tahoma" w:cs="Tahoma"/>
        </w:rPr>
        <w:t>o el radicado 2015-PENS-011689,</w:t>
      </w:r>
      <w:r w:rsidR="00A1683B" w:rsidRPr="005F0DE0">
        <w:rPr>
          <w:rFonts w:ascii="Tahoma" w:hAnsi="Tahoma" w:cs="Tahoma"/>
        </w:rPr>
        <w:t xml:space="preserve"> </w:t>
      </w:r>
      <w:r w:rsidR="00586000">
        <w:rPr>
          <w:rFonts w:ascii="Tahoma" w:hAnsi="Tahoma" w:cs="Tahoma"/>
        </w:rPr>
        <w:t>dándole</w:t>
      </w:r>
      <w:r w:rsidR="009D02FF" w:rsidRPr="005F0DE0">
        <w:rPr>
          <w:rFonts w:ascii="Tahoma" w:hAnsi="Tahoma" w:cs="Tahoma"/>
        </w:rPr>
        <w:t xml:space="preserve"> respuesta el día </w:t>
      </w:r>
      <w:r w:rsidR="00D47A65">
        <w:rPr>
          <w:rFonts w:ascii="Tahoma" w:hAnsi="Tahoma" w:cs="Tahoma"/>
        </w:rPr>
        <w:t>15 de junio</w:t>
      </w:r>
      <w:r w:rsidR="009D02FF" w:rsidRPr="005F0DE0">
        <w:rPr>
          <w:rFonts w:ascii="Tahoma" w:hAnsi="Tahoma" w:cs="Tahoma"/>
        </w:rPr>
        <w:t xml:space="preserve"> de 2016 mediante Acto Administrativo 2151 por medio del cual </w:t>
      </w:r>
      <w:r w:rsidR="001F56F0" w:rsidRPr="005F0DE0">
        <w:rPr>
          <w:rFonts w:ascii="Tahoma" w:hAnsi="Tahoma" w:cs="Tahoma"/>
        </w:rPr>
        <w:t>la negaron</w:t>
      </w:r>
      <w:r w:rsidR="00A1683B" w:rsidRPr="005F0DE0">
        <w:rPr>
          <w:rFonts w:ascii="Tahoma" w:hAnsi="Tahoma" w:cs="Tahoma"/>
        </w:rPr>
        <w:t xml:space="preserve"> </w:t>
      </w:r>
      <w:r w:rsidR="001F56F0" w:rsidRPr="005F0DE0">
        <w:rPr>
          <w:rFonts w:ascii="Tahoma" w:hAnsi="Tahoma" w:cs="Tahoma"/>
        </w:rPr>
        <w:t xml:space="preserve">argumentando </w:t>
      </w:r>
      <w:r w:rsidR="009D02FF" w:rsidRPr="005F0DE0">
        <w:rPr>
          <w:rFonts w:ascii="Tahoma" w:hAnsi="Tahoma" w:cs="Tahoma"/>
        </w:rPr>
        <w:t xml:space="preserve"> que” </w:t>
      </w:r>
      <w:r w:rsidR="009D02FF" w:rsidRPr="00E14B77">
        <w:rPr>
          <w:rFonts w:ascii="Arial Narrow" w:hAnsi="Arial Narrow" w:cs="Tahoma"/>
          <w:i/>
        </w:rPr>
        <w:t xml:space="preserve">no procede el reconocimiento de la </w:t>
      </w:r>
      <w:r w:rsidR="001F56F0" w:rsidRPr="00E14B77">
        <w:rPr>
          <w:rFonts w:ascii="Arial Narrow" w:hAnsi="Arial Narrow" w:cs="Tahoma"/>
          <w:i/>
        </w:rPr>
        <w:t>prestación</w:t>
      </w:r>
      <w:r w:rsidR="009D02FF" w:rsidRPr="00E14B77">
        <w:rPr>
          <w:rFonts w:ascii="Arial Narrow" w:hAnsi="Arial Narrow" w:cs="Tahoma"/>
          <w:i/>
        </w:rPr>
        <w:t xml:space="preserve"> ya que el docente estaba vinculado en vigencia de la ley 91 de 1989, por lo que dentro de los tipos de prestaciones a los que tiene derecho no se encontraba la </w:t>
      </w:r>
      <w:r w:rsidR="00CA7BB7" w:rsidRPr="00E14B77">
        <w:rPr>
          <w:rFonts w:ascii="Arial Narrow" w:hAnsi="Arial Narrow" w:cs="Tahoma"/>
          <w:i/>
        </w:rPr>
        <w:t>pensión</w:t>
      </w:r>
      <w:r w:rsidR="009D02FF" w:rsidRPr="00E14B77">
        <w:rPr>
          <w:rFonts w:ascii="Arial Narrow" w:hAnsi="Arial Narrow" w:cs="Tahoma"/>
          <w:i/>
        </w:rPr>
        <w:t xml:space="preserve"> de sobrevivientes</w:t>
      </w:r>
      <w:r w:rsidR="009D02FF" w:rsidRPr="005F0DE0">
        <w:rPr>
          <w:rFonts w:ascii="Tahoma" w:hAnsi="Tahoma" w:cs="Tahoma"/>
        </w:rPr>
        <w:t>”</w:t>
      </w:r>
      <w:r w:rsidR="00E14B77">
        <w:rPr>
          <w:rFonts w:ascii="Tahoma" w:hAnsi="Tahoma" w:cs="Tahoma"/>
        </w:rPr>
        <w:t>. P</w:t>
      </w:r>
      <w:r w:rsidR="008016E2" w:rsidRPr="005F0DE0">
        <w:rPr>
          <w:rFonts w:ascii="Tahoma" w:hAnsi="Tahoma" w:cs="Tahoma"/>
        </w:rPr>
        <w:t>osteriormente present</w:t>
      </w:r>
      <w:r w:rsidR="00A40D16" w:rsidRPr="005F0DE0">
        <w:rPr>
          <w:rFonts w:ascii="Tahoma" w:hAnsi="Tahoma" w:cs="Tahoma"/>
        </w:rPr>
        <w:t xml:space="preserve">ó derecho de petición </w:t>
      </w:r>
      <w:r w:rsidR="001F56F0" w:rsidRPr="005F0DE0">
        <w:rPr>
          <w:rFonts w:ascii="Tahoma" w:hAnsi="Tahoma" w:cs="Tahoma"/>
        </w:rPr>
        <w:t>radicado</w:t>
      </w:r>
      <w:r w:rsidR="00D9706E" w:rsidRPr="005F0DE0">
        <w:rPr>
          <w:rFonts w:ascii="Tahoma" w:hAnsi="Tahoma" w:cs="Tahoma"/>
        </w:rPr>
        <w:t xml:space="preserve"> 2016- PENS 351217 de fecha de 6 de julio de 2016</w:t>
      </w:r>
      <w:r w:rsidR="00A40D16" w:rsidRPr="005F0DE0">
        <w:rPr>
          <w:rFonts w:ascii="Tahoma" w:hAnsi="Tahoma" w:cs="Tahoma"/>
        </w:rPr>
        <w:t xml:space="preserve">, </w:t>
      </w:r>
      <w:r w:rsidR="00D9706E" w:rsidRPr="005F0DE0">
        <w:rPr>
          <w:rFonts w:ascii="Tahoma" w:hAnsi="Tahoma" w:cs="Tahoma"/>
        </w:rPr>
        <w:t xml:space="preserve">con el fin de que se le reconociera </w:t>
      </w:r>
      <w:r w:rsidR="00A40D16" w:rsidRPr="005F0DE0">
        <w:rPr>
          <w:rFonts w:ascii="Tahoma" w:hAnsi="Tahoma" w:cs="Tahoma"/>
        </w:rPr>
        <w:t>pensión</w:t>
      </w:r>
      <w:r w:rsidR="00D9706E" w:rsidRPr="005F0DE0">
        <w:rPr>
          <w:rFonts w:ascii="Tahoma" w:hAnsi="Tahoma" w:cs="Tahoma"/>
        </w:rPr>
        <w:t xml:space="preserve"> POST MORTEM</w:t>
      </w:r>
      <w:r w:rsidR="00A40D16" w:rsidRPr="005F0DE0">
        <w:rPr>
          <w:rFonts w:ascii="Tahoma" w:hAnsi="Tahoma" w:cs="Tahoma"/>
        </w:rPr>
        <w:t>, a este</w:t>
      </w:r>
      <w:r w:rsidR="00CA7BB7" w:rsidRPr="005F0DE0">
        <w:rPr>
          <w:rFonts w:ascii="Tahoma" w:hAnsi="Tahoma" w:cs="Tahoma"/>
        </w:rPr>
        <w:t xml:space="preserve"> </w:t>
      </w:r>
      <w:r w:rsidR="00D9706E" w:rsidRPr="005F0DE0">
        <w:rPr>
          <w:rFonts w:ascii="Tahoma" w:hAnsi="Tahoma" w:cs="Tahoma"/>
        </w:rPr>
        <w:t xml:space="preserve">le dieron </w:t>
      </w:r>
      <w:r w:rsidR="00E14B77">
        <w:rPr>
          <w:rFonts w:ascii="Tahoma" w:hAnsi="Tahoma" w:cs="Tahoma"/>
        </w:rPr>
        <w:t xml:space="preserve">la cual también se </w:t>
      </w:r>
      <w:r w:rsidR="00586000">
        <w:rPr>
          <w:rFonts w:ascii="Tahoma" w:hAnsi="Tahoma" w:cs="Tahoma"/>
        </w:rPr>
        <w:t>negó</w:t>
      </w:r>
      <w:r w:rsidR="00D9706E" w:rsidRPr="005F0DE0">
        <w:rPr>
          <w:rFonts w:ascii="Tahoma" w:hAnsi="Tahoma" w:cs="Tahoma"/>
        </w:rPr>
        <w:t xml:space="preserve"> el </w:t>
      </w:r>
      <w:r w:rsidR="00CA7BB7" w:rsidRPr="005F0DE0">
        <w:rPr>
          <w:rFonts w:ascii="Tahoma" w:hAnsi="Tahoma" w:cs="Tahoma"/>
        </w:rPr>
        <w:t>día</w:t>
      </w:r>
      <w:r w:rsidR="00D9706E" w:rsidRPr="005F0DE0">
        <w:rPr>
          <w:rFonts w:ascii="Tahoma" w:hAnsi="Tahoma" w:cs="Tahoma"/>
        </w:rPr>
        <w:t xml:space="preserve"> 16 de septiembre de 2016 mediante </w:t>
      </w:r>
      <w:r w:rsidR="00CA7BB7" w:rsidRPr="005F0DE0">
        <w:rPr>
          <w:rFonts w:ascii="Tahoma" w:hAnsi="Tahoma" w:cs="Tahoma"/>
        </w:rPr>
        <w:t>Acto</w:t>
      </w:r>
      <w:r w:rsidR="00892442" w:rsidRPr="005F0DE0">
        <w:rPr>
          <w:rFonts w:ascii="Tahoma" w:hAnsi="Tahoma" w:cs="Tahoma"/>
        </w:rPr>
        <w:t xml:space="preserve"> Administrativo 4381 proferido</w:t>
      </w:r>
      <w:r w:rsidR="00D9706E" w:rsidRPr="005F0DE0">
        <w:rPr>
          <w:rFonts w:ascii="Tahoma" w:hAnsi="Tahoma" w:cs="Tahoma"/>
        </w:rPr>
        <w:t xml:space="preserve"> por la </w:t>
      </w:r>
      <w:r w:rsidR="00E14B77">
        <w:rPr>
          <w:rFonts w:ascii="Tahoma" w:hAnsi="Tahoma" w:cs="Tahoma"/>
        </w:rPr>
        <w:t>Secretaria de Educación d</w:t>
      </w:r>
      <w:r w:rsidR="00E14B77" w:rsidRPr="005F0DE0">
        <w:rPr>
          <w:rFonts w:ascii="Tahoma" w:hAnsi="Tahoma" w:cs="Tahoma"/>
        </w:rPr>
        <w:t xml:space="preserve">el Municipio </w:t>
      </w:r>
      <w:r w:rsidR="00D9706E" w:rsidRPr="005F0DE0">
        <w:rPr>
          <w:rFonts w:ascii="Tahoma" w:hAnsi="Tahoma" w:cs="Tahoma"/>
        </w:rPr>
        <w:t>de Pereira</w:t>
      </w:r>
      <w:r w:rsidR="00E14B77">
        <w:rPr>
          <w:rFonts w:ascii="Tahoma" w:hAnsi="Tahoma" w:cs="Tahoma"/>
        </w:rPr>
        <w:t>,</w:t>
      </w:r>
      <w:r w:rsidR="00D9706E" w:rsidRPr="005F0DE0">
        <w:rPr>
          <w:rFonts w:ascii="Tahoma" w:hAnsi="Tahoma" w:cs="Tahoma"/>
        </w:rPr>
        <w:t xml:space="preserve"> argumentando que los compañeros permanentes no son beneficiarios de la </w:t>
      </w:r>
      <w:r w:rsidR="00CA7BB7" w:rsidRPr="005F0DE0">
        <w:rPr>
          <w:rFonts w:ascii="Tahoma" w:hAnsi="Tahoma" w:cs="Tahoma"/>
        </w:rPr>
        <w:t>prestación</w:t>
      </w:r>
      <w:r w:rsidR="00A9206C" w:rsidRPr="005F0DE0">
        <w:rPr>
          <w:rFonts w:ascii="Tahoma" w:hAnsi="Tahoma" w:cs="Tahoma"/>
        </w:rPr>
        <w:t xml:space="preserve"> conforme al decreto 224 de 1972</w:t>
      </w:r>
      <w:r w:rsidR="002A0A90">
        <w:rPr>
          <w:rFonts w:ascii="Tahoma" w:hAnsi="Tahoma" w:cs="Tahoma"/>
        </w:rPr>
        <w:t>. F</w:t>
      </w:r>
      <w:r w:rsidR="00E14B77">
        <w:rPr>
          <w:rFonts w:ascii="Tahoma" w:hAnsi="Tahoma" w:cs="Tahoma"/>
        </w:rPr>
        <w:t xml:space="preserve">rente a la decisión </w:t>
      </w:r>
      <w:r w:rsidR="00FC2988" w:rsidRPr="005F0DE0">
        <w:rPr>
          <w:rFonts w:ascii="Tahoma" w:hAnsi="Tahoma" w:cs="Tahoma"/>
        </w:rPr>
        <w:t>presentó</w:t>
      </w:r>
      <w:r w:rsidR="00A1683B" w:rsidRPr="005F0DE0">
        <w:rPr>
          <w:rFonts w:ascii="Tahoma" w:hAnsi="Tahoma" w:cs="Tahoma"/>
        </w:rPr>
        <w:t xml:space="preserve"> </w:t>
      </w:r>
      <w:r w:rsidR="00D9706E" w:rsidRPr="005F0DE0">
        <w:rPr>
          <w:rFonts w:ascii="Tahoma" w:hAnsi="Tahoma" w:cs="Tahoma"/>
        </w:rPr>
        <w:t xml:space="preserve"> recurso de </w:t>
      </w:r>
      <w:r w:rsidR="00CA7BB7" w:rsidRPr="005F0DE0">
        <w:rPr>
          <w:rFonts w:ascii="Tahoma" w:hAnsi="Tahoma" w:cs="Tahoma"/>
        </w:rPr>
        <w:t>reposición</w:t>
      </w:r>
      <w:r w:rsidR="00D9706E" w:rsidRPr="005F0DE0">
        <w:rPr>
          <w:rFonts w:ascii="Tahoma" w:hAnsi="Tahoma" w:cs="Tahoma"/>
        </w:rPr>
        <w:t xml:space="preserve"> el </w:t>
      </w:r>
      <w:r w:rsidR="00FC2988" w:rsidRPr="005F0DE0">
        <w:rPr>
          <w:rFonts w:ascii="Tahoma" w:hAnsi="Tahoma" w:cs="Tahoma"/>
        </w:rPr>
        <w:t>día 24 de octubre de 2016 el cual</w:t>
      </w:r>
      <w:r w:rsidR="00D9706E" w:rsidRPr="005F0DE0">
        <w:rPr>
          <w:rFonts w:ascii="Tahoma" w:hAnsi="Tahoma" w:cs="Tahoma"/>
        </w:rPr>
        <w:t xml:space="preserve"> fue resuelto desfavorablemente el 11 de noviembre mediante acto administrativo 5836</w:t>
      </w:r>
      <w:r w:rsidR="00E14B77">
        <w:rPr>
          <w:rFonts w:ascii="Tahoma" w:hAnsi="Tahoma" w:cs="Tahoma"/>
        </w:rPr>
        <w:t>, agota</w:t>
      </w:r>
      <w:r w:rsidR="00586000">
        <w:rPr>
          <w:rFonts w:ascii="Tahoma" w:hAnsi="Tahoma" w:cs="Tahoma"/>
        </w:rPr>
        <w:t>n</w:t>
      </w:r>
      <w:r w:rsidR="00E14B77">
        <w:rPr>
          <w:rFonts w:ascii="Tahoma" w:hAnsi="Tahoma" w:cs="Tahoma"/>
        </w:rPr>
        <w:t>do</w:t>
      </w:r>
      <w:r w:rsidR="00A40D16" w:rsidRPr="005F0DE0">
        <w:rPr>
          <w:rFonts w:ascii="Tahoma" w:hAnsi="Tahoma" w:cs="Tahoma"/>
        </w:rPr>
        <w:t xml:space="preserve"> la </w:t>
      </w:r>
      <w:r w:rsidR="00D9706E" w:rsidRPr="005F0DE0">
        <w:rPr>
          <w:rFonts w:ascii="Tahoma" w:hAnsi="Tahoma" w:cs="Tahoma"/>
        </w:rPr>
        <w:t>vía gubernativa</w:t>
      </w:r>
      <w:r w:rsidR="00986F97" w:rsidRPr="005F0DE0">
        <w:rPr>
          <w:rFonts w:ascii="Tahoma" w:hAnsi="Tahoma" w:cs="Tahoma"/>
        </w:rPr>
        <w:t>.</w:t>
      </w:r>
      <w:r w:rsidR="00D9706E" w:rsidRPr="005F0DE0">
        <w:rPr>
          <w:rFonts w:ascii="Tahoma" w:hAnsi="Tahoma" w:cs="Tahoma"/>
        </w:rPr>
        <w:t xml:space="preserve"> </w:t>
      </w:r>
    </w:p>
    <w:p w:rsidR="004476E1" w:rsidRPr="005F0DE0" w:rsidRDefault="004476E1" w:rsidP="00AF0591">
      <w:pPr>
        <w:spacing w:after="0" w:line="276" w:lineRule="auto"/>
        <w:ind w:right="-187" w:firstLine="709"/>
        <w:jc w:val="both"/>
        <w:rPr>
          <w:rFonts w:ascii="Tahoma" w:hAnsi="Tahoma" w:cs="Tahoma"/>
        </w:rPr>
      </w:pPr>
    </w:p>
    <w:p w:rsidR="005269D5" w:rsidRPr="005F0DE0" w:rsidRDefault="006D08E0" w:rsidP="00AF0591">
      <w:pPr>
        <w:pStyle w:val="Sinespaciado"/>
        <w:spacing w:line="276" w:lineRule="auto"/>
        <w:ind w:firstLine="708"/>
        <w:jc w:val="both"/>
        <w:rPr>
          <w:rFonts w:ascii="Tahoma" w:hAnsi="Tahoma" w:cs="Tahoma"/>
        </w:rPr>
      </w:pPr>
      <w:r w:rsidRPr="005F0DE0">
        <w:rPr>
          <w:rFonts w:ascii="Tahoma" w:hAnsi="Tahoma" w:cs="Tahoma"/>
        </w:rPr>
        <w:t>Finalizó mencionando</w:t>
      </w:r>
      <w:r w:rsidR="004476E1" w:rsidRPr="005F0DE0">
        <w:rPr>
          <w:rFonts w:ascii="Tahoma" w:hAnsi="Tahoma" w:cs="Tahoma"/>
        </w:rPr>
        <w:t xml:space="preserve"> que con la negativa del reconocimiento de la pensión, están desconociendo múltiples pronunciamientos jurisprudenciales que disponen la existencia del derecho a la pensión con base en la ley 100 de 1993 </w:t>
      </w:r>
      <w:r w:rsidR="0008222F" w:rsidRPr="005F0DE0">
        <w:rPr>
          <w:rFonts w:ascii="Tahoma" w:hAnsi="Tahoma" w:cs="Tahoma"/>
        </w:rPr>
        <w:t>ya que tiene</w:t>
      </w:r>
      <w:r w:rsidR="004476E1" w:rsidRPr="005F0DE0">
        <w:rPr>
          <w:rFonts w:ascii="Tahoma" w:hAnsi="Tahoma" w:cs="Tahoma"/>
        </w:rPr>
        <w:t xml:space="preserve"> requisitos menos exigentes</w:t>
      </w:r>
      <w:r w:rsidR="00AE1DB8" w:rsidRPr="005F0DE0">
        <w:rPr>
          <w:rFonts w:ascii="Tahoma" w:hAnsi="Tahoma" w:cs="Tahoma"/>
        </w:rPr>
        <w:t xml:space="preserve"> </w:t>
      </w:r>
      <w:r w:rsidRPr="005F0DE0">
        <w:rPr>
          <w:rFonts w:ascii="Tahoma" w:hAnsi="Tahoma" w:cs="Tahoma"/>
        </w:rPr>
        <w:t>para acceder al derecho que los del decreto 224 de 1972.</w:t>
      </w:r>
    </w:p>
    <w:p w:rsidR="00150591" w:rsidRPr="005F0DE0" w:rsidRDefault="00150591" w:rsidP="00AF0591">
      <w:pPr>
        <w:pStyle w:val="Sinespaciado"/>
        <w:spacing w:line="276" w:lineRule="auto"/>
        <w:jc w:val="both"/>
        <w:rPr>
          <w:rFonts w:ascii="Tahoma" w:hAnsi="Tahoma" w:cs="Tahoma"/>
        </w:rPr>
      </w:pPr>
    </w:p>
    <w:p w:rsidR="00C73708" w:rsidRPr="005F0DE0" w:rsidRDefault="00EB59F4" w:rsidP="00AF0591">
      <w:pPr>
        <w:pStyle w:val="Ttulo4"/>
        <w:numPr>
          <w:ilvl w:val="0"/>
          <w:numId w:val="2"/>
        </w:numPr>
        <w:tabs>
          <w:tab w:val="clear" w:pos="1080"/>
        </w:tabs>
        <w:spacing w:line="276" w:lineRule="auto"/>
        <w:ind w:left="0" w:firstLine="0"/>
        <w:rPr>
          <w:rFonts w:ascii="Tahoma" w:hAnsi="Tahoma" w:cs="Tahoma"/>
          <w:sz w:val="22"/>
          <w:szCs w:val="22"/>
        </w:rPr>
      </w:pPr>
      <w:r w:rsidRPr="005F0DE0">
        <w:rPr>
          <w:rFonts w:ascii="Tahoma" w:hAnsi="Tahoma" w:cs="Tahoma"/>
          <w:sz w:val="22"/>
          <w:szCs w:val="22"/>
        </w:rPr>
        <w:t>Contestación de la demanda</w:t>
      </w:r>
    </w:p>
    <w:p w:rsidR="002F6C76" w:rsidRPr="005F0DE0" w:rsidRDefault="002F6C76" w:rsidP="00AF0591">
      <w:pPr>
        <w:spacing w:after="0" w:line="276" w:lineRule="auto"/>
        <w:jc w:val="both"/>
        <w:rPr>
          <w:rFonts w:ascii="Tahoma" w:hAnsi="Tahoma" w:cs="Tahoma"/>
          <w:lang w:eastAsia="es-ES"/>
        </w:rPr>
      </w:pPr>
    </w:p>
    <w:p w:rsidR="002F6C76" w:rsidRPr="005F0DE0" w:rsidRDefault="00AF0591" w:rsidP="00AF0591">
      <w:pPr>
        <w:pStyle w:val="Sinespaciado"/>
        <w:spacing w:line="276" w:lineRule="auto"/>
        <w:ind w:firstLine="708"/>
        <w:jc w:val="both"/>
        <w:rPr>
          <w:rFonts w:ascii="Tahoma" w:hAnsi="Tahoma" w:cs="Tahoma"/>
          <w:b/>
        </w:rPr>
      </w:pPr>
      <w:r w:rsidRPr="005F0DE0">
        <w:rPr>
          <w:rFonts w:ascii="Tahoma" w:hAnsi="Tahoma" w:cs="Tahoma"/>
          <w:b/>
        </w:rPr>
        <w:t>Secretar</w:t>
      </w:r>
      <w:r>
        <w:rPr>
          <w:rFonts w:ascii="Tahoma" w:hAnsi="Tahoma" w:cs="Tahoma"/>
          <w:b/>
        </w:rPr>
        <w:t xml:space="preserve">ía </w:t>
      </w:r>
      <w:r w:rsidR="002F6C76" w:rsidRPr="005F0DE0">
        <w:rPr>
          <w:rFonts w:ascii="Tahoma" w:hAnsi="Tahoma" w:cs="Tahoma"/>
          <w:b/>
        </w:rPr>
        <w:t>de Educación Municipal</w:t>
      </w:r>
    </w:p>
    <w:p w:rsidR="00CA004B" w:rsidRPr="005F0DE0" w:rsidRDefault="00CA004B" w:rsidP="00AF0591">
      <w:pPr>
        <w:pStyle w:val="Sinespaciado"/>
        <w:spacing w:line="276" w:lineRule="auto"/>
        <w:jc w:val="both"/>
        <w:rPr>
          <w:rFonts w:ascii="Tahoma" w:hAnsi="Tahoma" w:cs="Tahoma"/>
          <w:b/>
        </w:rPr>
      </w:pPr>
    </w:p>
    <w:p w:rsidR="00D340DB" w:rsidRPr="005F0DE0" w:rsidRDefault="00586000" w:rsidP="00AF0591">
      <w:pPr>
        <w:pStyle w:val="Textoindependiente"/>
        <w:spacing w:after="0" w:line="276" w:lineRule="auto"/>
        <w:ind w:firstLine="709"/>
        <w:jc w:val="both"/>
        <w:rPr>
          <w:rFonts w:ascii="Tahoma" w:hAnsi="Tahoma" w:cs="Tahoma"/>
          <w:sz w:val="22"/>
          <w:szCs w:val="22"/>
        </w:rPr>
      </w:pPr>
      <w:r>
        <w:rPr>
          <w:rFonts w:ascii="Tahoma" w:hAnsi="Tahoma" w:cs="Tahoma"/>
          <w:sz w:val="22"/>
          <w:szCs w:val="22"/>
        </w:rPr>
        <w:t>I</w:t>
      </w:r>
      <w:r w:rsidR="00DD0E78" w:rsidRPr="005F0DE0">
        <w:rPr>
          <w:rFonts w:ascii="Tahoma" w:hAnsi="Tahoma" w:cs="Tahoma"/>
          <w:sz w:val="22"/>
          <w:szCs w:val="22"/>
        </w:rPr>
        <w:t xml:space="preserve">ndicó </w:t>
      </w:r>
      <w:r w:rsidR="00744CFF" w:rsidRPr="005F0DE0">
        <w:rPr>
          <w:rFonts w:ascii="Tahoma" w:hAnsi="Tahoma" w:cs="Tahoma"/>
          <w:sz w:val="22"/>
          <w:szCs w:val="22"/>
        </w:rPr>
        <w:t xml:space="preserve">que la solicitud </w:t>
      </w:r>
      <w:r w:rsidR="000E029F" w:rsidRPr="005F0DE0">
        <w:rPr>
          <w:rFonts w:ascii="Tahoma" w:hAnsi="Tahoma" w:cs="Tahoma"/>
          <w:sz w:val="22"/>
          <w:szCs w:val="22"/>
        </w:rPr>
        <w:t>de pensión la</w:t>
      </w:r>
      <w:r w:rsidR="00744CFF" w:rsidRPr="005F0DE0">
        <w:rPr>
          <w:rFonts w:ascii="Tahoma" w:hAnsi="Tahoma" w:cs="Tahoma"/>
          <w:sz w:val="22"/>
          <w:szCs w:val="22"/>
        </w:rPr>
        <w:t xml:space="preserve"> remitió</w:t>
      </w:r>
      <w:r w:rsidR="00157104" w:rsidRPr="005F0DE0">
        <w:rPr>
          <w:rFonts w:ascii="Tahoma" w:hAnsi="Tahoma" w:cs="Tahoma"/>
          <w:sz w:val="22"/>
          <w:szCs w:val="22"/>
        </w:rPr>
        <w:t xml:space="preserve"> a  Fidup</w:t>
      </w:r>
      <w:r w:rsidR="00AF0591">
        <w:rPr>
          <w:rFonts w:ascii="Tahoma" w:hAnsi="Tahoma" w:cs="Tahoma"/>
          <w:sz w:val="22"/>
          <w:szCs w:val="22"/>
        </w:rPr>
        <w:t>re</w:t>
      </w:r>
      <w:r w:rsidR="00157104" w:rsidRPr="005F0DE0">
        <w:rPr>
          <w:rFonts w:ascii="Tahoma" w:hAnsi="Tahoma" w:cs="Tahoma"/>
          <w:sz w:val="22"/>
          <w:szCs w:val="22"/>
        </w:rPr>
        <w:t>visora S.A</w:t>
      </w:r>
      <w:r w:rsidR="00AF0591">
        <w:rPr>
          <w:rFonts w:ascii="Tahoma" w:hAnsi="Tahoma" w:cs="Tahoma"/>
          <w:sz w:val="22"/>
          <w:szCs w:val="22"/>
        </w:rPr>
        <w:t>.,</w:t>
      </w:r>
      <w:r w:rsidR="00937F68" w:rsidRPr="005F0DE0">
        <w:rPr>
          <w:rFonts w:ascii="Tahoma" w:hAnsi="Tahoma" w:cs="Tahoma"/>
          <w:sz w:val="22"/>
          <w:szCs w:val="22"/>
        </w:rPr>
        <w:t xml:space="preserve"> ente encargado de </w:t>
      </w:r>
      <w:r w:rsidR="00CA004B" w:rsidRPr="005F0DE0">
        <w:rPr>
          <w:rFonts w:ascii="Tahoma" w:hAnsi="Tahoma" w:cs="Tahoma"/>
          <w:sz w:val="22"/>
          <w:szCs w:val="22"/>
        </w:rPr>
        <w:t>estudiar si se aprueba o no</w:t>
      </w:r>
      <w:r w:rsidR="000E029F" w:rsidRPr="005F0DE0">
        <w:rPr>
          <w:rFonts w:ascii="Tahoma" w:hAnsi="Tahoma" w:cs="Tahoma"/>
          <w:sz w:val="22"/>
          <w:szCs w:val="22"/>
        </w:rPr>
        <w:t>,</w:t>
      </w:r>
      <w:r w:rsidR="00744CFF" w:rsidRPr="005F0DE0">
        <w:rPr>
          <w:rFonts w:ascii="Tahoma" w:hAnsi="Tahoma" w:cs="Tahoma"/>
          <w:sz w:val="22"/>
          <w:szCs w:val="22"/>
        </w:rPr>
        <w:t xml:space="preserve"> y </w:t>
      </w:r>
      <w:r w:rsidR="00937F68" w:rsidRPr="005F0DE0">
        <w:rPr>
          <w:rFonts w:ascii="Tahoma" w:hAnsi="Tahoma" w:cs="Tahoma"/>
          <w:sz w:val="22"/>
          <w:szCs w:val="22"/>
        </w:rPr>
        <w:t xml:space="preserve">que </w:t>
      </w:r>
      <w:r w:rsidR="00744CFF" w:rsidRPr="005F0DE0">
        <w:rPr>
          <w:rFonts w:ascii="Tahoma" w:hAnsi="Tahoma" w:cs="Tahoma"/>
          <w:sz w:val="22"/>
          <w:szCs w:val="22"/>
        </w:rPr>
        <w:t xml:space="preserve">una vez </w:t>
      </w:r>
      <w:r>
        <w:rPr>
          <w:rFonts w:ascii="Tahoma" w:hAnsi="Tahoma" w:cs="Tahoma"/>
          <w:sz w:val="22"/>
          <w:szCs w:val="22"/>
        </w:rPr>
        <w:t>se a</w:t>
      </w:r>
      <w:r w:rsidR="002A0A90">
        <w:rPr>
          <w:rFonts w:ascii="Tahoma" w:hAnsi="Tahoma" w:cs="Tahoma"/>
          <w:sz w:val="22"/>
          <w:szCs w:val="22"/>
        </w:rPr>
        <w:t>llegó</w:t>
      </w:r>
      <w:r w:rsidR="00744CFF" w:rsidRPr="005F0DE0">
        <w:rPr>
          <w:rFonts w:ascii="Tahoma" w:hAnsi="Tahoma" w:cs="Tahoma"/>
          <w:sz w:val="22"/>
          <w:szCs w:val="22"/>
        </w:rPr>
        <w:t xml:space="preserve"> </w:t>
      </w:r>
      <w:r w:rsidR="00937F68" w:rsidRPr="005F0DE0">
        <w:rPr>
          <w:rFonts w:ascii="Tahoma" w:hAnsi="Tahoma" w:cs="Tahoma"/>
          <w:sz w:val="22"/>
          <w:szCs w:val="22"/>
        </w:rPr>
        <w:t>la respuesta</w:t>
      </w:r>
      <w:r>
        <w:rPr>
          <w:rFonts w:ascii="Tahoma" w:hAnsi="Tahoma" w:cs="Tahoma"/>
          <w:sz w:val="22"/>
          <w:szCs w:val="22"/>
        </w:rPr>
        <w:t xml:space="preserve"> a la secretaria</w:t>
      </w:r>
      <w:r w:rsidR="00937F68" w:rsidRPr="005F0DE0">
        <w:rPr>
          <w:rFonts w:ascii="Tahoma" w:hAnsi="Tahoma" w:cs="Tahoma"/>
          <w:sz w:val="22"/>
          <w:szCs w:val="22"/>
        </w:rPr>
        <w:t>,</w:t>
      </w:r>
      <w:r w:rsidR="00744CFF" w:rsidRPr="005F0DE0">
        <w:rPr>
          <w:rFonts w:ascii="Tahoma" w:hAnsi="Tahoma" w:cs="Tahoma"/>
          <w:sz w:val="22"/>
          <w:szCs w:val="22"/>
        </w:rPr>
        <w:t xml:space="preserve"> elaboró </w:t>
      </w:r>
      <w:r w:rsidR="00937F68" w:rsidRPr="005F0DE0">
        <w:rPr>
          <w:rFonts w:ascii="Tahoma" w:hAnsi="Tahoma" w:cs="Tahoma"/>
          <w:sz w:val="22"/>
          <w:szCs w:val="22"/>
        </w:rPr>
        <w:t xml:space="preserve">el </w:t>
      </w:r>
      <w:r w:rsidR="00744CFF" w:rsidRPr="005F0DE0">
        <w:rPr>
          <w:rFonts w:ascii="Tahoma" w:hAnsi="Tahoma" w:cs="Tahoma"/>
          <w:sz w:val="22"/>
          <w:szCs w:val="22"/>
        </w:rPr>
        <w:t xml:space="preserve">acto </w:t>
      </w:r>
      <w:r w:rsidR="00744CFF" w:rsidRPr="005F0DE0">
        <w:rPr>
          <w:rFonts w:ascii="Tahoma" w:hAnsi="Tahoma" w:cs="Tahoma"/>
          <w:sz w:val="22"/>
          <w:szCs w:val="22"/>
        </w:rPr>
        <w:lastRenderedPageBreak/>
        <w:t>administrativo negando la pensión</w:t>
      </w:r>
      <w:r w:rsidR="00937F68" w:rsidRPr="005F0DE0">
        <w:rPr>
          <w:rFonts w:ascii="Tahoma" w:hAnsi="Tahoma" w:cs="Tahoma"/>
          <w:sz w:val="22"/>
          <w:szCs w:val="22"/>
        </w:rPr>
        <w:t xml:space="preserve"> como lo dispuso la entidad</w:t>
      </w:r>
      <w:r w:rsidR="000B41F8">
        <w:rPr>
          <w:rFonts w:ascii="Tahoma" w:hAnsi="Tahoma" w:cs="Tahoma"/>
          <w:sz w:val="22"/>
          <w:szCs w:val="22"/>
        </w:rPr>
        <w:t>.</w:t>
      </w:r>
      <w:r w:rsidR="00744CFF" w:rsidRPr="005F0DE0">
        <w:rPr>
          <w:rFonts w:ascii="Tahoma" w:hAnsi="Tahoma" w:cs="Tahoma"/>
          <w:sz w:val="22"/>
          <w:szCs w:val="22"/>
        </w:rPr>
        <w:t xml:space="preserve"> </w:t>
      </w:r>
      <w:r w:rsidR="000B41F8" w:rsidRPr="005F0DE0">
        <w:rPr>
          <w:rFonts w:ascii="Tahoma" w:hAnsi="Tahoma" w:cs="Tahoma"/>
          <w:sz w:val="22"/>
          <w:szCs w:val="22"/>
        </w:rPr>
        <w:t>Aclara</w:t>
      </w:r>
      <w:r w:rsidR="00744CFF" w:rsidRPr="005F0DE0">
        <w:rPr>
          <w:rFonts w:ascii="Tahoma" w:hAnsi="Tahoma" w:cs="Tahoma"/>
          <w:sz w:val="22"/>
          <w:szCs w:val="22"/>
        </w:rPr>
        <w:t xml:space="preserve"> que la </w:t>
      </w:r>
      <w:r w:rsidR="000B41F8">
        <w:rPr>
          <w:rFonts w:ascii="Tahoma" w:hAnsi="Tahoma" w:cs="Tahoma"/>
          <w:sz w:val="22"/>
          <w:szCs w:val="22"/>
        </w:rPr>
        <w:t>Secretaria d</w:t>
      </w:r>
      <w:r w:rsidR="000B41F8" w:rsidRPr="005F0DE0">
        <w:rPr>
          <w:rFonts w:ascii="Tahoma" w:hAnsi="Tahoma" w:cs="Tahoma"/>
          <w:sz w:val="22"/>
          <w:szCs w:val="22"/>
        </w:rPr>
        <w:t xml:space="preserve">e Educación </w:t>
      </w:r>
      <w:r w:rsidR="00744CFF" w:rsidRPr="005F0DE0">
        <w:rPr>
          <w:rFonts w:ascii="Tahoma" w:hAnsi="Tahoma" w:cs="Tahoma"/>
          <w:sz w:val="22"/>
          <w:szCs w:val="22"/>
        </w:rPr>
        <w:t>no puede emitir acto administrativo concediendo un</w:t>
      </w:r>
      <w:r w:rsidR="00CD21D4">
        <w:rPr>
          <w:rFonts w:ascii="Tahoma" w:hAnsi="Tahoma" w:cs="Tahoma"/>
          <w:sz w:val="22"/>
          <w:szCs w:val="22"/>
        </w:rPr>
        <w:t>a</w:t>
      </w:r>
      <w:r w:rsidR="00744CFF" w:rsidRPr="005F0DE0">
        <w:rPr>
          <w:rFonts w:ascii="Tahoma" w:hAnsi="Tahoma" w:cs="Tahoma"/>
          <w:sz w:val="22"/>
          <w:szCs w:val="22"/>
        </w:rPr>
        <w:t xml:space="preserve"> prestación que la </w:t>
      </w:r>
      <w:r w:rsidR="00AF0591">
        <w:rPr>
          <w:rFonts w:ascii="Tahoma" w:hAnsi="Tahoma" w:cs="Tahoma"/>
          <w:sz w:val="22"/>
          <w:szCs w:val="22"/>
        </w:rPr>
        <w:t>Fidu</w:t>
      </w:r>
      <w:r w:rsidR="00937F68" w:rsidRPr="005F0DE0">
        <w:rPr>
          <w:rFonts w:ascii="Tahoma" w:hAnsi="Tahoma" w:cs="Tahoma"/>
          <w:sz w:val="22"/>
          <w:szCs w:val="22"/>
        </w:rPr>
        <w:t>p</w:t>
      </w:r>
      <w:r w:rsidR="00AF0591">
        <w:rPr>
          <w:rFonts w:ascii="Tahoma" w:hAnsi="Tahoma" w:cs="Tahoma"/>
          <w:sz w:val="22"/>
          <w:szCs w:val="22"/>
        </w:rPr>
        <w:t>r</w:t>
      </w:r>
      <w:r w:rsidR="00937F68" w:rsidRPr="005F0DE0">
        <w:rPr>
          <w:rFonts w:ascii="Tahoma" w:hAnsi="Tahoma" w:cs="Tahoma"/>
          <w:sz w:val="22"/>
          <w:szCs w:val="22"/>
        </w:rPr>
        <w:t>e</w:t>
      </w:r>
      <w:r w:rsidR="00AF0591">
        <w:rPr>
          <w:rFonts w:ascii="Tahoma" w:hAnsi="Tahoma" w:cs="Tahoma"/>
          <w:sz w:val="22"/>
          <w:szCs w:val="22"/>
        </w:rPr>
        <w:t>v</w:t>
      </w:r>
      <w:r w:rsidR="00937F68" w:rsidRPr="005F0DE0">
        <w:rPr>
          <w:rFonts w:ascii="Tahoma" w:hAnsi="Tahoma" w:cs="Tahoma"/>
          <w:sz w:val="22"/>
          <w:szCs w:val="22"/>
        </w:rPr>
        <w:t>isora</w:t>
      </w:r>
      <w:r w:rsidR="00744CFF" w:rsidRPr="005F0DE0">
        <w:rPr>
          <w:rFonts w:ascii="Tahoma" w:hAnsi="Tahoma" w:cs="Tahoma"/>
          <w:sz w:val="22"/>
          <w:szCs w:val="22"/>
        </w:rPr>
        <w:t xml:space="preserve"> S.A</w:t>
      </w:r>
      <w:r w:rsidR="00AF0591">
        <w:rPr>
          <w:rFonts w:ascii="Tahoma" w:hAnsi="Tahoma" w:cs="Tahoma"/>
          <w:sz w:val="22"/>
          <w:szCs w:val="22"/>
        </w:rPr>
        <w:t>.</w:t>
      </w:r>
      <w:r w:rsidR="00744CFF" w:rsidRPr="005F0DE0">
        <w:rPr>
          <w:rFonts w:ascii="Tahoma" w:hAnsi="Tahoma" w:cs="Tahoma"/>
          <w:sz w:val="22"/>
          <w:szCs w:val="22"/>
        </w:rPr>
        <w:t xml:space="preserve"> haya negado</w:t>
      </w:r>
      <w:r w:rsidR="00937F68" w:rsidRPr="005F0DE0">
        <w:rPr>
          <w:rFonts w:ascii="Tahoma" w:hAnsi="Tahoma" w:cs="Tahoma"/>
          <w:sz w:val="22"/>
          <w:szCs w:val="22"/>
        </w:rPr>
        <w:t>,</w:t>
      </w:r>
      <w:r w:rsidR="00FC2988" w:rsidRPr="005F0DE0">
        <w:rPr>
          <w:rFonts w:ascii="Tahoma" w:hAnsi="Tahoma" w:cs="Tahoma"/>
          <w:sz w:val="22"/>
          <w:szCs w:val="22"/>
        </w:rPr>
        <w:t xml:space="preserve"> por lo que solicitó</w:t>
      </w:r>
      <w:r w:rsidR="00744CFF" w:rsidRPr="005F0DE0">
        <w:rPr>
          <w:rFonts w:ascii="Tahoma" w:hAnsi="Tahoma" w:cs="Tahoma"/>
          <w:sz w:val="22"/>
          <w:szCs w:val="22"/>
        </w:rPr>
        <w:t xml:space="preserve"> se</w:t>
      </w:r>
      <w:r w:rsidR="00FC2988" w:rsidRPr="005F0DE0">
        <w:rPr>
          <w:rFonts w:ascii="Tahoma" w:hAnsi="Tahoma" w:cs="Tahoma"/>
          <w:sz w:val="22"/>
          <w:szCs w:val="22"/>
        </w:rPr>
        <w:t>r</w:t>
      </w:r>
      <w:r w:rsidR="00744CFF" w:rsidRPr="005F0DE0">
        <w:rPr>
          <w:rFonts w:ascii="Tahoma" w:hAnsi="Tahoma" w:cs="Tahoma"/>
          <w:sz w:val="22"/>
          <w:szCs w:val="22"/>
        </w:rPr>
        <w:t xml:space="preserve"> exonerada de toda responsabilidad.</w:t>
      </w:r>
    </w:p>
    <w:p w:rsidR="002F6C76" w:rsidRPr="005F0DE0" w:rsidRDefault="002F6C76" w:rsidP="00AF0591">
      <w:pPr>
        <w:pStyle w:val="Textoindependiente"/>
        <w:spacing w:after="0" w:line="276" w:lineRule="auto"/>
        <w:ind w:firstLine="709"/>
        <w:jc w:val="both"/>
        <w:rPr>
          <w:rFonts w:ascii="Tahoma" w:hAnsi="Tahoma" w:cs="Tahoma"/>
          <w:sz w:val="22"/>
          <w:szCs w:val="22"/>
        </w:rPr>
      </w:pPr>
    </w:p>
    <w:p w:rsidR="002F6C76" w:rsidRPr="005F0DE0" w:rsidRDefault="002F6C76" w:rsidP="00AF0591">
      <w:pPr>
        <w:pStyle w:val="Textoindependiente"/>
        <w:spacing w:after="0" w:line="276" w:lineRule="auto"/>
        <w:ind w:firstLine="708"/>
        <w:jc w:val="both"/>
        <w:rPr>
          <w:rFonts w:ascii="Tahoma" w:hAnsi="Tahoma" w:cs="Tahoma"/>
          <w:b/>
          <w:sz w:val="22"/>
          <w:szCs w:val="22"/>
        </w:rPr>
      </w:pPr>
      <w:r w:rsidRPr="005F0DE0">
        <w:rPr>
          <w:rFonts w:ascii="Tahoma" w:hAnsi="Tahoma" w:cs="Tahoma"/>
          <w:b/>
          <w:sz w:val="22"/>
          <w:szCs w:val="22"/>
        </w:rPr>
        <w:t xml:space="preserve">Ministerio de Educación </w:t>
      </w:r>
    </w:p>
    <w:p w:rsidR="001E4947" w:rsidRPr="005F0DE0" w:rsidRDefault="001E4947" w:rsidP="00AF0591">
      <w:pPr>
        <w:pStyle w:val="Textoindependiente"/>
        <w:spacing w:after="0" w:line="276" w:lineRule="auto"/>
        <w:jc w:val="both"/>
        <w:rPr>
          <w:rFonts w:ascii="Tahoma" w:hAnsi="Tahoma" w:cs="Tahoma"/>
          <w:sz w:val="22"/>
          <w:szCs w:val="22"/>
        </w:rPr>
      </w:pPr>
      <w:r w:rsidRPr="005F0DE0">
        <w:rPr>
          <w:rFonts w:ascii="Tahoma" w:hAnsi="Tahoma" w:cs="Tahoma"/>
          <w:sz w:val="22"/>
          <w:szCs w:val="22"/>
        </w:rPr>
        <w:t xml:space="preserve"> </w:t>
      </w:r>
      <w:r w:rsidRPr="005F0DE0">
        <w:rPr>
          <w:rFonts w:ascii="Tahoma" w:hAnsi="Tahoma" w:cs="Tahoma"/>
          <w:sz w:val="22"/>
          <w:szCs w:val="22"/>
        </w:rPr>
        <w:tab/>
      </w:r>
    </w:p>
    <w:p w:rsidR="001E4947" w:rsidRPr="005F0DE0" w:rsidRDefault="001E4947" w:rsidP="00AF0591">
      <w:pPr>
        <w:pStyle w:val="Textoindependiente"/>
        <w:spacing w:after="0" w:line="276" w:lineRule="auto"/>
        <w:ind w:firstLine="708"/>
        <w:jc w:val="both"/>
        <w:rPr>
          <w:rFonts w:ascii="Tahoma" w:hAnsi="Tahoma" w:cs="Tahoma"/>
          <w:sz w:val="22"/>
          <w:szCs w:val="22"/>
        </w:rPr>
      </w:pPr>
      <w:r w:rsidRPr="005F0DE0">
        <w:rPr>
          <w:rFonts w:ascii="Tahoma" w:hAnsi="Tahoma" w:cs="Tahoma"/>
          <w:sz w:val="22"/>
          <w:szCs w:val="22"/>
        </w:rPr>
        <w:t>E</w:t>
      </w:r>
      <w:r w:rsidR="0021592F" w:rsidRPr="005F0DE0">
        <w:rPr>
          <w:rFonts w:ascii="Tahoma" w:hAnsi="Tahoma" w:cs="Tahoma"/>
          <w:sz w:val="22"/>
          <w:szCs w:val="22"/>
        </w:rPr>
        <w:t xml:space="preserve">l </w:t>
      </w:r>
      <w:r w:rsidR="00F81246">
        <w:rPr>
          <w:rFonts w:ascii="Tahoma" w:hAnsi="Tahoma" w:cs="Tahoma"/>
          <w:sz w:val="22"/>
          <w:szCs w:val="22"/>
        </w:rPr>
        <w:t>Ministerio d</w:t>
      </w:r>
      <w:r w:rsidR="00F81246" w:rsidRPr="005F0DE0">
        <w:rPr>
          <w:rFonts w:ascii="Tahoma" w:hAnsi="Tahoma" w:cs="Tahoma"/>
          <w:sz w:val="22"/>
          <w:szCs w:val="22"/>
        </w:rPr>
        <w:t xml:space="preserve">e Educación </w:t>
      </w:r>
      <w:r w:rsidR="0021592F" w:rsidRPr="005F0DE0">
        <w:rPr>
          <w:rFonts w:ascii="Tahoma" w:hAnsi="Tahoma" w:cs="Tahoma"/>
          <w:sz w:val="22"/>
          <w:szCs w:val="22"/>
        </w:rPr>
        <w:t>indicó</w:t>
      </w:r>
      <w:r w:rsidRPr="005F0DE0">
        <w:rPr>
          <w:rFonts w:ascii="Tahoma" w:hAnsi="Tahoma" w:cs="Tahoma"/>
          <w:sz w:val="22"/>
          <w:szCs w:val="22"/>
        </w:rPr>
        <w:t xml:space="preserve"> que no fue radicada la solicitud de pensión</w:t>
      </w:r>
      <w:r w:rsidR="0021592F" w:rsidRPr="005F0DE0">
        <w:rPr>
          <w:rFonts w:ascii="Tahoma" w:hAnsi="Tahoma" w:cs="Tahoma"/>
          <w:sz w:val="22"/>
          <w:szCs w:val="22"/>
        </w:rPr>
        <w:t xml:space="preserve"> en sus instalaciones</w:t>
      </w:r>
      <w:r w:rsidR="004660A2" w:rsidRPr="005F0DE0">
        <w:rPr>
          <w:rFonts w:ascii="Tahoma" w:hAnsi="Tahoma" w:cs="Tahoma"/>
          <w:sz w:val="22"/>
          <w:szCs w:val="22"/>
        </w:rPr>
        <w:t xml:space="preserve"> y</w:t>
      </w:r>
      <w:r w:rsidR="0021592F" w:rsidRPr="005F0DE0">
        <w:rPr>
          <w:rFonts w:ascii="Tahoma" w:hAnsi="Tahoma" w:cs="Tahoma"/>
          <w:sz w:val="22"/>
          <w:szCs w:val="22"/>
        </w:rPr>
        <w:t xml:space="preserve"> que </w:t>
      </w:r>
      <w:r w:rsidRPr="005F0DE0">
        <w:rPr>
          <w:rFonts w:ascii="Tahoma" w:hAnsi="Tahoma" w:cs="Tahoma"/>
          <w:sz w:val="22"/>
          <w:szCs w:val="22"/>
        </w:rPr>
        <w:t xml:space="preserve">no </w:t>
      </w:r>
      <w:r w:rsidR="004660A2" w:rsidRPr="005F0DE0">
        <w:rPr>
          <w:rFonts w:ascii="Tahoma" w:hAnsi="Tahoma" w:cs="Tahoma"/>
          <w:sz w:val="22"/>
          <w:szCs w:val="22"/>
        </w:rPr>
        <w:t>es</w:t>
      </w:r>
      <w:r w:rsidRPr="005F0DE0">
        <w:rPr>
          <w:rFonts w:ascii="Tahoma" w:hAnsi="Tahoma" w:cs="Tahoma"/>
          <w:sz w:val="22"/>
          <w:szCs w:val="22"/>
        </w:rPr>
        <w:t xml:space="preserve"> viable </w:t>
      </w:r>
      <w:r w:rsidR="0021592F" w:rsidRPr="005F0DE0">
        <w:rPr>
          <w:rFonts w:ascii="Tahoma" w:hAnsi="Tahoma" w:cs="Tahoma"/>
          <w:sz w:val="22"/>
          <w:szCs w:val="22"/>
        </w:rPr>
        <w:t>que en</w:t>
      </w:r>
      <w:r w:rsidRPr="005F0DE0">
        <w:rPr>
          <w:rFonts w:ascii="Tahoma" w:hAnsi="Tahoma" w:cs="Tahoma"/>
          <w:sz w:val="22"/>
          <w:szCs w:val="22"/>
        </w:rPr>
        <w:t xml:space="preserve"> una eventual sentencia </w:t>
      </w:r>
      <w:r w:rsidR="004660A2" w:rsidRPr="005F0DE0">
        <w:rPr>
          <w:rFonts w:ascii="Tahoma" w:hAnsi="Tahoma" w:cs="Tahoma"/>
          <w:sz w:val="22"/>
          <w:szCs w:val="22"/>
        </w:rPr>
        <w:t xml:space="preserve">le </w:t>
      </w:r>
      <w:r w:rsidRPr="005F0DE0">
        <w:rPr>
          <w:rFonts w:ascii="Tahoma" w:hAnsi="Tahoma" w:cs="Tahoma"/>
          <w:sz w:val="22"/>
          <w:szCs w:val="22"/>
        </w:rPr>
        <w:t>imponga</w:t>
      </w:r>
      <w:r w:rsidR="0021592F" w:rsidRPr="005F0DE0">
        <w:rPr>
          <w:rFonts w:ascii="Tahoma" w:hAnsi="Tahoma" w:cs="Tahoma"/>
          <w:sz w:val="22"/>
          <w:szCs w:val="22"/>
        </w:rPr>
        <w:t>n</w:t>
      </w:r>
      <w:r w:rsidRPr="005F0DE0">
        <w:rPr>
          <w:rFonts w:ascii="Tahoma" w:hAnsi="Tahoma" w:cs="Tahoma"/>
          <w:sz w:val="22"/>
          <w:szCs w:val="22"/>
        </w:rPr>
        <w:t xml:space="preserve"> la obligación de dar contestación al requerimiento, máxime cuando esta entidad  no es competente para expedir actos administrativos de reconocimiento y pago de prestaciones sociales a los docentes</w:t>
      </w:r>
      <w:r w:rsidR="004660A2" w:rsidRPr="005F0DE0">
        <w:rPr>
          <w:rFonts w:ascii="Tahoma" w:hAnsi="Tahoma" w:cs="Tahoma"/>
          <w:sz w:val="22"/>
          <w:szCs w:val="22"/>
        </w:rPr>
        <w:t>, p</w:t>
      </w:r>
      <w:r w:rsidR="00512BAA" w:rsidRPr="005F0DE0">
        <w:rPr>
          <w:rFonts w:ascii="Tahoma" w:hAnsi="Tahoma" w:cs="Tahoma"/>
          <w:sz w:val="22"/>
          <w:szCs w:val="22"/>
        </w:rPr>
        <w:t xml:space="preserve">orque </w:t>
      </w:r>
      <w:r w:rsidR="004660A2" w:rsidRPr="005F0DE0">
        <w:rPr>
          <w:rFonts w:ascii="Tahoma" w:hAnsi="Tahoma" w:cs="Tahoma"/>
          <w:sz w:val="22"/>
          <w:szCs w:val="22"/>
        </w:rPr>
        <w:t>la que tiene esta facultad es</w:t>
      </w:r>
      <w:r w:rsidR="006F0B94" w:rsidRPr="005F0DE0">
        <w:rPr>
          <w:rFonts w:ascii="Tahoma" w:hAnsi="Tahoma" w:cs="Tahoma"/>
          <w:sz w:val="22"/>
          <w:szCs w:val="22"/>
        </w:rPr>
        <w:t xml:space="preserve"> la </w:t>
      </w:r>
      <w:r w:rsidR="00F81246">
        <w:rPr>
          <w:rFonts w:ascii="Tahoma" w:hAnsi="Tahoma" w:cs="Tahoma"/>
          <w:sz w:val="22"/>
          <w:szCs w:val="22"/>
        </w:rPr>
        <w:t>Secretaria d</w:t>
      </w:r>
      <w:r w:rsidR="00F81246" w:rsidRPr="005F0DE0">
        <w:rPr>
          <w:rFonts w:ascii="Tahoma" w:hAnsi="Tahoma" w:cs="Tahoma"/>
          <w:sz w:val="22"/>
          <w:szCs w:val="22"/>
        </w:rPr>
        <w:t xml:space="preserve">e Educación </w:t>
      </w:r>
      <w:r w:rsidR="006F0B94" w:rsidRPr="005F0DE0">
        <w:rPr>
          <w:rFonts w:ascii="Tahoma" w:hAnsi="Tahoma" w:cs="Tahoma"/>
          <w:sz w:val="22"/>
          <w:szCs w:val="22"/>
        </w:rPr>
        <w:t>de la entidad territorial correspondiente, a la que se</w:t>
      </w:r>
      <w:r w:rsidR="00744CFF" w:rsidRPr="005F0DE0">
        <w:rPr>
          <w:rFonts w:ascii="Tahoma" w:hAnsi="Tahoma" w:cs="Tahoma"/>
          <w:sz w:val="22"/>
          <w:szCs w:val="22"/>
        </w:rPr>
        <w:t xml:space="preserve"> enc</w:t>
      </w:r>
      <w:r w:rsidR="00F81246">
        <w:rPr>
          <w:rFonts w:ascii="Tahoma" w:hAnsi="Tahoma" w:cs="Tahoma"/>
          <w:sz w:val="22"/>
          <w:szCs w:val="22"/>
        </w:rPr>
        <w:t xml:space="preserve">uentre vinculado el docente y </w:t>
      </w:r>
      <w:r w:rsidR="00744CFF" w:rsidRPr="005F0DE0">
        <w:rPr>
          <w:rFonts w:ascii="Tahoma" w:hAnsi="Tahoma" w:cs="Tahoma"/>
          <w:sz w:val="22"/>
          <w:szCs w:val="22"/>
        </w:rPr>
        <w:t xml:space="preserve"> la fiduciaria que administre el fondo</w:t>
      </w:r>
      <w:r w:rsidR="00512BAA" w:rsidRPr="005F0DE0">
        <w:rPr>
          <w:rFonts w:ascii="Tahoma" w:hAnsi="Tahoma" w:cs="Tahoma"/>
          <w:sz w:val="22"/>
          <w:szCs w:val="22"/>
        </w:rPr>
        <w:t>.</w:t>
      </w:r>
    </w:p>
    <w:p w:rsidR="00512BAA" w:rsidRPr="005F0DE0" w:rsidRDefault="00512BAA" w:rsidP="00AF0591">
      <w:pPr>
        <w:pStyle w:val="Textoindependiente"/>
        <w:spacing w:after="0" w:line="276" w:lineRule="auto"/>
        <w:ind w:firstLine="708"/>
        <w:jc w:val="both"/>
        <w:rPr>
          <w:rFonts w:ascii="Tahoma" w:hAnsi="Tahoma" w:cs="Tahoma"/>
          <w:sz w:val="22"/>
          <w:szCs w:val="22"/>
        </w:rPr>
      </w:pPr>
    </w:p>
    <w:p w:rsidR="004B6FF3" w:rsidRDefault="006F0B94" w:rsidP="00AF0591">
      <w:pPr>
        <w:pStyle w:val="Textoindependiente"/>
        <w:spacing w:after="0" w:line="276" w:lineRule="auto"/>
        <w:ind w:firstLine="708"/>
        <w:jc w:val="both"/>
        <w:rPr>
          <w:rFonts w:ascii="Tahoma" w:hAnsi="Tahoma" w:cs="Tahoma"/>
          <w:sz w:val="22"/>
          <w:szCs w:val="22"/>
        </w:rPr>
      </w:pPr>
      <w:r w:rsidRPr="005F0DE0">
        <w:rPr>
          <w:rFonts w:ascii="Tahoma" w:hAnsi="Tahoma" w:cs="Tahoma"/>
          <w:sz w:val="22"/>
          <w:szCs w:val="22"/>
        </w:rPr>
        <w:t>Solicit</w:t>
      </w:r>
      <w:r w:rsidR="00FC2988" w:rsidRPr="005F0DE0">
        <w:rPr>
          <w:rFonts w:ascii="Tahoma" w:hAnsi="Tahoma" w:cs="Tahoma"/>
          <w:sz w:val="22"/>
          <w:szCs w:val="22"/>
        </w:rPr>
        <w:t>ó</w:t>
      </w:r>
      <w:r w:rsidRPr="005F0DE0">
        <w:rPr>
          <w:rFonts w:ascii="Tahoma" w:hAnsi="Tahoma" w:cs="Tahoma"/>
          <w:sz w:val="22"/>
          <w:szCs w:val="22"/>
        </w:rPr>
        <w:t xml:space="preserve"> se le desvincule por no estar desconociendo ni vulnerando derecho fundamental alguno.</w:t>
      </w:r>
    </w:p>
    <w:p w:rsidR="005F0DE0" w:rsidRPr="005F0DE0" w:rsidRDefault="005F0DE0" w:rsidP="00AF0591">
      <w:pPr>
        <w:pStyle w:val="Textoindependiente"/>
        <w:spacing w:after="0" w:line="276" w:lineRule="auto"/>
        <w:ind w:firstLine="708"/>
        <w:jc w:val="both"/>
        <w:rPr>
          <w:rFonts w:ascii="Tahoma" w:hAnsi="Tahoma" w:cs="Tahoma"/>
          <w:sz w:val="22"/>
          <w:szCs w:val="22"/>
        </w:rPr>
      </w:pPr>
    </w:p>
    <w:p w:rsidR="00F442D1" w:rsidRPr="005F0DE0" w:rsidRDefault="002F6C76" w:rsidP="00AF0591">
      <w:pPr>
        <w:pStyle w:val="Textoindependiente"/>
        <w:spacing w:after="0" w:line="276" w:lineRule="auto"/>
        <w:ind w:firstLine="708"/>
        <w:jc w:val="both"/>
        <w:rPr>
          <w:rFonts w:ascii="Tahoma" w:hAnsi="Tahoma" w:cs="Tahoma"/>
          <w:sz w:val="22"/>
          <w:szCs w:val="22"/>
        </w:rPr>
      </w:pPr>
      <w:r w:rsidRPr="005F0DE0">
        <w:rPr>
          <w:rFonts w:ascii="Tahoma" w:hAnsi="Tahoma" w:cs="Tahoma"/>
          <w:b/>
          <w:sz w:val="22"/>
          <w:szCs w:val="22"/>
        </w:rPr>
        <w:t xml:space="preserve">Fiduprevisora </w:t>
      </w:r>
    </w:p>
    <w:p w:rsidR="001E4947" w:rsidRPr="005F0DE0" w:rsidRDefault="001E4947" w:rsidP="00AF0591">
      <w:pPr>
        <w:pStyle w:val="Textoindependiente"/>
        <w:spacing w:after="0" w:line="276" w:lineRule="auto"/>
        <w:ind w:firstLine="708"/>
        <w:jc w:val="both"/>
        <w:rPr>
          <w:rFonts w:ascii="Tahoma" w:hAnsi="Tahoma" w:cs="Tahoma"/>
          <w:sz w:val="22"/>
          <w:szCs w:val="22"/>
        </w:rPr>
      </w:pPr>
    </w:p>
    <w:p w:rsidR="00F442D1" w:rsidRDefault="00C34A88" w:rsidP="00AF0591">
      <w:pPr>
        <w:pStyle w:val="Textoindependiente"/>
        <w:spacing w:after="0" w:line="276" w:lineRule="auto"/>
        <w:ind w:firstLine="708"/>
        <w:jc w:val="both"/>
        <w:rPr>
          <w:rFonts w:ascii="Tahoma" w:hAnsi="Tahoma" w:cs="Tahoma"/>
          <w:sz w:val="22"/>
          <w:szCs w:val="22"/>
        </w:rPr>
      </w:pPr>
      <w:r>
        <w:rPr>
          <w:rFonts w:ascii="Tahoma" w:hAnsi="Tahoma" w:cs="Tahoma"/>
          <w:sz w:val="22"/>
          <w:szCs w:val="22"/>
        </w:rPr>
        <w:t>I</w:t>
      </w:r>
      <w:r w:rsidR="00F442D1" w:rsidRPr="005F0DE0">
        <w:rPr>
          <w:rFonts w:ascii="Tahoma" w:hAnsi="Tahoma" w:cs="Tahoma"/>
          <w:sz w:val="22"/>
          <w:szCs w:val="22"/>
        </w:rPr>
        <w:t xml:space="preserve">ndicó que </w:t>
      </w:r>
      <w:r>
        <w:rPr>
          <w:rFonts w:ascii="Tahoma" w:hAnsi="Tahoma" w:cs="Tahoma"/>
          <w:sz w:val="22"/>
          <w:szCs w:val="22"/>
        </w:rPr>
        <w:t>tiene</w:t>
      </w:r>
      <w:r w:rsidR="00F442D1" w:rsidRPr="005F0DE0">
        <w:rPr>
          <w:rFonts w:ascii="Tahoma" w:hAnsi="Tahoma" w:cs="Tahoma"/>
          <w:sz w:val="22"/>
          <w:szCs w:val="22"/>
        </w:rPr>
        <w:t xml:space="preserve"> </w:t>
      </w:r>
      <w:r w:rsidR="004B6FF3" w:rsidRPr="005F0DE0">
        <w:rPr>
          <w:rFonts w:ascii="Tahoma" w:hAnsi="Tahoma" w:cs="Tahoma"/>
          <w:sz w:val="22"/>
          <w:szCs w:val="22"/>
        </w:rPr>
        <w:t xml:space="preserve">la </w:t>
      </w:r>
      <w:r w:rsidR="00F442D1" w:rsidRPr="005F0DE0">
        <w:rPr>
          <w:rFonts w:ascii="Tahoma" w:hAnsi="Tahoma" w:cs="Tahoma"/>
          <w:sz w:val="22"/>
          <w:szCs w:val="22"/>
        </w:rPr>
        <w:t>calidad de vocera y administradora del Fondo Nacional de Prestaciones Sociales del Magisterio y</w:t>
      </w:r>
      <w:r w:rsidR="004B6FF3" w:rsidRPr="005F0DE0">
        <w:rPr>
          <w:rFonts w:ascii="Tahoma" w:hAnsi="Tahoma" w:cs="Tahoma"/>
          <w:sz w:val="22"/>
          <w:szCs w:val="22"/>
        </w:rPr>
        <w:t xml:space="preserve"> que</w:t>
      </w:r>
      <w:r w:rsidR="00F442D1" w:rsidRPr="005F0DE0">
        <w:rPr>
          <w:rFonts w:ascii="Tahoma" w:hAnsi="Tahoma" w:cs="Tahoma"/>
          <w:sz w:val="22"/>
          <w:szCs w:val="22"/>
        </w:rPr>
        <w:t xml:space="preserve"> </w:t>
      </w:r>
      <w:r>
        <w:rPr>
          <w:rFonts w:ascii="Tahoma" w:hAnsi="Tahoma" w:cs="Tahoma"/>
          <w:sz w:val="22"/>
          <w:szCs w:val="22"/>
        </w:rPr>
        <w:t xml:space="preserve">carece de </w:t>
      </w:r>
      <w:r w:rsidR="00F442D1" w:rsidRPr="005F0DE0">
        <w:rPr>
          <w:rFonts w:ascii="Tahoma" w:hAnsi="Tahoma" w:cs="Tahoma"/>
          <w:sz w:val="22"/>
          <w:szCs w:val="22"/>
        </w:rPr>
        <w:t>competencia para expedir actos administrativos de reconocimie</w:t>
      </w:r>
      <w:r>
        <w:rPr>
          <w:rFonts w:ascii="Tahoma" w:hAnsi="Tahoma" w:cs="Tahoma"/>
          <w:sz w:val="22"/>
          <w:szCs w:val="22"/>
        </w:rPr>
        <w:t>nto de prestaciones económicas a</w:t>
      </w:r>
      <w:r w:rsidR="00F442D1" w:rsidRPr="005F0DE0">
        <w:rPr>
          <w:rFonts w:ascii="Tahoma" w:hAnsi="Tahoma" w:cs="Tahoma"/>
          <w:sz w:val="22"/>
          <w:szCs w:val="22"/>
        </w:rPr>
        <w:t xml:space="preserve"> los docentes afiliados al FOMAG</w:t>
      </w:r>
      <w:r>
        <w:rPr>
          <w:rFonts w:ascii="Tahoma" w:hAnsi="Tahoma" w:cs="Tahoma"/>
          <w:sz w:val="22"/>
          <w:szCs w:val="22"/>
        </w:rPr>
        <w:t>;</w:t>
      </w:r>
      <w:r w:rsidR="00512BAA" w:rsidRPr="005F0DE0">
        <w:rPr>
          <w:rFonts w:ascii="Tahoma" w:hAnsi="Tahoma" w:cs="Tahoma"/>
          <w:sz w:val="22"/>
          <w:szCs w:val="22"/>
        </w:rPr>
        <w:t xml:space="preserve"> que </w:t>
      </w:r>
      <w:r w:rsidR="00F442D1" w:rsidRPr="005F0DE0">
        <w:rPr>
          <w:rFonts w:ascii="Tahoma" w:hAnsi="Tahoma" w:cs="Tahoma"/>
          <w:sz w:val="22"/>
          <w:szCs w:val="22"/>
        </w:rPr>
        <w:t>sus funciones son aprobar los proyectos de acto administrativo expedidos por las secretarias de educación verificando que se cumplan los requisitos legales para el reconocimiento de las prestacio</w:t>
      </w:r>
      <w:r w:rsidR="004B6FF3" w:rsidRPr="005F0DE0">
        <w:rPr>
          <w:rFonts w:ascii="Tahoma" w:hAnsi="Tahoma" w:cs="Tahoma"/>
          <w:sz w:val="22"/>
          <w:szCs w:val="22"/>
        </w:rPr>
        <w:t>nes sociales solicitadas, p</w:t>
      </w:r>
      <w:r w:rsidR="00FB2507" w:rsidRPr="005F0DE0">
        <w:rPr>
          <w:rFonts w:ascii="Tahoma" w:hAnsi="Tahoma" w:cs="Tahoma"/>
          <w:sz w:val="22"/>
          <w:szCs w:val="22"/>
        </w:rPr>
        <w:t xml:space="preserve">or lo que </w:t>
      </w:r>
      <w:r w:rsidR="004B6FF3" w:rsidRPr="005F0DE0">
        <w:rPr>
          <w:rFonts w:ascii="Tahoma" w:hAnsi="Tahoma" w:cs="Tahoma"/>
          <w:sz w:val="22"/>
          <w:szCs w:val="22"/>
        </w:rPr>
        <w:t>no emitieron</w:t>
      </w:r>
      <w:r w:rsidR="00FB2507" w:rsidRPr="005F0DE0">
        <w:rPr>
          <w:rFonts w:ascii="Tahoma" w:hAnsi="Tahoma" w:cs="Tahoma"/>
          <w:sz w:val="22"/>
          <w:szCs w:val="22"/>
        </w:rPr>
        <w:t xml:space="preserve"> los actos administrativos </w:t>
      </w:r>
      <w:r w:rsidR="004B6FF3" w:rsidRPr="005F0DE0">
        <w:rPr>
          <w:rFonts w:ascii="Tahoma" w:hAnsi="Tahoma" w:cs="Tahoma"/>
          <w:sz w:val="22"/>
          <w:szCs w:val="22"/>
        </w:rPr>
        <w:t>con los que el accionante considera vulnerados</w:t>
      </w:r>
      <w:r w:rsidR="00FB2507" w:rsidRPr="005F0DE0">
        <w:rPr>
          <w:rFonts w:ascii="Tahoma" w:hAnsi="Tahoma" w:cs="Tahoma"/>
          <w:sz w:val="22"/>
          <w:szCs w:val="22"/>
        </w:rPr>
        <w:t xml:space="preserve"> sus derechos fundamentales</w:t>
      </w:r>
      <w:r w:rsidR="00512BAA" w:rsidRPr="005F0DE0">
        <w:rPr>
          <w:rFonts w:ascii="Tahoma" w:hAnsi="Tahoma" w:cs="Tahoma"/>
          <w:sz w:val="22"/>
          <w:szCs w:val="22"/>
        </w:rPr>
        <w:t>,</w:t>
      </w:r>
      <w:r w:rsidR="00FB2507" w:rsidRPr="005F0DE0">
        <w:rPr>
          <w:rFonts w:ascii="Tahoma" w:hAnsi="Tahoma" w:cs="Tahoma"/>
          <w:sz w:val="22"/>
          <w:szCs w:val="22"/>
        </w:rPr>
        <w:t xml:space="preserve">  concluye</w:t>
      </w:r>
      <w:r w:rsidR="00512BAA" w:rsidRPr="005F0DE0">
        <w:rPr>
          <w:rFonts w:ascii="Tahoma" w:hAnsi="Tahoma" w:cs="Tahoma"/>
          <w:sz w:val="22"/>
          <w:szCs w:val="22"/>
        </w:rPr>
        <w:t>n</w:t>
      </w:r>
      <w:r w:rsidR="00FB2507" w:rsidRPr="005F0DE0">
        <w:rPr>
          <w:rFonts w:ascii="Tahoma" w:hAnsi="Tahoma" w:cs="Tahoma"/>
          <w:sz w:val="22"/>
          <w:szCs w:val="22"/>
        </w:rPr>
        <w:t xml:space="preserve"> que </w:t>
      </w:r>
      <w:r w:rsidR="00F16DA6" w:rsidRPr="005F0DE0">
        <w:rPr>
          <w:rFonts w:ascii="Tahoma" w:hAnsi="Tahoma" w:cs="Tahoma"/>
          <w:sz w:val="22"/>
          <w:szCs w:val="22"/>
        </w:rPr>
        <w:t xml:space="preserve">la </w:t>
      </w:r>
      <w:r w:rsidR="004123D8" w:rsidRPr="005F0DE0">
        <w:rPr>
          <w:rFonts w:ascii="Tahoma" w:hAnsi="Tahoma" w:cs="Tahoma"/>
          <w:sz w:val="22"/>
          <w:szCs w:val="22"/>
        </w:rPr>
        <w:t xml:space="preserve">Fiduprevisora </w:t>
      </w:r>
      <w:r w:rsidR="00FB2507" w:rsidRPr="005F0DE0">
        <w:rPr>
          <w:rFonts w:ascii="Tahoma" w:hAnsi="Tahoma" w:cs="Tahoma"/>
          <w:sz w:val="22"/>
          <w:szCs w:val="22"/>
        </w:rPr>
        <w:t>no está legitimada en la causa para dar trámite a las pretensiones hechas en el escrito de tutela.</w:t>
      </w:r>
    </w:p>
    <w:p w:rsidR="00AF0591" w:rsidRPr="005F0DE0" w:rsidRDefault="00AF0591" w:rsidP="00AF0591">
      <w:pPr>
        <w:pStyle w:val="Textoindependiente"/>
        <w:spacing w:after="0" w:line="276" w:lineRule="auto"/>
        <w:ind w:firstLine="708"/>
        <w:jc w:val="both"/>
        <w:rPr>
          <w:rFonts w:ascii="Tahoma" w:hAnsi="Tahoma" w:cs="Tahoma"/>
          <w:sz w:val="22"/>
          <w:szCs w:val="22"/>
        </w:rPr>
      </w:pPr>
    </w:p>
    <w:p w:rsidR="00F442D1" w:rsidRDefault="00F16DA6" w:rsidP="00AF0591">
      <w:pPr>
        <w:pStyle w:val="Textoindependiente"/>
        <w:spacing w:after="0" w:line="276" w:lineRule="auto"/>
        <w:ind w:firstLine="708"/>
        <w:jc w:val="both"/>
        <w:rPr>
          <w:rFonts w:ascii="Tahoma" w:hAnsi="Tahoma" w:cs="Tahoma"/>
          <w:sz w:val="22"/>
          <w:szCs w:val="22"/>
        </w:rPr>
      </w:pPr>
      <w:r w:rsidRPr="005F0DE0">
        <w:rPr>
          <w:rFonts w:ascii="Tahoma" w:hAnsi="Tahoma" w:cs="Tahoma"/>
          <w:sz w:val="22"/>
          <w:szCs w:val="22"/>
        </w:rPr>
        <w:t>Adujo</w:t>
      </w:r>
      <w:r w:rsidR="00FB2507" w:rsidRPr="005F0DE0">
        <w:rPr>
          <w:rFonts w:ascii="Tahoma" w:hAnsi="Tahoma" w:cs="Tahoma"/>
          <w:sz w:val="22"/>
          <w:szCs w:val="22"/>
        </w:rPr>
        <w:t xml:space="preserve"> que encuentra </w:t>
      </w:r>
      <w:r w:rsidR="001E4947" w:rsidRPr="005F0DE0">
        <w:rPr>
          <w:rFonts w:ascii="Tahoma" w:hAnsi="Tahoma" w:cs="Tahoma"/>
          <w:sz w:val="22"/>
          <w:szCs w:val="22"/>
        </w:rPr>
        <w:t>improcedente</w:t>
      </w:r>
      <w:r w:rsidR="00FB2507" w:rsidRPr="005F0DE0">
        <w:rPr>
          <w:rFonts w:ascii="Tahoma" w:hAnsi="Tahoma" w:cs="Tahoma"/>
          <w:sz w:val="22"/>
          <w:szCs w:val="22"/>
        </w:rPr>
        <w:t xml:space="preserve"> la </w:t>
      </w:r>
      <w:r w:rsidR="001E4947" w:rsidRPr="005F0DE0">
        <w:rPr>
          <w:rFonts w:ascii="Tahoma" w:hAnsi="Tahoma" w:cs="Tahoma"/>
          <w:sz w:val="22"/>
          <w:szCs w:val="22"/>
        </w:rPr>
        <w:t>acción</w:t>
      </w:r>
      <w:r w:rsidR="00FB2507" w:rsidRPr="005F0DE0">
        <w:rPr>
          <w:rFonts w:ascii="Tahoma" w:hAnsi="Tahoma" w:cs="Tahoma"/>
          <w:sz w:val="22"/>
          <w:szCs w:val="22"/>
        </w:rPr>
        <w:t xml:space="preserve"> de tutela en el caso ya que no se evidencia un perjuicio irremediable </w:t>
      </w:r>
      <w:r w:rsidR="001E4947" w:rsidRPr="005F0DE0">
        <w:rPr>
          <w:rFonts w:ascii="Tahoma" w:hAnsi="Tahoma" w:cs="Tahoma"/>
          <w:sz w:val="22"/>
          <w:szCs w:val="22"/>
        </w:rPr>
        <w:t xml:space="preserve">al accionante </w:t>
      </w:r>
      <w:r w:rsidR="00FB2507" w:rsidRPr="005F0DE0">
        <w:rPr>
          <w:rFonts w:ascii="Tahoma" w:hAnsi="Tahoma" w:cs="Tahoma"/>
          <w:sz w:val="22"/>
          <w:szCs w:val="22"/>
        </w:rPr>
        <w:t xml:space="preserve">por lo que no </w:t>
      </w:r>
      <w:r w:rsidRPr="005F0DE0">
        <w:rPr>
          <w:rFonts w:ascii="Tahoma" w:hAnsi="Tahoma" w:cs="Tahoma"/>
          <w:sz w:val="22"/>
          <w:szCs w:val="22"/>
        </w:rPr>
        <w:t>considera</w:t>
      </w:r>
      <w:r w:rsidR="004123D8" w:rsidRPr="005F0DE0">
        <w:rPr>
          <w:rFonts w:ascii="Tahoma" w:hAnsi="Tahoma" w:cs="Tahoma"/>
          <w:sz w:val="22"/>
          <w:szCs w:val="22"/>
        </w:rPr>
        <w:t xml:space="preserve"> que sea</w:t>
      </w:r>
      <w:r w:rsidR="00FB2507" w:rsidRPr="005F0DE0">
        <w:rPr>
          <w:rFonts w:ascii="Tahoma" w:hAnsi="Tahoma" w:cs="Tahoma"/>
          <w:sz w:val="22"/>
          <w:szCs w:val="22"/>
        </w:rPr>
        <w:t xml:space="preserve"> el mecanismo idóneo para controvertir actos administrativos ni para el reconocimiento de prestaciones sociales</w:t>
      </w:r>
      <w:r w:rsidR="004123D8" w:rsidRPr="005F0DE0">
        <w:rPr>
          <w:rFonts w:ascii="Tahoma" w:hAnsi="Tahoma" w:cs="Tahoma"/>
          <w:sz w:val="22"/>
          <w:szCs w:val="22"/>
        </w:rPr>
        <w:t>,</w:t>
      </w:r>
      <w:r w:rsidR="00FB2507" w:rsidRPr="005F0DE0">
        <w:rPr>
          <w:rFonts w:ascii="Tahoma" w:hAnsi="Tahoma" w:cs="Tahoma"/>
          <w:sz w:val="22"/>
          <w:szCs w:val="22"/>
        </w:rPr>
        <w:t xml:space="preserve"> pues</w:t>
      </w:r>
      <w:r w:rsidRPr="005F0DE0">
        <w:rPr>
          <w:rFonts w:ascii="Tahoma" w:hAnsi="Tahoma" w:cs="Tahoma"/>
          <w:sz w:val="22"/>
          <w:szCs w:val="22"/>
        </w:rPr>
        <w:t xml:space="preserve"> el accionante</w:t>
      </w:r>
      <w:r w:rsidR="00FB2507" w:rsidRPr="005F0DE0">
        <w:rPr>
          <w:rFonts w:ascii="Tahoma" w:hAnsi="Tahoma" w:cs="Tahoma"/>
          <w:sz w:val="22"/>
          <w:szCs w:val="22"/>
        </w:rPr>
        <w:t xml:space="preserve"> </w:t>
      </w:r>
      <w:r w:rsidRPr="005F0DE0">
        <w:rPr>
          <w:rFonts w:ascii="Tahoma" w:hAnsi="Tahoma" w:cs="Tahoma"/>
          <w:sz w:val="22"/>
          <w:szCs w:val="22"/>
        </w:rPr>
        <w:t>cuenta con</w:t>
      </w:r>
      <w:r w:rsidR="001E4947" w:rsidRPr="005F0DE0">
        <w:rPr>
          <w:rFonts w:ascii="Tahoma" w:hAnsi="Tahoma" w:cs="Tahoma"/>
          <w:sz w:val="22"/>
          <w:szCs w:val="22"/>
        </w:rPr>
        <w:t xml:space="preserve"> un mecanismo expedito diferente para la protección de los derechos que considera vulnerados.</w:t>
      </w:r>
    </w:p>
    <w:p w:rsidR="00D340DB" w:rsidRPr="005F0DE0" w:rsidRDefault="00D340DB" w:rsidP="00AF0591">
      <w:pPr>
        <w:pStyle w:val="Sinespaciado"/>
        <w:spacing w:line="276" w:lineRule="auto"/>
        <w:jc w:val="both"/>
        <w:rPr>
          <w:rFonts w:ascii="Tahoma" w:hAnsi="Tahoma" w:cs="Tahoma"/>
        </w:rPr>
      </w:pPr>
    </w:p>
    <w:p w:rsidR="00C73708" w:rsidRPr="005F0DE0" w:rsidRDefault="003D0AE9" w:rsidP="00AF0591">
      <w:pPr>
        <w:pStyle w:val="Ttulo4"/>
        <w:numPr>
          <w:ilvl w:val="0"/>
          <w:numId w:val="2"/>
        </w:numPr>
        <w:tabs>
          <w:tab w:val="clear" w:pos="1080"/>
        </w:tabs>
        <w:spacing w:line="276" w:lineRule="auto"/>
        <w:ind w:left="0" w:firstLine="0"/>
        <w:rPr>
          <w:rFonts w:ascii="Tahoma" w:hAnsi="Tahoma" w:cs="Tahoma"/>
          <w:sz w:val="22"/>
          <w:szCs w:val="22"/>
        </w:rPr>
      </w:pPr>
      <w:r w:rsidRPr="005F0DE0">
        <w:rPr>
          <w:rFonts w:ascii="Tahoma" w:hAnsi="Tahoma" w:cs="Tahoma"/>
          <w:sz w:val="22"/>
          <w:szCs w:val="22"/>
        </w:rPr>
        <w:t>Providencia impugnada</w:t>
      </w:r>
    </w:p>
    <w:p w:rsidR="00C73708" w:rsidRPr="005F0DE0" w:rsidRDefault="00C73708" w:rsidP="00AF0591">
      <w:pPr>
        <w:pStyle w:val="Sinespaciado"/>
        <w:spacing w:line="276" w:lineRule="auto"/>
        <w:jc w:val="both"/>
        <w:rPr>
          <w:rFonts w:ascii="Tahoma" w:hAnsi="Tahoma" w:cs="Tahoma"/>
        </w:rPr>
      </w:pPr>
    </w:p>
    <w:p w:rsidR="0059063F" w:rsidRPr="005F0DE0" w:rsidRDefault="007C3437" w:rsidP="00AF0591">
      <w:pPr>
        <w:spacing w:after="0" w:line="276" w:lineRule="auto"/>
        <w:ind w:firstLine="709"/>
        <w:jc w:val="both"/>
        <w:rPr>
          <w:rFonts w:ascii="Tahoma" w:hAnsi="Tahoma" w:cs="Tahoma"/>
        </w:rPr>
      </w:pPr>
      <w:r w:rsidRPr="005F0DE0">
        <w:rPr>
          <w:rFonts w:ascii="Tahoma" w:hAnsi="Tahoma" w:cs="Tahoma"/>
        </w:rPr>
        <w:t>La</w:t>
      </w:r>
      <w:r w:rsidR="00474135" w:rsidRPr="005F0DE0">
        <w:rPr>
          <w:rFonts w:ascii="Tahoma" w:hAnsi="Tahoma" w:cs="Tahoma"/>
        </w:rPr>
        <w:t xml:space="preserve"> Juez</w:t>
      </w:r>
      <w:r w:rsidRPr="005F0DE0">
        <w:rPr>
          <w:rFonts w:ascii="Tahoma" w:hAnsi="Tahoma" w:cs="Tahoma"/>
        </w:rPr>
        <w:t>a</w:t>
      </w:r>
      <w:r w:rsidR="00474135" w:rsidRPr="005F0DE0">
        <w:rPr>
          <w:rFonts w:ascii="Tahoma" w:hAnsi="Tahoma" w:cs="Tahoma"/>
        </w:rPr>
        <w:t xml:space="preserve"> de </w:t>
      </w:r>
      <w:r w:rsidR="00E662DB" w:rsidRPr="005F0DE0">
        <w:rPr>
          <w:rFonts w:ascii="Tahoma" w:hAnsi="Tahoma" w:cs="Tahoma"/>
        </w:rPr>
        <w:t>primer g</w:t>
      </w:r>
      <w:r w:rsidR="003D0AE9" w:rsidRPr="005F0DE0">
        <w:rPr>
          <w:rFonts w:ascii="Tahoma" w:hAnsi="Tahoma" w:cs="Tahoma"/>
        </w:rPr>
        <w:t xml:space="preserve">rado </w:t>
      </w:r>
      <w:r w:rsidR="00BE54B3">
        <w:rPr>
          <w:rFonts w:ascii="Tahoma" w:hAnsi="Tahoma" w:cs="Tahoma"/>
        </w:rPr>
        <w:t>decla</w:t>
      </w:r>
      <w:r w:rsidR="00474135" w:rsidRPr="005F0DE0">
        <w:rPr>
          <w:rFonts w:ascii="Tahoma" w:hAnsi="Tahoma" w:cs="Tahoma"/>
        </w:rPr>
        <w:t xml:space="preserve">ró </w:t>
      </w:r>
      <w:r w:rsidR="00A44A51" w:rsidRPr="005F0DE0">
        <w:rPr>
          <w:rFonts w:ascii="Tahoma" w:hAnsi="Tahoma" w:cs="Tahoma"/>
        </w:rPr>
        <w:t xml:space="preserve">improcedente la presente acción, </w:t>
      </w:r>
      <w:r w:rsidR="005F5211">
        <w:rPr>
          <w:rFonts w:ascii="Tahoma" w:hAnsi="Tahoma" w:cs="Tahoma"/>
        </w:rPr>
        <w:t xml:space="preserve">bajo el argumento que </w:t>
      </w:r>
      <w:r w:rsidR="00C349D6" w:rsidRPr="005F0DE0">
        <w:rPr>
          <w:rFonts w:ascii="Tahoma" w:hAnsi="Tahoma" w:cs="Tahoma"/>
        </w:rPr>
        <w:t xml:space="preserve">el actor cuenta con otro medio de defensa para dirimir la inconformidad presentada frente a las decisiones emitidas por </w:t>
      </w:r>
      <w:r w:rsidR="00AE783D">
        <w:rPr>
          <w:rFonts w:ascii="Tahoma" w:hAnsi="Tahoma" w:cs="Tahoma"/>
        </w:rPr>
        <w:t>la Secretarí</w:t>
      </w:r>
      <w:r w:rsidR="00744CFF" w:rsidRPr="005F0DE0">
        <w:rPr>
          <w:rFonts w:ascii="Tahoma" w:hAnsi="Tahoma" w:cs="Tahoma"/>
        </w:rPr>
        <w:t>a de Educación</w:t>
      </w:r>
      <w:r w:rsidR="00C349D6" w:rsidRPr="005F0DE0">
        <w:rPr>
          <w:rFonts w:ascii="Tahoma" w:hAnsi="Tahoma" w:cs="Tahoma"/>
        </w:rPr>
        <w:t xml:space="preserve"> relacionadas con su solicitud de pensión </w:t>
      </w:r>
      <w:r w:rsidR="00744CFF" w:rsidRPr="005F0DE0">
        <w:rPr>
          <w:rFonts w:ascii="Tahoma" w:hAnsi="Tahoma" w:cs="Tahoma"/>
        </w:rPr>
        <w:t>de sobrevivientes</w:t>
      </w:r>
      <w:r w:rsidR="00C349D6" w:rsidRPr="005F0DE0">
        <w:rPr>
          <w:rFonts w:ascii="Tahoma" w:hAnsi="Tahoma" w:cs="Tahoma"/>
        </w:rPr>
        <w:t>, como es el caso de la jurisdicción ordinaria laboral.</w:t>
      </w:r>
      <w:r w:rsidR="00635C8B" w:rsidRPr="005F0DE0">
        <w:rPr>
          <w:rFonts w:ascii="Tahoma" w:hAnsi="Tahoma" w:cs="Tahoma"/>
        </w:rPr>
        <w:t xml:space="preserve"> </w:t>
      </w:r>
    </w:p>
    <w:p w:rsidR="00C349D6" w:rsidRPr="005F0DE0" w:rsidRDefault="00C349D6" w:rsidP="00AF0591">
      <w:pPr>
        <w:pStyle w:val="Sinespaciado"/>
        <w:spacing w:line="276" w:lineRule="auto"/>
        <w:jc w:val="both"/>
        <w:rPr>
          <w:rFonts w:ascii="Tahoma" w:hAnsi="Tahoma" w:cs="Tahoma"/>
        </w:rPr>
      </w:pPr>
    </w:p>
    <w:p w:rsidR="00377C9F" w:rsidRPr="005F0DE0" w:rsidRDefault="00AE783D" w:rsidP="00AF0591">
      <w:pPr>
        <w:spacing w:after="0" w:line="276" w:lineRule="auto"/>
        <w:ind w:firstLine="709"/>
        <w:jc w:val="both"/>
        <w:rPr>
          <w:rFonts w:ascii="Tahoma" w:hAnsi="Tahoma" w:cs="Tahoma"/>
        </w:rPr>
      </w:pPr>
      <w:r>
        <w:rPr>
          <w:rFonts w:ascii="Tahoma" w:hAnsi="Tahoma" w:cs="Tahoma"/>
        </w:rPr>
        <w:t xml:space="preserve">Agregó </w:t>
      </w:r>
      <w:r w:rsidR="00D44910" w:rsidRPr="005F0DE0">
        <w:rPr>
          <w:rFonts w:ascii="Tahoma" w:hAnsi="Tahoma" w:cs="Tahoma"/>
        </w:rPr>
        <w:t>que</w:t>
      </w:r>
      <w:r w:rsidR="00A55C3D" w:rsidRPr="005F0DE0">
        <w:rPr>
          <w:rFonts w:ascii="Tahoma" w:hAnsi="Tahoma" w:cs="Tahoma"/>
        </w:rPr>
        <w:t xml:space="preserve"> la</w:t>
      </w:r>
      <w:r w:rsidR="00377C9F" w:rsidRPr="005F0DE0">
        <w:rPr>
          <w:rFonts w:ascii="Tahoma" w:hAnsi="Tahoma" w:cs="Tahoma"/>
        </w:rPr>
        <w:t xml:space="preserve"> acción de tutela</w:t>
      </w:r>
      <w:r>
        <w:rPr>
          <w:rFonts w:ascii="Tahoma" w:hAnsi="Tahoma" w:cs="Tahoma"/>
        </w:rPr>
        <w:t>,</w:t>
      </w:r>
      <w:r w:rsidR="00377C9F" w:rsidRPr="005F0DE0">
        <w:rPr>
          <w:rFonts w:ascii="Tahoma" w:hAnsi="Tahoma" w:cs="Tahoma"/>
        </w:rPr>
        <w:t xml:space="preserve"> </w:t>
      </w:r>
      <w:r w:rsidR="00750777" w:rsidRPr="005F0DE0">
        <w:rPr>
          <w:rFonts w:ascii="Tahoma" w:hAnsi="Tahoma" w:cs="Tahoma"/>
        </w:rPr>
        <w:t>según el artículo 86 de la carta</w:t>
      </w:r>
      <w:r>
        <w:rPr>
          <w:rFonts w:ascii="Tahoma" w:hAnsi="Tahoma" w:cs="Tahoma"/>
        </w:rPr>
        <w:t>,</w:t>
      </w:r>
      <w:r w:rsidR="00750777" w:rsidRPr="005F0DE0">
        <w:rPr>
          <w:rFonts w:ascii="Tahoma" w:hAnsi="Tahoma" w:cs="Tahoma"/>
        </w:rPr>
        <w:t xml:space="preserve"> es un mecanismo de carácter residual y subsidiario que </w:t>
      </w:r>
      <w:r w:rsidR="00377C9F" w:rsidRPr="005F0DE0">
        <w:rPr>
          <w:rFonts w:ascii="Tahoma" w:hAnsi="Tahoma" w:cs="Tahoma"/>
        </w:rPr>
        <w:t xml:space="preserve">está encaminada a proteger los derechos fundamentales que hayan sido vulnerados o desconocidos por la acción u omisión de cualquier autoridad pública o de los particulares, </w:t>
      </w:r>
      <w:r w:rsidR="00750777" w:rsidRPr="005F0DE0">
        <w:rPr>
          <w:rFonts w:ascii="Tahoma" w:hAnsi="Tahoma" w:cs="Tahoma"/>
        </w:rPr>
        <w:t>buscando</w:t>
      </w:r>
      <w:r w:rsidR="00377C9F" w:rsidRPr="005F0DE0">
        <w:rPr>
          <w:rFonts w:ascii="Tahoma" w:hAnsi="Tahoma" w:cs="Tahoma"/>
        </w:rPr>
        <w:t xml:space="preserve"> la cesación a la vulneración q</w:t>
      </w:r>
      <w:r w:rsidR="00A55C3D" w:rsidRPr="005F0DE0">
        <w:rPr>
          <w:rFonts w:ascii="Tahoma" w:hAnsi="Tahoma" w:cs="Tahoma"/>
        </w:rPr>
        <w:t>ue se esté presentando y s</w:t>
      </w:r>
      <w:r w:rsidR="00750777" w:rsidRPr="005F0DE0">
        <w:rPr>
          <w:rFonts w:ascii="Tahoma" w:hAnsi="Tahoma" w:cs="Tahoma"/>
        </w:rPr>
        <w:t>e puede invocar</w:t>
      </w:r>
      <w:r w:rsidR="00377C9F" w:rsidRPr="005F0DE0">
        <w:rPr>
          <w:rFonts w:ascii="Tahoma" w:hAnsi="Tahoma" w:cs="Tahoma"/>
        </w:rPr>
        <w:t xml:space="preserve"> cuando no </w:t>
      </w:r>
      <w:r w:rsidR="00BD3A89" w:rsidRPr="005F0DE0">
        <w:rPr>
          <w:rFonts w:ascii="Tahoma" w:hAnsi="Tahoma" w:cs="Tahoma"/>
        </w:rPr>
        <w:t>exista otro medio idóneo para el amparo de tales derechos, o existiendo otros medios se requiera acudir a ella como medio transitorio para evitar un perjuicio irremediable.</w:t>
      </w:r>
    </w:p>
    <w:p w:rsidR="00A55C3D" w:rsidRPr="005F0DE0" w:rsidRDefault="00A55C3D" w:rsidP="00AF0591">
      <w:pPr>
        <w:spacing w:after="0" w:line="276" w:lineRule="auto"/>
        <w:ind w:firstLine="709"/>
        <w:jc w:val="both"/>
        <w:rPr>
          <w:rFonts w:ascii="Tahoma" w:hAnsi="Tahoma" w:cs="Tahoma"/>
        </w:rPr>
      </w:pPr>
    </w:p>
    <w:p w:rsidR="00145D7F" w:rsidRDefault="00A55C3D" w:rsidP="00AF0591">
      <w:pPr>
        <w:spacing w:after="0" w:line="276" w:lineRule="auto"/>
        <w:ind w:firstLine="708"/>
        <w:jc w:val="both"/>
        <w:rPr>
          <w:rFonts w:ascii="Tahoma" w:hAnsi="Tahoma" w:cs="Tahoma"/>
        </w:rPr>
      </w:pPr>
      <w:r w:rsidRPr="005F0DE0">
        <w:rPr>
          <w:rFonts w:ascii="Tahoma" w:hAnsi="Tahoma" w:cs="Tahoma"/>
        </w:rPr>
        <w:t>Indicó que e</w:t>
      </w:r>
      <w:r w:rsidR="00D44910" w:rsidRPr="005F0DE0">
        <w:rPr>
          <w:rFonts w:ascii="Tahoma" w:hAnsi="Tahoma" w:cs="Tahoma"/>
        </w:rPr>
        <w:t xml:space="preserve">n el </w:t>
      </w:r>
      <w:r w:rsidR="001811A0">
        <w:rPr>
          <w:rFonts w:ascii="Tahoma" w:hAnsi="Tahoma" w:cs="Tahoma"/>
        </w:rPr>
        <w:t xml:space="preserve">presente </w:t>
      </w:r>
      <w:r w:rsidR="00D44910" w:rsidRPr="005F0DE0">
        <w:rPr>
          <w:rFonts w:ascii="Tahoma" w:hAnsi="Tahoma" w:cs="Tahoma"/>
        </w:rPr>
        <w:t>caso</w:t>
      </w:r>
      <w:r w:rsidRPr="005F0DE0">
        <w:rPr>
          <w:rFonts w:ascii="Tahoma" w:hAnsi="Tahoma" w:cs="Tahoma"/>
        </w:rPr>
        <w:t>,</w:t>
      </w:r>
      <w:r w:rsidR="00D44910" w:rsidRPr="005F0DE0">
        <w:rPr>
          <w:rFonts w:ascii="Tahoma" w:hAnsi="Tahoma" w:cs="Tahoma"/>
        </w:rPr>
        <w:t xml:space="preserve"> la apoderada</w:t>
      </w:r>
      <w:r w:rsidR="0067556C" w:rsidRPr="005F0DE0">
        <w:rPr>
          <w:rFonts w:ascii="Tahoma" w:hAnsi="Tahoma" w:cs="Tahoma"/>
        </w:rPr>
        <w:t xml:space="preserve"> judicial del</w:t>
      </w:r>
      <w:r w:rsidR="002419DE" w:rsidRPr="005F0DE0">
        <w:rPr>
          <w:rFonts w:ascii="Tahoma" w:hAnsi="Tahoma" w:cs="Tahoma"/>
        </w:rPr>
        <w:t xml:space="preserve"> accionante </w:t>
      </w:r>
      <w:r w:rsidR="0067556C" w:rsidRPr="005F0DE0">
        <w:rPr>
          <w:rFonts w:ascii="Tahoma" w:hAnsi="Tahoma" w:cs="Tahoma"/>
        </w:rPr>
        <w:t>justificó</w:t>
      </w:r>
      <w:r w:rsidR="001811A0">
        <w:rPr>
          <w:rFonts w:ascii="Tahoma" w:hAnsi="Tahoma" w:cs="Tahoma"/>
        </w:rPr>
        <w:t xml:space="preserve"> la solicitud de</w:t>
      </w:r>
      <w:r w:rsidR="0067556C" w:rsidRPr="005F0DE0">
        <w:rPr>
          <w:rFonts w:ascii="Tahoma" w:hAnsi="Tahoma" w:cs="Tahoma"/>
        </w:rPr>
        <w:t xml:space="preserve"> amparo</w:t>
      </w:r>
      <w:r w:rsidR="002419DE" w:rsidRPr="005F0DE0">
        <w:rPr>
          <w:rFonts w:ascii="Tahoma" w:hAnsi="Tahoma" w:cs="Tahoma"/>
        </w:rPr>
        <w:t xml:space="preserve"> </w:t>
      </w:r>
      <w:r w:rsidR="00A10143" w:rsidRPr="005F0DE0">
        <w:rPr>
          <w:rFonts w:ascii="Tahoma" w:hAnsi="Tahoma" w:cs="Tahoma"/>
        </w:rPr>
        <w:t>aduciendo que</w:t>
      </w:r>
      <w:r w:rsidR="00E52DA1" w:rsidRPr="005F0DE0">
        <w:rPr>
          <w:rFonts w:ascii="Tahoma" w:hAnsi="Tahoma" w:cs="Tahoma"/>
        </w:rPr>
        <w:t xml:space="preserve"> con</w:t>
      </w:r>
      <w:r w:rsidR="00A10143" w:rsidRPr="005F0DE0">
        <w:rPr>
          <w:rFonts w:ascii="Tahoma" w:hAnsi="Tahoma" w:cs="Tahoma"/>
        </w:rPr>
        <w:t xml:space="preserve"> la negativa de la entidad </w:t>
      </w:r>
      <w:r w:rsidR="00E52DA1" w:rsidRPr="005F0DE0">
        <w:rPr>
          <w:rFonts w:ascii="Tahoma" w:hAnsi="Tahoma" w:cs="Tahoma"/>
        </w:rPr>
        <w:t xml:space="preserve"> a</w:t>
      </w:r>
      <w:r w:rsidR="00A10143" w:rsidRPr="005F0DE0">
        <w:rPr>
          <w:rFonts w:ascii="Tahoma" w:hAnsi="Tahoma" w:cs="Tahoma"/>
        </w:rPr>
        <w:t xml:space="preserve"> reconocer la prestación que presuntamente tiene derecho el señor Hernando </w:t>
      </w:r>
      <w:r w:rsidR="0067556C" w:rsidRPr="005F0DE0">
        <w:rPr>
          <w:rFonts w:ascii="Tahoma" w:hAnsi="Tahoma" w:cs="Tahoma"/>
        </w:rPr>
        <w:t>Pinzón</w:t>
      </w:r>
      <w:r w:rsidR="00E52DA1" w:rsidRPr="005F0DE0">
        <w:rPr>
          <w:rFonts w:ascii="Tahoma" w:hAnsi="Tahoma" w:cs="Tahoma"/>
        </w:rPr>
        <w:t>,</w:t>
      </w:r>
      <w:r w:rsidR="00595650" w:rsidRPr="005F0DE0">
        <w:rPr>
          <w:rFonts w:ascii="Tahoma" w:hAnsi="Tahoma" w:cs="Tahoma"/>
        </w:rPr>
        <w:t xml:space="preserve"> vulnera los derechos al debido proceso, la igualdad, </w:t>
      </w:r>
      <w:r w:rsidR="0011631D" w:rsidRPr="005F0DE0">
        <w:rPr>
          <w:rFonts w:ascii="Tahoma" w:hAnsi="Tahoma" w:cs="Tahoma"/>
        </w:rPr>
        <w:t>mínimo</w:t>
      </w:r>
      <w:r w:rsidR="00E52DA1" w:rsidRPr="005F0DE0">
        <w:rPr>
          <w:rFonts w:ascii="Tahoma" w:hAnsi="Tahoma" w:cs="Tahoma"/>
        </w:rPr>
        <w:t xml:space="preserve"> vital</w:t>
      </w:r>
      <w:r w:rsidR="004A078E" w:rsidRPr="005F0DE0">
        <w:rPr>
          <w:rFonts w:ascii="Tahoma" w:hAnsi="Tahoma" w:cs="Tahoma"/>
        </w:rPr>
        <w:t>,</w:t>
      </w:r>
      <w:r w:rsidR="00E52DA1" w:rsidRPr="005F0DE0">
        <w:rPr>
          <w:rFonts w:ascii="Tahoma" w:hAnsi="Tahoma" w:cs="Tahoma"/>
        </w:rPr>
        <w:t xml:space="preserve"> </w:t>
      </w:r>
      <w:r w:rsidR="004A078E" w:rsidRPr="005F0DE0">
        <w:rPr>
          <w:rFonts w:ascii="Tahoma" w:hAnsi="Tahoma" w:cs="Tahoma"/>
        </w:rPr>
        <w:t xml:space="preserve">seguridad social y el derecho al reconocimiento </w:t>
      </w:r>
      <w:r w:rsidRPr="005F0DE0">
        <w:rPr>
          <w:rFonts w:ascii="Tahoma" w:hAnsi="Tahoma" w:cs="Tahoma"/>
        </w:rPr>
        <w:t>de la pensión de sobrevivientes</w:t>
      </w:r>
      <w:r w:rsidRPr="00BE54B3">
        <w:rPr>
          <w:rFonts w:ascii="Tahoma" w:hAnsi="Tahoma" w:cs="Tahoma"/>
        </w:rPr>
        <w:t>;</w:t>
      </w:r>
      <w:r w:rsidR="00D44910" w:rsidRPr="00BE54B3">
        <w:rPr>
          <w:rFonts w:ascii="Tahoma" w:hAnsi="Tahoma" w:cs="Tahoma"/>
        </w:rPr>
        <w:t xml:space="preserve"> </w:t>
      </w:r>
      <w:r w:rsidR="00C34A88" w:rsidRPr="00BE54B3">
        <w:rPr>
          <w:rFonts w:ascii="Tahoma" w:hAnsi="Tahoma" w:cs="Tahoma"/>
        </w:rPr>
        <w:t>pero</w:t>
      </w:r>
      <w:r w:rsidR="00C34A88">
        <w:rPr>
          <w:rFonts w:ascii="Tahoma" w:hAnsi="Tahoma" w:cs="Tahoma"/>
        </w:rPr>
        <w:t xml:space="preserve"> </w:t>
      </w:r>
      <w:r w:rsidR="00956312">
        <w:rPr>
          <w:rFonts w:ascii="Tahoma" w:hAnsi="Tahoma" w:cs="Tahoma"/>
        </w:rPr>
        <w:t>explicó</w:t>
      </w:r>
      <w:r w:rsidR="00C34A88">
        <w:rPr>
          <w:rFonts w:ascii="Tahoma" w:hAnsi="Tahoma" w:cs="Tahoma"/>
        </w:rPr>
        <w:t xml:space="preserve"> </w:t>
      </w:r>
      <w:r w:rsidR="00BE54B3">
        <w:rPr>
          <w:rFonts w:ascii="Tahoma" w:hAnsi="Tahoma" w:cs="Tahoma"/>
        </w:rPr>
        <w:t>que</w:t>
      </w:r>
      <w:r w:rsidR="00D44910" w:rsidRPr="005F0DE0">
        <w:rPr>
          <w:rFonts w:ascii="Tahoma" w:hAnsi="Tahoma" w:cs="Tahoma"/>
        </w:rPr>
        <w:t xml:space="preserve"> l</w:t>
      </w:r>
      <w:r w:rsidR="004A078E" w:rsidRPr="005F0DE0">
        <w:rPr>
          <w:rFonts w:ascii="Tahoma" w:hAnsi="Tahoma" w:cs="Tahoma"/>
        </w:rPr>
        <w:t xml:space="preserve">a </w:t>
      </w:r>
      <w:r w:rsidR="00C34A88">
        <w:rPr>
          <w:rFonts w:ascii="Tahoma" w:hAnsi="Tahoma" w:cs="Tahoma"/>
        </w:rPr>
        <w:t>C</w:t>
      </w:r>
      <w:r w:rsidR="00377C9F" w:rsidRPr="005F0DE0">
        <w:rPr>
          <w:rFonts w:ascii="Tahoma" w:hAnsi="Tahoma" w:cs="Tahoma"/>
        </w:rPr>
        <w:t xml:space="preserve">orte Constitucional </w:t>
      </w:r>
      <w:r w:rsidR="00956312">
        <w:rPr>
          <w:rFonts w:ascii="Tahoma" w:hAnsi="Tahoma" w:cs="Tahoma"/>
        </w:rPr>
        <w:t xml:space="preserve">ha señalado </w:t>
      </w:r>
      <w:r w:rsidR="004A078E" w:rsidRPr="005F0DE0">
        <w:rPr>
          <w:rFonts w:ascii="Tahoma" w:hAnsi="Tahoma" w:cs="Tahoma"/>
        </w:rPr>
        <w:t xml:space="preserve">que la </w:t>
      </w:r>
      <w:r w:rsidR="0011631D" w:rsidRPr="005F0DE0">
        <w:rPr>
          <w:rFonts w:ascii="Tahoma" w:hAnsi="Tahoma" w:cs="Tahoma"/>
        </w:rPr>
        <w:t>pensión</w:t>
      </w:r>
      <w:r w:rsidR="004A078E" w:rsidRPr="005F0DE0">
        <w:rPr>
          <w:rFonts w:ascii="Tahoma" w:hAnsi="Tahoma" w:cs="Tahoma"/>
        </w:rPr>
        <w:t xml:space="preserve"> de sobrevivencia es una </w:t>
      </w:r>
      <w:r w:rsidR="0011631D" w:rsidRPr="005F0DE0">
        <w:rPr>
          <w:rFonts w:ascii="Tahoma" w:hAnsi="Tahoma" w:cs="Tahoma"/>
        </w:rPr>
        <w:t>prestación</w:t>
      </w:r>
      <w:r w:rsidR="004A078E" w:rsidRPr="005F0DE0">
        <w:rPr>
          <w:rFonts w:ascii="Tahoma" w:hAnsi="Tahoma" w:cs="Tahoma"/>
        </w:rPr>
        <w:t xml:space="preserve"> </w:t>
      </w:r>
      <w:r w:rsidR="004A078E" w:rsidRPr="005F0DE0">
        <w:rPr>
          <w:rFonts w:ascii="Tahoma" w:hAnsi="Tahoma" w:cs="Tahoma"/>
        </w:rPr>
        <w:lastRenderedPageBreak/>
        <w:t>social, que busca garantizar a la familia del afiliado fallecido una estabilidad económica con la cual pueda asegurar su subsistencia en condiciones dignas</w:t>
      </w:r>
      <w:r w:rsidR="00D04152" w:rsidRPr="005F0DE0">
        <w:rPr>
          <w:rFonts w:ascii="Tahoma" w:hAnsi="Tahoma" w:cs="Tahoma"/>
        </w:rPr>
        <w:t xml:space="preserve"> evitando que llegue a un estado de abandono y miseria, estando esta situación ligada al derecho fundamental al </w:t>
      </w:r>
      <w:r w:rsidR="00907729" w:rsidRPr="005F0DE0">
        <w:rPr>
          <w:rFonts w:ascii="Tahoma" w:hAnsi="Tahoma" w:cs="Tahoma"/>
        </w:rPr>
        <w:t>mínimo</w:t>
      </w:r>
      <w:r w:rsidR="00D04152" w:rsidRPr="005F0DE0">
        <w:rPr>
          <w:rFonts w:ascii="Tahoma" w:hAnsi="Tahoma" w:cs="Tahoma"/>
        </w:rPr>
        <w:t xml:space="preserve"> vital, derecho a la vida y a la seguridad socia</w:t>
      </w:r>
      <w:r w:rsidR="00956312">
        <w:rPr>
          <w:rFonts w:ascii="Tahoma" w:hAnsi="Tahoma" w:cs="Tahoma"/>
        </w:rPr>
        <w:t>l</w:t>
      </w:r>
      <w:r w:rsidR="00750777" w:rsidRPr="005F0DE0">
        <w:rPr>
          <w:rFonts w:ascii="Tahoma" w:hAnsi="Tahoma" w:cs="Tahoma"/>
        </w:rPr>
        <w:t xml:space="preserve">. </w:t>
      </w:r>
      <w:r w:rsidR="00956312">
        <w:rPr>
          <w:rFonts w:ascii="Tahoma" w:hAnsi="Tahoma" w:cs="Tahoma"/>
        </w:rPr>
        <w:t xml:space="preserve">Sin embargo </w:t>
      </w:r>
      <w:r w:rsidR="00750777" w:rsidRPr="005F0DE0">
        <w:rPr>
          <w:rFonts w:ascii="Tahoma" w:hAnsi="Tahoma" w:cs="Tahoma"/>
        </w:rPr>
        <w:t xml:space="preserve">la jueza </w:t>
      </w:r>
      <w:r w:rsidR="00145D7F" w:rsidRPr="005F0DE0">
        <w:rPr>
          <w:rFonts w:ascii="Tahoma" w:hAnsi="Tahoma" w:cs="Tahoma"/>
        </w:rPr>
        <w:t>al hacer un estudio</w:t>
      </w:r>
      <w:r w:rsidR="00750777" w:rsidRPr="005F0DE0">
        <w:rPr>
          <w:rFonts w:ascii="Tahoma" w:hAnsi="Tahoma" w:cs="Tahoma"/>
        </w:rPr>
        <w:t xml:space="preserve"> </w:t>
      </w:r>
      <w:r w:rsidR="00145D7F" w:rsidRPr="005F0DE0">
        <w:rPr>
          <w:rFonts w:ascii="Tahoma" w:hAnsi="Tahoma" w:cs="Tahoma"/>
        </w:rPr>
        <w:t>de las condiciones fácticas del actor</w:t>
      </w:r>
      <w:r w:rsidR="00750777" w:rsidRPr="005F0DE0">
        <w:rPr>
          <w:rFonts w:ascii="Tahoma" w:hAnsi="Tahoma" w:cs="Tahoma"/>
        </w:rPr>
        <w:t>, no observ</w:t>
      </w:r>
      <w:r w:rsidRPr="005F0DE0">
        <w:rPr>
          <w:rFonts w:ascii="Tahoma" w:hAnsi="Tahoma" w:cs="Tahoma"/>
        </w:rPr>
        <w:t>ó</w:t>
      </w:r>
      <w:r w:rsidR="00750777" w:rsidRPr="005F0DE0">
        <w:rPr>
          <w:rFonts w:ascii="Tahoma" w:hAnsi="Tahoma" w:cs="Tahoma"/>
        </w:rPr>
        <w:t xml:space="preserve"> el cumplimiento de las exigencias jurisprudenciales para ello, principalmente </w:t>
      </w:r>
      <w:r w:rsidR="00E52DA1" w:rsidRPr="005F0DE0">
        <w:rPr>
          <w:rFonts w:ascii="Tahoma" w:hAnsi="Tahoma" w:cs="Tahoma"/>
        </w:rPr>
        <w:t>al t</w:t>
      </w:r>
      <w:r w:rsidR="00750777" w:rsidRPr="005F0DE0">
        <w:rPr>
          <w:rFonts w:ascii="Tahoma" w:hAnsi="Tahoma" w:cs="Tahoma"/>
        </w:rPr>
        <w:t>ene</w:t>
      </w:r>
      <w:r w:rsidR="00E52DA1" w:rsidRPr="005F0DE0">
        <w:rPr>
          <w:rFonts w:ascii="Tahoma" w:hAnsi="Tahoma" w:cs="Tahoma"/>
        </w:rPr>
        <w:t>r</w:t>
      </w:r>
      <w:r w:rsidR="00750777" w:rsidRPr="005F0DE0">
        <w:rPr>
          <w:rFonts w:ascii="Tahoma" w:hAnsi="Tahoma" w:cs="Tahoma"/>
        </w:rPr>
        <w:t xml:space="preserve"> en cuenta que las </w:t>
      </w:r>
      <w:r w:rsidR="00E52DA1" w:rsidRPr="005F0DE0">
        <w:rPr>
          <w:rFonts w:ascii="Tahoma" w:hAnsi="Tahoma" w:cs="Tahoma"/>
        </w:rPr>
        <w:t>pretensiones</w:t>
      </w:r>
      <w:r w:rsidR="00750777" w:rsidRPr="005F0DE0">
        <w:rPr>
          <w:rFonts w:ascii="Tahoma" w:hAnsi="Tahoma" w:cs="Tahoma"/>
        </w:rPr>
        <w:t xml:space="preserve"> del actor son de carácter económico</w:t>
      </w:r>
      <w:r w:rsidR="00956312">
        <w:rPr>
          <w:rFonts w:ascii="Tahoma" w:hAnsi="Tahoma" w:cs="Tahoma"/>
        </w:rPr>
        <w:t>.</w:t>
      </w:r>
    </w:p>
    <w:p w:rsidR="002701CF" w:rsidRPr="005F0DE0" w:rsidRDefault="002701CF" w:rsidP="00AF0591">
      <w:pPr>
        <w:pStyle w:val="Sinespaciado"/>
        <w:spacing w:line="276" w:lineRule="auto"/>
        <w:jc w:val="both"/>
        <w:rPr>
          <w:rFonts w:ascii="Tahoma" w:hAnsi="Tahoma" w:cs="Tahoma"/>
        </w:rPr>
      </w:pPr>
    </w:p>
    <w:p w:rsidR="00C73708" w:rsidRPr="005F0DE0" w:rsidRDefault="00D34B6B" w:rsidP="00AF0591">
      <w:pPr>
        <w:pStyle w:val="Ttulo4"/>
        <w:numPr>
          <w:ilvl w:val="0"/>
          <w:numId w:val="2"/>
        </w:numPr>
        <w:tabs>
          <w:tab w:val="clear" w:pos="1080"/>
          <w:tab w:val="left" w:pos="426"/>
        </w:tabs>
        <w:spacing w:line="276" w:lineRule="auto"/>
        <w:ind w:left="0" w:firstLine="0"/>
        <w:rPr>
          <w:rFonts w:ascii="Tahoma" w:hAnsi="Tahoma" w:cs="Tahoma"/>
          <w:sz w:val="22"/>
          <w:szCs w:val="22"/>
        </w:rPr>
      </w:pPr>
      <w:r w:rsidRPr="005F0DE0">
        <w:rPr>
          <w:rFonts w:ascii="Tahoma" w:hAnsi="Tahoma" w:cs="Tahoma"/>
          <w:sz w:val="22"/>
          <w:szCs w:val="22"/>
        </w:rPr>
        <w:t>Impugnación</w:t>
      </w:r>
    </w:p>
    <w:p w:rsidR="00294317" w:rsidRPr="005F0DE0" w:rsidRDefault="00294317" w:rsidP="00AF0591">
      <w:pPr>
        <w:pStyle w:val="Sinespaciado"/>
        <w:spacing w:line="276" w:lineRule="auto"/>
        <w:jc w:val="both"/>
        <w:rPr>
          <w:rFonts w:ascii="Tahoma" w:hAnsi="Tahoma" w:cs="Tahoma"/>
        </w:rPr>
      </w:pPr>
    </w:p>
    <w:p w:rsidR="00B46AFB" w:rsidRPr="005F0DE0" w:rsidRDefault="00973293" w:rsidP="00AF0591">
      <w:pPr>
        <w:spacing w:after="0" w:line="276" w:lineRule="auto"/>
        <w:ind w:firstLine="709"/>
        <w:jc w:val="both"/>
        <w:rPr>
          <w:rFonts w:ascii="Tahoma" w:hAnsi="Tahoma" w:cs="Tahoma"/>
        </w:rPr>
      </w:pPr>
      <w:r w:rsidRPr="005F0DE0">
        <w:rPr>
          <w:rFonts w:ascii="Tahoma" w:hAnsi="Tahoma" w:cs="Tahoma"/>
        </w:rPr>
        <w:t xml:space="preserve">La apoderada judicial del </w:t>
      </w:r>
      <w:r w:rsidR="00364C12" w:rsidRPr="005F0DE0">
        <w:rPr>
          <w:rFonts w:ascii="Tahoma" w:hAnsi="Tahoma" w:cs="Tahoma"/>
        </w:rPr>
        <w:t xml:space="preserve">señor Hernando </w:t>
      </w:r>
      <w:r w:rsidRPr="005F0DE0">
        <w:rPr>
          <w:rFonts w:ascii="Tahoma" w:hAnsi="Tahoma" w:cs="Tahoma"/>
        </w:rPr>
        <w:t>Pinzón Ramírez</w:t>
      </w:r>
      <w:r w:rsidR="00E6110A" w:rsidRPr="005F0DE0">
        <w:rPr>
          <w:rFonts w:ascii="Tahoma" w:hAnsi="Tahoma" w:cs="Tahoma"/>
        </w:rPr>
        <w:t xml:space="preserve"> </w:t>
      </w:r>
      <w:r w:rsidR="00235D72" w:rsidRPr="005F0DE0">
        <w:rPr>
          <w:rFonts w:ascii="Tahoma" w:hAnsi="Tahoma" w:cs="Tahoma"/>
        </w:rPr>
        <w:t>presentó recurso de apelac</w:t>
      </w:r>
      <w:r w:rsidR="00174AB7" w:rsidRPr="005F0DE0">
        <w:rPr>
          <w:rFonts w:ascii="Tahoma" w:hAnsi="Tahoma" w:cs="Tahoma"/>
        </w:rPr>
        <w:t>ión donde manifestó su</w:t>
      </w:r>
      <w:r w:rsidR="00235D72" w:rsidRPr="005F0DE0">
        <w:rPr>
          <w:rFonts w:ascii="Tahoma" w:hAnsi="Tahoma" w:cs="Tahoma"/>
        </w:rPr>
        <w:t xml:space="preserve"> </w:t>
      </w:r>
      <w:r w:rsidR="00FE312B" w:rsidRPr="005F0DE0">
        <w:rPr>
          <w:rFonts w:ascii="Tahoma" w:hAnsi="Tahoma" w:cs="Tahoma"/>
        </w:rPr>
        <w:t>des</w:t>
      </w:r>
      <w:r w:rsidR="00235D72" w:rsidRPr="005F0DE0">
        <w:rPr>
          <w:rFonts w:ascii="Tahoma" w:hAnsi="Tahoma" w:cs="Tahoma"/>
        </w:rPr>
        <w:t>acuerdo con la decisión</w:t>
      </w:r>
      <w:r w:rsidR="006816C1" w:rsidRPr="005F0DE0">
        <w:rPr>
          <w:rFonts w:ascii="Tahoma" w:hAnsi="Tahoma" w:cs="Tahoma"/>
        </w:rPr>
        <w:t>, toda vez que</w:t>
      </w:r>
      <w:r w:rsidR="007B08C3" w:rsidRPr="005F0DE0">
        <w:rPr>
          <w:rFonts w:ascii="Tahoma" w:hAnsi="Tahoma" w:cs="Tahoma"/>
        </w:rPr>
        <w:t xml:space="preserve"> consideró que</w:t>
      </w:r>
      <w:r w:rsidR="006816C1" w:rsidRPr="005F0DE0">
        <w:rPr>
          <w:rFonts w:ascii="Tahoma" w:hAnsi="Tahoma" w:cs="Tahoma"/>
        </w:rPr>
        <w:t xml:space="preserve"> </w:t>
      </w:r>
      <w:r w:rsidR="00B46AFB" w:rsidRPr="005F0DE0">
        <w:rPr>
          <w:rFonts w:ascii="Tahoma" w:hAnsi="Tahoma" w:cs="Tahoma"/>
        </w:rPr>
        <w:t xml:space="preserve">la jueza de primera instancia no tuvo en cuenta la motivación de los actos referidos por medio de los que se negó la pensión de sobreviviente y/o pensión </w:t>
      </w:r>
      <w:r w:rsidR="00C2336D" w:rsidRPr="00C2336D">
        <w:rPr>
          <w:rFonts w:ascii="Tahoma" w:hAnsi="Tahoma" w:cs="Tahoma"/>
        </w:rPr>
        <w:t>“</w:t>
      </w:r>
      <w:r w:rsidR="00B46AFB" w:rsidRPr="00C2336D">
        <w:rPr>
          <w:rFonts w:ascii="Arial Narrow" w:hAnsi="Arial Narrow" w:cs="Tahoma"/>
          <w:i/>
        </w:rPr>
        <w:t>post mortem</w:t>
      </w:r>
      <w:r w:rsidR="007E50D7" w:rsidRPr="00C2336D">
        <w:rPr>
          <w:rFonts w:ascii="Arial Narrow" w:hAnsi="Arial Narrow" w:cs="Tahoma"/>
          <w:i/>
        </w:rPr>
        <w:t xml:space="preserve"> 18</w:t>
      </w:r>
      <w:r w:rsidR="00C2336D">
        <w:rPr>
          <w:rFonts w:ascii="Arial Narrow" w:hAnsi="Arial Narrow" w:cs="Tahoma"/>
          <w:i/>
        </w:rPr>
        <w:t xml:space="preserve"> </w:t>
      </w:r>
      <w:r w:rsidR="007E50D7" w:rsidRPr="00C2336D">
        <w:rPr>
          <w:rFonts w:ascii="Arial Narrow" w:hAnsi="Arial Narrow" w:cs="Tahoma"/>
          <w:i/>
        </w:rPr>
        <w:t>años</w:t>
      </w:r>
      <w:r w:rsidR="00C2336D">
        <w:rPr>
          <w:rFonts w:ascii="Tahoma" w:hAnsi="Tahoma" w:cs="Tahoma"/>
        </w:rPr>
        <w:t>”</w:t>
      </w:r>
      <w:r w:rsidR="007E50D7">
        <w:rPr>
          <w:rFonts w:ascii="Tahoma" w:hAnsi="Tahoma" w:cs="Tahoma"/>
        </w:rPr>
        <w:t xml:space="preserve"> </w:t>
      </w:r>
      <w:r w:rsidR="00B46AFB" w:rsidRPr="005F0DE0">
        <w:rPr>
          <w:rFonts w:ascii="Tahoma" w:hAnsi="Tahoma" w:cs="Tahoma"/>
        </w:rPr>
        <w:t>al accionante, los</w:t>
      </w:r>
      <w:r w:rsidR="00215E8F">
        <w:rPr>
          <w:rFonts w:ascii="Tahoma" w:hAnsi="Tahoma" w:cs="Tahoma"/>
        </w:rPr>
        <w:t xml:space="preserve"> cuales </w:t>
      </w:r>
      <w:r w:rsidR="00B46AFB" w:rsidRPr="005F0DE0">
        <w:rPr>
          <w:rFonts w:ascii="Tahoma" w:hAnsi="Tahoma" w:cs="Tahoma"/>
        </w:rPr>
        <w:t>considera inconstitucionales e ilegales p</w:t>
      </w:r>
      <w:r w:rsidR="00D54EA6" w:rsidRPr="005F0DE0">
        <w:rPr>
          <w:rFonts w:ascii="Tahoma" w:hAnsi="Tahoma" w:cs="Tahoma"/>
        </w:rPr>
        <w:t>or</w:t>
      </w:r>
      <w:r w:rsidR="00B46AFB" w:rsidRPr="005F0DE0">
        <w:rPr>
          <w:rFonts w:ascii="Tahoma" w:hAnsi="Tahoma" w:cs="Tahoma"/>
        </w:rPr>
        <w:t xml:space="preserve"> desconoce</w:t>
      </w:r>
      <w:r w:rsidR="00D54EA6" w:rsidRPr="005F0DE0">
        <w:rPr>
          <w:rFonts w:ascii="Tahoma" w:hAnsi="Tahoma" w:cs="Tahoma"/>
        </w:rPr>
        <w:t>r</w:t>
      </w:r>
      <w:r w:rsidR="00B46AFB" w:rsidRPr="005F0DE0">
        <w:rPr>
          <w:rFonts w:ascii="Tahoma" w:hAnsi="Tahoma" w:cs="Tahoma"/>
        </w:rPr>
        <w:t xml:space="preserve"> </w:t>
      </w:r>
      <w:r w:rsidR="00D54EA6" w:rsidRPr="005F0DE0">
        <w:rPr>
          <w:rFonts w:ascii="Tahoma" w:hAnsi="Tahoma" w:cs="Tahoma"/>
        </w:rPr>
        <w:t xml:space="preserve">la jurisprudencia de la Corte Constitucional y </w:t>
      </w:r>
      <w:r w:rsidR="00B46AFB" w:rsidRPr="005F0DE0">
        <w:rPr>
          <w:rFonts w:ascii="Tahoma" w:hAnsi="Tahoma" w:cs="Tahoma"/>
        </w:rPr>
        <w:t xml:space="preserve">lo preceptuado </w:t>
      </w:r>
      <w:r w:rsidR="00D54EA6" w:rsidRPr="005F0DE0">
        <w:rPr>
          <w:rFonts w:ascii="Tahoma" w:hAnsi="Tahoma" w:cs="Tahoma"/>
        </w:rPr>
        <w:t>en</w:t>
      </w:r>
      <w:r w:rsidR="00B46AFB" w:rsidRPr="005F0DE0">
        <w:rPr>
          <w:rFonts w:ascii="Tahoma" w:hAnsi="Tahoma" w:cs="Tahoma"/>
        </w:rPr>
        <w:t xml:space="preserve"> la ley 100 de 1993 </w:t>
      </w:r>
      <w:r w:rsidR="00D54EA6" w:rsidRPr="005F0DE0">
        <w:rPr>
          <w:rFonts w:ascii="Tahoma" w:hAnsi="Tahoma" w:cs="Tahoma"/>
        </w:rPr>
        <w:t xml:space="preserve">sobre los </w:t>
      </w:r>
      <w:r w:rsidR="00B46AFB" w:rsidRPr="005F0DE0">
        <w:rPr>
          <w:rFonts w:ascii="Tahoma" w:hAnsi="Tahoma" w:cs="Tahoma"/>
        </w:rPr>
        <w:t>requisitos para ser beneficiario de la pensión</w:t>
      </w:r>
      <w:r w:rsidR="00D54EA6" w:rsidRPr="005F0DE0">
        <w:rPr>
          <w:rFonts w:ascii="Tahoma" w:hAnsi="Tahoma" w:cs="Tahoma"/>
        </w:rPr>
        <w:t xml:space="preserve"> de sobrevivientes.</w:t>
      </w:r>
    </w:p>
    <w:p w:rsidR="00D54EA6" w:rsidRPr="005F0DE0" w:rsidRDefault="00D54EA6" w:rsidP="00AF0591">
      <w:pPr>
        <w:spacing w:after="0" w:line="276" w:lineRule="auto"/>
        <w:ind w:firstLine="709"/>
        <w:jc w:val="both"/>
        <w:rPr>
          <w:rFonts w:ascii="Tahoma" w:hAnsi="Tahoma" w:cs="Tahoma"/>
        </w:rPr>
      </w:pPr>
    </w:p>
    <w:p w:rsidR="009A6D9B" w:rsidRDefault="007B08C3" w:rsidP="00AF0591">
      <w:pPr>
        <w:spacing w:after="0" w:line="276" w:lineRule="auto"/>
        <w:ind w:firstLine="709"/>
        <w:jc w:val="both"/>
        <w:rPr>
          <w:rFonts w:ascii="Tahoma" w:hAnsi="Tahoma" w:cs="Tahoma"/>
        </w:rPr>
      </w:pPr>
      <w:r w:rsidRPr="005F0DE0">
        <w:rPr>
          <w:rFonts w:ascii="Tahoma" w:hAnsi="Tahoma" w:cs="Tahoma"/>
        </w:rPr>
        <w:t>Indicó</w:t>
      </w:r>
      <w:r w:rsidR="00B46AFB" w:rsidRPr="005F0DE0">
        <w:rPr>
          <w:rFonts w:ascii="Tahoma" w:hAnsi="Tahoma" w:cs="Tahoma"/>
        </w:rPr>
        <w:t xml:space="preserve"> que es obligación del juez de tutela </w:t>
      </w:r>
      <w:r w:rsidR="00D54EA6" w:rsidRPr="005F0DE0">
        <w:rPr>
          <w:rFonts w:ascii="Tahoma" w:hAnsi="Tahoma" w:cs="Tahoma"/>
        </w:rPr>
        <w:t>ordenarle a los entes administrativos de pensiones que no motiven los actos en normas o decreto</w:t>
      </w:r>
      <w:r w:rsidR="000021F4">
        <w:rPr>
          <w:rFonts w:ascii="Tahoma" w:hAnsi="Tahoma" w:cs="Tahoma"/>
        </w:rPr>
        <w:t>s</w:t>
      </w:r>
      <w:r w:rsidR="00D54EA6" w:rsidRPr="005F0DE0">
        <w:rPr>
          <w:rFonts w:ascii="Tahoma" w:hAnsi="Tahoma" w:cs="Tahoma"/>
        </w:rPr>
        <w:t xml:space="preserve"> que han sido retiradas del ordenamiento jurídico, como lo es el artículo 7 del decreto 224 de 1972, por ser discriminatorio y desconocer los beneficios en materia de pensión de sobrevivientes.</w:t>
      </w:r>
    </w:p>
    <w:p w:rsidR="00AC19B9" w:rsidRPr="005F0DE0" w:rsidRDefault="00AC19B9" w:rsidP="00AF0591">
      <w:pPr>
        <w:spacing w:after="0" w:line="276" w:lineRule="auto"/>
        <w:ind w:firstLine="709"/>
        <w:jc w:val="both"/>
        <w:rPr>
          <w:rFonts w:ascii="Tahoma" w:hAnsi="Tahoma" w:cs="Tahoma"/>
        </w:rPr>
      </w:pPr>
    </w:p>
    <w:p w:rsidR="00C73708" w:rsidRPr="005F0DE0" w:rsidRDefault="00D34B6B" w:rsidP="00AF0591">
      <w:pPr>
        <w:pStyle w:val="Ttulo4"/>
        <w:numPr>
          <w:ilvl w:val="0"/>
          <w:numId w:val="2"/>
        </w:numPr>
        <w:tabs>
          <w:tab w:val="clear" w:pos="1080"/>
          <w:tab w:val="left" w:pos="426"/>
        </w:tabs>
        <w:spacing w:line="276" w:lineRule="auto"/>
        <w:ind w:left="0" w:firstLine="0"/>
        <w:rPr>
          <w:rFonts w:ascii="Tahoma" w:hAnsi="Tahoma" w:cs="Tahoma"/>
          <w:sz w:val="22"/>
          <w:szCs w:val="22"/>
        </w:rPr>
      </w:pPr>
      <w:r w:rsidRPr="005F0DE0">
        <w:rPr>
          <w:rFonts w:ascii="Tahoma" w:hAnsi="Tahoma" w:cs="Tahoma"/>
          <w:sz w:val="22"/>
          <w:szCs w:val="22"/>
        </w:rPr>
        <w:t>Consideraciones</w:t>
      </w:r>
    </w:p>
    <w:p w:rsidR="00C73708" w:rsidRPr="005F0DE0" w:rsidRDefault="00C73708" w:rsidP="00AF0591">
      <w:pPr>
        <w:pStyle w:val="Sinespaciado"/>
        <w:spacing w:line="276" w:lineRule="auto"/>
        <w:jc w:val="both"/>
        <w:rPr>
          <w:rFonts w:ascii="Tahoma" w:hAnsi="Tahoma" w:cs="Tahoma"/>
        </w:rPr>
      </w:pPr>
    </w:p>
    <w:p w:rsidR="009404D3" w:rsidRPr="005F0DE0" w:rsidRDefault="00C73708" w:rsidP="00AF0591">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5F0DE0">
        <w:rPr>
          <w:rFonts w:ascii="Tahoma" w:hAnsi="Tahoma" w:cs="Tahoma"/>
          <w:b/>
          <w:spacing w:val="-2"/>
        </w:rPr>
        <w:t xml:space="preserve">Problema </w:t>
      </w:r>
      <w:r w:rsidR="00931072" w:rsidRPr="005F0DE0">
        <w:rPr>
          <w:rFonts w:ascii="Tahoma" w:hAnsi="Tahoma" w:cs="Tahoma"/>
          <w:b/>
          <w:spacing w:val="-2"/>
        </w:rPr>
        <w:t xml:space="preserve">jurídico </w:t>
      </w:r>
      <w:r w:rsidRPr="005F0DE0">
        <w:rPr>
          <w:rFonts w:ascii="Tahoma" w:hAnsi="Tahoma" w:cs="Tahoma"/>
          <w:b/>
          <w:spacing w:val="-2"/>
        </w:rPr>
        <w:t>por resolver</w:t>
      </w:r>
    </w:p>
    <w:p w:rsidR="00C73708" w:rsidRPr="005F0DE0" w:rsidRDefault="00C73708" w:rsidP="00AF0591">
      <w:pPr>
        <w:pStyle w:val="Sinespaciado"/>
        <w:spacing w:line="276" w:lineRule="auto"/>
        <w:jc w:val="both"/>
        <w:rPr>
          <w:rFonts w:ascii="Tahoma" w:hAnsi="Tahoma" w:cs="Tahoma"/>
        </w:rPr>
      </w:pPr>
    </w:p>
    <w:p w:rsidR="00150591" w:rsidRPr="005F0DE0" w:rsidRDefault="00D34F86" w:rsidP="00AF0591">
      <w:pPr>
        <w:pStyle w:val="Sinespaciado"/>
        <w:spacing w:line="276" w:lineRule="auto"/>
        <w:ind w:firstLine="426"/>
        <w:jc w:val="both"/>
        <w:rPr>
          <w:rFonts w:ascii="Tahoma" w:hAnsi="Tahoma" w:cs="Tahoma"/>
        </w:rPr>
      </w:pPr>
      <w:r w:rsidRPr="005F0DE0">
        <w:rPr>
          <w:rFonts w:ascii="Tahoma" w:hAnsi="Tahoma" w:cs="Tahoma"/>
        </w:rPr>
        <w:t>¿</w:t>
      </w:r>
      <w:r w:rsidR="007B48C9" w:rsidRPr="005F0DE0">
        <w:rPr>
          <w:rFonts w:ascii="Tahoma" w:hAnsi="Tahoma" w:cs="Tahoma"/>
        </w:rPr>
        <w:t xml:space="preserve">La acción de tutela es </w:t>
      </w:r>
      <w:r w:rsidR="007E5A4D" w:rsidRPr="005F0DE0">
        <w:rPr>
          <w:rFonts w:ascii="Tahoma" w:hAnsi="Tahoma" w:cs="Tahoma"/>
        </w:rPr>
        <w:t>procedente para el reconocimiento de</w:t>
      </w:r>
      <w:r w:rsidR="00A5740E" w:rsidRPr="005F0DE0">
        <w:rPr>
          <w:rFonts w:ascii="Tahoma" w:hAnsi="Tahoma" w:cs="Tahoma"/>
        </w:rPr>
        <w:t xml:space="preserve"> la pensión de </w:t>
      </w:r>
      <w:r w:rsidR="000866C1" w:rsidRPr="005F0DE0">
        <w:rPr>
          <w:rFonts w:ascii="Tahoma" w:hAnsi="Tahoma" w:cs="Tahoma"/>
        </w:rPr>
        <w:t>sobrevivencia</w:t>
      </w:r>
      <w:r w:rsidR="007E5A4D" w:rsidRPr="005F0DE0">
        <w:rPr>
          <w:rFonts w:ascii="Tahoma" w:hAnsi="Tahoma" w:cs="Tahoma"/>
        </w:rPr>
        <w:t>?</w:t>
      </w:r>
      <w:r w:rsidR="000E45B6" w:rsidRPr="005F0DE0">
        <w:rPr>
          <w:rFonts w:ascii="Tahoma" w:hAnsi="Tahoma" w:cs="Tahoma"/>
        </w:rPr>
        <w:t xml:space="preserve"> En caso afirmativo, ¿en el presente caso se cumplen los presupuestos para que proceda el ampa</w:t>
      </w:r>
      <w:r w:rsidR="00A5740E" w:rsidRPr="005F0DE0">
        <w:rPr>
          <w:rFonts w:ascii="Tahoma" w:hAnsi="Tahoma" w:cs="Tahoma"/>
        </w:rPr>
        <w:t>r</w:t>
      </w:r>
      <w:r w:rsidR="000E45B6" w:rsidRPr="005F0DE0">
        <w:rPr>
          <w:rFonts w:ascii="Tahoma" w:hAnsi="Tahoma" w:cs="Tahoma"/>
        </w:rPr>
        <w:t>o constitucional</w:t>
      </w:r>
      <w:r w:rsidR="001E1CCD" w:rsidRPr="005F0DE0">
        <w:rPr>
          <w:rFonts w:ascii="Tahoma" w:hAnsi="Tahoma" w:cs="Tahoma"/>
        </w:rPr>
        <w:t>?</w:t>
      </w:r>
    </w:p>
    <w:p w:rsidR="004D2F2C" w:rsidRPr="005F0DE0" w:rsidRDefault="004D2F2C" w:rsidP="00AF0591">
      <w:pPr>
        <w:pStyle w:val="Sinespaciado"/>
        <w:spacing w:line="276" w:lineRule="auto"/>
        <w:ind w:firstLine="426"/>
        <w:jc w:val="both"/>
        <w:rPr>
          <w:rFonts w:ascii="Tahoma" w:hAnsi="Tahoma" w:cs="Tahoma"/>
        </w:rPr>
      </w:pPr>
    </w:p>
    <w:p w:rsidR="004D2F2C" w:rsidRPr="005F0DE0" w:rsidRDefault="004D2F2C" w:rsidP="00AF0591">
      <w:pPr>
        <w:pStyle w:val="Prrafodelista"/>
        <w:numPr>
          <w:ilvl w:val="1"/>
          <w:numId w:val="7"/>
        </w:numPr>
        <w:spacing w:after="0" w:line="276" w:lineRule="auto"/>
        <w:ind w:left="709" w:right="51" w:firstLine="0"/>
        <w:jc w:val="both"/>
        <w:rPr>
          <w:rFonts w:ascii="Tahoma" w:hAnsi="Tahoma" w:cs="Tahoma"/>
          <w:b/>
        </w:rPr>
      </w:pPr>
      <w:r w:rsidRPr="005F0DE0">
        <w:rPr>
          <w:rFonts w:ascii="Tahoma" w:hAnsi="Tahoma" w:cs="Tahoma"/>
          <w:b/>
        </w:rPr>
        <w:t>Procedencia de la acción de tutela para el reconocimiento de prestaciones sociales</w:t>
      </w:r>
    </w:p>
    <w:p w:rsidR="008F5C0D" w:rsidRPr="00F82296" w:rsidRDefault="008F5C0D" w:rsidP="00AF0591">
      <w:pPr>
        <w:spacing w:after="0" w:line="276" w:lineRule="auto"/>
        <w:ind w:left="709" w:right="51"/>
        <w:jc w:val="both"/>
        <w:rPr>
          <w:rFonts w:ascii="Tahoma" w:hAnsi="Tahoma" w:cs="Tahoma"/>
          <w:b/>
        </w:rPr>
      </w:pPr>
    </w:p>
    <w:p w:rsidR="00283192" w:rsidRDefault="008F5C0D" w:rsidP="00AF0591">
      <w:pPr>
        <w:spacing w:after="0" w:line="276" w:lineRule="auto"/>
        <w:ind w:right="51" w:firstLine="708"/>
        <w:jc w:val="both"/>
        <w:rPr>
          <w:rFonts w:ascii="Tahoma" w:hAnsi="Tahoma" w:cs="Tahoma"/>
        </w:rPr>
      </w:pPr>
      <w:r w:rsidRPr="00F82296">
        <w:rPr>
          <w:rFonts w:ascii="Tahoma" w:hAnsi="Tahoma" w:cs="Tahoma"/>
        </w:rPr>
        <w:t>La Corte Constitucional ha manifestado que por regla general es improcedente el amparo cuando en el ordenamiento jurídico se encuentra estipulado un medio de defensa particular para redimir la c</w:t>
      </w:r>
      <w:r w:rsidR="00C2442A" w:rsidRPr="00F82296">
        <w:rPr>
          <w:rFonts w:ascii="Tahoma" w:hAnsi="Tahoma" w:cs="Tahoma"/>
        </w:rPr>
        <w:t>ontroversia objeto de la acción</w:t>
      </w:r>
      <w:r w:rsidR="00FA032A" w:rsidRPr="00F82296">
        <w:rPr>
          <w:rFonts w:ascii="Tahoma" w:hAnsi="Tahoma" w:cs="Tahoma"/>
        </w:rPr>
        <w:t>; n</w:t>
      </w:r>
      <w:r w:rsidRPr="00F82296">
        <w:rPr>
          <w:rFonts w:ascii="Tahoma" w:hAnsi="Tahoma" w:cs="Tahoma"/>
        </w:rPr>
        <w:t>o obstante, el Alt</w:t>
      </w:r>
      <w:r w:rsidR="00804957" w:rsidRPr="00F82296">
        <w:rPr>
          <w:rFonts w:ascii="Tahoma" w:hAnsi="Tahoma" w:cs="Tahoma"/>
        </w:rPr>
        <w:t xml:space="preserve">o Tribunal en la Sentencia T </w:t>
      </w:r>
      <w:r w:rsidR="00283192" w:rsidRPr="00F82296">
        <w:rPr>
          <w:rFonts w:ascii="Tahoma" w:hAnsi="Tahoma" w:cs="Tahoma"/>
        </w:rPr>
        <w:t>209</w:t>
      </w:r>
      <w:r w:rsidR="00804957" w:rsidRPr="00F82296">
        <w:rPr>
          <w:rFonts w:ascii="Tahoma" w:hAnsi="Tahoma" w:cs="Tahoma"/>
        </w:rPr>
        <w:t xml:space="preserve"> de </w:t>
      </w:r>
      <w:r w:rsidRPr="00F82296">
        <w:rPr>
          <w:rFonts w:ascii="Tahoma" w:hAnsi="Tahoma" w:cs="Tahoma"/>
        </w:rPr>
        <w:t>201</w:t>
      </w:r>
      <w:r w:rsidR="00283192" w:rsidRPr="00F82296">
        <w:rPr>
          <w:rFonts w:ascii="Tahoma" w:hAnsi="Tahoma" w:cs="Tahoma"/>
        </w:rPr>
        <w:t>5, Magistrada</w:t>
      </w:r>
      <w:r w:rsidRPr="00F82296">
        <w:rPr>
          <w:rFonts w:ascii="Tahoma" w:hAnsi="Tahoma" w:cs="Tahoma"/>
        </w:rPr>
        <w:t xml:space="preserve"> Ponente </w:t>
      </w:r>
      <w:r w:rsidR="00283192" w:rsidRPr="00F82296">
        <w:rPr>
          <w:rFonts w:ascii="Tahoma" w:hAnsi="Tahoma" w:cs="Tahoma"/>
        </w:rPr>
        <w:t>Gloria Stella Ortiz Delgado</w:t>
      </w:r>
      <w:r w:rsidRPr="00F82296">
        <w:rPr>
          <w:rFonts w:ascii="Tahoma" w:hAnsi="Tahoma" w:cs="Tahoma"/>
        </w:rPr>
        <w:t xml:space="preserve">, </w:t>
      </w:r>
      <w:r w:rsidR="00EF210F" w:rsidRPr="00F82296">
        <w:rPr>
          <w:rFonts w:ascii="Tahoma" w:hAnsi="Tahoma" w:cs="Tahoma"/>
        </w:rPr>
        <w:t xml:space="preserve">permite </w:t>
      </w:r>
      <w:r w:rsidRPr="00F82296">
        <w:rPr>
          <w:rFonts w:ascii="Tahoma" w:hAnsi="Tahoma" w:cs="Tahoma"/>
        </w:rPr>
        <w:t>la procedencia de la acción de tutela, excepcionalmente, para el reconocimiento de derechos pensionales, atendiendo factores tales como la edad, el estado de salud, las condiciones económicas y la forma en que está integrado el grupo familiar del actor, para determinar si exige del Estado una mayor protección, celeridad y diligencia en procura de salvaguardar sus derechos, no siendo oportuno s</w:t>
      </w:r>
      <w:r w:rsidR="00E15D14">
        <w:rPr>
          <w:rFonts w:ascii="Tahoma" w:hAnsi="Tahoma" w:cs="Tahoma"/>
        </w:rPr>
        <w:t>ometerlo a un proceso ordinario</w:t>
      </w:r>
      <w:r w:rsidRPr="00F82296">
        <w:rPr>
          <w:rFonts w:ascii="Tahoma" w:hAnsi="Tahoma" w:cs="Tahoma"/>
        </w:rPr>
        <w:t>, si acredita plenamente el cumplimiento de los requisitos para obtener la gracia pensional. Por tanto concluyó la Corte Co</w:t>
      </w:r>
      <w:r w:rsidR="00577535" w:rsidRPr="00F82296">
        <w:rPr>
          <w:rFonts w:ascii="Tahoma" w:hAnsi="Tahoma" w:cs="Tahoma"/>
        </w:rPr>
        <w:t>nstitucional:</w:t>
      </w:r>
    </w:p>
    <w:p w:rsidR="00266C22" w:rsidRPr="00266C22" w:rsidRDefault="00266C22" w:rsidP="00AF0591">
      <w:pPr>
        <w:spacing w:after="0" w:line="276" w:lineRule="auto"/>
        <w:ind w:right="51"/>
        <w:jc w:val="both"/>
        <w:rPr>
          <w:rFonts w:ascii="Tahoma" w:hAnsi="Tahoma" w:cs="Tahoma"/>
        </w:rPr>
      </w:pPr>
    </w:p>
    <w:p w:rsidR="00613490" w:rsidRDefault="004D2F2C" w:rsidP="00AF0591">
      <w:pPr>
        <w:spacing w:after="0" w:line="240" w:lineRule="auto"/>
        <w:ind w:left="709" w:right="334"/>
        <w:jc w:val="both"/>
        <w:rPr>
          <w:rFonts w:ascii="Arial Narrow" w:hAnsi="Arial Narrow" w:cstheme="minorHAnsi"/>
          <w:i/>
        </w:rPr>
      </w:pPr>
      <w:r w:rsidRPr="00495109">
        <w:rPr>
          <w:rFonts w:ascii="Arial Narrow" w:hAnsi="Arial Narrow" w:cs="Tahoma"/>
          <w:b/>
          <w:sz w:val="24"/>
          <w:szCs w:val="24"/>
        </w:rPr>
        <w:t xml:space="preserve"> </w:t>
      </w:r>
      <w:r w:rsidR="00613490" w:rsidRPr="00495109">
        <w:rPr>
          <w:rFonts w:ascii="Arial Narrow" w:hAnsi="Arial Narrow" w:cstheme="minorHAnsi"/>
          <w:b/>
          <w:i/>
        </w:rPr>
        <w:t>“</w:t>
      </w:r>
      <w:r w:rsidR="00613490" w:rsidRPr="00495109">
        <w:rPr>
          <w:rFonts w:ascii="Arial Narrow" w:hAnsi="Arial Narrow" w:cstheme="minorHAnsi"/>
          <w:i/>
        </w:rPr>
        <w:t>La procedencia excepcional de la acción de tutela en materia pensional</w:t>
      </w:r>
    </w:p>
    <w:p w:rsidR="00AF0591" w:rsidRPr="00495109" w:rsidRDefault="00AF0591" w:rsidP="00AF0591">
      <w:pPr>
        <w:spacing w:after="0" w:line="240" w:lineRule="auto"/>
        <w:ind w:left="709" w:right="334"/>
        <w:jc w:val="both"/>
        <w:rPr>
          <w:rFonts w:ascii="Arial Narrow" w:hAnsi="Arial Narrow" w:cstheme="minorHAnsi"/>
          <w:i/>
        </w:rPr>
      </w:pPr>
    </w:p>
    <w:p w:rsidR="00613490" w:rsidRDefault="00613490" w:rsidP="00AF0591">
      <w:pPr>
        <w:spacing w:after="0" w:line="240" w:lineRule="auto"/>
        <w:ind w:left="709" w:right="334"/>
        <w:jc w:val="both"/>
        <w:rPr>
          <w:rFonts w:ascii="Arial Narrow" w:hAnsi="Arial Narrow" w:cstheme="minorHAnsi"/>
          <w:i/>
        </w:rPr>
      </w:pPr>
      <w:r w:rsidRPr="00495109">
        <w:rPr>
          <w:rFonts w:ascii="Arial Narrow" w:hAnsi="Arial Narrow" w:cstheme="minorHAnsi"/>
          <w:i/>
        </w:rPr>
        <w:t xml:space="preserve">5. La Sentencia T-385 de 2012[5] ha recogido la línea jurisprudencial sobre las condiciones de procedencia excepcional de la acción tutela contra actos administrativos en materia pensional. La Corte Constitucional ha establecido, como regla general, que la solicitud de amparo no es el medio adecuado para controvertir actos administrativos en materia pensional, ya que existen mecanismos administrativos y judiciales para hacerlo. No obstante, este Tribunal ha aceptado la procedencia excepcional de la acción de tutela como mecanismo transitorio, en dos escenarios:“(i) [cuando] la actuación administrativa ha desconocido los derechos fundamentales, en especial los postulados que integran el derecho al debido proceso; y (ii) </w:t>
      </w:r>
      <w:r w:rsidRPr="00495109">
        <w:rPr>
          <w:rFonts w:ascii="Arial Narrow" w:hAnsi="Arial Narrow" w:cstheme="minorHAnsi"/>
          <w:i/>
        </w:rPr>
        <w:lastRenderedPageBreak/>
        <w:t>[cuando] los mecanismos judiciales ordinarios, llamados a corregir tales yerros, no resultan idóneos en el caso concreto o se está ante la estructuración de la inminencia de un perjuicio irremediable(…)”[6].</w:t>
      </w:r>
      <w:r w:rsidR="00C34A88">
        <w:rPr>
          <w:rFonts w:ascii="Arial Narrow" w:hAnsi="Arial Narrow" w:cstheme="minorHAnsi"/>
          <w:i/>
        </w:rPr>
        <w:t xml:space="preserve"> </w:t>
      </w:r>
    </w:p>
    <w:p w:rsidR="00AF0591" w:rsidRPr="00495109" w:rsidRDefault="00AF0591" w:rsidP="00AF0591">
      <w:pPr>
        <w:spacing w:after="0" w:line="240" w:lineRule="auto"/>
        <w:ind w:left="709" w:right="334"/>
        <w:jc w:val="both"/>
        <w:rPr>
          <w:rFonts w:ascii="Arial Narrow" w:hAnsi="Arial Narrow" w:cstheme="minorHAnsi"/>
          <w:i/>
        </w:rPr>
      </w:pPr>
    </w:p>
    <w:p w:rsidR="00613490" w:rsidRDefault="00613490" w:rsidP="00AF0591">
      <w:pPr>
        <w:spacing w:after="0" w:line="240" w:lineRule="auto"/>
        <w:ind w:left="709" w:right="334"/>
        <w:jc w:val="both"/>
        <w:rPr>
          <w:rFonts w:ascii="Arial Narrow" w:hAnsi="Arial Narrow" w:cstheme="minorHAnsi"/>
          <w:i/>
        </w:rPr>
      </w:pPr>
      <w:r w:rsidRPr="00495109">
        <w:rPr>
          <w:rFonts w:ascii="Arial Narrow" w:hAnsi="Arial Narrow" w:cstheme="minorHAnsi"/>
          <w:i/>
        </w:rPr>
        <w:t>6. En cuanto a la primera hipótesis, la eventual violación del derecho al debido proceso, la Sentencia T-571 de 2002[7] identificó dos circunstancias en las cuales el acto administrativo que resuelve una solicitud pensional es contrario a las garantías propias de este derecho:</w:t>
      </w:r>
    </w:p>
    <w:p w:rsidR="00AF0591" w:rsidRPr="00495109" w:rsidRDefault="00AF0591" w:rsidP="00AF0591">
      <w:pPr>
        <w:spacing w:after="0" w:line="240" w:lineRule="auto"/>
        <w:ind w:left="709" w:right="334"/>
        <w:jc w:val="both"/>
        <w:rPr>
          <w:rFonts w:ascii="Arial Narrow" w:hAnsi="Arial Narrow" w:cstheme="minorHAnsi"/>
          <w:i/>
        </w:rPr>
      </w:pPr>
    </w:p>
    <w:p w:rsidR="00613490" w:rsidRDefault="00613490" w:rsidP="00AF0591">
      <w:pPr>
        <w:spacing w:after="0" w:line="240" w:lineRule="auto"/>
        <w:ind w:left="709" w:right="334"/>
        <w:jc w:val="both"/>
        <w:rPr>
          <w:rFonts w:ascii="Arial Narrow" w:hAnsi="Arial Narrow" w:cstheme="minorHAnsi"/>
          <w:i/>
        </w:rPr>
      </w:pPr>
      <w:r w:rsidRPr="00495109">
        <w:rPr>
          <w:rFonts w:ascii="Arial Narrow" w:hAnsi="Arial Narrow" w:cstheme="minorHAnsi"/>
          <w:i/>
        </w:rPr>
        <w:t>“i. Cuando en el acto administrativo por medio del cual se define el reconocimiento de una pensión de jubilación se declara que el peticionario cumple con los requisitos establecidos por la ley para acceder al status de pensionado pero se le niega el reconocimiento del derecho por razones de trámite administrativo, por ejemplo la expedición del bono pensional.</w:t>
      </w:r>
    </w:p>
    <w:p w:rsidR="00AF0591" w:rsidRPr="00495109" w:rsidRDefault="00AF0591" w:rsidP="00AF0591">
      <w:pPr>
        <w:spacing w:after="0" w:line="240" w:lineRule="auto"/>
        <w:ind w:left="709" w:right="334"/>
        <w:jc w:val="both"/>
        <w:rPr>
          <w:rFonts w:ascii="Arial Narrow" w:hAnsi="Arial Narrow" w:cstheme="minorHAnsi"/>
          <w:i/>
        </w:rPr>
      </w:pPr>
    </w:p>
    <w:p w:rsidR="00613490" w:rsidRDefault="00613490" w:rsidP="00AF0591">
      <w:pPr>
        <w:spacing w:after="0" w:line="240" w:lineRule="auto"/>
        <w:ind w:left="709" w:right="334"/>
        <w:jc w:val="both"/>
        <w:rPr>
          <w:rFonts w:ascii="Arial Narrow" w:hAnsi="Arial Narrow" w:cstheme="minorHAnsi"/>
          <w:i/>
          <w:lang w:val="es-CO"/>
        </w:rPr>
      </w:pPr>
      <w:r w:rsidRPr="00495109">
        <w:rPr>
          <w:rFonts w:ascii="Arial Narrow" w:hAnsi="Arial Narrow" w:cstheme="minorHAnsi"/>
          <w:i/>
        </w:rPr>
        <w:t>ii. Cuando en el acto administrativo por medio del cual se define el reconocimiento de la pensión de jubilación se incurre en una omisión manifiesta al no aplicar las normas que corresponden al caso concreto o elige aplicar la norma menos favorable para el trabajador, en franca contradicción con la orden constitucional del principio de favorabilidad. Por ejemplo, cuando se desconoce la aplicación de un régimen especial o se omite aplicar el régimen de transición previsto en el sistema general de pensiones.” (</w:t>
      </w:r>
      <w:r w:rsidR="00264997" w:rsidRPr="00495109">
        <w:rPr>
          <w:rFonts w:ascii="Arial Narrow" w:hAnsi="Arial Narrow" w:cstheme="minorHAnsi"/>
          <w:i/>
        </w:rPr>
        <w:t>Negrilla</w:t>
      </w:r>
      <w:r w:rsidRPr="00495109">
        <w:rPr>
          <w:rFonts w:ascii="Arial Narrow" w:hAnsi="Arial Narrow" w:cstheme="minorHAnsi"/>
          <w:i/>
        </w:rPr>
        <w:t xml:space="preserve"> no original)</w:t>
      </w:r>
      <w:r w:rsidRPr="00495109">
        <w:rPr>
          <w:rFonts w:ascii="Arial Narrow" w:hAnsi="Arial Narrow" w:cstheme="minorHAnsi"/>
          <w:i/>
          <w:lang w:val="es-CO"/>
        </w:rPr>
        <w:t>7. Sobre la segunda hipótesis, la falta de idoneidad de los recursos existentes o la existencia de un perjuicio irremediable, la jurisprudencia ha establecido que “la procedencia de la acción de tutela contra actos administrativos es más estricta que contra decisiones judiciales, puesto que las controversias jurídicas que generen aquellos deben ser resueltas, de manera general y preferente, a través de los recursos judiciales contenciosos”[8]. En efecto, la Sentencia T-214 de 2004[9] señaló que:</w:t>
      </w:r>
    </w:p>
    <w:p w:rsidR="00AF0591" w:rsidRPr="00495109" w:rsidRDefault="00AF0591" w:rsidP="00AF0591">
      <w:pPr>
        <w:spacing w:after="0" w:line="240" w:lineRule="auto"/>
        <w:ind w:left="709" w:right="334"/>
        <w:jc w:val="both"/>
        <w:rPr>
          <w:rFonts w:ascii="Arial Narrow" w:hAnsi="Arial Narrow" w:cstheme="minorHAnsi"/>
          <w:i/>
          <w:lang w:val="es-CO"/>
        </w:rPr>
      </w:pPr>
    </w:p>
    <w:p w:rsidR="00613490" w:rsidRDefault="00613490" w:rsidP="00AF0591">
      <w:pPr>
        <w:spacing w:after="0" w:line="240" w:lineRule="auto"/>
        <w:ind w:left="709" w:right="334"/>
        <w:jc w:val="both"/>
        <w:rPr>
          <w:rFonts w:ascii="Arial Narrow" w:hAnsi="Arial Narrow" w:cstheme="minorHAnsi"/>
          <w:i/>
          <w:lang w:val="es-CO"/>
        </w:rPr>
      </w:pPr>
      <w:r w:rsidRPr="00495109">
        <w:rPr>
          <w:rFonts w:ascii="Arial Narrow" w:hAnsi="Arial Narrow" w:cstheme="minorHAnsi"/>
          <w:i/>
          <w:lang w:val="es-CO"/>
        </w:rPr>
        <w:t>“El recurso de amparo, como sucede en la hipótesis de protección de todos los derechos fundamentales, es subsidiario y residual, lo que implica que si la persona cuenta con un medio de defensa efectivo a su alcance o, habiendo contado con el mismo, de manera negligente lo ha dejado vencer, la tutela devendrá improcedente. En caso de existir otro medio de defensa, procede la tutela como mecanismo transitorio, para evitar un perjuicio irremediable”.</w:t>
      </w:r>
    </w:p>
    <w:p w:rsidR="00AF0591" w:rsidRPr="00495109" w:rsidRDefault="00AF0591" w:rsidP="00AF0591">
      <w:pPr>
        <w:spacing w:after="0" w:line="240" w:lineRule="auto"/>
        <w:ind w:left="709" w:right="334"/>
        <w:jc w:val="both"/>
        <w:rPr>
          <w:rFonts w:ascii="Arial Narrow" w:hAnsi="Arial Narrow" w:cstheme="minorHAnsi"/>
          <w:i/>
          <w:lang w:val="es-CO"/>
        </w:rPr>
      </w:pPr>
    </w:p>
    <w:p w:rsidR="00613490" w:rsidRDefault="00613490" w:rsidP="00AF0591">
      <w:pPr>
        <w:spacing w:after="0" w:line="240" w:lineRule="auto"/>
        <w:ind w:left="709" w:right="334"/>
        <w:jc w:val="both"/>
        <w:rPr>
          <w:rFonts w:ascii="Arial Narrow" w:hAnsi="Arial Narrow" w:cstheme="minorHAnsi"/>
          <w:i/>
          <w:lang w:val="es-CO"/>
        </w:rPr>
      </w:pPr>
      <w:r w:rsidRPr="00495109">
        <w:rPr>
          <w:rFonts w:ascii="Arial Narrow" w:hAnsi="Arial Narrow" w:cstheme="minorHAnsi"/>
          <w:i/>
          <w:lang w:val="es-CO"/>
        </w:rPr>
        <w:t>En ese sentido la falta de idoneidad de los recursos existentes deberá ser mínimamente probada o deducible de los hechos del caso y nunca podrá suplir la negligencia de quien no ha hecho uso oportuno de los mecanismos de defensa judicial que otorga el ordenamiento jurídico. Con todo,  no existe la obligación de iniciar el proceso ordinario antes de acudir a la acción de tutela, basta que la posibilidad esté abierta al interponer la demanda de tutela, pues si el accionante ha dejado vencer la oportunidad para iniciar el trámite del proceso ordinario, la tutela no procede como mecanismo transitorio.[10]</w:t>
      </w:r>
    </w:p>
    <w:p w:rsidR="00AF0591" w:rsidRPr="00495109" w:rsidRDefault="00AF0591" w:rsidP="00AF0591">
      <w:pPr>
        <w:spacing w:after="0" w:line="240" w:lineRule="auto"/>
        <w:ind w:left="709" w:right="334"/>
        <w:jc w:val="both"/>
        <w:rPr>
          <w:rFonts w:ascii="Arial Narrow" w:hAnsi="Arial Narrow" w:cstheme="minorHAnsi"/>
          <w:i/>
          <w:lang w:val="es-CO"/>
        </w:rPr>
      </w:pPr>
    </w:p>
    <w:p w:rsidR="00613490" w:rsidRDefault="00613490" w:rsidP="00AF0591">
      <w:pPr>
        <w:spacing w:after="0" w:line="240" w:lineRule="auto"/>
        <w:ind w:left="709" w:right="334"/>
        <w:jc w:val="both"/>
        <w:rPr>
          <w:rFonts w:ascii="Arial Narrow" w:hAnsi="Arial Narrow" w:cstheme="minorHAnsi"/>
          <w:i/>
          <w:lang w:val="es-CO"/>
        </w:rPr>
      </w:pPr>
      <w:r w:rsidRPr="00495109">
        <w:rPr>
          <w:rFonts w:ascii="Arial Narrow" w:hAnsi="Arial Narrow" w:cstheme="minorHAnsi"/>
          <w:i/>
          <w:lang w:val="es-CO"/>
        </w:rPr>
        <w:t>8. Por otra parte, la jurisprudencia constitucional ha caracterizado el perjuicio irremediable con los siguientes rasgos (i) inminencia, es decir, que la situación genera una amenaza que está por suceder prontamente; (ii) gravedad, esto es, que el daño o menoscabo material o moral sea de gran intensidad; (iii) necesidad urgente de protección; y (iv) carácter inaplazable de la acción de tutela para que realmente pueda garantizar el restablecimiento de los derechos fundamentales de manera integral.[11]</w:t>
      </w:r>
    </w:p>
    <w:p w:rsidR="00AF0591" w:rsidRPr="00495109" w:rsidRDefault="00AF0591" w:rsidP="00AF0591">
      <w:pPr>
        <w:spacing w:after="0" w:line="240" w:lineRule="auto"/>
        <w:ind w:left="709" w:right="334"/>
        <w:jc w:val="both"/>
        <w:rPr>
          <w:rFonts w:ascii="Arial Narrow" w:hAnsi="Arial Narrow" w:cstheme="minorHAnsi"/>
          <w:i/>
          <w:lang w:val="es-CO"/>
        </w:rPr>
      </w:pPr>
    </w:p>
    <w:p w:rsidR="005D0698" w:rsidRDefault="00613490" w:rsidP="00AF0591">
      <w:pPr>
        <w:spacing w:after="0" w:line="240" w:lineRule="auto"/>
        <w:ind w:left="709" w:right="334"/>
        <w:jc w:val="both"/>
        <w:rPr>
          <w:rFonts w:ascii="Arial Narrow" w:hAnsi="Arial Narrow" w:cstheme="minorHAnsi"/>
          <w:i/>
          <w:lang w:val="es-CO"/>
        </w:rPr>
      </w:pPr>
      <w:r w:rsidRPr="00495109">
        <w:rPr>
          <w:rFonts w:ascii="Arial Narrow" w:hAnsi="Arial Narrow" w:cstheme="minorHAnsi"/>
          <w:i/>
          <w:lang w:val="es-CO"/>
        </w:rPr>
        <w:t xml:space="preserve">En síntesis la Corte ha señalado de manera </w:t>
      </w:r>
      <w:r w:rsidR="006F43FA" w:rsidRPr="00495109">
        <w:rPr>
          <w:rFonts w:ascii="Arial Narrow" w:hAnsi="Arial Narrow" w:cstheme="minorHAnsi"/>
          <w:i/>
          <w:lang w:val="es-CO"/>
        </w:rPr>
        <w:t>reiterada [</w:t>
      </w:r>
      <w:r w:rsidRPr="00495109">
        <w:rPr>
          <w:rFonts w:ascii="Arial Narrow" w:hAnsi="Arial Narrow" w:cstheme="minorHAnsi"/>
          <w:i/>
          <w:lang w:val="es-CO"/>
        </w:rPr>
        <w:t>12] que, por regla general, la tutela no procede para ordenar el reconocimiento de pensiones ya que existen medios ordinarios idóneos para resolver dichas pretensiones. Si no se evidencia la vulneración de un derecho fundamental,[13] o la acción no se ha interpuesto para evitar un perjuicio irremediable,[14] no podría proceder un mecanismo constitucional de protección de los derechos de carácter excepcional, pues la acción de tutela no puede sustituir los mecanismos ordinarios establecidos en nuestro ordenamiento jurídico.[15]”</w:t>
      </w:r>
    </w:p>
    <w:p w:rsidR="00495109" w:rsidRPr="00F04FF2" w:rsidRDefault="00495109" w:rsidP="00AF0591">
      <w:pPr>
        <w:pStyle w:val="Prrafodelista"/>
        <w:autoSpaceDN w:val="0"/>
        <w:spacing w:after="0" w:line="276" w:lineRule="auto"/>
        <w:jc w:val="both"/>
        <w:rPr>
          <w:rFonts w:ascii="Tahoma" w:hAnsi="Tahoma" w:cs="Tahoma"/>
          <w:b/>
        </w:rPr>
      </w:pPr>
    </w:p>
    <w:p w:rsidR="00F04FF2" w:rsidRPr="00F04FF2" w:rsidRDefault="00F04FF2" w:rsidP="00AF0591">
      <w:pPr>
        <w:pStyle w:val="Prrafodelista"/>
        <w:numPr>
          <w:ilvl w:val="1"/>
          <w:numId w:val="7"/>
        </w:numPr>
        <w:autoSpaceDN w:val="0"/>
        <w:spacing w:after="0" w:line="276" w:lineRule="auto"/>
        <w:ind w:left="709" w:firstLine="11"/>
        <w:jc w:val="both"/>
        <w:rPr>
          <w:rFonts w:ascii="Tahoma" w:hAnsi="Tahoma" w:cs="Tahoma"/>
          <w:b/>
        </w:rPr>
      </w:pPr>
      <w:r w:rsidRPr="00F04FF2">
        <w:rPr>
          <w:rFonts w:ascii="Tahoma" w:hAnsi="Tahoma" w:cs="Tahoma"/>
          <w:b/>
        </w:rPr>
        <w:t>Posibilidad de aplicar a los maestros el régimen general en materia de pensión de sobrevivientes</w:t>
      </w:r>
    </w:p>
    <w:p w:rsidR="00F04FF2" w:rsidRPr="00F04FF2" w:rsidRDefault="00F04FF2" w:rsidP="00AF0591">
      <w:pPr>
        <w:pStyle w:val="Prrafodelista"/>
        <w:autoSpaceDN w:val="0"/>
        <w:spacing w:after="0" w:line="276" w:lineRule="auto"/>
        <w:jc w:val="both"/>
        <w:rPr>
          <w:rFonts w:ascii="Tahoma" w:hAnsi="Tahoma" w:cs="Tahoma"/>
          <w:b/>
        </w:rPr>
      </w:pPr>
    </w:p>
    <w:p w:rsidR="00AF0591" w:rsidRDefault="00C702DC" w:rsidP="00AF0591">
      <w:pPr>
        <w:spacing w:after="0"/>
        <w:ind w:firstLine="708"/>
        <w:jc w:val="both"/>
        <w:rPr>
          <w:rFonts w:ascii="Tahoma" w:hAnsi="Tahoma" w:cs="Tahoma"/>
          <w:lang w:val="es-CO"/>
        </w:rPr>
      </w:pPr>
      <w:r>
        <w:rPr>
          <w:rFonts w:ascii="Tahoma" w:hAnsi="Tahoma" w:cs="Tahoma"/>
        </w:rPr>
        <w:t>L</w:t>
      </w:r>
      <w:r w:rsidRPr="00EB3D6D">
        <w:rPr>
          <w:rFonts w:ascii="Tahoma" w:hAnsi="Tahoma" w:cs="Tahoma"/>
        </w:rPr>
        <w:t xml:space="preserve">a Corte Constitucional </w:t>
      </w:r>
      <w:r>
        <w:rPr>
          <w:rFonts w:ascii="Tahoma" w:hAnsi="Tahoma" w:cs="Tahoma"/>
        </w:rPr>
        <w:t>e</w:t>
      </w:r>
      <w:r w:rsidR="0036203C" w:rsidRPr="00EB3D6D">
        <w:rPr>
          <w:rFonts w:ascii="Tahoma" w:hAnsi="Tahoma" w:cs="Tahoma"/>
        </w:rPr>
        <w:t xml:space="preserve">n sentencia T 547 de 2012,  Magistrado Ponente  Nilson Pinilla Pinilla, </w:t>
      </w:r>
      <w:r w:rsidR="00AF0591">
        <w:rPr>
          <w:rFonts w:ascii="Tahoma" w:hAnsi="Tahoma" w:cs="Tahoma"/>
        </w:rPr>
        <w:t xml:space="preserve">advirtió </w:t>
      </w:r>
      <w:r w:rsidR="00EB3D6D" w:rsidRPr="00EB3D6D">
        <w:rPr>
          <w:rFonts w:ascii="Tahoma" w:hAnsi="Tahoma" w:cs="Tahoma"/>
        </w:rPr>
        <w:t>la posibilidad de aplicar a los maestros el régimen general en</w:t>
      </w:r>
      <w:r>
        <w:rPr>
          <w:rFonts w:ascii="Tahoma" w:hAnsi="Tahoma" w:cs="Tahoma"/>
        </w:rPr>
        <w:t xml:space="preserve"> materia de</w:t>
      </w:r>
      <w:r w:rsidR="00EB3D6D" w:rsidRPr="00EB3D6D">
        <w:rPr>
          <w:rFonts w:ascii="Tahoma" w:hAnsi="Tahoma" w:cs="Tahoma"/>
        </w:rPr>
        <w:t xml:space="preserve"> pensión de</w:t>
      </w:r>
      <w:r w:rsidR="00EB3D6D">
        <w:rPr>
          <w:rFonts w:ascii="Tahoma" w:hAnsi="Tahoma" w:cs="Tahoma"/>
        </w:rPr>
        <w:t xml:space="preserve"> sobrevivientes, </w:t>
      </w:r>
      <w:r>
        <w:rPr>
          <w:rFonts w:ascii="Tahoma" w:hAnsi="Tahoma" w:cs="Tahoma"/>
        </w:rPr>
        <w:t xml:space="preserve">considerando </w:t>
      </w:r>
      <w:r w:rsidR="00EB3D6D">
        <w:rPr>
          <w:rFonts w:ascii="Tahoma" w:hAnsi="Tahoma" w:cs="Tahoma"/>
        </w:rPr>
        <w:t>que</w:t>
      </w:r>
      <w:r w:rsidR="00EB3D6D" w:rsidRPr="00EB3D6D">
        <w:rPr>
          <w:rFonts w:ascii="Tahoma" w:hAnsi="Tahoma" w:cs="Tahoma"/>
        </w:rPr>
        <w:t xml:space="preserve"> el </w:t>
      </w:r>
      <w:r w:rsidR="00AF0591" w:rsidRPr="00EB3D6D">
        <w:rPr>
          <w:rFonts w:ascii="Tahoma" w:hAnsi="Tahoma" w:cs="Tahoma"/>
        </w:rPr>
        <w:t xml:space="preserve">Decreto </w:t>
      </w:r>
      <w:r w:rsidR="00EB3D6D" w:rsidRPr="00EB3D6D">
        <w:rPr>
          <w:rFonts w:ascii="Tahoma" w:hAnsi="Tahoma" w:cs="Tahoma"/>
        </w:rPr>
        <w:t>224 de 1972</w:t>
      </w:r>
      <w:r w:rsidR="00F0320E">
        <w:rPr>
          <w:rFonts w:ascii="Tahoma" w:hAnsi="Tahoma" w:cs="Tahoma"/>
        </w:rPr>
        <w:t xml:space="preserve"> desconoce el derecho a la igualdad que protege la Constitución </w:t>
      </w:r>
      <w:r w:rsidR="00AF0591">
        <w:rPr>
          <w:rFonts w:ascii="Tahoma" w:hAnsi="Tahoma" w:cs="Tahoma"/>
        </w:rPr>
        <w:t>Política</w:t>
      </w:r>
      <w:r w:rsidR="00F0320E">
        <w:rPr>
          <w:rFonts w:ascii="Tahoma" w:hAnsi="Tahoma" w:cs="Tahoma"/>
        </w:rPr>
        <w:t>,</w:t>
      </w:r>
      <w:r w:rsidR="00EB7219">
        <w:rPr>
          <w:rFonts w:ascii="Tahoma" w:hAnsi="Tahoma" w:cs="Tahoma"/>
        </w:rPr>
        <w:t xml:space="preserve"> citando para el efecto la postura del Consejo de Estado en el siguiente sentido:</w:t>
      </w:r>
    </w:p>
    <w:p w:rsidR="00EB3D6D" w:rsidRPr="003E6965" w:rsidRDefault="00EB3D6D" w:rsidP="00AF0591">
      <w:pPr>
        <w:spacing w:after="0"/>
        <w:ind w:firstLine="708"/>
        <w:jc w:val="both"/>
        <w:rPr>
          <w:rFonts w:ascii="Tahoma" w:hAnsi="Tahoma" w:cs="Tahoma"/>
          <w:lang w:val="es-CO"/>
        </w:rPr>
      </w:pPr>
      <w:r w:rsidRPr="003E6965">
        <w:rPr>
          <w:rFonts w:ascii="Tahoma" w:hAnsi="Tahoma" w:cs="Tahoma"/>
          <w:lang w:val="es-CO"/>
        </w:rPr>
        <w:t xml:space="preserve"> </w:t>
      </w:r>
    </w:p>
    <w:p w:rsidR="00922384"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 xml:space="preserve">6.1. El Consejo de Estado ha gestado una interpretación de la legislación en materia de pensión de sobrevivientes, a partir de la cual, debe aplicarse el régimen general cuando se cumplan los requisitos prescritos en la Ley 100 de 1993 sobre la materia, y se acredite que no cumple los presupuestos </w:t>
      </w:r>
      <w:r w:rsidRPr="00663D2B">
        <w:rPr>
          <w:rFonts w:ascii="Arial Narrow" w:hAnsi="Arial Narrow" w:cstheme="minorHAnsi"/>
          <w:i/>
        </w:rPr>
        <w:lastRenderedPageBreak/>
        <w:t>enunciados en el régimen especial; para el caso de los docentes, su regulación se halla prevista en el artículo 7° del Decreto 224 de 1</w:t>
      </w:r>
      <w:r w:rsidR="0003295D">
        <w:rPr>
          <w:rFonts w:ascii="Arial Narrow" w:hAnsi="Arial Narrow" w:cstheme="minorHAnsi"/>
          <w:i/>
        </w:rPr>
        <w:t>972, que consagra la pensión pos</w:t>
      </w:r>
      <w:r w:rsidRPr="00663D2B">
        <w:rPr>
          <w:rFonts w:ascii="Arial Narrow" w:hAnsi="Arial Narrow" w:cstheme="minorHAnsi"/>
          <w:i/>
        </w:rPr>
        <w:t>t mortem en los siguientes términos:</w:t>
      </w:r>
    </w:p>
    <w:p w:rsidR="00AF0591" w:rsidRPr="00663D2B" w:rsidRDefault="00AF0591" w:rsidP="00AF0591">
      <w:pPr>
        <w:spacing w:after="0" w:line="240" w:lineRule="auto"/>
        <w:ind w:left="709" w:right="476"/>
        <w:jc w:val="both"/>
        <w:rPr>
          <w:rFonts w:ascii="Arial Narrow" w:hAnsi="Arial Narrow" w:cstheme="minorHAnsi"/>
          <w:i/>
        </w:rPr>
      </w:pPr>
    </w:p>
    <w:p w:rsidR="00922384"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“Artículo 7º.- En caso de muerte de un docente que aún no haya cumplido el requisito de edad exigido para la obtención de la pensión, pero que hubiere trabajado como profesor en planteles oficiales por lo menos diez y ocho (18) años continuos o discontinuos, el cónyuge y los hijos menores tendrán derecho a que por la respectiva entidad de previsión se pague una pensión equivalente al 75% de la asignación mensual fijada para el cargo que desempeñaba el docente al tiempo de la muerte mientras aquel no contraiga nuevas nupcias o el hijo menor cumpla la mayoría de edad y por un tiempo máximo de cinco (5) años” (no está en negrilla en el texto original).</w:t>
      </w:r>
      <w:r w:rsidR="0003295D">
        <w:rPr>
          <w:rFonts w:ascii="Arial Narrow" w:hAnsi="Arial Narrow" w:cstheme="minorHAnsi"/>
          <w:i/>
        </w:rPr>
        <w:t xml:space="preserve"> </w:t>
      </w:r>
    </w:p>
    <w:p w:rsidR="00AF0591" w:rsidRPr="00663D2B" w:rsidRDefault="00AF0591" w:rsidP="00AF0591">
      <w:pPr>
        <w:spacing w:after="0" w:line="240" w:lineRule="auto"/>
        <w:ind w:left="709" w:right="476"/>
        <w:jc w:val="both"/>
        <w:rPr>
          <w:rFonts w:ascii="Arial Narrow" w:hAnsi="Arial Narrow" w:cstheme="minorHAnsi"/>
          <w:i/>
        </w:rPr>
      </w:pPr>
    </w:p>
    <w:p w:rsidR="00922384"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 xml:space="preserve">6.2. Por su parte, los artículos 46 y 47 de la Ley 100 de 1993, modificada por la Ley 797 de 2003, prescriben el orden de beneficiarios de la pensión y los requisitos que éstos deben acreditar para acceder a ella, así como la cuantía correspondiente de acuerdo con el número de semanas cotizadas, de las personas cobijadas por el régimen general. En este orden, tienen derecho a la pensión de sobrevivientes los miembros del grupo familiar del afiliado que fallezca, siempre que cumpla alguno de los siguientes requisitos: i) que el afiliado se encuentre cotizando al sistema y tenga por lo menos cincuenta (50) semanas al momento de la muerte; y ii) que habiendo dejado de cotizar al sistema, </w:t>
      </w:r>
      <w:r w:rsidR="0003295D">
        <w:rPr>
          <w:rFonts w:ascii="Arial Narrow" w:hAnsi="Arial Narrow" w:cstheme="minorHAnsi"/>
          <w:i/>
        </w:rPr>
        <w:t>haya</w:t>
      </w:r>
      <w:r w:rsidRPr="00663D2B">
        <w:rPr>
          <w:rFonts w:ascii="Arial Narrow" w:hAnsi="Arial Narrow" w:cstheme="minorHAnsi"/>
          <w:i/>
        </w:rPr>
        <w:t xml:space="preserve"> efectuado aportes durante por lo menos cincuenta (50) semanas dentro de los tres (3) últimos años anteriores al momento de la muerte.</w:t>
      </w:r>
    </w:p>
    <w:p w:rsidR="00AF0591" w:rsidRPr="00663D2B" w:rsidRDefault="00AF0591" w:rsidP="00AF0591">
      <w:pPr>
        <w:spacing w:after="0" w:line="240" w:lineRule="auto"/>
        <w:ind w:left="709" w:right="476"/>
        <w:jc w:val="both"/>
        <w:rPr>
          <w:rFonts w:ascii="Arial Narrow" w:hAnsi="Arial Narrow" w:cstheme="minorHAnsi"/>
          <w:i/>
        </w:rPr>
      </w:pPr>
    </w:p>
    <w:p w:rsidR="00922384"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6.3. Contrastados los regímenes especial y general, se observa que, aunque regulan la misma materia y tienen la misma naturaleza, se presenta una marcada diferencia en cuanto a los requisitos para acceder a la pensión de sobrevivientes, puesto que el Decreto 224 de 1972 exige la prestación del servicio del docente por más de 18 años, la Ley 100 de 1993, sin embargo, resulta más benéfica, al requerir 50 semanas de cotización dentro de los tres (3) últimos años anteriores a su muerte.</w:t>
      </w:r>
    </w:p>
    <w:p w:rsidR="00AF0591" w:rsidRPr="00663D2B" w:rsidRDefault="00AF0591" w:rsidP="00AF0591">
      <w:pPr>
        <w:spacing w:after="0" w:line="240" w:lineRule="auto"/>
        <w:ind w:left="709" w:right="476"/>
        <w:jc w:val="both"/>
        <w:rPr>
          <w:rFonts w:ascii="Arial Narrow" w:hAnsi="Arial Narrow" w:cstheme="minorHAnsi"/>
          <w:i/>
        </w:rPr>
      </w:pPr>
    </w:p>
    <w:p w:rsidR="008A09A4"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6.4. Evidenciado este desequilibrio sustancial, y acorde con la línea jurisprudencial de la Corte Constitucional, el Consejo de Estado determinó que, con base en el principio de favorabilidad, debía privilegiarse aquella interpretación que resulte más protectora de los derechos de los trabajadores y de sus familias, de manera que se aplique el régimen especial cuando este resulte más provechoso para los demandantes, o por el contrario, el régimen general si de allí se deduce una situación más conveniente o beneficiosa, advirtiendo que la aplicación de uno u otro debe ser integral fundado en el principio de ines</w:t>
      </w:r>
      <w:r w:rsidR="00663D2B">
        <w:rPr>
          <w:rFonts w:ascii="Arial Narrow" w:hAnsi="Arial Narrow" w:cstheme="minorHAnsi"/>
          <w:i/>
        </w:rPr>
        <w:t>cindibilidad en materia laboral.</w:t>
      </w:r>
    </w:p>
    <w:p w:rsidR="00AF0591" w:rsidRDefault="00AF0591" w:rsidP="00AF0591">
      <w:pPr>
        <w:spacing w:after="0" w:line="240" w:lineRule="auto"/>
        <w:ind w:left="709" w:right="476"/>
        <w:jc w:val="both"/>
        <w:rPr>
          <w:rFonts w:ascii="Arial Narrow" w:hAnsi="Arial Narrow" w:cstheme="minorHAnsi"/>
          <w:i/>
        </w:rPr>
      </w:pPr>
    </w:p>
    <w:p w:rsidR="00AF0591" w:rsidRPr="00EB7219" w:rsidRDefault="00EB7219" w:rsidP="00AF0591">
      <w:pPr>
        <w:spacing w:after="0" w:line="240" w:lineRule="auto"/>
        <w:ind w:left="709" w:right="476"/>
        <w:jc w:val="both"/>
        <w:rPr>
          <w:rFonts w:ascii="Tahoma" w:hAnsi="Tahoma" w:cs="Tahoma"/>
        </w:rPr>
      </w:pPr>
      <w:r w:rsidRPr="00EB7219">
        <w:rPr>
          <w:rFonts w:ascii="Tahoma" w:hAnsi="Tahoma" w:cs="Tahoma"/>
        </w:rPr>
        <w:t>Más adelante concluyó:</w:t>
      </w:r>
    </w:p>
    <w:p w:rsidR="00EB7219" w:rsidRPr="00663D2B" w:rsidRDefault="00EB7219" w:rsidP="00AF0591">
      <w:pPr>
        <w:spacing w:after="0" w:line="240" w:lineRule="auto"/>
        <w:ind w:left="709" w:right="476"/>
        <w:jc w:val="both"/>
        <w:rPr>
          <w:rFonts w:ascii="Arial Narrow" w:hAnsi="Arial Narrow" w:cstheme="minorHAnsi"/>
          <w:i/>
        </w:rPr>
      </w:pPr>
    </w:p>
    <w:p w:rsidR="00266C22" w:rsidRDefault="00922384" w:rsidP="00AF0591">
      <w:pPr>
        <w:spacing w:after="0" w:line="240" w:lineRule="auto"/>
        <w:ind w:left="709" w:right="476"/>
        <w:jc w:val="both"/>
        <w:rPr>
          <w:rFonts w:ascii="Arial Narrow" w:hAnsi="Arial Narrow" w:cstheme="minorHAnsi"/>
          <w:i/>
        </w:rPr>
      </w:pPr>
      <w:r w:rsidRPr="00663D2B">
        <w:rPr>
          <w:rFonts w:ascii="Arial Narrow" w:hAnsi="Arial Narrow" w:cstheme="minorHAnsi"/>
          <w:i/>
        </w:rPr>
        <w:t>6.6. Así las cosas, el Consejo de Estado, acorde con los criterios expuestos por la Corte Constitucional y con el principio de favorabilidad, ha definido que el régimen especial en materia de pensión pos mortem prescrito en el artículo 7° del Decreto 224 de 1972, sólo debe ser aplicado cuando resulte conveniente para el grupo de beneficiarios del docente. Por el contrario, cuando de la aplicación del régimen especial se produce un tratamiento discriminatorio, se ha de privilegiar la aplicación de los enunciados normativos de la Ley 100 de 1993 que otorga la pensión de sobrevivientes con requisitos menos onerosos.</w:t>
      </w:r>
      <w:r w:rsidR="00663D2B">
        <w:rPr>
          <w:rFonts w:ascii="Arial Narrow" w:hAnsi="Arial Narrow" w:cstheme="minorHAnsi"/>
          <w:i/>
        </w:rPr>
        <w:t>”</w:t>
      </w:r>
    </w:p>
    <w:p w:rsidR="00605E91" w:rsidRDefault="00605E91" w:rsidP="00605E91">
      <w:pPr>
        <w:spacing w:after="0" w:line="240" w:lineRule="auto"/>
        <w:ind w:left="709" w:right="476"/>
        <w:jc w:val="both"/>
        <w:rPr>
          <w:rFonts w:ascii="Arial Narrow" w:hAnsi="Arial Narrow" w:cstheme="minorHAnsi"/>
          <w:i/>
        </w:rPr>
      </w:pPr>
    </w:p>
    <w:p w:rsidR="00605E91" w:rsidRDefault="00605E91" w:rsidP="00605E91">
      <w:pPr>
        <w:spacing w:after="0" w:line="240" w:lineRule="auto"/>
        <w:ind w:left="709" w:right="476"/>
        <w:jc w:val="both"/>
        <w:rPr>
          <w:rFonts w:ascii="Arial Narrow" w:hAnsi="Arial Narrow" w:cstheme="minorHAnsi"/>
          <w:i/>
        </w:rPr>
      </w:pPr>
    </w:p>
    <w:p w:rsidR="00605E91" w:rsidRDefault="00605E91" w:rsidP="00605E91">
      <w:pPr>
        <w:spacing w:after="0" w:line="240" w:lineRule="auto"/>
        <w:ind w:left="709" w:right="476"/>
        <w:jc w:val="both"/>
        <w:rPr>
          <w:rFonts w:ascii="Arial Narrow" w:hAnsi="Arial Narrow" w:cstheme="minorHAnsi"/>
          <w:i/>
        </w:rPr>
      </w:pPr>
    </w:p>
    <w:p w:rsidR="00605E91" w:rsidRPr="00605E91" w:rsidRDefault="00605E91" w:rsidP="00605E91">
      <w:pPr>
        <w:pStyle w:val="Prrafodelista"/>
        <w:numPr>
          <w:ilvl w:val="1"/>
          <w:numId w:val="7"/>
        </w:numPr>
        <w:autoSpaceDN w:val="0"/>
        <w:spacing w:after="0" w:line="276" w:lineRule="auto"/>
        <w:ind w:left="709" w:firstLine="11"/>
        <w:jc w:val="both"/>
        <w:rPr>
          <w:rFonts w:ascii="Tahoma" w:eastAsia="Times New Roman" w:hAnsi="Tahoma" w:cs="Tahoma"/>
          <w:b/>
          <w:sz w:val="24"/>
          <w:szCs w:val="24"/>
          <w:lang w:eastAsia="es-ES"/>
        </w:rPr>
      </w:pPr>
      <w:r>
        <w:rPr>
          <w:rFonts w:ascii="Tahoma" w:eastAsia="Times New Roman" w:hAnsi="Tahoma" w:cs="Tahoma"/>
          <w:b/>
          <w:sz w:val="24"/>
          <w:szCs w:val="24"/>
          <w:lang w:eastAsia="es-ES"/>
        </w:rPr>
        <w:t xml:space="preserve">Carga de la prueba cuando se alega un trato discriminatorio: </w:t>
      </w:r>
    </w:p>
    <w:p w:rsidR="00605E91" w:rsidRDefault="00605E91" w:rsidP="00605E91">
      <w:pPr>
        <w:spacing w:after="0" w:line="319" w:lineRule="atLeast"/>
        <w:jc w:val="both"/>
        <w:rPr>
          <w:rFonts w:ascii="Tahoma" w:eastAsia="Times New Roman" w:hAnsi="Tahoma" w:cs="Tahoma"/>
          <w:sz w:val="24"/>
          <w:szCs w:val="24"/>
          <w:lang w:eastAsia="es-ES"/>
        </w:rPr>
      </w:pPr>
    </w:p>
    <w:p w:rsidR="00605E91" w:rsidRPr="00605E91" w:rsidRDefault="00605E91" w:rsidP="00605E91">
      <w:pPr>
        <w:spacing w:after="0" w:line="276" w:lineRule="auto"/>
        <w:ind w:firstLine="708"/>
        <w:jc w:val="both"/>
        <w:rPr>
          <w:rFonts w:ascii="Tahoma" w:eastAsia="Times New Roman" w:hAnsi="Tahoma" w:cs="Tahoma"/>
          <w:lang w:eastAsia="es-ES"/>
        </w:rPr>
      </w:pPr>
      <w:r w:rsidRPr="00605E91">
        <w:rPr>
          <w:rFonts w:ascii="Tahoma" w:eastAsia="Times New Roman" w:hAnsi="Tahoma" w:cs="Tahoma"/>
          <w:lang w:eastAsia="es-ES"/>
        </w:rPr>
        <w:t>La Corte Constitucional reiteradamente ha establecido que la carga probatoria no puede recaer exclusivamente sobre la persona que alega ser víctima de discriminación por cuanto esto resultaría inequívoco y contrario al derecho de acceso a la justicia, tal como lo sostuvo en la Sentencia  T-247/10, así:</w:t>
      </w:r>
    </w:p>
    <w:p w:rsidR="00605E91" w:rsidRPr="00605E91" w:rsidRDefault="00605E91" w:rsidP="00605E91">
      <w:pPr>
        <w:spacing w:after="0" w:line="276" w:lineRule="auto"/>
        <w:jc w:val="both"/>
        <w:rPr>
          <w:rFonts w:ascii="Calibri" w:eastAsia="Times New Roman" w:hAnsi="Calibri" w:cs="Times New Roman"/>
          <w:lang w:eastAsia="es-ES"/>
        </w:rPr>
      </w:pPr>
    </w:p>
    <w:p w:rsidR="00605E91" w:rsidRPr="00605E91" w:rsidRDefault="00605E91" w:rsidP="00605E91">
      <w:pPr>
        <w:spacing w:after="0" w:line="276" w:lineRule="auto"/>
        <w:ind w:left="708"/>
        <w:jc w:val="both"/>
        <w:rPr>
          <w:rFonts w:ascii="Times New Roman" w:eastAsia="Times New Roman" w:hAnsi="Times New Roman" w:cs="Times New Roman"/>
          <w:i/>
          <w:iCs/>
          <w:lang w:eastAsia="es-ES"/>
        </w:rPr>
      </w:pPr>
      <w:r w:rsidRPr="00605E91">
        <w:rPr>
          <w:rFonts w:ascii="Times New Roman" w:eastAsia="Times New Roman" w:hAnsi="Times New Roman" w:cs="Times New Roman"/>
          <w:lang w:eastAsia="es-ES"/>
        </w:rPr>
        <w:t>“</w:t>
      </w:r>
      <w:r w:rsidRPr="00605E91">
        <w:rPr>
          <w:rFonts w:ascii="Times New Roman" w:eastAsia="Times New Roman" w:hAnsi="Times New Roman" w:cs="Times New Roman"/>
          <w:i/>
          <w:iCs/>
          <w:lang w:eastAsia="es-ES"/>
        </w:rPr>
        <w:t xml:space="preserve">En los eventos de presunta discriminación resultaría inequitativo y contrario al derecho de acceso a la justicia que la carga probatoria recayera exclusivamente sobre la persona que alega ser víctima de dicha discriminación, por cuanto es casi imposible probar elementos intencionales por parte de quien realizó la acción presuntamente discriminatoria. En estas oportunidades la protección material del derecho obliga a otorgar un papel especial a los indicios que surjan de lo recaudado en el expediente y, como antes se indicó, colocan una carga probatoria especial en el acusado, pues estará obligado a demostrar que su conducta es claramente garantista del derecho de igualdad y, </w:t>
      </w:r>
      <w:r w:rsidRPr="00605E91">
        <w:rPr>
          <w:rFonts w:ascii="Times New Roman" w:eastAsia="Times New Roman" w:hAnsi="Times New Roman" w:cs="Times New Roman"/>
          <w:i/>
          <w:iCs/>
          <w:lang w:eastAsia="es-ES"/>
        </w:rPr>
        <w:lastRenderedPageBreak/>
        <w:t>por consiguiente, se aleja por completo de cualquier parámetro que se considere discriminatorio para los sujetos directamente afectados”.</w:t>
      </w:r>
    </w:p>
    <w:p w:rsidR="00605E91" w:rsidRPr="00605E91" w:rsidRDefault="00605E91" w:rsidP="00AF0591">
      <w:pPr>
        <w:spacing w:after="0" w:line="240" w:lineRule="auto"/>
        <w:ind w:left="709" w:right="476"/>
        <w:jc w:val="both"/>
        <w:rPr>
          <w:rFonts w:ascii="Arial Narrow" w:hAnsi="Arial Narrow" w:cstheme="minorHAnsi"/>
        </w:rPr>
      </w:pPr>
    </w:p>
    <w:p w:rsidR="00E53D78" w:rsidRPr="00BE3D77" w:rsidRDefault="00E53D78" w:rsidP="00AF0591">
      <w:pPr>
        <w:spacing w:after="0" w:line="240" w:lineRule="auto"/>
        <w:jc w:val="both"/>
        <w:rPr>
          <w:rFonts w:ascii="Arial Narrow" w:hAnsi="Arial Narrow" w:cstheme="minorHAnsi"/>
          <w:i/>
        </w:rPr>
      </w:pPr>
    </w:p>
    <w:p w:rsidR="003718EF" w:rsidRDefault="007D3A2D" w:rsidP="00AF0591">
      <w:pPr>
        <w:pStyle w:val="Prrafodelista"/>
        <w:numPr>
          <w:ilvl w:val="1"/>
          <w:numId w:val="7"/>
        </w:numPr>
        <w:autoSpaceDN w:val="0"/>
        <w:spacing w:after="0" w:line="276" w:lineRule="auto"/>
        <w:ind w:left="709" w:firstLine="11"/>
        <w:jc w:val="both"/>
        <w:rPr>
          <w:rFonts w:ascii="Tahoma" w:hAnsi="Tahoma" w:cs="Tahoma"/>
          <w:b/>
        </w:rPr>
      </w:pPr>
      <w:r w:rsidRPr="005F0DE0">
        <w:rPr>
          <w:rFonts w:ascii="Tahoma" w:hAnsi="Tahoma" w:cs="Tahoma"/>
          <w:b/>
        </w:rPr>
        <w:t>Caso concreto</w:t>
      </w:r>
    </w:p>
    <w:p w:rsidR="007B0EDA" w:rsidRPr="00CD393F" w:rsidRDefault="007B0EDA" w:rsidP="00AF0591">
      <w:pPr>
        <w:autoSpaceDN w:val="0"/>
        <w:spacing w:after="0" w:line="276" w:lineRule="auto"/>
        <w:jc w:val="both"/>
        <w:rPr>
          <w:rFonts w:ascii="Tahoma" w:hAnsi="Tahoma" w:cs="Tahoma"/>
          <w:b/>
        </w:rPr>
      </w:pPr>
    </w:p>
    <w:p w:rsidR="00A47C93" w:rsidRDefault="00A47C93" w:rsidP="00AF0591">
      <w:pPr>
        <w:pStyle w:val="Sinespaciado"/>
        <w:spacing w:line="276" w:lineRule="auto"/>
        <w:ind w:firstLine="708"/>
        <w:jc w:val="both"/>
        <w:rPr>
          <w:rFonts w:ascii="Tahoma" w:hAnsi="Tahoma" w:cs="Tahoma"/>
        </w:rPr>
      </w:pPr>
      <w:r w:rsidRPr="00C17F64">
        <w:rPr>
          <w:rFonts w:ascii="Tahoma" w:hAnsi="Tahoma" w:cs="Tahoma"/>
        </w:rPr>
        <w:t>En el caso que ocupa la atención de la Sala, se acude a la vía de tutela con el propósito que se proteja</w:t>
      </w:r>
      <w:r>
        <w:rPr>
          <w:rFonts w:ascii="Tahoma" w:hAnsi="Tahoma" w:cs="Tahoma"/>
        </w:rPr>
        <w:t>n</w:t>
      </w:r>
      <w:r w:rsidRPr="00C17F64">
        <w:rPr>
          <w:rFonts w:ascii="Tahoma" w:hAnsi="Tahoma" w:cs="Tahoma"/>
        </w:rPr>
        <w:t xml:space="preserve"> los derechos fundamentales </w:t>
      </w:r>
      <w:r>
        <w:rPr>
          <w:rFonts w:ascii="Tahoma" w:hAnsi="Tahoma" w:cs="Tahoma"/>
        </w:rPr>
        <w:t xml:space="preserve">a la </w:t>
      </w:r>
      <w:r w:rsidRPr="00A47C93">
        <w:rPr>
          <w:rFonts w:ascii="Tahoma" w:hAnsi="Tahoma" w:cs="Tahoma"/>
          <w:bCs/>
        </w:rPr>
        <w:t>igualdad, debido proceso administrativo en igualdad de condiciones, seguridad, mínimo vital</w:t>
      </w:r>
      <w:r w:rsidRPr="005F0DE0">
        <w:rPr>
          <w:rFonts w:ascii="Tahoma" w:hAnsi="Tahoma" w:cs="Tahoma"/>
          <w:b/>
          <w:bCs/>
        </w:rPr>
        <w:t xml:space="preserve">  </w:t>
      </w:r>
      <w:r w:rsidRPr="005F0DE0">
        <w:rPr>
          <w:rFonts w:ascii="Tahoma" w:hAnsi="Tahoma" w:cs="Tahoma"/>
          <w:bCs/>
        </w:rPr>
        <w:t>y el derecho al reconocimiento de la pensión de sobrevivientes</w:t>
      </w:r>
      <w:r>
        <w:rPr>
          <w:rFonts w:ascii="Tahoma" w:hAnsi="Tahoma" w:cs="Tahoma"/>
        </w:rPr>
        <w:t xml:space="preserve"> del señor Hernando Pinzón Rodríguez, </w:t>
      </w:r>
      <w:r w:rsidR="00A05D6A">
        <w:rPr>
          <w:rFonts w:ascii="Tahoma" w:hAnsi="Tahoma" w:cs="Tahoma"/>
        </w:rPr>
        <w:t>toda vez que considera que lo</w:t>
      </w:r>
      <w:r w:rsidRPr="00C17F64">
        <w:rPr>
          <w:rFonts w:ascii="Tahoma" w:hAnsi="Tahoma" w:cs="Tahoma"/>
        </w:rPr>
        <w:t xml:space="preserve">s </w:t>
      </w:r>
      <w:r>
        <w:rPr>
          <w:rFonts w:ascii="Tahoma" w:hAnsi="Tahoma" w:cs="Tahoma"/>
        </w:rPr>
        <w:t xml:space="preserve">actos administrativos </w:t>
      </w:r>
      <w:r w:rsidR="00A05D6A">
        <w:rPr>
          <w:rFonts w:ascii="Tahoma" w:hAnsi="Tahoma" w:cs="Tahoma"/>
        </w:rPr>
        <w:t xml:space="preserve">en los </w:t>
      </w:r>
      <w:r>
        <w:rPr>
          <w:rFonts w:ascii="Tahoma" w:hAnsi="Tahoma" w:cs="Tahoma"/>
        </w:rPr>
        <w:t xml:space="preserve">que </w:t>
      </w:r>
      <w:r w:rsidR="00A05D6A">
        <w:rPr>
          <w:rFonts w:ascii="Tahoma" w:hAnsi="Tahoma" w:cs="Tahoma"/>
        </w:rPr>
        <w:t xml:space="preserve">le </w:t>
      </w:r>
      <w:r>
        <w:rPr>
          <w:rFonts w:ascii="Tahoma" w:hAnsi="Tahoma" w:cs="Tahoma"/>
        </w:rPr>
        <w:t>niegan la pensión de sobrevivientes v</w:t>
      </w:r>
      <w:r w:rsidRPr="00C17F64">
        <w:rPr>
          <w:rFonts w:ascii="Tahoma" w:hAnsi="Tahoma" w:cs="Tahoma"/>
        </w:rPr>
        <w:t>ulneran</w:t>
      </w:r>
      <w:r>
        <w:rPr>
          <w:rFonts w:ascii="Tahoma" w:hAnsi="Tahoma" w:cs="Tahoma"/>
        </w:rPr>
        <w:t xml:space="preserve"> los referidos derechos.</w:t>
      </w:r>
    </w:p>
    <w:p w:rsidR="0036203C" w:rsidRDefault="0036203C" w:rsidP="00AF0591">
      <w:pPr>
        <w:pStyle w:val="Sinespaciado"/>
        <w:spacing w:line="276" w:lineRule="auto"/>
        <w:ind w:firstLine="708"/>
        <w:jc w:val="both"/>
        <w:rPr>
          <w:rFonts w:ascii="Tahoma" w:hAnsi="Tahoma" w:cs="Tahoma"/>
        </w:rPr>
      </w:pPr>
    </w:p>
    <w:p w:rsidR="00C809A5" w:rsidRDefault="00AA451A" w:rsidP="00AF0591">
      <w:pPr>
        <w:spacing w:after="0" w:line="276" w:lineRule="auto"/>
        <w:ind w:firstLine="709"/>
        <w:jc w:val="both"/>
        <w:rPr>
          <w:rFonts w:ascii="Tahoma" w:hAnsi="Tahoma" w:cs="Tahoma"/>
          <w:szCs w:val="24"/>
        </w:rPr>
      </w:pPr>
      <w:r>
        <w:rPr>
          <w:rFonts w:ascii="Tahoma" w:hAnsi="Tahoma" w:cs="Tahoma"/>
          <w:szCs w:val="24"/>
        </w:rPr>
        <w:t>Revisada la prueba documental, la Sala encuentra probados los siguientes hechos:</w:t>
      </w:r>
    </w:p>
    <w:p w:rsidR="00AA451A" w:rsidRDefault="00AA451A" w:rsidP="00AF0591">
      <w:pPr>
        <w:spacing w:after="0" w:line="276" w:lineRule="auto"/>
        <w:ind w:firstLine="709"/>
        <w:jc w:val="both"/>
        <w:rPr>
          <w:rFonts w:ascii="Tahoma" w:hAnsi="Tahoma" w:cs="Tahoma"/>
          <w:szCs w:val="24"/>
        </w:rPr>
      </w:pPr>
    </w:p>
    <w:p w:rsidR="00E330ED" w:rsidRDefault="00AA451A" w:rsidP="00FA4676">
      <w:pPr>
        <w:pStyle w:val="Prrafodelista"/>
        <w:numPr>
          <w:ilvl w:val="1"/>
          <w:numId w:val="2"/>
        </w:numPr>
        <w:spacing w:after="0" w:line="276" w:lineRule="auto"/>
        <w:jc w:val="both"/>
        <w:rPr>
          <w:rFonts w:ascii="Tahoma" w:hAnsi="Tahoma" w:cs="Tahoma"/>
          <w:szCs w:val="24"/>
        </w:rPr>
      </w:pPr>
      <w:r>
        <w:rPr>
          <w:rFonts w:ascii="Tahoma" w:hAnsi="Tahoma" w:cs="Tahoma"/>
          <w:szCs w:val="24"/>
        </w:rPr>
        <w:t xml:space="preserve">Que el actor tiene la calidad de </w:t>
      </w:r>
      <w:r w:rsidRPr="007B7C91">
        <w:rPr>
          <w:rFonts w:ascii="Tahoma" w:hAnsi="Tahoma" w:cs="Tahoma"/>
          <w:b/>
          <w:szCs w:val="24"/>
        </w:rPr>
        <w:t>compañero permanente</w:t>
      </w:r>
      <w:r>
        <w:rPr>
          <w:rFonts w:ascii="Tahoma" w:hAnsi="Tahoma" w:cs="Tahoma"/>
          <w:szCs w:val="24"/>
        </w:rPr>
        <w:t xml:space="preserve"> de la causante OLGA BEATRIZ HENAO RODRIGUEZ, conforme se expresa en la sentencia del 2 de marzo de 2016, proferida por el Juzgado de Familia de Dosquebradas (Risaralda), mediante la cual se declaró que entre la pareja existió una Unión marital de hecho y una sociedad patrimonial entre compañeros permanentes desde el 13 de enero de 1992 hasta el 5 de marzo de 2015 (fecha de fallecimiento de la Sra. HENAO RODRIGUEZ) (folios 47 a 49). </w:t>
      </w:r>
      <w:r w:rsidR="008C3714">
        <w:rPr>
          <w:rFonts w:ascii="Tahoma" w:hAnsi="Tahoma" w:cs="Tahoma"/>
          <w:szCs w:val="24"/>
        </w:rPr>
        <w:t xml:space="preserve">Sobre tal calidad </w:t>
      </w:r>
      <w:r w:rsidR="008C3714">
        <w:rPr>
          <w:rFonts w:ascii="Tahoma" w:hAnsi="Tahoma" w:cs="Tahoma"/>
          <w:szCs w:val="24"/>
        </w:rPr>
        <w:softHyphen/>
      </w:r>
      <w:r w:rsidR="008C3714" w:rsidRPr="00FA4676">
        <w:rPr>
          <w:rFonts w:ascii="Tahoma" w:hAnsi="Tahoma" w:cs="Tahoma"/>
          <w:i/>
          <w:szCs w:val="24"/>
        </w:rPr>
        <w:t>–la de compañero permane</w:t>
      </w:r>
      <w:r w:rsidR="00FA4676">
        <w:rPr>
          <w:rFonts w:ascii="Tahoma" w:hAnsi="Tahoma" w:cs="Tahoma"/>
          <w:i/>
          <w:szCs w:val="24"/>
        </w:rPr>
        <w:t>n</w:t>
      </w:r>
      <w:r w:rsidR="008C3714" w:rsidRPr="00FA4676">
        <w:rPr>
          <w:rFonts w:ascii="Tahoma" w:hAnsi="Tahoma" w:cs="Tahoma"/>
          <w:i/>
          <w:szCs w:val="24"/>
        </w:rPr>
        <w:t>te-</w:t>
      </w:r>
      <w:r w:rsidR="008C3714">
        <w:rPr>
          <w:rFonts w:ascii="Tahoma" w:hAnsi="Tahoma" w:cs="Tahoma"/>
          <w:szCs w:val="24"/>
        </w:rPr>
        <w:t xml:space="preserve"> </w:t>
      </w:r>
      <w:r w:rsidR="00FA4676">
        <w:rPr>
          <w:rFonts w:ascii="Tahoma" w:hAnsi="Tahoma" w:cs="Tahoma"/>
          <w:szCs w:val="24"/>
        </w:rPr>
        <w:t>existen otras pruebas</w:t>
      </w:r>
      <w:r w:rsidR="007B7C91">
        <w:rPr>
          <w:rFonts w:ascii="Tahoma" w:hAnsi="Tahoma" w:cs="Tahoma"/>
          <w:szCs w:val="24"/>
        </w:rPr>
        <w:t xml:space="preserve"> que lo corroboran </w:t>
      </w:r>
      <w:r w:rsidR="00FA4676">
        <w:rPr>
          <w:rFonts w:ascii="Tahoma" w:hAnsi="Tahoma" w:cs="Tahoma"/>
          <w:szCs w:val="24"/>
        </w:rPr>
        <w:t xml:space="preserve">como las declaraciones extraproceso de OMAR DAVID HENAO RAMIREZ y BEATRIZ EUGENIA OSORIO PATIÑO (folio 46),  la Resolución No. 022 del 12 de enero de 2016 mediante la cual la Secretaría de Educación Municipal de Pereira le reconoció y pagó al actor el seguro de muerte de su fallecida compañera (folio 55 y 54) y la </w:t>
      </w:r>
      <w:r w:rsidR="00264997">
        <w:rPr>
          <w:rFonts w:ascii="Tahoma" w:hAnsi="Tahoma" w:cs="Tahoma"/>
          <w:szCs w:val="24"/>
        </w:rPr>
        <w:t>Resolución</w:t>
      </w:r>
      <w:r w:rsidR="00FA4676">
        <w:rPr>
          <w:rFonts w:ascii="Tahoma" w:hAnsi="Tahoma" w:cs="Tahoma"/>
          <w:szCs w:val="24"/>
        </w:rPr>
        <w:t xml:space="preserve"> No.</w:t>
      </w:r>
      <w:r w:rsidR="00E330ED">
        <w:rPr>
          <w:rFonts w:ascii="Tahoma" w:hAnsi="Tahoma" w:cs="Tahoma"/>
          <w:szCs w:val="24"/>
        </w:rPr>
        <w:t xml:space="preserve"> 570 del 9 de diciembre de3 2015 a través de la cual la citada secretaría reconoció y pagó las cesantías de la causante a sus tres hijos y a su compañero permanente (folio 57 y 58). </w:t>
      </w:r>
    </w:p>
    <w:p w:rsidR="00DF070D" w:rsidRDefault="00DF070D" w:rsidP="00FA4676">
      <w:pPr>
        <w:pStyle w:val="Prrafodelista"/>
        <w:numPr>
          <w:ilvl w:val="1"/>
          <w:numId w:val="2"/>
        </w:numPr>
        <w:spacing w:after="0" w:line="276" w:lineRule="auto"/>
        <w:jc w:val="both"/>
        <w:rPr>
          <w:rFonts w:ascii="Tahoma" w:hAnsi="Tahoma" w:cs="Tahoma"/>
          <w:szCs w:val="24"/>
        </w:rPr>
      </w:pPr>
      <w:r>
        <w:rPr>
          <w:rFonts w:ascii="Tahoma" w:hAnsi="Tahoma" w:cs="Tahoma"/>
          <w:szCs w:val="24"/>
        </w:rPr>
        <w:t xml:space="preserve">De dicha unión nacieron dos hijos, Milton Daniel y Edwin Alexander, mayores de edad, </w:t>
      </w:r>
      <w:r w:rsidR="00264997">
        <w:rPr>
          <w:rFonts w:ascii="Tahoma" w:hAnsi="Tahoma" w:cs="Tahoma"/>
          <w:szCs w:val="24"/>
        </w:rPr>
        <w:t xml:space="preserve">aclarando </w:t>
      </w:r>
      <w:r>
        <w:rPr>
          <w:rFonts w:ascii="Tahoma" w:hAnsi="Tahoma" w:cs="Tahoma"/>
          <w:szCs w:val="24"/>
        </w:rPr>
        <w:t xml:space="preserve">que la causante tenía una tercera hija mayor que los anteriores. </w:t>
      </w:r>
    </w:p>
    <w:p w:rsidR="00DF070D" w:rsidRDefault="00DF070D" w:rsidP="00594B6E">
      <w:pPr>
        <w:pStyle w:val="Prrafodelista"/>
        <w:numPr>
          <w:ilvl w:val="1"/>
          <w:numId w:val="2"/>
        </w:numPr>
        <w:spacing w:after="0" w:line="276" w:lineRule="auto"/>
        <w:jc w:val="both"/>
        <w:rPr>
          <w:rFonts w:ascii="Tahoma" w:hAnsi="Tahoma" w:cs="Tahoma"/>
          <w:szCs w:val="24"/>
        </w:rPr>
      </w:pPr>
      <w:r w:rsidRPr="00DF070D">
        <w:rPr>
          <w:rFonts w:ascii="Tahoma" w:hAnsi="Tahoma" w:cs="Tahoma"/>
          <w:szCs w:val="24"/>
        </w:rPr>
        <w:t xml:space="preserve">Que el actor a la fecha cuenta con 56 años de edad (folio 59) y </w:t>
      </w:r>
      <w:r w:rsidR="00E330ED" w:rsidRPr="00DF070D">
        <w:rPr>
          <w:rFonts w:ascii="Tahoma" w:hAnsi="Tahoma" w:cs="Tahoma"/>
          <w:szCs w:val="24"/>
        </w:rPr>
        <w:t>trabaja como vigilante en la empresa SEGURIDAD PENTAL LTDA. devengando un salario mínimo, el cual se incr</w:t>
      </w:r>
      <w:r w:rsidRPr="00DF070D">
        <w:rPr>
          <w:rFonts w:ascii="Tahoma" w:hAnsi="Tahoma" w:cs="Tahoma"/>
          <w:szCs w:val="24"/>
        </w:rPr>
        <w:t>e</w:t>
      </w:r>
      <w:r w:rsidR="00E330ED" w:rsidRPr="00DF070D">
        <w:rPr>
          <w:rFonts w:ascii="Tahoma" w:hAnsi="Tahoma" w:cs="Tahoma"/>
          <w:szCs w:val="24"/>
        </w:rPr>
        <w:t xml:space="preserve">menta </w:t>
      </w:r>
      <w:r w:rsidRPr="00DF070D">
        <w:rPr>
          <w:rFonts w:ascii="Tahoma" w:hAnsi="Tahoma" w:cs="Tahoma"/>
          <w:szCs w:val="24"/>
        </w:rPr>
        <w:t xml:space="preserve">con las horas extras diurnas o recargos nocturnos que trabaje en el respectivo mes, conforme se ve </w:t>
      </w:r>
      <w:r>
        <w:rPr>
          <w:rFonts w:ascii="Tahoma" w:hAnsi="Tahoma" w:cs="Tahoma"/>
          <w:szCs w:val="24"/>
        </w:rPr>
        <w:t>e</w:t>
      </w:r>
      <w:r w:rsidRPr="00DF070D">
        <w:rPr>
          <w:rFonts w:ascii="Tahoma" w:hAnsi="Tahoma" w:cs="Tahoma"/>
          <w:szCs w:val="24"/>
        </w:rPr>
        <w:t xml:space="preserve">n los desprendibles de nómina de diciembre de 2016, enero y febrero de 2017 (folios66 y 67). </w:t>
      </w:r>
    </w:p>
    <w:p w:rsidR="00DF070D" w:rsidRDefault="00DF070D" w:rsidP="00594B6E">
      <w:pPr>
        <w:pStyle w:val="Prrafodelista"/>
        <w:numPr>
          <w:ilvl w:val="1"/>
          <w:numId w:val="2"/>
        </w:numPr>
        <w:spacing w:after="0" w:line="276" w:lineRule="auto"/>
        <w:jc w:val="both"/>
        <w:rPr>
          <w:rFonts w:ascii="Tahoma" w:hAnsi="Tahoma" w:cs="Tahoma"/>
          <w:szCs w:val="24"/>
        </w:rPr>
      </w:pPr>
      <w:r>
        <w:rPr>
          <w:rFonts w:ascii="Tahoma" w:hAnsi="Tahoma" w:cs="Tahoma"/>
          <w:szCs w:val="24"/>
        </w:rPr>
        <w:t xml:space="preserve">Que el actor tiene a su cargo el sostenimiento de su señora madre de 94 años aproximadamente según las declaraciones extraproceso de NATALIA BERMÚDEZ GIRALDO y ALEJANDRA CORREA CARDONA (folio 64) y según lo manifestaron también los dos hijos de la pareja en declaración extraproceso (folio 36). </w:t>
      </w:r>
    </w:p>
    <w:p w:rsidR="00DF070D" w:rsidRDefault="00DF070D" w:rsidP="00594B6E">
      <w:pPr>
        <w:pStyle w:val="Prrafodelista"/>
        <w:numPr>
          <w:ilvl w:val="1"/>
          <w:numId w:val="2"/>
        </w:numPr>
        <w:spacing w:after="0" w:line="276" w:lineRule="auto"/>
        <w:jc w:val="both"/>
        <w:rPr>
          <w:rFonts w:ascii="Tahoma" w:hAnsi="Tahoma" w:cs="Tahoma"/>
          <w:szCs w:val="24"/>
        </w:rPr>
      </w:pPr>
      <w:r>
        <w:rPr>
          <w:rFonts w:ascii="Tahoma" w:hAnsi="Tahoma" w:cs="Tahoma"/>
          <w:szCs w:val="24"/>
        </w:rPr>
        <w:t>Que el actor tiene un crédito</w:t>
      </w:r>
      <w:r w:rsidR="003014DE">
        <w:rPr>
          <w:rFonts w:ascii="Tahoma" w:hAnsi="Tahoma" w:cs="Tahoma"/>
          <w:szCs w:val="24"/>
        </w:rPr>
        <w:t xml:space="preserve"> de consumo con el Banco AV Villas de $2.949.999 en virtud del cual paga una cuota mensual de $120.037 (folio 65).</w:t>
      </w:r>
      <w:r>
        <w:rPr>
          <w:rFonts w:ascii="Tahoma" w:hAnsi="Tahoma" w:cs="Tahoma"/>
          <w:szCs w:val="24"/>
        </w:rPr>
        <w:t xml:space="preserve"> </w:t>
      </w:r>
    </w:p>
    <w:p w:rsidR="006F560A" w:rsidRDefault="00DF070D" w:rsidP="00594B6E">
      <w:pPr>
        <w:pStyle w:val="Prrafodelista"/>
        <w:numPr>
          <w:ilvl w:val="1"/>
          <w:numId w:val="2"/>
        </w:numPr>
        <w:spacing w:after="0" w:line="276" w:lineRule="auto"/>
        <w:jc w:val="both"/>
        <w:rPr>
          <w:rFonts w:ascii="Tahoma" w:hAnsi="Tahoma" w:cs="Tahoma"/>
          <w:szCs w:val="24"/>
        </w:rPr>
      </w:pPr>
      <w:r w:rsidRPr="006F560A">
        <w:rPr>
          <w:rFonts w:ascii="Tahoma" w:hAnsi="Tahoma" w:cs="Tahoma"/>
          <w:b/>
          <w:szCs w:val="24"/>
        </w:rPr>
        <w:t xml:space="preserve">Que la negativa de la Secretaría de Educación Municipal de Pereira </w:t>
      </w:r>
      <w:r w:rsidR="003014DE" w:rsidRPr="006F560A">
        <w:rPr>
          <w:rFonts w:ascii="Tahoma" w:hAnsi="Tahoma" w:cs="Tahoma"/>
          <w:b/>
          <w:szCs w:val="24"/>
        </w:rPr>
        <w:t xml:space="preserve">y la FIDUPREVISORA S.A. para reconocer en favor del tutelante la </w:t>
      </w:r>
      <w:r w:rsidR="00264997">
        <w:rPr>
          <w:rFonts w:ascii="Tahoma" w:hAnsi="Tahoma" w:cs="Tahoma"/>
          <w:b/>
          <w:szCs w:val="24"/>
        </w:rPr>
        <w:t>“</w:t>
      </w:r>
      <w:r w:rsidR="003014DE" w:rsidRPr="006F560A">
        <w:rPr>
          <w:rFonts w:ascii="Tahoma" w:hAnsi="Tahoma" w:cs="Tahoma"/>
          <w:b/>
          <w:szCs w:val="24"/>
        </w:rPr>
        <w:t xml:space="preserve">pensión </w:t>
      </w:r>
      <w:r w:rsidR="00264997">
        <w:rPr>
          <w:rFonts w:ascii="Tahoma" w:hAnsi="Tahoma" w:cs="Tahoma"/>
          <w:b/>
          <w:szCs w:val="24"/>
        </w:rPr>
        <w:t xml:space="preserve">post norte 18 años” </w:t>
      </w:r>
      <w:r w:rsidR="003014DE" w:rsidRPr="006F560A">
        <w:rPr>
          <w:rFonts w:ascii="Tahoma" w:hAnsi="Tahoma" w:cs="Tahoma"/>
          <w:b/>
          <w:szCs w:val="24"/>
        </w:rPr>
        <w:t xml:space="preserve">es su calidad de compañero </w:t>
      </w:r>
      <w:r w:rsidR="009675D6" w:rsidRPr="006F560A">
        <w:rPr>
          <w:rFonts w:ascii="Tahoma" w:hAnsi="Tahoma" w:cs="Tahoma"/>
          <w:b/>
          <w:szCs w:val="24"/>
        </w:rPr>
        <w:t>permanente, toda vez que el Decreto 224 de 1972 en su artículo 7º prevé dicha prerrogativa únicamente para el cónyuge y los hijos menores</w:t>
      </w:r>
      <w:r w:rsidR="009675D6">
        <w:rPr>
          <w:rFonts w:ascii="Tahoma" w:hAnsi="Tahoma" w:cs="Tahoma"/>
          <w:szCs w:val="24"/>
        </w:rPr>
        <w:t>. Así se desprende de la</w:t>
      </w:r>
      <w:r w:rsidR="00C82F2A">
        <w:rPr>
          <w:rFonts w:ascii="Tahoma" w:hAnsi="Tahoma" w:cs="Tahoma"/>
          <w:szCs w:val="24"/>
        </w:rPr>
        <w:t xml:space="preserve"> Resolución No. 5836 del 11 de noviembre de 2016 </w:t>
      </w:r>
      <w:r w:rsidR="006F560A">
        <w:rPr>
          <w:rFonts w:ascii="Tahoma" w:hAnsi="Tahoma" w:cs="Tahoma"/>
          <w:szCs w:val="24"/>
        </w:rPr>
        <w:t xml:space="preserve">expedida por la referida Secretaría (folio 38) y la Hoja de Revisión elaborada por la FIDUPREVISORA (folio 86). </w:t>
      </w:r>
    </w:p>
    <w:p w:rsidR="006F560A" w:rsidRDefault="006F560A" w:rsidP="006F560A">
      <w:pPr>
        <w:spacing w:after="0" w:line="276" w:lineRule="auto"/>
        <w:jc w:val="both"/>
        <w:rPr>
          <w:rFonts w:ascii="Tahoma" w:hAnsi="Tahoma" w:cs="Tahoma"/>
          <w:szCs w:val="24"/>
        </w:rPr>
      </w:pPr>
    </w:p>
    <w:p w:rsidR="006F560A" w:rsidRDefault="006F560A" w:rsidP="006F560A">
      <w:pPr>
        <w:spacing w:after="0" w:line="276" w:lineRule="auto"/>
        <w:jc w:val="both"/>
        <w:rPr>
          <w:rFonts w:ascii="Tahoma" w:hAnsi="Tahoma" w:cs="Tahoma"/>
          <w:szCs w:val="24"/>
        </w:rPr>
      </w:pPr>
    </w:p>
    <w:p w:rsidR="00933A35" w:rsidRDefault="006F560A" w:rsidP="00AF0591">
      <w:pPr>
        <w:spacing w:after="0" w:line="276" w:lineRule="auto"/>
        <w:ind w:firstLine="709"/>
        <w:jc w:val="both"/>
        <w:rPr>
          <w:rFonts w:ascii="Tahoma" w:hAnsi="Tahoma" w:cs="Tahoma"/>
        </w:rPr>
      </w:pPr>
      <w:r>
        <w:rPr>
          <w:rFonts w:ascii="Tahoma" w:hAnsi="Tahoma" w:cs="Tahoma"/>
        </w:rPr>
        <w:lastRenderedPageBreak/>
        <w:t xml:space="preserve">Bajo el contexto fáctico anterior, </w:t>
      </w:r>
      <w:r w:rsidR="009D0417">
        <w:rPr>
          <w:rFonts w:ascii="Tahoma" w:hAnsi="Tahoma" w:cs="Tahoma"/>
        </w:rPr>
        <w:t xml:space="preserve">especialmente </w:t>
      </w:r>
      <w:r w:rsidR="00DC1BB6">
        <w:rPr>
          <w:rFonts w:ascii="Tahoma" w:hAnsi="Tahoma" w:cs="Tahoma"/>
        </w:rPr>
        <w:t xml:space="preserve">atendiendo </w:t>
      </w:r>
      <w:r w:rsidR="009D0417">
        <w:rPr>
          <w:rFonts w:ascii="Tahoma" w:hAnsi="Tahoma" w:cs="Tahoma"/>
        </w:rPr>
        <w:t xml:space="preserve">las razones de la negativa de las entidades demandadas en este caso, </w:t>
      </w:r>
      <w:r>
        <w:rPr>
          <w:rFonts w:ascii="Tahoma" w:hAnsi="Tahoma" w:cs="Tahoma"/>
        </w:rPr>
        <w:t>puede concluirse</w:t>
      </w:r>
      <w:r w:rsidR="00042988">
        <w:rPr>
          <w:rFonts w:ascii="Tahoma" w:hAnsi="Tahoma" w:cs="Tahoma"/>
        </w:rPr>
        <w:t xml:space="preserve"> que efectivamente </w:t>
      </w:r>
      <w:r w:rsidR="00042988" w:rsidRPr="00DC1BB6">
        <w:rPr>
          <w:rFonts w:ascii="Tahoma" w:hAnsi="Tahoma" w:cs="Tahoma"/>
          <w:b/>
        </w:rPr>
        <w:t>el derecho fundamental involucrado es el derecho a la igualdad</w:t>
      </w:r>
      <w:r w:rsidR="00042988">
        <w:rPr>
          <w:rFonts w:ascii="Tahoma" w:hAnsi="Tahoma" w:cs="Tahoma"/>
        </w:rPr>
        <w:t xml:space="preserve">, toda vez que la norma que disciplina la </w:t>
      </w:r>
      <w:r w:rsidR="00F65EA1">
        <w:rPr>
          <w:rFonts w:ascii="Tahoma" w:hAnsi="Tahoma" w:cs="Tahoma"/>
        </w:rPr>
        <w:t xml:space="preserve">reclamada </w:t>
      </w:r>
      <w:r w:rsidR="00042988">
        <w:rPr>
          <w:rFonts w:ascii="Tahoma" w:hAnsi="Tahoma" w:cs="Tahoma"/>
        </w:rPr>
        <w:t>PENSIÓN POST MORTEN</w:t>
      </w:r>
      <w:r w:rsidR="00851B1F">
        <w:rPr>
          <w:rFonts w:ascii="Tahoma" w:hAnsi="Tahoma" w:cs="Tahoma"/>
        </w:rPr>
        <w:t xml:space="preserve"> – 18 AÑOS</w:t>
      </w:r>
      <w:r w:rsidR="00042988">
        <w:rPr>
          <w:rFonts w:ascii="Tahoma" w:hAnsi="Tahoma" w:cs="Tahoma"/>
        </w:rPr>
        <w:t xml:space="preserve"> (Decreto 224 de 1972, artículo 7º) sólo la contempló para el </w:t>
      </w:r>
      <w:r w:rsidR="00264997">
        <w:rPr>
          <w:rFonts w:ascii="Tahoma" w:hAnsi="Tahoma" w:cs="Tahoma"/>
        </w:rPr>
        <w:t>cónyuge</w:t>
      </w:r>
      <w:r w:rsidR="00042988">
        <w:rPr>
          <w:rFonts w:ascii="Tahoma" w:hAnsi="Tahoma" w:cs="Tahoma"/>
        </w:rPr>
        <w:t xml:space="preserve"> supérstite y los hijos del causante, </w:t>
      </w:r>
      <w:r w:rsidR="00933A35">
        <w:rPr>
          <w:rFonts w:ascii="Tahoma" w:hAnsi="Tahoma" w:cs="Tahoma"/>
        </w:rPr>
        <w:t>lo que de acuerdo a la interpretación que sobre el texto literal hizo la FIDUPREVISORA S.A. no involucra a quien tiene la calidad de compañero o compañera permanente. Así lo dijo expresamente dicha entidad en la HOJA DE REVISIÓN en la que textualmente dijo:</w:t>
      </w:r>
    </w:p>
    <w:p w:rsidR="00933A35" w:rsidRDefault="00933A35" w:rsidP="00AF0591">
      <w:pPr>
        <w:spacing w:after="0" w:line="276" w:lineRule="auto"/>
        <w:ind w:firstLine="709"/>
        <w:jc w:val="both"/>
        <w:rPr>
          <w:rFonts w:ascii="Tahoma" w:hAnsi="Tahoma" w:cs="Tahoma"/>
        </w:rPr>
      </w:pPr>
    </w:p>
    <w:p w:rsidR="00933A35" w:rsidRDefault="00933A35" w:rsidP="00933A35">
      <w:pPr>
        <w:spacing w:after="0" w:line="276" w:lineRule="auto"/>
        <w:ind w:left="708"/>
        <w:jc w:val="both"/>
        <w:rPr>
          <w:rFonts w:ascii="Tahoma" w:hAnsi="Tahoma" w:cs="Tahoma"/>
          <w:b/>
          <w:i/>
        </w:rPr>
      </w:pPr>
      <w:r>
        <w:rPr>
          <w:rFonts w:ascii="Tahoma" w:hAnsi="Tahoma" w:cs="Tahoma"/>
          <w:b/>
          <w:i/>
        </w:rPr>
        <w:t xml:space="preserve">“OBSERVACIONES: </w:t>
      </w:r>
    </w:p>
    <w:p w:rsidR="00933A35" w:rsidRDefault="00933A35" w:rsidP="00933A35">
      <w:pPr>
        <w:spacing w:after="0" w:line="276" w:lineRule="auto"/>
        <w:ind w:left="708" w:firstLine="709"/>
        <w:jc w:val="both"/>
        <w:rPr>
          <w:rFonts w:ascii="Tahoma" w:hAnsi="Tahoma" w:cs="Tahoma"/>
          <w:b/>
          <w:i/>
        </w:rPr>
      </w:pPr>
    </w:p>
    <w:p w:rsidR="00933A35" w:rsidRDefault="00933A35" w:rsidP="00933A35">
      <w:pPr>
        <w:spacing w:after="0" w:line="276" w:lineRule="auto"/>
        <w:ind w:left="708"/>
        <w:jc w:val="both"/>
        <w:rPr>
          <w:rFonts w:ascii="Tahoma" w:hAnsi="Tahoma" w:cs="Tahoma"/>
          <w:i/>
        </w:rPr>
      </w:pPr>
      <w:r w:rsidRPr="00933A35">
        <w:rPr>
          <w:rFonts w:ascii="Tahoma" w:hAnsi="Tahoma" w:cs="Tahoma"/>
          <w:i/>
        </w:rPr>
        <w:t>SEÑORES S.E.</w:t>
      </w:r>
      <w:r>
        <w:rPr>
          <w:rFonts w:ascii="Tahoma" w:hAnsi="Tahoma" w:cs="Tahoma"/>
          <w:i/>
        </w:rPr>
        <w:t xml:space="preserve"> FRENTE AL ESTUDIO DE AL (SIC) PRESTACIÓN SE ACLARA LO SIGUIENTE:</w:t>
      </w:r>
    </w:p>
    <w:p w:rsidR="00933A35" w:rsidRDefault="00933A35" w:rsidP="00933A35">
      <w:pPr>
        <w:spacing w:after="0" w:line="276" w:lineRule="auto"/>
        <w:ind w:left="708"/>
        <w:jc w:val="both"/>
        <w:rPr>
          <w:rFonts w:ascii="Tahoma" w:hAnsi="Tahoma" w:cs="Tahoma"/>
          <w:i/>
        </w:rPr>
      </w:pPr>
      <w:r>
        <w:rPr>
          <w:rFonts w:ascii="Tahoma" w:hAnsi="Tahoma" w:cs="Tahoma"/>
          <w:i/>
        </w:rPr>
        <w:t>- EL DERECHO ES TEMPORAL, DURANTE CINCO AÑOS PSRTA EL ***CONYUGE*** Y LOS HIJOS MENORES DEL AFILIADO.</w:t>
      </w:r>
    </w:p>
    <w:p w:rsidR="00933A35" w:rsidRDefault="00933A35" w:rsidP="00933A35">
      <w:pPr>
        <w:spacing w:after="0" w:line="276" w:lineRule="auto"/>
        <w:ind w:left="708"/>
        <w:jc w:val="both"/>
        <w:rPr>
          <w:rFonts w:ascii="Tahoma" w:hAnsi="Tahoma" w:cs="Tahoma"/>
          <w:i/>
        </w:rPr>
      </w:pPr>
      <w:r>
        <w:rPr>
          <w:rFonts w:ascii="Tahoma" w:hAnsi="Tahoma" w:cs="Tahoma"/>
          <w:i/>
        </w:rPr>
        <w:t>- PÉRDIDA DEL DERECHO PARA LOS HIJOS CUANDO ALCANZAS (SIC) LA MAYORÍA DE EDAD ANTES DE LA EXPIRACIÓN DE LA PENSIÓN (5 AÑOS).</w:t>
      </w:r>
    </w:p>
    <w:p w:rsidR="00933A35" w:rsidRDefault="00933A35" w:rsidP="00933A35">
      <w:pPr>
        <w:spacing w:after="0" w:line="276" w:lineRule="auto"/>
        <w:ind w:left="708"/>
        <w:jc w:val="both"/>
        <w:rPr>
          <w:rFonts w:ascii="Tahoma" w:hAnsi="Tahoma" w:cs="Tahoma"/>
          <w:i/>
        </w:rPr>
      </w:pPr>
      <w:r>
        <w:rPr>
          <w:rFonts w:ascii="Tahoma" w:hAnsi="Tahoma" w:cs="Tahoma"/>
          <w:i/>
        </w:rPr>
        <w:t>- NORMAS APLICABLES, DECRETO 224 DE 1972, DECRETO 3752 DE 2003.</w:t>
      </w:r>
    </w:p>
    <w:p w:rsidR="00933A35" w:rsidRDefault="00933A35" w:rsidP="00933A35">
      <w:pPr>
        <w:spacing w:after="0" w:line="276" w:lineRule="auto"/>
        <w:ind w:left="708"/>
        <w:jc w:val="both"/>
        <w:rPr>
          <w:rFonts w:ascii="Tahoma" w:hAnsi="Tahoma" w:cs="Tahoma"/>
          <w:i/>
        </w:rPr>
      </w:pPr>
    </w:p>
    <w:p w:rsidR="00933A35" w:rsidRDefault="00933A35" w:rsidP="00933A35">
      <w:pPr>
        <w:spacing w:after="0" w:line="276" w:lineRule="auto"/>
        <w:ind w:left="708"/>
        <w:jc w:val="both"/>
        <w:rPr>
          <w:rFonts w:ascii="Tahoma" w:hAnsi="Tahoma" w:cs="Tahoma"/>
        </w:rPr>
      </w:pPr>
      <w:r w:rsidRPr="00933A35">
        <w:rPr>
          <w:rFonts w:ascii="Tahoma" w:hAnsi="Tahoma" w:cs="Tahoma"/>
          <w:b/>
          <w:i/>
          <w:u w:val="single"/>
        </w:rPr>
        <w:t>POR LO TANTO LOS COMPAÑEROS PERMANENTES NO SON BENEFICIARIOS DE LA PRESTACIÓN</w:t>
      </w:r>
      <w:r>
        <w:rPr>
          <w:rFonts w:ascii="Tahoma" w:hAnsi="Tahoma" w:cs="Tahoma"/>
          <w:i/>
        </w:rPr>
        <w:t xml:space="preserve">”. </w:t>
      </w:r>
      <w:r>
        <w:rPr>
          <w:rFonts w:ascii="Tahoma" w:hAnsi="Tahoma" w:cs="Tahoma"/>
        </w:rPr>
        <w:t>(Negrilla y subraya fuera de texto).</w:t>
      </w:r>
    </w:p>
    <w:p w:rsidR="00933A35" w:rsidRDefault="00933A35" w:rsidP="00933A35">
      <w:pPr>
        <w:spacing w:after="0" w:line="276" w:lineRule="auto"/>
        <w:jc w:val="both"/>
        <w:rPr>
          <w:rFonts w:ascii="Tahoma" w:hAnsi="Tahoma" w:cs="Tahoma"/>
        </w:rPr>
      </w:pPr>
    </w:p>
    <w:p w:rsidR="00DC1BB6" w:rsidRDefault="00DC1BB6" w:rsidP="00DC1BB6">
      <w:pPr>
        <w:spacing w:after="0" w:line="276" w:lineRule="auto"/>
        <w:ind w:firstLine="708"/>
        <w:jc w:val="both"/>
        <w:rPr>
          <w:rFonts w:ascii="Tahoma" w:hAnsi="Tahoma" w:cs="Tahoma"/>
        </w:rPr>
      </w:pPr>
    </w:p>
    <w:p w:rsidR="00F65EA1" w:rsidRDefault="00DC1BB6" w:rsidP="00DC1BB6">
      <w:pPr>
        <w:spacing w:after="0" w:line="276" w:lineRule="auto"/>
        <w:ind w:firstLine="708"/>
        <w:jc w:val="both"/>
        <w:rPr>
          <w:rFonts w:ascii="Tahoma" w:hAnsi="Tahoma" w:cs="Tahoma"/>
        </w:rPr>
      </w:pPr>
      <w:r>
        <w:rPr>
          <w:rFonts w:ascii="Tahoma" w:hAnsi="Tahoma" w:cs="Tahoma"/>
        </w:rPr>
        <w:t>La exclusión de los compañeros permanentes de esa prerrogativa segur</w:t>
      </w:r>
      <w:r w:rsidR="00042D83">
        <w:rPr>
          <w:rFonts w:ascii="Tahoma" w:hAnsi="Tahoma" w:cs="Tahoma"/>
        </w:rPr>
        <w:t>amen</w:t>
      </w:r>
      <w:r>
        <w:rPr>
          <w:rFonts w:ascii="Tahoma" w:hAnsi="Tahoma" w:cs="Tahoma"/>
        </w:rPr>
        <w:t xml:space="preserve">te se explica porque el Decreto 224 data del año 1972, cuando aún no </w:t>
      </w:r>
      <w:r w:rsidR="00042D83">
        <w:rPr>
          <w:rFonts w:ascii="Tahoma" w:hAnsi="Tahoma" w:cs="Tahoma"/>
        </w:rPr>
        <w:t>regía nuestra Carta Política que, por un lado, proscribió en el artículo 13 toda forma de discriminación injustificada, y por otro, reconoció la familia constituida por vínculos naturales</w:t>
      </w:r>
      <w:r w:rsidR="00F65EA1">
        <w:rPr>
          <w:rFonts w:ascii="Tahoma" w:hAnsi="Tahoma" w:cs="Tahoma"/>
        </w:rPr>
        <w:t xml:space="preserve"> (artículo 4</w:t>
      </w:r>
      <w:r w:rsidR="00915C8D">
        <w:rPr>
          <w:rFonts w:ascii="Tahoma" w:hAnsi="Tahoma" w:cs="Tahoma"/>
        </w:rPr>
        <w:t>2</w:t>
      </w:r>
      <w:r w:rsidR="00F65EA1">
        <w:rPr>
          <w:rFonts w:ascii="Tahoma" w:hAnsi="Tahoma" w:cs="Tahoma"/>
        </w:rPr>
        <w:t>)</w:t>
      </w:r>
      <w:r w:rsidR="00042D83">
        <w:rPr>
          <w:rFonts w:ascii="Tahoma" w:hAnsi="Tahoma" w:cs="Tahoma"/>
        </w:rPr>
        <w:t xml:space="preserve">, como las que conforman los compañeros permanentes. </w:t>
      </w:r>
    </w:p>
    <w:p w:rsidR="00F65EA1" w:rsidRDefault="00F65EA1" w:rsidP="00DC1BB6">
      <w:pPr>
        <w:spacing w:after="0" w:line="276" w:lineRule="auto"/>
        <w:ind w:firstLine="708"/>
        <w:jc w:val="both"/>
        <w:rPr>
          <w:rFonts w:ascii="Tahoma" w:hAnsi="Tahoma" w:cs="Tahoma"/>
        </w:rPr>
      </w:pPr>
    </w:p>
    <w:p w:rsidR="00915C8D" w:rsidRDefault="00042D83" w:rsidP="00DC1BB6">
      <w:pPr>
        <w:spacing w:after="0" w:line="276" w:lineRule="auto"/>
        <w:ind w:firstLine="708"/>
        <w:jc w:val="both"/>
        <w:rPr>
          <w:rFonts w:ascii="Tahoma" w:hAnsi="Tahoma" w:cs="Tahoma"/>
        </w:rPr>
      </w:pPr>
      <w:r>
        <w:rPr>
          <w:rFonts w:ascii="Tahoma" w:hAnsi="Tahoma" w:cs="Tahoma"/>
        </w:rPr>
        <w:t xml:space="preserve">Sin embargo, precisamente por la vigencia de las citadas normas </w:t>
      </w:r>
      <w:r w:rsidR="00264997">
        <w:rPr>
          <w:rFonts w:ascii="Tahoma" w:hAnsi="Tahoma" w:cs="Tahoma"/>
        </w:rPr>
        <w:t>constitucionales</w:t>
      </w:r>
      <w:r>
        <w:rPr>
          <w:rFonts w:ascii="Tahoma" w:hAnsi="Tahoma" w:cs="Tahoma"/>
        </w:rPr>
        <w:t xml:space="preserve">, no puede mantenerse distinciones </w:t>
      </w:r>
      <w:r w:rsidR="00F65EA1">
        <w:rPr>
          <w:rFonts w:ascii="Tahoma" w:hAnsi="Tahoma" w:cs="Tahoma"/>
        </w:rPr>
        <w:t xml:space="preserve">legales </w:t>
      </w:r>
      <w:r>
        <w:rPr>
          <w:rFonts w:ascii="Tahoma" w:hAnsi="Tahoma" w:cs="Tahoma"/>
        </w:rPr>
        <w:t>odiosas</w:t>
      </w:r>
      <w:r w:rsidR="004F043C">
        <w:rPr>
          <w:rFonts w:ascii="Tahoma" w:hAnsi="Tahoma" w:cs="Tahoma"/>
        </w:rPr>
        <w:t xml:space="preserve">, </w:t>
      </w:r>
      <w:r w:rsidR="00D30C71">
        <w:rPr>
          <w:rFonts w:ascii="Tahoma" w:hAnsi="Tahoma" w:cs="Tahoma"/>
        </w:rPr>
        <w:t xml:space="preserve">por cuanto la misma Constitución faculta para dejar de aplicar una norma en un asunto concreto cuando quiera que por las particularidades del caso la aplicación </w:t>
      </w:r>
      <w:r w:rsidR="007B6B58">
        <w:rPr>
          <w:rFonts w:ascii="Tahoma" w:hAnsi="Tahoma" w:cs="Tahoma"/>
        </w:rPr>
        <w:t xml:space="preserve">de aquella </w:t>
      </w:r>
      <w:r w:rsidR="00320F3B">
        <w:rPr>
          <w:rFonts w:ascii="Tahoma" w:hAnsi="Tahoma" w:cs="Tahoma"/>
        </w:rPr>
        <w:t xml:space="preserve">produzca unas consecuencias contrarias a la propia constitución, como lo pregona la Corte Constitucional, entre otras, en la Sentencia T-404 del 3 de junio de 1992. En efecto, reza el </w:t>
      </w:r>
      <w:r w:rsidR="007B6B58">
        <w:rPr>
          <w:rFonts w:ascii="Tahoma" w:hAnsi="Tahoma" w:cs="Tahoma"/>
        </w:rPr>
        <w:t>artículo 4º</w:t>
      </w:r>
      <w:r w:rsidR="00320F3B">
        <w:rPr>
          <w:rFonts w:ascii="Tahoma" w:hAnsi="Tahoma" w:cs="Tahoma"/>
        </w:rPr>
        <w:t xml:space="preserve"> de la Carta, que </w:t>
      </w:r>
      <w:r w:rsidR="00320F3B">
        <w:rPr>
          <w:rFonts w:ascii="Tahoma" w:hAnsi="Tahoma" w:cs="Tahoma"/>
          <w:i/>
        </w:rPr>
        <w:t>“La Constitución es norma de normas. En todo caso de incompatibilidad entre la Constitución y la ley u otra norma jurídica, se aplicarán las disposiciones constitucionales”</w:t>
      </w:r>
      <w:r w:rsidR="00915C8D">
        <w:rPr>
          <w:rFonts w:ascii="Tahoma" w:hAnsi="Tahoma" w:cs="Tahoma"/>
          <w:i/>
        </w:rPr>
        <w:t xml:space="preserve">, </w:t>
      </w:r>
      <w:r w:rsidR="00915C8D">
        <w:rPr>
          <w:rFonts w:ascii="Tahoma" w:hAnsi="Tahoma" w:cs="Tahoma"/>
        </w:rPr>
        <w:t>y por eso, por virtud de esta norma, cualquier persona o institución pública o privada, puede acudir a la ex</w:t>
      </w:r>
      <w:r w:rsidR="00934C0D">
        <w:rPr>
          <w:rFonts w:ascii="Tahoma" w:hAnsi="Tahoma" w:cs="Tahoma"/>
        </w:rPr>
        <w:t>cepción de inconstitucionalidad para no aplicar una norma en todos aquellos casos en que resulte incompatible con la Constitución.</w:t>
      </w:r>
      <w:r w:rsidR="00915C8D">
        <w:rPr>
          <w:rFonts w:ascii="Tahoma" w:hAnsi="Tahoma" w:cs="Tahoma"/>
        </w:rPr>
        <w:t xml:space="preserve"> </w:t>
      </w:r>
    </w:p>
    <w:p w:rsidR="00915C8D" w:rsidRDefault="00915C8D" w:rsidP="00DC1BB6">
      <w:pPr>
        <w:spacing w:after="0" w:line="276" w:lineRule="auto"/>
        <w:ind w:firstLine="708"/>
        <w:jc w:val="both"/>
        <w:rPr>
          <w:rFonts w:ascii="Tahoma" w:hAnsi="Tahoma" w:cs="Tahoma"/>
        </w:rPr>
      </w:pPr>
    </w:p>
    <w:p w:rsidR="006749CC" w:rsidRDefault="00915C8D" w:rsidP="00DC1BB6">
      <w:pPr>
        <w:spacing w:after="0" w:line="276" w:lineRule="auto"/>
        <w:ind w:firstLine="708"/>
        <w:jc w:val="both"/>
        <w:rPr>
          <w:rFonts w:ascii="Tahoma" w:hAnsi="Tahoma" w:cs="Tahoma"/>
        </w:rPr>
      </w:pPr>
      <w:r>
        <w:rPr>
          <w:rFonts w:ascii="Tahoma" w:hAnsi="Tahoma" w:cs="Tahoma"/>
        </w:rPr>
        <w:t xml:space="preserve">En consecuencia, a la luz </w:t>
      </w:r>
      <w:r w:rsidR="00FE0CB6">
        <w:rPr>
          <w:rFonts w:ascii="Tahoma" w:hAnsi="Tahoma" w:cs="Tahoma"/>
        </w:rPr>
        <w:t>del artículo 4º de la Constitución</w:t>
      </w:r>
      <w:r>
        <w:rPr>
          <w:rFonts w:ascii="Tahoma" w:hAnsi="Tahoma" w:cs="Tahoma"/>
        </w:rPr>
        <w:t xml:space="preserve">, </w:t>
      </w:r>
      <w:r w:rsidR="00FE0CB6">
        <w:rPr>
          <w:rFonts w:ascii="Tahoma" w:hAnsi="Tahoma" w:cs="Tahoma"/>
        </w:rPr>
        <w:t xml:space="preserve">se </w:t>
      </w:r>
      <w:r>
        <w:rPr>
          <w:rFonts w:ascii="Tahoma" w:hAnsi="Tahoma" w:cs="Tahoma"/>
        </w:rPr>
        <w:t>debe armonizar  el contenido del artículo 7º del Decreto 224 de 1972</w:t>
      </w:r>
      <w:r w:rsidR="00FE0CB6">
        <w:rPr>
          <w:rFonts w:ascii="Tahoma" w:hAnsi="Tahoma" w:cs="Tahoma"/>
        </w:rPr>
        <w:t xml:space="preserve"> a nuestra Carta Política,</w:t>
      </w:r>
      <w:r>
        <w:rPr>
          <w:rFonts w:ascii="Tahoma" w:hAnsi="Tahoma" w:cs="Tahoma"/>
        </w:rPr>
        <w:t xml:space="preserve"> para entender que cuando la norma se refiere al cónyuge supérstite como beneficiario de la pensión post morten, se debe incluir dentro de ese concepto a quien tiene la calidad de compañero </w:t>
      </w:r>
      <w:r w:rsidR="00FE0CB6">
        <w:rPr>
          <w:rFonts w:ascii="Tahoma" w:hAnsi="Tahoma" w:cs="Tahoma"/>
        </w:rPr>
        <w:t xml:space="preserve">o compañera </w:t>
      </w:r>
      <w:r>
        <w:rPr>
          <w:rFonts w:ascii="Tahoma" w:hAnsi="Tahoma" w:cs="Tahoma"/>
        </w:rPr>
        <w:t>permanente de</w:t>
      </w:r>
      <w:r w:rsidR="00FE0CB6">
        <w:rPr>
          <w:rFonts w:ascii="Tahoma" w:hAnsi="Tahoma" w:cs="Tahoma"/>
        </w:rPr>
        <w:t xml:space="preserve">l o la </w:t>
      </w:r>
      <w:r>
        <w:rPr>
          <w:rFonts w:ascii="Tahoma" w:hAnsi="Tahoma" w:cs="Tahoma"/>
        </w:rPr>
        <w:t xml:space="preserve">docente </w:t>
      </w:r>
      <w:r w:rsidR="00FE0CB6">
        <w:rPr>
          <w:rFonts w:ascii="Tahoma" w:hAnsi="Tahoma" w:cs="Tahoma"/>
        </w:rPr>
        <w:t xml:space="preserve">fallecida, por cuanto la aplicación literal o exegética del texto viola </w:t>
      </w:r>
      <w:r>
        <w:rPr>
          <w:rFonts w:ascii="Tahoma" w:hAnsi="Tahoma" w:cs="Tahoma"/>
        </w:rPr>
        <w:t xml:space="preserve"> </w:t>
      </w:r>
      <w:r w:rsidR="00FE0CB6">
        <w:rPr>
          <w:rFonts w:ascii="Tahoma" w:hAnsi="Tahoma" w:cs="Tahoma"/>
        </w:rPr>
        <w:t xml:space="preserve">el derecho a la igualdad de quien fue la pareja de </w:t>
      </w:r>
      <w:r w:rsidR="00934C0D">
        <w:rPr>
          <w:rFonts w:ascii="Tahoma" w:hAnsi="Tahoma" w:cs="Tahoma"/>
        </w:rPr>
        <w:t xml:space="preserve">hecho de </w:t>
      </w:r>
      <w:r w:rsidR="00FE0CB6">
        <w:rPr>
          <w:rFonts w:ascii="Tahoma" w:hAnsi="Tahoma" w:cs="Tahoma"/>
        </w:rPr>
        <w:t>aquel o aquella. Pero si con todo, la entidad obligada a reconocer la pensión post morten considera que no puede desatender el tenor literal de esa norma (artículo 7 Decreto 224 de 1972), debe utilizar la figura de la excepción de inconstit</w:t>
      </w:r>
      <w:r w:rsidR="00264997">
        <w:rPr>
          <w:rFonts w:ascii="Tahoma" w:hAnsi="Tahoma" w:cs="Tahoma"/>
        </w:rPr>
        <w:t>uc</w:t>
      </w:r>
      <w:r w:rsidR="00FE0CB6">
        <w:rPr>
          <w:rFonts w:ascii="Tahoma" w:hAnsi="Tahoma" w:cs="Tahoma"/>
        </w:rPr>
        <w:t xml:space="preserve">ionalidad </w:t>
      </w:r>
      <w:r w:rsidR="00F4435F">
        <w:rPr>
          <w:rFonts w:ascii="Tahoma" w:hAnsi="Tahoma" w:cs="Tahoma"/>
        </w:rPr>
        <w:t xml:space="preserve">al caso concreto </w:t>
      </w:r>
      <w:r w:rsidR="00FE0CB6">
        <w:rPr>
          <w:rFonts w:ascii="Tahoma" w:hAnsi="Tahoma" w:cs="Tahoma"/>
        </w:rPr>
        <w:t xml:space="preserve">a efectos de no violar el derecho a la igualdad del o la compañera permanente. </w:t>
      </w:r>
    </w:p>
    <w:p w:rsidR="006749CC" w:rsidRDefault="006749CC" w:rsidP="00DC1BB6">
      <w:pPr>
        <w:spacing w:after="0" w:line="276" w:lineRule="auto"/>
        <w:ind w:firstLine="708"/>
        <w:jc w:val="both"/>
        <w:rPr>
          <w:rFonts w:ascii="Tahoma" w:hAnsi="Tahoma" w:cs="Tahoma"/>
        </w:rPr>
      </w:pPr>
    </w:p>
    <w:p w:rsidR="00772DC4" w:rsidRDefault="006749CC" w:rsidP="00DC1BB6">
      <w:pPr>
        <w:spacing w:after="0" w:line="276" w:lineRule="auto"/>
        <w:ind w:firstLine="708"/>
        <w:jc w:val="both"/>
        <w:rPr>
          <w:rFonts w:ascii="Tahoma" w:hAnsi="Tahoma" w:cs="Tahoma"/>
        </w:rPr>
      </w:pPr>
      <w:r>
        <w:rPr>
          <w:rFonts w:ascii="Tahoma" w:hAnsi="Tahoma" w:cs="Tahoma"/>
        </w:rPr>
        <w:t xml:space="preserve">Como quiera que ninguna de las conductas anteriores </w:t>
      </w:r>
      <w:r w:rsidR="00F4435F">
        <w:rPr>
          <w:rFonts w:ascii="Tahoma" w:hAnsi="Tahoma" w:cs="Tahoma"/>
        </w:rPr>
        <w:t xml:space="preserve">fueron asumidas por la Secretaría de Educación Municipal de Pereira ni por la FIDUPREVISORA S.A. cuando analizaron la solicitud de la pensión post morten del actor, y por el contrario, la negativa para reconocer esa </w:t>
      </w:r>
      <w:r w:rsidR="00264997">
        <w:rPr>
          <w:rFonts w:ascii="Tahoma" w:hAnsi="Tahoma" w:cs="Tahoma"/>
        </w:rPr>
        <w:t>prerrogativa</w:t>
      </w:r>
      <w:r w:rsidR="00F4435F">
        <w:rPr>
          <w:rFonts w:ascii="Tahoma" w:hAnsi="Tahoma" w:cs="Tahoma"/>
        </w:rPr>
        <w:t xml:space="preserve"> fue </w:t>
      </w:r>
      <w:r w:rsidR="00F4435F">
        <w:rPr>
          <w:rFonts w:ascii="Tahoma" w:hAnsi="Tahoma" w:cs="Tahoma"/>
        </w:rPr>
        <w:lastRenderedPageBreak/>
        <w:t xml:space="preserve">precisamente su calidad de compañero </w:t>
      </w:r>
      <w:r w:rsidR="00264997">
        <w:rPr>
          <w:rFonts w:ascii="Tahoma" w:hAnsi="Tahoma" w:cs="Tahoma"/>
        </w:rPr>
        <w:t>permanente</w:t>
      </w:r>
      <w:r w:rsidR="00F4435F">
        <w:rPr>
          <w:rFonts w:ascii="Tahoma" w:hAnsi="Tahoma" w:cs="Tahoma"/>
        </w:rPr>
        <w:t>, considera la Sala que se violó el de</w:t>
      </w:r>
      <w:r w:rsidR="00772DC4">
        <w:rPr>
          <w:rFonts w:ascii="Tahoma" w:hAnsi="Tahoma" w:cs="Tahoma"/>
        </w:rPr>
        <w:t xml:space="preserve">recho fundamental a la igualdad, </w:t>
      </w:r>
      <w:r w:rsidR="00934C0D">
        <w:rPr>
          <w:rFonts w:ascii="Tahoma" w:hAnsi="Tahoma" w:cs="Tahoma"/>
        </w:rPr>
        <w:t xml:space="preserve">por cuanto no existe prueba alguna </w:t>
      </w:r>
      <w:r w:rsidR="00772DC4">
        <w:rPr>
          <w:rFonts w:ascii="Tahoma" w:hAnsi="Tahoma" w:cs="Tahoma"/>
        </w:rPr>
        <w:t xml:space="preserve">en el expediente </w:t>
      </w:r>
      <w:r w:rsidR="00934C0D">
        <w:rPr>
          <w:rFonts w:ascii="Tahoma" w:hAnsi="Tahoma" w:cs="Tahoma"/>
        </w:rPr>
        <w:t xml:space="preserve">que demuestre </w:t>
      </w:r>
      <w:r w:rsidR="00772DC4">
        <w:rPr>
          <w:rFonts w:ascii="Tahoma" w:hAnsi="Tahoma" w:cs="Tahoma"/>
        </w:rPr>
        <w:t>una justificación valedera y constitucional que legitime ese trato diferenciado.</w:t>
      </w:r>
      <w:r w:rsidR="00934C0D">
        <w:rPr>
          <w:rFonts w:ascii="Tahoma" w:hAnsi="Tahoma" w:cs="Tahoma"/>
        </w:rPr>
        <w:t xml:space="preserve"> </w:t>
      </w:r>
    </w:p>
    <w:p w:rsidR="008F156E" w:rsidRDefault="008F156E" w:rsidP="00DC1BB6">
      <w:pPr>
        <w:spacing w:after="0" w:line="276" w:lineRule="auto"/>
        <w:ind w:firstLine="708"/>
        <w:jc w:val="both"/>
        <w:rPr>
          <w:rFonts w:ascii="Tahoma" w:hAnsi="Tahoma" w:cs="Tahoma"/>
        </w:rPr>
      </w:pPr>
    </w:p>
    <w:p w:rsidR="00C00C88" w:rsidRDefault="007B5CBC" w:rsidP="00DC1BB6">
      <w:pPr>
        <w:spacing w:after="0" w:line="276" w:lineRule="auto"/>
        <w:ind w:firstLine="708"/>
        <w:jc w:val="both"/>
        <w:rPr>
          <w:rFonts w:ascii="Tahoma" w:hAnsi="Tahoma" w:cs="Tahoma"/>
        </w:rPr>
      </w:pPr>
      <w:r>
        <w:rPr>
          <w:rFonts w:ascii="Tahoma" w:hAnsi="Tahoma" w:cs="Tahoma"/>
        </w:rPr>
        <w:t>Ahora, si</w:t>
      </w:r>
      <w:r w:rsidR="00772DC4">
        <w:rPr>
          <w:rFonts w:ascii="Tahoma" w:hAnsi="Tahoma" w:cs="Tahoma"/>
        </w:rPr>
        <w:t xml:space="preserve">endo evidente la violación directa de la constitución, la acción por excelencia para salvaguardarla es la acción de tutela, por cuanto aunque pudiera alegarse que el actor puede acudir a la acción de nulidad y restablecimiento ante la jurisdicción </w:t>
      </w:r>
      <w:r w:rsidR="00264997">
        <w:rPr>
          <w:rFonts w:ascii="Tahoma" w:hAnsi="Tahoma" w:cs="Tahoma"/>
        </w:rPr>
        <w:t>contencioso</w:t>
      </w:r>
      <w:r w:rsidR="00772DC4">
        <w:rPr>
          <w:rFonts w:ascii="Tahoma" w:hAnsi="Tahoma" w:cs="Tahoma"/>
        </w:rPr>
        <w:t xml:space="preserve"> </w:t>
      </w:r>
      <w:r w:rsidR="00264997">
        <w:rPr>
          <w:rFonts w:ascii="Tahoma" w:hAnsi="Tahoma" w:cs="Tahoma"/>
        </w:rPr>
        <w:t>administrativa</w:t>
      </w:r>
      <w:r w:rsidR="00772DC4">
        <w:rPr>
          <w:rFonts w:ascii="Tahoma" w:hAnsi="Tahoma" w:cs="Tahoma"/>
        </w:rPr>
        <w:t xml:space="preserve">, </w:t>
      </w:r>
      <w:r w:rsidR="00C00C88">
        <w:rPr>
          <w:rFonts w:ascii="Tahoma" w:hAnsi="Tahoma" w:cs="Tahoma"/>
        </w:rPr>
        <w:t xml:space="preserve">ello pondría en entredicho la figura de la excepción de </w:t>
      </w:r>
      <w:r w:rsidR="00264997">
        <w:rPr>
          <w:rFonts w:ascii="Tahoma" w:hAnsi="Tahoma" w:cs="Tahoma"/>
        </w:rPr>
        <w:t>inconstitucionalidad</w:t>
      </w:r>
      <w:r w:rsidR="00C00C88">
        <w:rPr>
          <w:rFonts w:ascii="Tahoma" w:hAnsi="Tahoma" w:cs="Tahoma"/>
        </w:rPr>
        <w:t xml:space="preserve"> consagrada en el </w:t>
      </w:r>
      <w:r w:rsidR="00772DC4">
        <w:rPr>
          <w:rFonts w:ascii="Tahoma" w:hAnsi="Tahoma" w:cs="Tahoma"/>
        </w:rPr>
        <w:t>artículo 4º de la Carta</w:t>
      </w:r>
      <w:r w:rsidR="00C00C88">
        <w:rPr>
          <w:rFonts w:ascii="Tahoma" w:hAnsi="Tahoma" w:cs="Tahoma"/>
        </w:rPr>
        <w:t xml:space="preserve">, que establece </w:t>
      </w:r>
      <w:r w:rsidR="00772DC4">
        <w:rPr>
          <w:rFonts w:ascii="Tahoma" w:hAnsi="Tahoma" w:cs="Tahoma"/>
        </w:rPr>
        <w:t xml:space="preserve">la primacía </w:t>
      </w:r>
      <w:r w:rsidR="00C00C88">
        <w:rPr>
          <w:rFonts w:ascii="Tahoma" w:hAnsi="Tahoma" w:cs="Tahoma"/>
        </w:rPr>
        <w:t xml:space="preserve">de la Constitución sobre la ley u otra norma jurídica en caso incompatibilidad entre aquella y éstas, sin necesidad de acudir a un proceso especial ante la jurisdicción ordinaria o contencioso administrativa. En otras palabras, en caso de violación directa de la Constitución, la acción de tutela tiene la misma naturaleza y fuerza de la excepción de inconstitucionalidad.  </w:t>
      </w:r>
    </w:p>
    <w:p w:rsidR="00C00C88" w:rsidRDefault="00C00C88" w:rsidP="00DC1BB6">
      <w:pPr>
        <w:spacing w:after="0" w:line="276" w:lineRule="auto"/>
        <w:ind w:firstLine="708"/>
        <w:jc w:val="both"/>
        <w:rPr>
          <w:rFonts w:ascii="Tahoma" w:hAnsi="Tahoma" w:cs="Tahoma"/>
        </w:rPr>
      </w:pPr>
    </w:p>
    <w:p w:rsidR="00C07AF2" w:rsidRDefault="00C00C88" w:rsidP="00DC1BB6">
      <w:pPr>
        <w:spacing w:after="0" w:line="276" w:lineRule="auto"/>
        <w:ind w:firstLine="708"/>
        <w:jc w:val="both"/>
        <w:rPr>
          <w:rFonts w:ascii="Tahoma" w:hAnsi="Tahoma" w:cs="Tahoma"/>
          <w:bCs/>
        </w:rPr>
      </w:pPr>
      <w:r>
        <w:rPr>
          <w:rFonts w:ascii="Tahoma" w:hAnsi="Tahoma" w:cs="Tahoma"/>
        </w:rPr>
        <w:t xml:space="preserve">Por otra parte, como el derecho a la igualdad permea el resto de derechos fundamentales involucrados en esta acción como el derecho al </w:t>
      </w:r>
      <w:r w:rsidR="00C07AF2" w:rsidRPr="00C07AF2">
        <w:rPr>
          <w:rFonts w:ascii="Tahoma" w:hAnsi="Tahoma" w:cs="Tahoma"/>
          <w:bCs/>
        </w:rPr>
        <w:t xml:space="preserve">debido proceso administrativo en igualdad de condiciones, seguridad </w:t>
      </w:r>
      <w:r w:rsidR="00C07AF2">
        <w:rPr>
          <w:rFonts w:ascii="Tahoma" w:hAnsi="Tahoma" w:cs="Tahoma"/>
          <w:bCs/>
        </w:rPr>
        <w:t xml:space="preserve">y </w:t>
      </w:r>
      <w:r w:rsidR="00C07AF2" w:rsidRPr="00C07AF2">
        <w:rPr>
          <w:rFonts w:ascii="Tahoma" w:hAnsi="Tahoma" w:cs="Tahoma"/>
          <w:bCs/>
        </w:rPr>
        <w:t>mínimo vital</w:t>
      </w:r>
      <w:r w:rsidR="00C07AF2">
        <w:rPr>
          <w:rFonts w:ascii="Tahoma" w:hAnsi="Tahoma" w:cs="Tahoma"/>
          <w:bCs/>
        </w:rPr>
        <w:t xml:space="preserve">, considera la Sala innecesario analizar cada uno de </w:t>
      </w:r>
      <w:r w:rsidR="00264997">
        <w:rPr>
          <w:rFonts w:ascii="Tahoma" w:hAnsi="Tahoma" w:cs="Tahoma"/>
          <w:bCs/>
        </w:rPr>
        <w:t>ellos</w:t>
      </w:r>
      <w:r w:rsidR="00C07AF2">
        <w:rPr>
          <w:rFonts w:ascii="Tahoma" w:hAnsi="Tahoma" w:cs="Tahoma"/>
          <w:bCs/>
        </w:rPr>
        <w:t xml:space="preserve"> por </w:t>
      </w:r>
      <w:r w:rsidR="00264997">
        <w:rPr>
          <w:rFonts w:ascii="Tahoma" w:hAnsi="Tahoma" w:cs="Tahoma"/>
          <w:bCs/>
        </w:rPr>
        <w:t>cuanto</w:t>
      </w:r>
      <w:r w:rsidR="00C07AF2">
        <w:rPr>
          <w:rFonts w:ascii="Tahoma" w:hAnsi="Tahoma" w:cs="Tahoma"/>
          <w:bCs/>
        </w:rPr>
        <w:t xml:space="preserve"> el amparo del derecho a la igualdad presupone el amparo de todos aquellos.</w:t>
      </w:r>
    </w:p>
    <w:p w:rsidR="00C07AF2" w:rsidRDefault="00C07AF2" w:rsidP="00DC1BB6">
      <w:pPr>
        <w:spacing w:after="0" w:line="276" w:lineRule="auto"/>
        <w:ind w:firstLine="708"/>
        <w:jc w:val="both"/>
        <w:rPr>
          <w:rFonts w:ascii="Tahoma" w:hAnsi="Tahoma" w:cs="Tahoma"/>
          <w:bCs/>
        </w:rPr>
      </w:pPr>
    </w:p>
    <w:p w:rsidR="00A4797D" w:rsidRDefault="00C07AF2" w:rsidP="005129FC">
      <w:pPr>
        <w:spacing w:after="0" w:line="276" w:lineRule="auto"/>
        <w:ind w:firstLine="708"/>
        <w:jc w:val="both"/>
        <w:rPr>
          <w:rFonts w:ascii="Tahoma" w:hAnsi="Tahoma" w:cs="Tahoma"/>
        </w:rPr>
      </w:pPr>
      <w:r>
        <w:rPr>
          <w:rFonts w:ascii="Tahoma" w:hAnsi="Tahoma" w:cs="Tahoma"/>
          <w:bCs/>
        </w:rPr>
        <w:t xml:space="preserve">Cosa diferente ocurre con el reconocimiento del derecho a la pensión de sobrevivientes </w:t>
      </w:r>
      <w:r w:rsidRPr="005F0DE0">
        <w:rPr>
          <w:rFonts w:ascii="Tahoma" w:hAnsi="Tahoma" w:cs="Tahoma"/>
          <w:b/>
          <w:bCs/>
        </w:rPr>
        <w:t xml:space="preserve"> </w:t>
      </w:r>
      <w:r>
        <w:rPr>
          <w:rFonts w:ascii="Tahoma" w:hAnsi="Tahoma" w:cs="Tahoma"/>
          <w:bCs/>
        </w:rPr>
        <w:t xml:space="preserve">reclamada por el actor, </w:t>
      </w:r>
      <w:r w:rsidR="005129FC">
        <w:rPr>
          <w:rFonts w:ascii="Tahoma" w:hAnsi="Tahoma" w:cs="Tahoma"/>
          <w:bCs/>
        </w:rPr>
        <w:t xml:space="preserve">cuyos </w:t>
      </w:r>
      <w:r w:rsidR="008F156E">
        <w:rPr>
          <w:rFonts w:ascii="Tahoma" w:hAnsi="Tahoma" w:cs="Tahoma"/>
          <w:bCs/>
        </w:rPr>
        <w:t xml:space="preserve">requisitos y </w:t>
      </w:r>
      <w:r w:rsidR="005129FC">
        <w:rPr>
          <w:rFonts w:ascii="Tahoma" w:hAnsi="Tahoma" w:cs="Tahoma"/>
          <w:bCs/>
        </w:rPr>
        <w:t xml:space="preserve">efectos en el tiempo son diferentes a la pensión post morten consagrada en el artículo 7º del Decreto 224 de 1972,  por cuanto el actor no se encuentra en ninguna de las circunstancias descritas en la </w:t>
      </w:r>
      <w:r w:rsidR="00264997">
        <w:rPr>
          <w:rFonts w:ascii="Tahoma" w:hAnsi="Tahoma" w:cs="Tahoma"/>
          <w:bCs/>
        </w:rPr>
        <w:t>jurisprudencia</w:t>
      </w:r>
      <w:r w:rsidR="005129FC">
        <w:rPr>
          <w:rFonts w:ascii="Tahoma" w:hAnsi="Tahoma" w:cs="Tahoma"/>
          <w:bCs/>
        </w:rPr>
        <w:t xml:space="preserve"> de la Corte Constitucional para que en vez de</w:t>
      </w:r>
      <w:r w:rsidR="003620ED">
        <w:rPr>
          <w:rFonts w:ascii="Tahoma" w:hAnsi="Tahoma" w:cs="Tahoma"/>
          <w:bCs/>
        </w:rPr>
        <w:t>l Decreto 224 de 1972 (</w:t>
      </w:r>
      <w:r w:rsidR="005129FC">
        <w:rPr>
          <w:rFonts w:ascii="Tahoma" w:hAnsi="Tahoma" w:cs="Tahoma"/>
          <w:bCs/>
        </w:rPr>
        <w:t xml:space="preserve">pensión post </w:t>
      </w:r>
      <w:r w:rsidR="003620ED">
        <w:rPr>
          <w:rFonts w:ascii="Tahoma" w:hAnsi="Tahoma" w:cs="Tahoma"/>
          <w:bCs/>
        </w:rPr>
        <w:t>m</w:t>
      </w:r>
      <w:r w:rsidR="005129FC">
        <w:rPr>
          <w:rFonts w:ascii="Tahoma" w:hAnsi="Tahoma" w:cs="Tahoma"/>
          <w:bCs/>
        </w:rPr>
        <w:t>orte</w:t>
      </w:r>
      <w:r w:rsidR="003620ED">
        <w:rPr>
          <w:rFonts w:ascii="Tahoma" w:hAnsi="Tahoma" w:cs="Tahoma"/>
          <w:bCs/>
        </w:rPr>
        <w:t>n)</w:t>
      </w:r>
      <w:r w:rsidR="005129FC">
        <w:rPr>
          <w:rFonts w:ascii="Tahoma" w:hAnsi="Tahoma" w:cs="Tahoma"/>
          <w:bCs/>
        </w:rPr>
        <w:t xml:space="preserve"> se le </w:t>
      </w:r>
      <w:r w:rsidR="003620ED">
        <w:rPr>
          <w:rFonts w:ascii="Tahoma" w:hAnsi="Tahoma" w:cs="Tahoma"/>
          <w:bCs/>
        </w:rPr>
        <w:t xml:space="preserve">aplique </w:t>
      </w:r>
      <w:r w:rsidR="005129FC">
        <w:rPr>
          <w:rFonts w:ascii="Tahoma" w:hAnsi="Tahoma" w:cs="Tahoma"/>
          <w:bCs/>
        </w:rPr>
        <w:t>la ley 100 de 1993</w:t>
      </w:r>
      <w:r w:rsidR="003620ED">
        <w:rPr>
          <w:rFonts w:ascii="Tahoma" w:hAnsi="Tahoma" w:cs="Tahoma"/>
          <w:bCs/>
        </w:rPr>
        <w:t xml:space="preserve"> (pensión de sobrevivientes) </w:t>
      </w:r>
      <w:r w:rsidR="005129FC">
        <w:rPr>
          <w:rFonts w:ascii="Tahoma" w:hAnsi="Tahoma" w:cs="Tahoma"/>
          <w:bCs/>
        </w:rPr>
        <w:t xml:space="preserve">ya que </w:t>
      </w:r>
      <w:r w:rsidR="00B5430D">
        <w:rPr>
          <w:rFonts w:ascii="Tahoma" w:hAnsi="Tahoma" w:cs="Tahoma"/>
        </w:rPr>
        <w:t xml:space="preserve">no </w:t>
      </w:r>
      <w:r w:rsidR="005129FC">
        <w:rPr>
          <w:rFonts w:ascii="Tahoma" w:hAnsi="Tahoma" w:cs="Tahoma"/>
        </w:rPr>
        <w:t xml:space="preserve">se </w:t>
      </w:r>
      <w:r w:rsidR="00C96E35" w:rsidRPr="005F0DE0">
        <w:rPr>
          <w:rFonts w:ascii="Tahoma" w:hAnsi="Tahoma" w:cs="Tahoma"/>
        </w:rPr>
        <w:t xml:space="preserve">demostró </w:t>
      </w:r>
      <w:r w:rsidR="003620ED">
        <w:rPr>
          <w:rFonts w:ascii="Tahoma" w:hAnsi="Tahoma" w:cs="Tahoma"/>
        </w:rPr>
        <w:t xml:space="preserve">en este proceso </w:t>
      </w:r>
      <w:r w:rsidR="005129FC">
        <w:rPr>
          <w:rFonts w:ascii="Tahoma" w:hAnsi="Tahoma" w:cs="Tahoma"/>
        </w:rPr>
        <w:t xml:space="preserve">que </w:t>
      </w:r>
      <w:r w:rsidR="003620ED">
        <w:rPr>
          <w:rFonts w:ascii="Tahoma" w:hAnsi="Tahoma" w:cs="Tahoma"/>
        </w:rPr>
        <w:t>sea</w:t>
      </w:r>
      <w:r w:rsidR="005129FC">
        <w:rPr>
          <w:rFonts w:ascii="Tahoma" w:hAnsi="Tahoma" w:cs="Tahoma"/>
        </w:rPr>
        <w:t xml:space="preserve"> un </w:t>
      </w:r>
      <w:r w:rsidR="00C26C10">
        <w:rPr>
          <w:rFonts w:ascii="Tahoma" w:hAnsi="Tahoma" w:cs="Tahoma"/>
        </w:rPr>
        <w:t>sujeto de especial protección</w:t>
      </w:r>
      <w:r w:rsidR="005129FC">
        <w:rPr>
          <w:rFonts w:ascii="Tahoma" w:hAnsi="Tahoma" w:cs="Tahoma"/>
        </w:rPr>
        <w:t xml:space="preserve"> bien por la edad o </w:t>
      </w:r>
      <w:r w:rsidR="003620ED">
        <w:rPr>
          <w:rFonts w:ascii="Tahoma" w:hAnsi="Tahoma" w:cs="Tahoma"/>
        </w:rPr>
        <w:t>por la in</w:t>
      </w:r>
      <w:r w:rsidR="005129FC">
        <w:rPr>
          <w:rFonts w:ascii="Tahoma" w:hAnsi="Tahoma" w:cs="Tahoma"/>
        </w:rPr>
        <w:t>capacidad para laborar</w:t>
      </w:r>
      <w:r w:rsidR="003620ED">
        <w:rPr>
          <w:rFonts w:ascii="Tahoma" w:hAnsi="Tahoma" w:cs="Tahoma"/>
        </w:rPr>
        <w:t xml:space="preserve"> </w:t>
      </w:r>
      <w:r w:rsidR="003620ED">
        <w:rPr>
          <w:rFonts w:ascii="Tahoma" w:hAnsi="Tahoma" w:cs="Tahoma"/>
          <w:i/>
        </w:rPr>
        <w:t xml:space="preserve">–tiene 56 años y es trabajador activo- , </w:t>
      </w:r>
      <w:r w:rsidR="00B5430D">
        <w:rPr>
          <w:rFonts w:ascii="Tahoma" w:hAnsi="Tahoma" w:cs="Tahoma"/>
        </w:rPr>
        <w:t xml:space="preserve"> </w:t>
      </w:r>
      <w:r w:rsidR="003620ED">
        <w:rPr>
          <w:rFonts w:ascii="Tahoma" w:hAnsi="Tahoma" w:cs="Tahoma"/>
        </w:rPr>
        <w:t>ni que se le esté causando un perjuicio irremediable como quiera que gana una salario superior al mínimo.</w:t>
      </w:r>
    </w:p>
    <w:p w:rsidR="003620ED" w:rsidRDefault="003620ED" w:rsidP="005129FC">
      <w:pPr>
        <w:spacing w:after="0" w:line="276" w:lineRule="auto"/>
        <w:ind w:firstLine="708"/>
        <w:jc w:val="both"/>
        <w:rPr>
          <w:rFonts w:ascii="Tahoma" w:hAnsi="Tahoma" w:cs="Tahoma"/>
        </w:rPr>
      </w:pPr>
    </w:p>
    <w:p w:rsidR="003620ED" w:rsidRDefault="003620ED" w:rsidP="005129FC">
      <w:pPr>
        <w:spacing w:after="0" w:line="276" w:lineRule="auto"/>
        <w:ind w:firstLine="708"/>
        <w:jc w:val="both"/>
        <w:rPr>
          <w:rFonts w:ascii="Tahoma" w:hAnsi="Tahoma" w:cs="Tahoma"/>
        </w:rPr>
      </w:pPr>
      <w:r>
        <w:rPr>
          <w:rFonts w:ascii="Tahoma" w:hAnsi="Tahoma" w:cs="Tahoma"/>
        </w:rPr>
        <w:t xml:space="preserve">En consecuencia, hay que aclarar que el amparo que se otorga </w:t>
      </w:r>
      <w:r w:rsidR="001B3443">
        <w:rPr>
          <w:rFonts w:ascii="Tahoma" w:hAnsi="Tahoma" w:cs="Tahoma"/>
        </w:rPr>
        <w:t xml:space="preserve">en esta acción de tutela </w:t>
      </w:r>
      <w:r>
        <w:rPr>
          <w:rFonts w:ascii="Tahoma" w:hAnsi="Tahoma" w:cs="Tahoma"/>
        </w:rPr>
        <w:t xml:space="preserve">al derecho a la igualdad va encaminado a que se le aplique </w:t>
      </w:r>
      <w:r w:rsidR="001B3443">
        <w:rPr>
          <w:rFonts w:ascii="Tahoma" w:hAnsi="Tahoma" w:cs="Tahoma"/>
        </w:rPr>
        <w:t xml:space="preserve">al actor </w:t>
      </w:r>
      <w:r>
        <w:rPr>
          <w:rFonts w:ascii="Tahoma" w:hAnsi="Tahoma" w:cs="Tahoma"/>
        </w:rPr>
        <w:t xml:space="preserve">el artículo 7º del Decreto 224 de 1972 cuyos efectos son temporales (5 años) y por lo tanto, si lo que pretende es que </w:t>
      </w:r>
      <w:r w:rsidR="001B3443">
        <w:rPr>
          <w:rFonts w:ascii="Tahoma" w:hAnsi="Tahoma" w:cs="Tahoma"/>
        </w:rPr>
        <w:t xml:space="preserve">se </w:t>
      </w:r>
      <w:r>
        <w:rPr>
          <w:rFonts w:ascii="Tahoma" w:hAnsi="Tahoma" w:cs="Tahoma"/>
        </w:rPr>
        <w:t xml:space="preserve">le </w:t>
      </w:r>
      <w:r w:rsidR="001B3443">
        <w:rPr>
          <w:rFonts w:ascii="Tahoma" w:hAnsi="Tahoma" w:cs="Tahoma"/>
        </w:rPr>
        <w:t>reconozca la pensión de sobrevivientes d</w:t>
      </w:r>
      <w:r>
        <w:rPr>
          <w:rFonts w:ascii="Tahoma" w:hAnsi="Tahoma" w:cs="Tahoma"/>
        </w:rPr>
        <w:t>el sistema general de pensiones (</w:t>
      </w:r>
      <w:r w:rsidR="001B3443">
        <w:rPr>
          <w:rFonts w:ascii="Tahoma" w:hAnsi="Tahoma" w:cs="Tahoma"/>
        </w:rPr>
        <w:t xml:space="preserve">que es vitalicia) en subsidio de la pensión post morten, </w:t>
      </w:r>
      <w:r>
        <w:rPr>
          <w:rFonts w:ascii="Tahoma" w:hAnsi="Tahoma" w:cs="Tahoma"/>
        </w:rPr>
        <w:t>debe acudir a la jurisdicción contencioso administrativa.</w:t>
      </w:r>
    </w:p>
    <w:p w:rsidR="003620ED" w:rsidRDefault="003620ED" w:rsidP="005129FC">
      <w:pPr>
        <w:spacing w:after="0" w:line="276" w:lineRule="auto"/>
        <w:ind w:firstLine="708"/>
        <w:jc w:val="both"/>
        <w:rPr>
          <w:rFonts w:ascii="Tahoma" w:hAnsi="Tahoma" w:cs="Tahoma"/>
        </w:rPr>
      </w:pPr>
    </w:p>
    <w:p w:rsidR="00A002FC" w:rsidRDefault="00A419B7" w:rsidP="00AF0591">
      <w:pPr>
        <w:spacing w:after="0" w:line="276" w:lineRule="auto"/>
        <w:ind w:firstLine="708"/>
        <w:jc w:val="both"/>
        <w:rPr>
          <w:rFonts w:ascii="Tahoma" w:hAnsi="Tahoma" w:cs="Tahoma"/>
        </w:rPr>
      </w:pPr>
      <w:r w:rsidRPr="009E141F">
        <w:rPr>
          <w:rFonts w:ascii="Tahoma" w:hAnsi="Tahoma" w:cs="Tahoma"/>
          <w:iCs/>
          <w:lang w:val="es-ES_tradnl"/>
        </w:rPr>
        <w:t xml:space="preserve">Así las cosas, </w:t>
      </w:r>
      <w:r w:rsidR="003620ED">
        <w:rPr>
          <w:rFonts w:ascii="Tahoma" w:hAnsi="Tahoma" w:cs="Tahoma"/>
          <w:iCs/>
          <w:lang w:val="es-ES_tradnl"/>
        </w:rPr>
        <w:t xml:space="preserve">la </w:t>
      </w:r>
      <w:r w:rsidRPr="009E141F">
        <w:rPr>
          <w:rFonts w:ascii="Tahoma" w:hAnsi="Tahoma" w:cs="Tahoma"/>
          <w:iCs/>
          <w:lang w:val="es-ES_tradnl"/>
        </w:rPr>
        <w:t xml:space="preserve">Sala </w:t>
      </w:r>
      <w:r w:rsidR="001B3443">
        <w:rPr>
          <w:rFonts w:ascii="Tahoma" w:hAnsi="Tahoma" w:cs="Tahoma"/>
          <w:iCs/>
          <w:lang w:val="es-ES_tradnl"/>
        </w:rPr>
        <w:t xml:space="preserve">revocará la decisión de primera instancia para en su lugar dejar sin efectos los actos administrativos que negaron la pensión post morten al actor por resultar contrarios a la Constitución, y a su vez ordenar a la </w:t>
      </w:r>
      <w:r w:rsidR="001B3443">
        <w:rPr>
          <w:rFonts w:ascii="Tahoma" w:hAnsi="Tahoma" w:cs="Tahoma"/>
        </w:rPr>
        <w:t xml:space="preserve">Secretaría de Educación Municipal de Pereira y a la FIDUPREVISORA S.A. procedan a </w:t>
      </w:r>
      <w:r w:rsidR="00380A01">
        <w:rPr>
          <w:rFonts w:ascii="Tahoma" w:hAnsi="Tahoma" w:cs="Tahoma"/>
        </w:rPr>
        <w:t>analizar nuevamente la petición de</w:t>
      </w:r>
      <w:r w:rsidR="008F156E">
        <w:rPr>
          <w:rFonts w:ascii="Tahoma" w:hAnsi="Tahoma" w:cs="Tahoma"/>
        </w:rPr>
        <w:t xml:space="preserve"> </w:t>
      </w:r>
      <w:r w:rsidR="001B3443">
        <w:rPr>
          <w:rFonts w:ascii="Tahoma" w:hAnsi="Tahoma" w:cs="Tahoma"/>
        </w:rPr>
        <w:t xml:space="preserve">la pensión post morten </w:t>
      </w:r>
      <w:r w:rsidR="00380A01">
        <w:rPr>
          <w:rFonts w:ascii="Tahoma" w:hAnsi="Tahoma" w:cs="Tahoma"/>
        </w:rPr>
        <w:t>hecha por el tutelante a efectos de establecer si cumple los requisitos del Decreto 224 de 1.972, salvo aquel que exige tener la calidad e cónyuge</w:t>
      </w:r>
      <w:r w:rsidR="001B3443">
        <w:rPr>
          <w:rFonts w:ascii="Tahoma" w:hAnsi="Tahoma" w:cs="Tahoma"/>
        </w:rPr>
        <w:t xml:space="preserve">, dentro de los veinte días siguientes a la ejecutoria de este fallo, tiempo suficiente para que tanto la una como la otra realicen los trámites administrativos pertinentes para el efecto. </w:t>
      </w:r>
    </w:p>
    <w:p w:rsidR="001B3443" w:rsidRDefault="001B3443" w:rsidP="00AF0591">
      <w:pPr>
        <w:spacing w:after="0" w:line="276" w:lineRule="auto"/>
        <w:ind w:firstLine="708"/>
        <w:jc w:val="both"/>
        <w:rPr>
          <w:rFonts w:ascii="Tahoma" w:hAnsi="Tahoma" w:cs="Tahoma"/>
        </w:rPr>
      </w:pPr>
    </w:p>
    <w:p w:rsidR="001B3443" w:rsidRDefault="001B3443" w:rsidP="00AF0591">
      <w:pPr>
        <w:spacing w:after="0" w:line="276" w:lineRule="auto"/>
        <w:ind w:firstLine="708"/>
        <w:jc w:val="both"/>
        <w:rPr>
          <w:rFonts w:ascii="Tahoma" w:hAnsi="Tahoma" w:cs="Tahoma"/>
        </w:rPr>
      </w:pPr>
      <w:r>
        <w:rPr>
          <w:rFonts w:ascii="Tahoma" w:hAnsi="Tahoma" w:cs="Tahoma"/>
        </w:rPr>
        <w:t xml:space="preserve">Finalmente se </w:t>
      </w:r>
      <w:r w:rsidR="00264997">
        <w:rPr>
          <w:rFonts w:ascii="Tahoma" w:hAnsi="Tahoma" w:cs="Tahoma"/>
        </w:rPr>
        <w:t>absolverá</w:t>
      </w:r>
      <w:r>
        <w:rPr>
          <w:rFonts w:ascii="Tahoma" w:hAnsi="Tahoma" w:cs="Tahoma"/>
        </w:rPr>
        <w:t xml:space="preserve"> a la Nación Ministerio de Educación de las </w:t>
      </w:r>
      <w:r w:rsidR="00264997">
        <w:rPr>
          <w:rFonts w:ascii="Tahoma" w:hAnsi="Tahoma" w:cs="Tahoma"/>
        </w:rPr>
        <w:t>pretensiones</w:t>
      </w:r>
      <w:r>
        <w:rPr>
          <w:rFonts w:ascii="Tahoma" w:hAnsi="Tahoma" w:cs="Tahoma"/>
        </w:rPr>
        <w:t xml:space="preserve"> de esta demanda por considerar que no ha violado derecho alguno del actor. </w:t>
      </w:r>
    </w:p>
    <w:p w:rsidR="001B3443" w:rsidRPr="009E141F" w:rsidRDefault="001B3443" w:rsidP="00AF0591">
      <w:pPr>
        <w:spacing w:after="0" w:line="276" w:lineRule="auto"/>
        <w:ind w:firstLine="708"/>
        <w:jc w:val="both"/>
        <w:rPr>
          <w:rFonts w:ascii="Tahoma" w:hAnsi="Tahoma" w:cs="Tahoma"/>
          <w:iCs/>
          <w:lang w:val="es-ES_tradnl"/>
        </w:rPr>
      </w:pPr>
    </w:p>
    <w:p w:rsidR="0020464B" w:rsidRDefault="00FE312B" w:rsidP="00AF0591">
      <w:pPr>
        <w:pStyle w:val="Sinespaciado"/>
        <w:spacing w:line="276" w:lineRule="auto"/>
        <w:ind w:firstLine="709"/>
        <w:jc w:val="both"/>
        <w:rPr>
          <w:rFonts w:ascii="Tahoma" w:hAnsi="Tahoma" w:cs="Tahoma"/>
          <w:lang w:eastAsia="es-CO"/>
        </w:rPr>
      </w:pPr>
      <w:r w:rsidRPr="009E141F">
        <w:rPr>
          <w:rFonts w:ascii="Tahoma" w:hAnsi="Tahoma" w:cs="Tahoma"/>
          <w:lang w:eastAsia="es-CO"/>
        </w:rPr>
        <w:t>En mérito de lo expuesto, la Sala de Decisión Laboral del Tribunal Superior de Pereira, administrando justicia en nombre de la República  y por autoridad de la ley,</w:t>
      </w:r>
    </w:p>
    <w:p w:rsidR="00A47C93" w:rsidRDefault="00A47C93" w:rsidP="00AF0591">
      <w:pPr>
        <w:pStyle w:val="Sinespaciado"/>
        <w:spacing w:line="276" w:lineRule="auto"/>
        <w:jc w:val="both"/>
        <w:rPr>
          <w:rFonts w:ascii="Tahoma" w:hAnsi="Tahoma" w:cs="Tahoma"/>
          <w:lang w:eastAsia="es-CO"/>
        </w:rPr>
      </w:pPr>
    </w:p>
    <w:p w:rsidR="001A6F6D" w:rsidRPr="009E141F" w:rsidRDefault="001A6F6D" w:rsidP="00AF0591">
      <w:pPr>
        <w:pStyle w:val="Sinespaciado"/>
        <w:spacing w:line="276" w:lineRule="auto"/>
        <w:jc w:val="both"/>
        <w:rPr>
          <w:rFonts w:ascii="Tahoma" w:hAnsi="Tahoma" w:cs="Tahoma"/>
          <w:lang w:eastAsia="es-CO"/>
        </w:rPr>
      </w:pPr>
    </w:p>
    <w:p w:rsidR="001A6F6D" w:rsidRPr="001A6F6D" w:rsidRDefault="00C73708" w:rsidP="00AF0591">
      <w:pPr>
        <w:pStyle w:val="Ttulo4"/>
        <w:spacing w:line="276" w:lineRule="auto"/>
        <w:rPr>
          <w:rFonts w:ascii="Tahoma" w:hAnsi="Tahoma" w:cs="Tahoma"/>
          <w:sz w:val="22"/>
          <w:szCs w:val="22"/>
        </w:rPr>
      </w:pPr>
      <w:r w:rsidRPr="009E141F">
        <w:rPr>
          <w:rFonts w:ascii="Tahoma" w:hAnsi="Tahoma" w:cs="Tahoma"/>
          <w:sz w:val="22"/>
          <w:szCs w:val="22"/>
        </w:rPr>
        <w:t>RESUELVE</w:t>
      </w:r>
    </w:p>
    <w:p w:rsidR="00C73708" w:rsidRPr="005F0DE0" w:rsidRDefault="00C73708" w:rsidP="00AF0591">
      <w:pPr>
        <w:pStyle w:val="Sinespaciado"/>
        <w:spacing w:line="276" w:lineRule="auto"/>
        <w:jc w:val="both"/>
      </w:pPr>
    </w:p>
    <w:p w:rsidR="00401C19" w:rsidRPr="005F0DE0" w:rsidRDefault="00BB234B" w:rsidP="00AF0591">
      <w:pPr>
        <w:spacing w:after="0" w:line="276" w:lineRule="auto"/>
        <w:ind w:right="3" w:firstLine="709"/>
        <w:jc w:val="both"/>
        <w:rPr>
          <w:rFonts w:ascii="Tahoma" w:eastAsia="Calibri" w:hAnsi="Tahoma" w:cs="Tahoma"/>
          <w:bCs/>
        </w:rPr>
      </w:pPr>
      <w:r w:rsidRPr="005F0DE0">
        <w:rPr>
          <w:rFonts w:ascii="Tahoma" w:eastAsia="Calibri" w:hAnsi="Tahoma" w:cs="Tahoma"/>
          <w:b/>
          <w:bCs/>
        </w:rPr>
        <w:lastRenderedPageBreak/>
        <w:t xml:space="preserve">PRIMERO: </w:t>
      </w:r>
      <w:r w:rsidR="00EB7FD9">
        <w:rPr>
          <w:rFonts w:ascii="Tahoma" w:eastAsia="Calibri" w:hAnsi="Tahoma" w:cs="Tahoma"/>
          <w:b/>
          <w:bCs/>
        </w:rPr>
        <w:t>REVOC</w:t>
      </w:r>
      <w:r w:rsidR="00BE5091" w:rsidRPr="005F0DE0">
        <w:rPr>
          <w:rFonts w:ascii="Tahoma" w:eastAsia="Calibri" w:hAnsi="Tahoma" w:cs="Tahoma"/>
          <w:b/>
          <w:bCs/>
        </w:rPr>
        <w:t>AR</w:t>
      </w:r>
      <w:r w:rsidRPr="005F0DE0">
        <w:rPr>
          <w:rFonts w:ascii="Tahoma" w:eastAsia="Calibri" w:hAnsi="Tahoma" w:cs="Tahoma"/>
          <w:b/>
          <w:bCs/>
        </w:rPr>
        <w:t xml:space="preserve"> </w:t>
      </w:r>
      <w:r w:rsidRPr="005F0DE0">
        <w:rPr>
          <w:rFonts w:ascii="Tahoma" w:eastAsia="Calibri" w:hAnsi="Tahoma" w:cs="Tahoma"/>
          <w:bCs/>
        </w:rPr>
        <w:t xml:space="preserve">la sentencia proferida </w:t>
      </w:r>
      <w:r w:rsidR="00013D97" w:rsidRPr="005F0DE0">
        <w:rPr>
          <w:rFonts w:ascii="Tahoma" w:eastAsia="Calibri" w:hAnsi="Tahoma" w:cs="Tahoma"/>
          <w:bCs/>
        </w:rPr>
        <w:t xml:space="preserve">por el </w:t>
      </w:r>
      <w:r w:rsidR="00313E81" w:rsidRPr="005F0DE0">
        <w:rPr>
          <w:rFonts w:ascii="Tahoma" w:eastAsia="Calibri" w:hAnsi="Tahoma" w:cs="Tahoma"/>
          <w:bCs/>
        </w:rPr>
        <w:t>Juzgado</w:t>
      </w:r>
      <w:r w:rsidR="006C3C81" w:rsidRPr="005F0DE0">
        <w:rPr>
          <w:rFonts w:ascii="Tahoma" w:eastAsia="Calibri" w:hAnsi="Tahoma" w:cs="Tahoma"/>
          <w:bCs/>
        </w:rPr>
        <w:t xml:space="preserve"> </w:t>
      </w:r>
      <w:r w:rsidR="00BE5091" w:rsidRPr="005F0DE0">
        <w:rPr>
          <w:rFonts w:ascii="Tahoma" w:eastAsia="Calibri" w:hAnsi="Tahoma" w:cs="Tahoma"/>
          <w:bCs/>
        </w:rPr>
        <w:t xml:space="preserve">Segundo </w:t>
      </w:r>
      <w:r w:rsidR="00447DE9" w:rsidRPr="005F0DE0">
        <w:rPr>
          <w:rFonts w:ascii="Tahoma" w:eastAsia="Calibri" w:hAnsi="Tahoma" w:cs="Tahoma"/>
          <w:bCs/>
        </w:rPr>
        <w:t>Labo</w:t>
      </w:r>
      <w:r w:rsidR="001E1CCD" w:rsidRPr="005F0DE0">
        <w:rPr>
          <w:rFonts w:ascii="Tahoma" w:eastAsia="Calibri" w:hAnsi="Tahoma" w:cs="Tahoma"/>
          <w:bCs/>
        </w:rPr>
        <w:t>ral del Circuito de Pereira</w:t>
      </w:r>
      <w:r w:rsidR="00013D97" w:rsidRPr="005F0DE0">
        <w:rPr>
          <w:rFonts w:ascii="Tahoma" w:eastAsia="Calibri" w:hAnsi="Tahoma" w:cs="Tahoma"/>
          <w:bCs/>
        </w:rPr>
        <w:t xml:space="preserve"> el </w:t>
      </w:r>
      <w:r w:rsidR="00041C02" w:rsidRPr="005F0DE0">
        <w:rPr>
          <w:rFonts w:ascii="Tahoma" w:eastAsia="Calibri" w:hAnsi="Tahoma" w:cs="Tahoma"/>
          <w:bCs/>
        </w:rPr>
        <w:t xml:space="preserve">3 </w:t>
      </w:r>
      <w:r w:rsidR="001E1CCD" w:rsidRPr="005F0DE0">
        <w:rPr>
          <w:rFonts w:ascii="Tahoma" w:eastAsia="Calibri" w:hAnsi="Tahoma" w:cs="Tahoma"/>
          <w:bCs/>
        </w:rPr>
        <w:t xml:space="preserve">de </w:t>
      </w:r>
      <w:r w:rsidR="00041C02" w:rsidRPr="005F0DE0">
        <w:rPr>
          <w:rFonts w:ascii="Tahoma" w:eastAsia="Calibri" w:hAnsi="Tahoma" w:cs="Tahoma"/>
          <w:bCs/>
        </w:rPr>
        <w:t>mayo</w:t>
      </w:r>
      <w:r w:rsidR="006C3C81" w:rsidRPr="005F0DE0">
        <w:rPr>
          <w:rFonts w:ascii="Tahoma" w:eastAsia="Calibri" w:hAnsi="Tahoma" w:cs="Tahoma"/>
          <w:bCs/>
        </w:rPr>
        <w:t xml:space="preserve"> de 201</w:t>
      </w:r>
      <w:r w:rsidR="00041C02" w:rsidRPr="005F0DE0">
        <w:rPr>
          <w:rFonts w:ascii="Tahoma" w:eastAsia="Calibri" w:hAnsi="Tahoma" w:cs="Tahoma"/>
          <w:bCs/>
        </w:rPr>
        <w:t>7</w:t>
      </w:r>
      <w:r w:rsidR="006C3C81" w:rsidRPr="005F0DE0">
        <w:rPr>
          <w:rFonts w:ascii="Tahoma" w:eastAsia="Calibri" w:hAnsi="Tahoma" w:cs="Tahoma"/>
          <w:bCs/>
        </w:rPr>
        <w:t>, por las razones expuestas en la parte motiva de esta sentencia.</w:t>
      </w:r>
    </w:p>
    <w:p w:rsidR="00BB234B" w:rsidRPr="005F0DE0" w:rsidRDefault="00BB234B" w:rsidP="00AF0591">
      <w:pPr>
        <w:pStyle w:val="Sinespaciado"/>
        <w:spacing w:line="276" w:lineRule="auto"/>
        <w:jc w:val="both"/>
      </w:pPr>
    </w:p>
    <w:p w:rsidR="00401C19" w:rsidRPr="005F0DE0" w:rsidRDefault="00BB234B" w:rsidP="00AF0591">
      <w:pPr>
        <w:spacing w:after="0" w:line="276" w:lineRule="auto"/>
        <w:ind w:right="3" w:firstLine="709"/>
        <w:jc w:val="both"/>
        <w:rPr>
          <w:rFonts w:ascii="Tahoma" w:eastAsia="Calibri" w:hAnsi="Tahoma" w:cs="Tahoma"/>
          <w:b/>
          <w:bCs/>
        </w:rPr>
      </w:pPr>
      <w:r w:rsidRPr="005F0DE0">
        <w:rPr>
          <w:rFonts w:ascii="Tahoma" w:eastAsia="Calibri" w:hAnsi="Tahoma" w:cs="Tahoma"/>
          <w:b/>
          <w:bCs/>
        </w:rPr>
        <w:t>SEGUNDO:</w:t>
      </w:r>
      <w:r w:rsidR="006C3C81" w:rsidRPr="005F0DE0">
        <w:rPr>
          <w:rFonts w:ascii="Tahoma" w:eastAsia="Calibri" w:hAnsi="Tahoma" w:cs="Tahoma"/>
          <w:b/>
          <w:bCs/>
        </w:rPr>
        <w:t xml:space="preserve"> </w:t>
      </w:r>
      <w:r w:rsidR="00EB7FD9">
        <w:rPr>
          <w:rFonts w:ascii="Tahoma" w:eastAsia="Calibri" w:hAnsi="Tahoma" w:cs="Tahoma"/>
          <w:bCs/>
        </w:rPr>
        <w:t xml:space="preserve">En su lugar, </w:t>
      </w:r>
      <w:r w:rsidR="00EB7FD9">
        <w:rPr>
          <w:rFonts w:ascii="Tahoma" w:eastAsia="Calibri" w:hAnsi="Tahoma" w:cs="Tahoma"/>
          <w:b/>
          <w:bCs/>
        </w:rPr>
        <w:t xml:space="preserve">TUTELAR </w:t>
      </w:r>
      <w:r w:rsidR="00EB7FD9">
        <w:rPr>
          <w:rFonts w:ascii="Tahoma" w:eastAsia="Calibri" w:hAnsi="Tahoma" w:cs="Tahoma"/>
          <w:bCs/>
        </w:rPr>
        <w:t xml:space="preserve">los derechos fundamentales a la igualdad, </w:t>
      </w:r>
      <w:r w:rsidR="00EB7FD9">
        <w:rPr>
          <w:rFonts w:ascii="Tahoma" w:hAnsi="Tahoma" w:cs="Tahoma"/>
        </w:rPr>
        <w:t xml:space="preserve">el </w:t>
      </w:r>
      <w:r w:rsidR="00EB7FD9" w:rsidRPr="00C07AF2">
        <w:rPr>
          <w:rFonts w:ascii="Tahoma" w:hAnsi="Tahoma" w:cs="Tahoma"/>
          <w:bCs/>
        </w:rPr>
        <w:t xml:space="preserve">debido proceso administrativo en igualdad de condiciones, seguridad </w:t>
      </w:r>
      <w:r w:rsidR="00EB7FD9">
        <w:rPr>
          <w:rFonts w:ascii="Tahoma" w:hAnsi="Tahoma" w:cs="Tahoma"/>
          <w:bCs/>
        </w:rPr>
        <w:t xml:space="preserve">y </w:t>
      </w:r>
      <w:r w:rsidR="00EB7FD9" w:rsidRPr="00C07AF2">
        <w:rPr>
          <w:rFonts w:ascii="Tahoma" w:hAnsi="Tahoma" w:cs="Tahoma"/>
          <w:bCs/>
        </w:rPr>
        <w:t>mínimo vital</w:t>
      </w:r>
      <w:r w:rsidR="00EB7FD9" w:rsidRPr="005F0DE0">
        <w:rPr>
          <w:rFonts w:ascii="Tahoma" w:eastAsia="Calibri" w:hAnsi="Tahoma" w:cs="Tahoma"/>
          <w:bCs/>
        </w:rPr>
        <w:t xml:space="preserve"> </w:t>
      </w:r>
      <w:r w:rsidR="00EB7FD9">
        <w:rPr>
          <w:rFonts w:ascii="Tahoma" w:eastAsia="Calibri" w:hAnsi="Tahoma" w:cs="Tahoma"/>
          <w:bCs/>
        </w:rPr>
        <w:t xml:space="preserve">del Señor HERNANDO PINZÓN RODRIGUEZ, vulnerados por  </w:t>
      </w:r>
      <w:r w:rsidR="00EB7FD9">
        <w:rPr>
          <w:rFonts w:ascii="Tahoma" w:hAnsi="Tahoma" w:cs="Tahoma"/>
          <w:iCs/>
          <w:lang w:val="es-ES_tradnl"/>
        </w:rPr>
        <w:t xml:space="preserve">la </w:t>
      </w:r>
      <w:r w:rsidR="00EB7FD9">
        <w:rPr>
          <w:rFonts w:ascii="Tahoma" w:hAnsi="Tahoma" w:cs="Tahoma"/>
        </w:rPr>
        <w:t xml:space="preserve">Secretaría de Educación Municipal de Pereira y a la FIDUPREVISORA S.A. conforme se explicó en las consideraciones de este fallo. </w:t>
      </w:r>
    </w:p>
    <w:p w:rsidR="006C3C81" w:rsidRPr="005F0DE0" w:rsidRDefault="006C3C81" w:rsidP="00AF0591">
      <w:pPr>
        <w:pStyle w:val="Sinespaciado"/>
        <w:spacing w:line="276" w:lineRule="auto"/>
        <w:jc w:val="both"/>
      </w:pPr>
    </w:p>
    <w:p w:rsidR="00EB7FD9" w:rsidRDefault="00401C19" w:rsidP="00AF0591">
      <w:pPr>
        <w:spacing w:after="0" w:line="276" w:lineRule="auto"/>
        <w:ind w:right="3" w:firstLine="709"/>
        <w:jc w:val="both"/>
        <w:rPr>
          <w:rFonts w:ascii="Tahoma" w:eastAsia="Calibri" w:hAnsi="Tahoma" w:cs="Tahoma"/>
          <w:bCs/>
        </w:rPr>
      </w:pPr>
      <w:r w:rsidRPr="005F0DE0">
        <w:rPr>
          <w:rFonts w:ascii="Tahoma" w:eastAsia="Calibri" w:hAnsi="Tahoma" w:cs="Tahoma"/>
          <w:b/>
          <w:bCs/>
        </w:rPr>
        <w:t>TERCERO</w:t>
      </w:r>
      <w:r w:rsidR="001436DC" w:rsidRPr="005F0DE0">
        <w:rPr>
          <w:rFonts w:ascii="Tahoma" w:eastAsia="Calibri" w:hAnsi="Tahoma" w:cs="Tahoma"/>
          <w:b/>
          <w:bCs/>
        </w:rPr>
        <w:t>:</w:t>
      </w:r>
      <w:r w:rsidR="001436DC" w:rsidRPr="005F0DE0">
        <w:rPr>
          <w:rFonts w:ascii="Tahoma" w:eastAsia="Calibri" w:hAnsi="Tahoma" w:cs="Tahoma"/>
          <w:bCs/>
        </w:rPr>
        <w:t xml:space="preserve"> </w:t>
      </w:r>
      <w:r w:rsidR="00EB7FD9">
        <w:rPr>
          <w:rFonts w:ascii="Tahoma" w:eastAsia="Calibri" w:hAnsi="Tahoma" w:cs="Tahoma"/>
          <w:bCs/>
        </w:rPr>
        <w:t xml:space="preserve">En consecuencia, </w:t>
      </w:r>
      <w:r w:rsidR="00EB7FD9">
        <w:rPr>
          <w:rFonts w:ascii="Tahoma" w:eastAsia="Calibri" w:hAnsi="Tahoma" w:cs="Tahoma"/>
          <w:b/>
          <w:bCs/>
        </w:rPr>
        <w:t xml:space="preserve">DEJAR SIN EFECTOS </w:t>
      </w:r>
      <w:r w:rsidR="00EB7FD9">
        <w:rPr>
          <w:rFonts w:ascii="Tahoma" w:eastAsia="Calibri" w:hAnsi="Tahoma" w:cs="Tahoma"/>
          <w:bCs/>
        </w:rPr>
        <w:t xml:space="preserve">las Resoluciones Nos. 2151 del 7 de junio de 2016y 5836 del 11 de noviembre de 2016, expedidas por la </w:t>
      </w:r>
      <w:r w:rsidR="00EB7FD9">
        <w:rPr>
          <w:rFonts w:ascii="Tahoma" w:hAnsi="Tahoma" w:cs="Tahoma"/>
        </w:rPr>
        <w:t xml:space="preserve">Secretaría de Educación Municipal de Pereira, así como también el concepto de la FIDUPREVISORA S.A. (Hoja de Revisión), actos administrativos mediante los cuales se negó al </w:t>
      </w:r>
      <w:r w:rsidR="00EB7FD9">
        <w:rPr>
          <w:rFonts w:ascii="Tahoma" w:eastAsia="Calibri" w:hAnsi="Tahoma" w:cs="Tahoma"/>
          <w:bCs/>
        </w:rPr>
        <w:t xml:space="preserve">Señor HERNANDO PINZÓN RODRIGUEZ la “pensión post morten-18 años” consagrada en el artículo 7º del Decreto 224 de 1.972, por </w:t>
      </w:r>
      <w:r w:rsidR="00264997">
        <w:rPr>
          <w:rFonts w:ascii="Tahoma" w:eastAsia="Calibri" w:hAnsi="Tahoma" w:cs="Tahoma"/>
          <w:bCs/>
        </w:rPr>
        <w:t>resultar</w:t>
      </w:r>
      <w:r w:rsidR="00EB7FD9">
        <w:rPr>
          <w:rFonts w:ascii="Tahoma" w:eastAsia="Calibri" w:hAnsi="Tahoma" w:cs="Tahoma"/>
          <w:bCs/>
        </w:rPr>
        <w:t xml:space="preserve"> contrarios a la Constitución.</w:t>
      </w:r>
    </w:p>
    <w:p w:rsidR="00EB7FD9" w:rsidRDefault="00EB7FD9" w:rsidP="00AF0591">
      <w:pPr>
        <w:spacing w:after="0" w:line="276" w:lineRule="auto"/>
        <w:ind w:right="3" w:firstLine="709"/>
        <w:jc w:val="both"/>
        <w:rPr>
          <w:rFonts w:ascii="Tahoma" w:eastAsia="Calibri" w:hAnsi="Tahoma" w:cs="Tahoma"/>
          <w:bCs/>
        </w:rPr>
      </w:pPr>
    </w:p>
    <w:p w:rsidR="00EB7FD9" w:rsidRPr="00264997" w:rsidRDefault="00EB7FD9" w:rsidP="00AF0591">
      <w:pPr>
        <w:spacing w:after="0" w:line="276" w:lineRule="auto"/>
        <w:ind w:right="3" w:firstLine="709"/>
        <w:jc w:val="both"/>
        <w:rPr>
          <w:rFonts w:ascii="Tahoma" w:eastAsia="Calibri" w:hAnsi="Tahoma" w:cs="Tahoma"/>
          <w:bCs/>
        </w:rPr>
      </w:pPr>
      <w:r>
        <w:rPr>
          <w:rFonts w:ascii="Tahoma" w:eastAsia="Calibri" w:hAnsi="Tahoma" w:cs="Tahoma"/>
          <w:b/>
          <w:bCs/>
        </w:rPr>
        <w:t xml:space="preserve">CUARTO: </w:t>
      </w:r>
      <w:r w:rsidR="00264997">
        <w:rPr>
          <w:rFonts w:ascii="Tahoma" w:eastAsia="Calibri" w:hAnsi="Tahoma" w:cs="Tahoma"/>
          <w:b/>
          <w:bCs/>
        </w:rPr>
        <w:t xml:space="preserve">ORDENAR </w:t>
      </w:r>
      <w:r w:rsidR="00264997">
        <w:rPr>
          <w:rFonts w:ascii="Tahoma" w:hAnsi="Tahoma" w:cs="Tahoma"/>
          <w:iCs/>
          <w:lang w:val="es-ES_tradnl"/>
        </w:rPr>
        <w:t xml:space="preserve">a la </w:t>
      </w:r>
      <w:r w:rsidR="00264997">
        <w:rPr>
          <w:rFonts w:ascii="Tahoma" w:hAnsi="Tahoma" w:cs="Tahoma"/>
        </w:rPr>
        <w:t xml:space="preserve">Secretaría de Educación Municipal de Pereira y a la FIDUPREVISORA S.A.  </w:t>
      </w:r>
      <w:r w:rsidR="00380A01">
        <w:rPr>
          <w:rFonts w:ascii="Tahoma" w:hAnsi="Tahoma" w:cs="Tahoma"/>
        </w:rPr>
        <w:t xml:space="preserve">procedan a analizar nuevamente la petición de la </w:t>
      </w:r>
      <w:r w:rsidR="00380A01">
        <w:rPr>
          <w:rFonts w:ascii="Tahoma" w:eastAsia="Calibri" w:hAnsi="Tahoma" w:cs="Tahoma"/>
          <w:bCs/>
        </w:rPr>
        <w:t>“pensión post morten-18 años” consagrada en el artículo 7º del Decreto 224 de 1972 hecha por el Señor HERNANDO PINZÓN RODRIGUEZ</w:t>
      </w:r>
      <w:r w:rsidR="00380A01">
        <w:rPr>
          <w:rFonts w:ascii="Tahoma" w:hAnsi="Tahoma" w:cs="Tahoma"/>
        </w:rPr>
        <w:t xml:space="preserve">, a efectos de establecer si cumple los requisitos del referido Decreto, salvo aquel que exige tener la calidad e cónyuge, </w:t>
      </w:r>
      <w:r w:rsidR="00264997">
        <w:rPr>
          <w:rFonts w:ascii="Tahoma" w:hAnsi="Tahoma" w:cs="Tahoma"/>
        </w:rPr>
        <w:t>dentro de los veinte (20) días siguientes a la ejecutoria de este fallo, tiempo suficiente para que tanto la una como la otra realicen los trámites administrativos pertinentes para el efecto.</w:t>
      </w:r>
    </w:p>
    <w:p w:rsidR="00EB7FD9" w:rsidRDefault="00EB7FD9" w:rsidP="00AF0591">
      <w:pPr>
        <w:spacing w:after="0" w:line="276" w:lineRule="auto"/>
        <w:ind w:right="3" w:firstLine="709"/>
        <w:jc w:val="both"/>
        <w:rPr>
          <w:rFonts w:ascii="Tahoma" w:eastAsia="Calibri" w:hAnsi="Tahoma" w:cs="Tahoma"/>
          <w:bCs/>
        </w:rPr>
      </w:pPr>
    </w:p>
    <w:p w:rsidR="00264997" w:rsidRDefault="00264997" w:rsidP="00AF0591">
      <w:pPr>
        <w:spacing w:after="0" w:line="276" w:lineRule="auto"/>
        <w:ind w:right="3" w:firstLine="709"/>
        <w:jc w:val="both"/>
        <w:rPr>
          <w:rFonts w:ascii="Tahoma" w:eastAsia="Calibri" w:hAnsi="Tahoma" w:cs="Tahoma"/>
          <w:b/>
          <w:bCs/>
        </w:rPr>
      </w:pPr>
      <w:r>
        <w:rPr>
          <w:rFonts w:ascii="Tahoma" w:eastAsia="Calibri" w:hAnsi="Tahoma" w:cs="Tahoma"/>
          <w:b/>
          <w:bCs/>
        </w:rPr>
        <w:t xml:space="preserve">QUINTO: </w:t>
      </w:r>
      <w:r w:rsidR="008F156E">
        <w:rPr>
          <w:rFonts w:ascii="Tahoma" w:eastAsia="Calibri" w:hAnsi="Tahoma" w:cs="Tahoma"/>
          <w:b/>
          <w:bCs/>
        </w:rPr>
        <w:t xml:space="preserve">NEGAR </w:t>
      </w:r>
      <w:r w:rsidR="008F156E">
        <w:rPr>
          <w:rFonts w:ascii="Tahoma" w:eastAsia="Calibri" w:hAnsi="Tahoma" w:cs="Tahoma"/>
          <w:bCs/>
        </w:rPr>
        <w:t>el reconocimiento de la pensión de sobrevivientes del sistema general de seguridad social reclamada por el actor por las razones exp</w:t>
      </w:r>
      <w:r w:rsidR="00D61168">
        <w:rPr>
          <w:rFonts w:ascii="Tahoma" w:eastAsia="Calibri" w:hAnsi="Tahoma" w:cs="Tahoma"/>
          <w:bCs/>
        </w:rPr>
        <w:t>u</w:t>
      </w:r>
      <w:r w:rsidR="008F156E">
        <w:rPr>
          <w:rFonts w:ascii="Tahoma" w:eastAsia="Calibri" w:hAnsi="Tahoma" w:cs="Tahoma"/>
          <w:bCs/>
        </w:rPr>
        <w:t>estas en la parte c</w:t>
      </w:r>
      <w:r w:rsidR="00D61168">
        <w:rPr>
          <w:rFonts w:ascii="Tahoma" w:eastAsia="Calibri" w:hAnsi="Tahoma" w:cs="Tahoma"/>
          <w:bCs/>
        </w:rPr>
        <w:t>o</w:t>
      </w:r>
      <w:r w:rsidR="008F156E">
        <w:rPr>
          <w:rFonts w:ascii="Tahoma" w:eastAsia="Calibri" w:hAnsi="Tahoma" w:cs="Tahoma"/>
          <w:bCs/>
        </w:rPr>
        <w:t xml:space="preserve">nsiderativa de esta sentencia. </w:t>
      </w:r>
    </w:p>
    <w:p w:rsidR="00264997" w:rsidRDefault="00264997" w:rsidP="00AF0591">
      <w:pPr>
        <w:spacing w:after="0" w:line="276" w:lineRule="auto"/>
        <w:ind w:right="3" w:firstLine="709"/>
        <w:jc w:val="both"/>
        <w:rPr>
          <w:rFonts w:ascii="Tahoma" w:eastAsia="Calibri" w:hAnsi="Tahoma" w:cs="Tahoma"/>
          <w:b/>
          <w:bCs/>
        </w:rPr>
      </w:pPr>
    </w:p>
    <w:p w:rsidR="00D61168" w:rsidRDefault="00264997" w:rsidP="00AF0591">
      <w:pPr>
        <w:spacing w:after="0" w:line="276" w:lineRule="auto"/>
        <w:ind w:right="3" w:firstLine="709"/>
        <w:jc w:val="both"/>
        <w:rPr>
          <w:rFonts w:ascii="Tahoma" w:eastAsia="Calibri" w:hAnsi="Tahoma" w:cs="Tahoma"/>
          <w:b/>
          <w:bCs/>
        </w:rPr>
      </w:pPr>
      <w:r>
        <w:rPr>
          <w:rFonts w:ascii="Tahoma" w:eastAsia="Calibri" w:hAnsi="Tahoma" w:cs="Tahoma"/>
          <w:b/>
          <w:bCs/>
        </w:rPr>
        <w:t>SEXTO:</w:t>
      </w:r>
      <w:r w:rsidR="00D61168">
        <w:rPr>
          <w:rFonts w:ascii="Tahoma" w:eastAsia="Calibri" w:hAnsi="Tahoma" w:cs="Tahoma"/>
          <w:b/>
          <w:bCs/>
        </w:rPr>
        <w:t xml:space="preserve"> ABOLVER </w:t>
      </w:r>
      <w:r w:rsidR="00D61168">
        <w:rPr>
          <w:rFonts w:ascii="Tahoma" w:eastAsia="Calibri" w:hAnsi="Tahoma" w:cs="Tahoma"/>
          <w:bCs/>
        </w:rPr>
        <w:t xml:space="preserve">a la Nación - Ministerio de Educación de las pretensiones de esta demanda, por considerar que no ha vulnerado derecho fundamental alguno del actor. </w:t>
      </w:r>
      <w:r>
        <w:rPr>
          <w:rFonts w:ascii="Tahoma" w:eastAsia="Calibri" w:hAnsi="Tahoma" w:cs="Tahoma"/>
          <w:b/>
          <w:bCs/>
        </w:rPr>
        <w:t xml:space="preserve"> </w:t>
      </w:r>
    </w:p>
    <w:p w:rsidR="002D36E7" w:rsidRDefault="002D36E7" w:rsidP="00AF0591">
      <w:pPr>
        <w:spacing w:after="0" w:line="276" w:lineRule="auto"/>
        <w:ind w:right="3" w:firstLine="709"/>
        <w:jc w:val="both"/>
        <w:rPr>
          <w:rFonts w:ascii="Tahoma" w:eastAsia="Calibri" w:hAnsi="Tahoma" w:cs="Tahoma"/>
          <w:b/>
          <w:bCs/>
        </w:rPr>
      </w:pPr>
      <w:r>
        <w:rPr>
          <w:rFonts w:ascii="Tahoma" w:eastAsia="Calibri" w:hAnsi="Tahoma" w:cs="Tahoma"/>
          <w:b/>
          <w:bCs/>
        </w:rPr>
        <w:t xml:space="preserve">SÉPTIMO: </w:t>
      </w:r>
      <w:r w:rsidR="00D61168" w:rsidRPr="005F0DE0">
        <w:rPr>
          <w:rFonts w:ascii="Tahoma" w:eastAsia="Calibri" w:hAnsi="Tahoma" w:cs="Tahoma"/>
          <w:bCs/>
        </w:rPr>
        <w:t>Notifíquese la decisión por el medio más eficaz</w:t>
      </w:r>
      <w:r w:rsidR="00D61168" w:rsidRPr="005F0DE0">
        <w:rPr>
          <w:rFonts w:ascii="Tahoma" w:eastAsia="Calibri" w:hAnsi="Tahoma" w:cs="Tahoma"/>
          <w:b/>
          <w:bCs/>
        </w:rPr>
        <w:t>.</w:t>
      </w:r>
    </w:p>
    <w:p w:rsidR="002D36E7" w:rsidRDefault="002D36E7" w:rsidP="00AF0591">
      <w:pPr>
        <w:spacing w:after="0" w:line="276" w:lineRule="auto"/>
        <w:ind w:right="3" w:firstLine="709"/>
        <w:jc w:val="both"/>
        <w:rPr>
          <w:rFonts w:ascii="Tahoma" w:eastAsia="Calibri" w:hAnsi="Tahoma" w:cs="Tahoma"/>
          <w:b/>
          <w:bCs/>
        </w:rPr>
      </w:pPr>
    </w:p>
    <w:p w:rsidR="00C73708" w:rsidRPr="005F0DE0" w:rsidRDefault="002D36E7" w:rsidP="00AF0591">
      <w:pPr>
        <w:spacing w:after="0" w:line="276" w:lineRule="auto"/>
        <w:ind w:right="3" w:firstLine="709"/>
        <w:jc w:val="both"/>
        <w:rPr>
          <w:rFonts w:ascii="Tahoma" w:eastAsia="Calibri" w:hAnsi="Tahoma" w:cs="Tahoma"/>
          <w:bCs/>
        </w:rPr>
      </w:pPr>
      <w:r>
        <w:rPr>
          <w:rFonts w:ascii="Tahoma" w:eastAsia="Calibri" w:hAnsi="Tahoma" w:cs="Tahoma"/>
          <w:b/>
          <w:bCs/>
        </w:rPr>
        <w:t xml:space="preserve">OCTAVO: </w:t>
      </w:r>
      <w:r w:rsidR="00BB234B" w:rsidRPr="005F0DE0">
        <w:rPr>
          <w:rFonts w:ascii="Tahoma" w:eastAsia="Calibri" w:hAnsi="Tahoma" w:cs="Tahoma"/>
          <w:bCs/>
        </w:rPr>
        <w:t>Remítase el expediente a la Corte Constitucional para su eventual revisión, conforme al artículo 31 del Decreto 2591 de 1991.</w:t>
      </w:r>
    </w:p>
    <w:p w:rsidR="00C73708" w:rsidRPr="005F0DE0" w:rsidRDefault="00C73708" w:rsidP="00AF0591">
      <w:pPr>
        <w:pStyle w:val="Sinespaciado"/>
        <w:spacing w:line="276" w:lineRule="auto"/>
        <w:jc w:val="both"/>
        <w:rPr>
          <w:rFonts w:ascii="Tahoma" w:hAnsi="Tahoma" w:cs="Tahoma"/>
          <w:sz w:val="24"/>
          <w:szCs w:val="24"/>
        </w:rPr>
      </w:pPr>
    </w:p>
    <w:p w:rsidR="00C73708" w:rsidRPr="005F0DE0" w:rsidRDefault="00C73708" w:rsidP="00AF0591">
      <w:pPr>
        <w:pStyle w:val="Prrafodelista"/>
        <w:suppressAutoHyphens/>
        <w:spacing w:after="0" w:line="276" w:lineRule="auto"/>
        <w:ind w:hanging="11"/>
        <w:jc w:val="both"/>
        <w:rPr>
          <w:rFonts w:ascii="Tahoma" w:hAnsi="Tahoma" w:cs="Tahoma"/>
          <w:sz w:val="24"/>
          <w:szCs w:val="24"/>
        </w:rPr>
      </w:pPr>
      <w:r w:rsidRPr="005F0DE0">
        <w:rPr>
          <w:rFonts w:ascii="Tahoma" w:hAnsi="Tahoma" w:cs="Tahoma"/>
          <w:sz w:val="24"/>
          <w:szCs w:val="24"/>
        </w:rPr>
        <w:t xml:space="preserve">Notifíquese y Cúmplase </w:t>
      </w:r>
    </w:p>
    <w:p w:rsidR="00401C19" w:rsidRPr="00AD1939" w:rsidRDefault="00401C19" w:rsidP="00AF0591">
      <w:pPr>
        <w:pStyle w:val="Sinespaciado"/>
        <w:spacing w:line="276" w:lineRule="auto"/>
        <w:jc w:val="both"/>
      </w:pPr>
    </w:p>
    <w:p w:rsidR="00C73708" w:rsidRPr="002243F1" w:rsidRDefault="00576DAD" w:rsidP="00AF0591">
      <w:pPr>
        <w:spacing w:after="0" w:line="276" w:lineRule="auto"/>
        <w:ind w:left="709"/>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6E0F04">
        <w:rPr>
          <w:rFonts w:ascii="Tahoma" w:hAnsi="Tahoma" w:cs="Tahoma"/>
          <w:sz w:val="24"/>
          <w:szCs w:val="24"/>
        </w:rPr>
        <w:t xml:space="preserve"> Ponente,</w:t>
      </w:r>
      <w:r w:rsidR="00C73708" w:rsidRPr="002243F1">
        <w:rPr>
          <w:rFonts w:ascii="Tahoma" w:hAnsi="Tahoma" w:cs="Tahoma"/>
          <w:sz w:val="24"/>
          <w:szCs w:val="24"/>
        </w:rPr>
        <w:t xml:space="preserve"> </w:t>
      </w:r>
    </w:p>
    <w:p w:rsidR="00953A6F" w:rsidRPr="00D07BE2" w:rsidRDefault="00953A6F" w:rsidP="00AF0591">
      <w:pPr>
        <w:pStyle w:val="Sinespaciado"/>
        <w:rPr>
          <w:sz w:val="20"/>
          <w:szCs w:val="20"/>
        </w:rPr>
      </w:pPr>
    </w:p>
    <w:p w:rsidR="00841083" w:rsidRDefault="00841083" w:rsidP="00AF0591">
      <w:pPr>
        <w:pStyle w:val="Sinespaciado"/>
        <w:rPr>
          <w:sz w:val="20"/>
          <w:szCs w:val="20"/>
        </w:rPr>
      </w:pPr>
    </w:p>
    <w:p w:rsidR="003B481F" w:rsidRPr="00D07BE2" w:rsidRDefault="003B481F" w:rsidP="00AF0591">
      <w:pPr>
        <w:pStyle w:val="Sinespaciado"/>
        <w:rPr>
          <w:b/>
          <w:sz w:val="20"/>
          <w:szCs w:val="20"/>
        </w:rPr>
      </w:pPr>
    </w:p>
    <w:p w:rsidR="00C73708" w:rsidRDefault="00C73708" w:rsidP="00AF0591">
      <w:pPr>
        <w:spacing w:after="0"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576DAD" w:rsidRPr="00576DAD" w:rsidRDefault="00576DAD" w:rsidP="00AF0591">
      <w:pPr>
        <w:spacing w:after="0" w:line="276" w:lineRule="auto"/>
        <w:ind w:left="709"/>
        <w:rPr>
          <w:rFonts w:ascii="Tahoma" w:hAnsi="Tahoma" w:cs="Tahoma"/>
          <w:sz w:val="24"/>
          <w:szCs w:val="24"/>
        </w:rPr>
      </w:pPr>
      <w:r w:rsidRPr="00576DAD">
        <w:rPr>
          <w:rFonts w:ascii="Tahoma" w:hAnsi="Tahoma" w:cs="Tahoma"/>
          <w:sz w:val="24"/>
          <w:szCs w:val="24"/>
        </w:rPr>
        <w:t>Los Magistrados,</w:t>
      </w:r>
    </w:p>
    <w:p w:rsidR="00576DAD" w:rsidRPr="00D07BE2" w:rsidRDefault="00576DAD" w:rsidP="00AF0591">
      <w:pPr>
        <w:pStyle w:val="Sinespaciado"/>
        <w:rPr>
          <w:sz w:val="20"/>
          <w:szCs w:val="20"/>
        </w:rPr>
      </w:pPr>
    </w:p>
    <w:p w:rsidR="00841083" w:rsidRDefault="00841083" w:rsidP="00AF0591">
      <w:pPr>
        <w:pStyle w:val="Sinespaciado"/>
        <w:rPr>
          <w:sz w:val="20"/>
          <w:szCs w:val="20"/>
        </w:rPr>
      </w:pPr>
    </w:p>
    <w:p w:rsidR="005379DD" w:rsidRPr="00D07BE2" w:rsidRDefault="005379DD" w:rsidP="00AF0591">
      <w:pPr>
        <w:pStyle w:val="Sinespaciado"/>
        <w:rPr>
          <w:sz w:val="20"/>
          <w:szCs w:val="20"/>
        </w:rPr>
      </w:pPr>
    </w:p>
    <w:p w:rsidR="00C73708" w:rsidRPr="00D07BE2" w:rsidRDefault="00C73708" w:rsidP="00AF0591">
      <w:pPr>
        <w:pStyle w:val="Sinespaciado"/>
        <w:rPr>
          <w:sz w:val="20"/>
          <w:szCs w:val="20"/>
        </w:rPr>
      </w:pPr>
    </w:p>
    <w:p w:rsidR="00C73708" w:rsidRDefault="00C73708" w:rsidP="00AF0591">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w:t>
      </w:r>
      <w:r w:rsidR="00846DCF">
        <w:rPr>
          <w:rFonts w:ascii="Tahoma" w:hAnsi="Tahoma" w:cs="Tahoma"/>
          <w:b/>
          <w:sz w:val="24"/>
          <w:szCs w:val="24"/>
        </w:rPr>
        <w:t xml:space="preserve"> FRANCISCO JAVIER TAMAYO TABARES</w:t>
      </w:r>
    </w:p>
    <w:p w:rsidR="00551014" w:rsidRPr="004D3ABA" w:rsidRDefault="00551014" w:rsidP="00AF0591">
      <w:pPr>
        <w:pStyle w:val="Sinespaciado"/>
        <w:rPr>
          <w:sz w:val="18"/>
          <w:szCs w:val="18"/>
        </w:rPr>
      </w:pPr>
    </w:p>
    <w:p w:rsidR="00841083" w:rsidRPr="004D3ABA" w:rsidRDefault="00841083" w:rsidP="00AF0591">
      <w:pPr>
        <w:pStyle w:val="Sinespaciado"/>
        <w:rPr>
          <w:sz w:val="20"/>
          <w:szCs w:val="20"/>
        </w:rPr>
      </w:pPr>
    </w:p>
    <w:p w:rsidR="00841083" w:rsidRDefault="00841083" w:rsidP="00AF0591">
      <w:pPr>
        <w:pStyle w:val="Sinespaciado"/>
        <w:rPr>
          <w:sz w:val="20"/>
          <w:szCs w:val="20"/>
        </w:rPr>
      </w:pPr>
    </w:p>
    <w:p w:rsidR="00576DAD" w:rsidRDefault="00576DAD" w:rsidP="00AF0591">
      <w:pPr>
        <w:pStyle w:val="Sinespaciado"/>
        <w:rPr>
          <w:sz w:val="20"/>
          <w:szCs w:val="20"/>
        </w:rPr>
      </w:pPr>
    </w:p>
    <w:p w:rsidR="001A6F6D" w:rsidRPr="004D3ABA" w:rsidRDefault="001A6F6D" w:rsidP="00AF0591">
      <w:pPr>
        <w:pStyle w:val="Sinespaciado"/>
        <w:rPr>
          <w:sz w:val="20"/>
          <w:szCs w:val="20"/>
        </w:rPr>
      </w:pPr>
    </w:p>
    <w:p w:rsidR="00451993" w:rsidRPr="00C17F64" w:rsidRDefault="00451993" w:rsidP="00AF0591">
      <w:pPr>
        <w:spacing w:after="0" w:line="240" w:lineRule="auto"/>
        <w:jc w:val="center"/>
        <w:rPr>
          <w:rFonts w:ascii="Tahoma" w:hAnsi="Tahoma" w:cs="Tahoma"/>
          <w:b/>
        </w:rPr>
      </w:pPr>
      <w:r w:rsidRPr="00C17F64">
        <w:rPr>
          <w:rFonts w:ascii="Tahoma" w:hAnsi="Tahoma" w:cs="Tahoma"/>
          <w:b/>
        </w:rPr>
        <w:t>ALONSO GAVIRIA OCAMPO</w:t>
      </w:r>
    </w:p>
    <w:p w:rsidR="00451993" w:rsidRPr="00C17F64" w:rsidRDefault="00451993" w:rsidP="00AF0591">
      <w:pPr>
        <w:spacing w:after="0" w:line="240" w:lineRule="auto"/>
        <w:jc w:val="center"/>
        <w:rPr>
          <w:rFonts w:ascii="Tahoma" w:hAnsi="Tahoma" w:cs="Tahoma"/>
          <w:b/>
        </w:rPr>
      </w:pPr>
      <w:r w:rsidRPr="00C17F64">
        <w:rPr>
          <w:rFonts w:ascii="Tahoma" w:hAnsi="Tahoma" w:cs="Tahoma"/>
          <w:b/>
        </w:rPr>
        <w:t>Secretario</w:t>
      </w:r>
    </w:p>
    <w:sectPr w:rsidR="00451993" w:rsidRPr="00C17F64" w:rsidSect="006325D4">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58" w:rsidRDefault="00D94F58" w:rsidP="00C73708">
      <w:pPr>
        <w:spacing w:after="0" w:line="240" w:lineRule="auto"/>
      </w:pPr>
      <w:r>
        <w:separator/>
      </w:r>
    </w:p>
  </w:endnote>
  <w:endnote w:type="continuationSeparator" w:id="0">
    <w:p w:rsidR="00D94F58" w:rsidRDefault="00D94F5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0C4438" w:rsidRDefault="000C4438">
        <w:pPr>
          <w:pStyle w:val="Piedepgina"/>
          <w:jc w:val="right"/>
        </w:pPr>
        <w:r>
          <w:fldChar w:fldCharType="begin"/>
        </w:r>
        <w:r>
          <w:instrText>PAGE   \* MERGEFORMAT</w:instrText>
        </w:r>
        <w:r>
          <w:fldChar w:fldCharType="separate"/>
        </w:r>
        <w:r w:rsidR="0093781E">
          <w:rPr>
            <w:noProof/>
          </w:rPr>
          <w:t>3</w:t>
        </w:r>
        <w:r>
          <w:fldChar w:fldCharType="end"/>
        </w:r>
      </w:p>
    </w:sdtContent>
  </w:sdt>
  <w:p w:rsidR="000C4438" w:rsidRDefault="000C44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58" w:rsidRDefault="00D94F58" w:rsidP="00C73708">
      <w:pPr>
        <w:spacing w:after="0" w:line="240" w:lineRule="auto"/>
      </w:pPr>
      <w:r>
        <w:separator/>
      </w:r>
    </w:p>
  </w:footnote>
  <w:footnote w:type="continuationSeparator" w:id="0">
    <w:p w:rsidR="00D94F58" w:rsidRDefault="00D94F58"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438" w:rsidRDefault="000C44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781E">
      <w:rPr>
        <w:rStyle w:val="Nmerodepgina"/>
        <w:noProof/>
      </w:rPr>
      <w:t>3</w:t>
    </w:r>
    <w:r>
      <w:rPr>
        <w:rStyle w:val="Nmerodepgina"/>
      </w:rPr>
      <w:fldChar w:fldCharType="end"/>
    </w:r>
  </w:p>
  <w:p w:rsidR="000C4438" w:rsidRPr="003D0AE9" w:rsidRDefault="007E2EA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w:t>
    </w:r>
    <w:r w:rsidR="004F6ABD">
      <w:rPr>
        <w:rFonts w:ascii="Times New Roman" w:hAnsi="Times New Roman" w:cs="Times New Roman"/>
        <w:sz w:val="14"/>
        <w:szCs w:val="14"/>
      </w:rPr>
      <w:t>-3</w:t>
    </w:r>
    <w:r w:rsidR="000C4438" w:rsidRPr="003D0AE9">
      <w:rPr>
        <w:rFonts w:ascii="Times New Roman" w:hAnsi="Times New Roman" w:cs="Times New Roman"/>
        <w:sz w:val="14"/>
        <w:szCs w:val="14"/>
      </w:rPr>
      <w:t>1-05-00</w:t>
    </w:r>
    <w:r w:rsidR="00D3542E">
      <w:rPr>
        <w:rFonts w:ascii="Times New Roman" w:hAnsi="Times New Roman" w:cs="Times New Roman"/>
        <w:sz w:val="14"/>
        <w:szCs w:val="14"/>
      </w:rPr>
      <w:t>2-2017</w:t>
    </w:r>
    <w:r w:rsidR="000C4438" w:rsidRPr="003D0AE9">
      <w:rPr>
        <w:rFonts w:ascii="Times New Roman" w:hAnsi="Times New Roman" w:cs="Times New Roman"/>
        <w:sz w:val="14"/>
        <w:szCs w:val="14"/>
      </w:rPr>
      <w:t>-00</w:t>
    </w:r>
    <w:r w:rsidR="00D3542E">
      <w:rPr>
        <w:rFonts w:ascii="Times New Roman" w:hAnsi="Times New Roman" w:cs="Times New Roman"/>
        <w:sz w:val="14"/>
        <w:szCs w:val="14"/>
      </w:rPr>
      <w:t>176</w:t>
    </w:r>
    <w:r w:rsidR="00C77F93">
      <w:rPr>
        <w:rFonts w:ascii="Times New Roman" w:hAnsi="Times New Roman" w:cs="Times New Roman"/>
        <w:sz w:val="14"/>
        <w:szCs w:val="14"/>
      </w:rPr>
      <w:t>-</w:t>
    </w:r>
    <w:r w:rsidR="000C4438" w:rsidRPr="003D0AE9">
      <w:rPr>
        <w:rFonts w:ascii="Times New Roman" w:hAnsi="Times New Roman" w:cs="Times New Roman"/>
        <w:sz w:val="14"/>
        <w:szCs w:val="14"/>
      </w:rPr>
      <w:t>01</w:t>
    </w:r>
  </w:p>
  <w:p w:rsidR="000C4438" w:rsidRPr="003D0AE9" w:rsidRDefault="001446FD" w:rsidP="0050747F">
    <w:pPr>
      <w:pStyle w:val="Sinespaciado"/>
      <w:rPr>
        <w:rFonts w:ascii="Times New Roman" w:hAnsi="Times New Roman" w:cs="Times New Roman"/>
        <w:sz w:val="14"/>
        <w:szCs w:val="14"/>
      </w:rPr>
    </w:pPr>
    <w:r>
      <w:rPr>
        <w:rFonts w:ascii="Times New Roman" w:hAnsi="Times New Roman" w:cs="Times New Roman"/>
        <w:sz w:val="14"/>
        <w:szCs w:val="14"/>
      </w:rPr>
      <w:t>Acciona</w:t>
    </w:r>
    <w:r w:rsidR="00E6110A">
      <w:rPr>
        <w:rFonts w:ascii="Times New Roman" w:hAnsi="Times New Roman" w:cs="Times New Roman"/>
        <w:sz w:val="14"/>
        <w:szCs w:val="14"/>
      </w:rPr>
      <w:t xml:space="preserve">ntes: </w:t>
    </w:r>
    <w:r w:rsidR="002B6B5B">
      <w:rPr>
        <w:rFonts w:ascii="Times New Roman" w:hAnsi="Times New Roman" w:cs="Times New Roman"/>
        <w:sz w:val="14"/>
        <w:szCs w:val="14"/>
      </w:rPr>
      <w:t xml:space="preserve">Hernando </w:t>
    </w:r>
    <w:r w:rsidR="00D3542E">
      <w:rPr>
        <w:rFonts w:ascii="Times New Roman" w:hAnsi="Times New Roman" w:cs="Times New Roman"/>
        <w:sz w:val="14"/>
        <w:szCs w:val="14"/>
      </w:rPr>
      <w:t>Pinzón Rodríguez</w:t>
    </w:r>
  </w:p>
  <w:p w:rsidR="000C4438" w:rsidRPr="003D0AE9" w:rsidRDefault="00953A6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D3542E">
      <w:rPr>
        <w:rFonts w:ascii="Times New Roman" w:hAnsi="Times New Roman" w:cs="Times New Roman"/>
        <w:sz w:val="14"/>
        <w:szCs w:val="14"/>
      </w:rPr>
      <w:t xml:space="preserve">Ministerio de Educación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0551E75"/>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11B3787"/>
    <w:multiLevelType w:val="hybridMultilevel"/>
    <w:tmpl w:val="0C9E67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2"/>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0F6B"/>
    <w:rsid w:val="000021F4"/>
    <w:rsid w:val="000022F5"/>
    <w:rsid w:val="00002609"/>
    <w:rsid w:val="000034BB"/>
    <w:rsid w:val="0000397E"/>
    <w:rsid w:val="00010EE0"/>
    <w:rsid w:val="00013D97"/>
    <w:rsid w:val="000150D0"/>
    <w:rsid w:val="00021D6A"/>
    <w:rsid w:val="000233E1"/>
    <w:rsid w:val="00023D93"/>
    <w:rsid w:val="00025A12"/>
    <w:rsid w:val="0003295D"/>
    <w:rsid w:val="00033979"/>
    <w:rsid w:val="00041C02"/>
    <w:rsid w:val="00042988"/>
    <w:rsid w:val="00042D83"/>
    <w:rsid w:val="000569D4"/>
    <w:rsid w:val="00061CA4"/>
    <w:rsid w:val="00062341"/>
    <w:rsid w:val="00066876"/>
    <w:rsid w:val="00067D3E"/>
    <w:rsid w:val="00071A0D"/>
    <w:rsid w:val="00074108"/>
    <w:rsid w:val="00075EA0"/>
    <w:rsid w:val="00077791"/>
    <w:rsid w:val="0008222F"/>
    <w:rsid w:val="000866C1"/>
    <w:rsid w:val="000A03FE"/>
    <w:rsid w:val="000A1D8A"/>
    <w:rsid w:val="000B3885"/>
    <w:rsid w:val="000B3C8B"/>
    <w:rsid w:val="000B41F8"/>
    <w:rsid w:val="000C1704"/>
    <w:rsid w:val="000C18A7"/>
    <w:rsid w:val="000C4438"/>
    <w:rsid w:val="000C59C3"/>
    <w:rsid w:val="000C6101"/>
    <w:rsid w:val="000C736D"/>
    <w:rsid w:val="000D55D2"/>
    <w:rsid w:val="000D614F"/>
    <w:rsid w:val="000D7350"/>
    <w:rsid w:val="000E029F"/>
    <w:rsid w:val="000E45B6"/>
    <w:rsid w:val="000E571D"/>
    <w:rsid w:val="000F3A95"/>
    <w:rsid w:val="000F4DB7"/>
    <w:rsid w:val="00100513"/>
    <w:rsid w:val="00101C9C"/>
    <w:rsid w:val="00102075"/>
    <w:rsid w:val="00104F9E"/>
    <w:rsid w:val="00111661"/>
    <w:rsid w:val="0011631D"/>
    <w:rsid w:val="00121AF3"/>
    <w:rsid w:val="0013057C"/>
    <w:rsid w:val="00131FAF"/>
    <w:rsid w:val="0013550E"/>
    <w:rsid w:val="00136A23"/>
    <w:rsid w:val="00142CF0"/>
    <w:rsid w:val="001436DC"/>
    <w:rsid w:val="001446FD"/>
    <w:rsid w:val="00144D32"/>
    <w:rsid w:val="00145152"/>
    <w:rsid w:val="00145D7F"/>
    <w:rsid w:val="001463B7"/>
    <w:rsid w:val="00150591"/>
    <w:rsid w:val="00155475"/>
    <w:rsid w:val="001562C6"/>
    <w:rsid w:val="00157104"/>
    <w:rsid w:val="00160120"/>
    <w:rsid w:val="00160FF4"/>
    <w:rsid w:val="001615EE"/>
    <w:rsid w:val="0017254B"/>
    <w:rsid w:val="00174AB7"/>
    <w:rsid w:val="001811A0"/>
    <w:rsid w:val="0018364B"/>
    <w:rsid w:val="00183978"/>
    <w:rsid w:val="00185A70"/>
    <w:rsid w:val="00185E14"/>
    <w:rsid w:val="00192FD0"/>
    <w:rsid w:val="001930D9"/>
    <w:rsid w:val="001942D1"/>
    <w:rsid w:val="001943BA"/>
    <w:rsid w:val="001952D6"/>
    <w:rsid w:val="001973DF"/>
    <w:rsid w:val="001A02AF"/>
    <w:rsid w:val="001A2B7F"/>
    <w:rsid w:val="001A36A7"/>
    <w:rsid w:val="001A6F6D"/>
    <w:rsid w:val="001B0B66"/>
    <w:rsid w:val="001B117E"/>
    <w:rsid w:val="001B3443"/>
    <w:rsid w:val="001B47DA"/>
    <w:rsid w:val="001B4E58"/>
    <w:rsid w:val="001B5CCB"/>
    <w:rsid w:val="001B67DD"/>
    <w:rsid w:val="001B75E6"/>
    <w:rsid w:val="001C083D"/>
    <w:rsid w:val="001C169C"/>
    <w:rsid w:val="001C2DED"/>
    <w:rsid w:val="001D4CBD"/>
    <w:rsid w:val="001D5433"/>
    <w:rsid w:val="001D5442"/>
    <w:rsid w:val="001D635B"/>
    <w:rsid w:val="001E1CCD"/>
    <w:rsid w:val="001E4947"/>
    <w:rsid w:val="001E4DD9"/>
    <w:rsid w:val="001E7BC8"/>
    <w:rsid w:val="001F1418"/>
    <w:rsid w:val="001F4684"/>
    <w:rsid w:val="001F4B9D"/>
    <w:rsid w:val="001F56F0"/>
    <w:rsid w:val="002007AD"/>
    <w:rsid w:val="0020401D"/>
    <w:rsid w:val="0020464B"/>
    <w:rsid w:val="00205331"/>
    <w:rsid w:val="00213F95"/>
    <w:rsid w:val="00214C36"/>
    <w:rsid w:val="0021592F"/>
    <w:rsid w:val="00215E8F"/>
    <w:rsid w:val="00216361"/>
    <w:rsid w:val="0022360B"/>
    <w:rsid w:val="00224A46"/>
    <w:rsid w:val="00230EED"/>
    <w:rsid w:val="00233050"/>
    <w:rsid w:val="00233E08"/>
    <w:rsid w:val="00235D72"/>
    <w:rsid w:val="00236A62"/>
    <w:rsid w:val="002419DE"/>
    <w:rsid w:val="00243184"/>
    <w:rsid w:val="002431EA"/>
    <w:rsid w:val="00251B9A"/>
    <w:rsid w:val="00251FB3"/>
    <w:rsid w:val="00252A15"/>
    <w:rsid w:val="00253285"/>
    <w:rsid w:val="00254101"/>
    <w:rsid w:val="002552D3"/>
    <w:rsid w:val="002565FB"/>
    <w:rsid w:val="00256E11"/>
    <w:rsid w:val="00257326"/>
    <w:rsid w:val="00262BC7"/>
    <w:rsid w:val="00263913"/>
    <w:rsid w:val="00264997"/>
    <w:rsid w:val="00265085"/>
    <w:rsid w:val="00265796"/>
    <w:rsid w:val="00266C22"/>
    <w:rsid w:val="002701CF"/>
    <w:rsid w:val="00276907"/>
    <w:rsid w:val="00283192"/>
    <w:rsid w:val="0028567E"/>
    <w:rsid w:val="00293597"/>
    <w:rsid w:val="00294317"/>
    <w:rsid w:val="00295C96"/>
    <w:rsid w:val="00295F81"/>
    <w:rsid w:val="00296502"/>
    <w:rsid w:val="002A0A90"/>
    <w:rsid w:val="002A3009"/>
    <w:rsid w:val="002A3A53"/>
    <w:rsid w:val="002A6241"/>
    <w:rsid w:val="002A6EC6"/>
    <w:rsid w:val="002B3D6F"/>
    <w:rsid w:val="002B6629"/>
    <w:rsid w:val="002B6B5B"/>
    <w:rsid w:val="002B7371"/>
    <w:rsid w:val="002C539F"/>
    <w:rsid w:val="002D36E7"/>
    <w:rsid w:val="002D58CF"/>
    <w:rsid w:val="002D78D0"/>
    <w:rsid w:val="002D7FD4"/>
    <w:rsid w:val="002E2A6E"/>
    <w:rsid w:val="002F2FAC"/>
    <w:rsid w:val="002F5D54"/>
    <w:rsid w:val="002F6C76"/>
    <w:rsid w:val="002F7C5B"/>
    <w:rsid w:val="003014DE"/>
    <w:rsid w:val="0030170C"/>
    <w:rsid w:val="0030317E"/>
    <w:rsid w:val="003076CE"/>
    <w:rsid w:val="0031199D"/>
    <w:rsid w:val="003119F9"/>
    <w:rsid w:val="00311A74"/>
    <w:rsid w:val="00311F8C"/>
    <w:rsid w:val="00312CF9"/>
    <w:rsid w:val="0031308F"/>
    <w:rsid w:val="00313E81"/>
    <w:rsid w:val="00320F3B"/>
    <w:rsid w:val="00321234"/>
    <w:rsid w:val="00321AD7"/>
    <w:rsid w:val="0032315D"/>
    <w:rsid w:val="003253B0"/>
    <w:rsid w:val="00325659"/>
    <w:rsid w:val="00326933"/>
    <w:rsid w:val="00327E3D"/>
    <w:rsid w:val="00335114"/>
    <w:rsid w:val="003445B5"/>
    <w:rsid w:val="00352D14"/>
    <w:rsid w:val="003545E9"/>
    <w:rsid w:val="00354C84"/>
    <w:rsid w:val="0036203C"/>
    <w:rsid w:val="003620ED"/>
    <w:rsid w:val="00362704"/>
    <w:rsid w:val="00362FA5"/>
    <w:rsid w:val="00364436"/>
    <w:rsid w:val="00364C12"/>
    <w:rsid w:val="00370DD9"/>
    <w:rsid w:val="003718EF"/>
    <w:rsid w:val="00377C9F"/>
    <w:rsid w:val="00377F1D"/>
    <w:rsid w:val="00380A01"/>
    <w:rsid w:val="00383F6D"/>
    <w:rsid w:val="00384AE8"/>
    <w:rsid w:val="00385840"/>
    <w:rsid w:val="0038649A"/>
    <w:rsid w:val="00390416"/>
    <w:rsid w:val="00393A37"/>
    <w:rsid w:val="00397021"/>
    <w:rsid w:val="003B481F"/>
    <w:rsid w:val="003B6F3F"/>
    <w:rsid w:val="003D0AE9"/>
    <w:rsid w:val="003D1BDA"/>
    <w:rsid w:val="003D3BD8"/>
    <w:rsid w:val="003D569B"/>
    <w:rsid w:val="003D60BD"/>
    <w:rsid w:val="003E15D3"/>
    <w:rsid w:val="003E53F6"/>
    <w:rsid w:val="003E6965"/>
    <w:rsid w:val="003F0617"/>
    <w:rsid w:val="003F1043"/>
    <w:rsid w:val="003F1077"/>
    <w:rsid w:val="003F1B97"/>
    <w:rsid w:val="0040038F"/>
    <w:rsid w:val="00401C19"/>
    <w:rsid w:val="0040557C"/>
    <w:rsid w:val="00410CDC"/>
    <w:rsid w:val="004123D8"/>
    <w:rsid w:val="00413413"/>
    <w:rsid w:val="00415B1A"/>
    <w:rsid w:val="00420723"/>
    <w:rsid w:val="00423C4B"/>
    <w:rsid w:val="004352C9"/>
    <w:rsid w:val="004369D9"/>
    <w:rsid w:val="004426CE"/>
    <w:rsid w:val="0044610E"/>
    <w:rsid w:val="00446A7F"/>
    <w:rsid w:val="004476E1"/>
    <w:rsid w:val="00447DE9"/>
    <w:rsid w:val="00451993"/>
    <w:rsid w:val="00453A64"/>
    <w:rsid w:val="00457011"/>
    <w:rsid w:val="0046524D"/>
    <w:rsid w:val="004660A2"/>
    <w:rsid w:val="00474135"/>
    <w:rsid w:val="00474631"/>
    <w:rsid w:val="0047603B"/>
    <w:rsid w:val="0048315C"/>
    <w:rsid w:val="004831C1"/>
    <w:rsid w:val="004846D2"/>
    <w:rsid w:val="00485CAC"/>
    <w:rsid w:val="00495109"/>
    <w:rsid w:val="004A078E"/>
    <w:rsid w:val="004A199A"/>
    <w:rsid w:val="004A28DE"/>
    <w:rsid w:val="004A47F4"/>
    <w:rsid w:val="004A5734"/>
    <w:rsid w:val="004A6392"/>
    <w:rsid w:val="004B277C"/>
    <w:rsid w:val="004B4E76"/>
    <w:rsid w:val="004B6FF3"/>
    <w:rsid w:val="004D2F2C"/>
    <w:rsid w:val="004D3ABA"/>
    <w:rsid w:val="004D7724"/>
    <w:rsid w:val="004D7934"/>
    <w:rsid w:val="004E38D3"/>
    <w:rsid w:val="004F043C"/>
    <w:rsid w:val="004F2739"/>
    <w:rsid w:val="004F6ABD"/>
    <w:rsid w:val="005017A4"/>
    <w:rsid w:val="0050747F"/>
    <w:rsid w:val="005117AA"/>
    <w:rsid w:val="005129FC"/>
    <w:rsid w:val="00512BAA"/>
    <w:rsid w:val="005133A8"/>
    <w:rsid w:val="005139A8"/>
    <w:rsid w:val="00524AF0"/>
    <w:rsid w:val="005269D5"/>
    <w:rsid w:val="0053168D"/>
    <w:rsid w:val="005341DC"/>
    <w:rsid w:val="005379DD"/>
    <w:rsid w:val="005410B6"/>
    <w:rsid w:val="00543975"/>
    <w:rsid w:val="00544EF6"/>
    <w:rsid w:val="00546F8D"/>
    <w:rsid w:val="00551014"/>
    <w:rsid w:val="00556799"/>
    <w:rsid w:val="0056106F"/>
    <w:rsid w:val="00562CC5"/>
    <w:rsid w:val="00567A07"/>
    <w:rsid w:val="00576C6A"/>
    <w:rsid w:val="00576DAD"/>
    <w:rsid w:val="00577535"/>
    <w:rsid w:val="00580EE1"/>
    <w:rsid w:val="00582404"/>
    <w:rsid w:val="00586000"/>
    <w:rsid w:val="0059063F"/>
    <w:rsid w:val="00590B8E"/>
    <w:rsid w:val="005933AE"/>
    <w:rsid w:val="005933BA"/>
    <w:rsid w:val="00595650"/>
    <w:rsid w:val="00595825"/>
    <w:rsid w:val="005A245A"/>
    <w:rsid w:val="005A4DA1"/>
    <w:rsid w:val="005A73F0"/>
    <w:rsid w:val="005B412F"/>
    <w:rsid w:val="005B7330"/>
    <w:rsid w:val="005C2314"/>
    <w:rsid w:val="005C26B3"/>
    <w:rsid w:val="005C4820"/>
    <w:rsid w:val="005D0698"/>
    <w:rsid w:val="005E1687"/>
    <w:rsid w:val="005E20F5"/>
    <w:rsid w:val="005E50F2"/>
    <w:rsid w:val="005E6156"/>
    <w:rsid w:val="005E6AA6"/>
    <w:rsid w:val="005F02E1"/>
    <w:rsid w:val="005F0DE0"/>
    <w:rsid w:val="005F1AF9"/>
    <w:rsid w:val="005F2715"/>
    <w:rsid w:val="005F5211"/>
    <w:rsid w:val="005F7C03"/>
    <w:rsid w:val="00601C7A"/>
    <w:rsid w:val="00603DB6"/>
    <w:rsid w:val="00605E91"/>
    <w:rsid w:val="00613490"/>
    <w:rsid w:val="006325D4"/>
    <w:rsid w:val="00633751"/>
    <w:rsid w:val="00635C8B"/>
    <w:rsid w:val="00642504"/>
    <w:rsid w:val="006455D3"/>
    <w:rsid w:val="0064583E"/>
    <w:rsid w:val="006515EB"/>
    <w:rsid w:val="00651631"/>
    <w:rsid w:val="00652644"/>
    <w:rsid w:val="00654C7C"/>
    <w:rsid w:val="00657CEB"/>
    <w:rsid w:val="00663D2B"/>
    <w:rsid w:val="006643EA"/>
    <w:rsid w:val="00664F0F"/>
    <w:rsid w:val="00667724"/>
    <w:rsid w:val="00671582"/>
    <w:rsid w:val="00671779"/>
    <w:rsid w:val="00671ADE"/>
    <w:rsid w:val="00672BCE"/>
    <w:rsid w:val="006749CC"/>
    <w:rsid w:val="0067556C"/>
    <w:rsid w:val="006816C1"/>
    <w:rsid w:val="0068205E"/>
    <w:rsid w:val="00685A2F"/>
    <w:rsid w:val="00691C21"/>
    <w:rsid w:val="006933B5"/>
    <w:rsid w:val="006A119C"/>
    <w:rsid w:val="006A19FD"/>
    <w:rsid w:val="006B3B69"/>
    <w:rsid w:val="006B4FAD"/>
    <w:rsid w:val="006B78BF"/>
    <w:rsid w:val="006C0EB5"/>
    <w:rsid w:val="006C3C81"/>
    <w:rsid w:val="006D08E0"/>
    <w:rsid w:val="006D0C01"/>
    <w:rsid w:val="006D1F5A"/>
    <w:rsid w:val="006D3224"/>
    <w:rsid w:val="006D38C6"/>
    <w:rsid w:val="006D532A"/>
    <w:rsid w:val="006D54E7"/>
    <w:rsid w:val="006E0F04"/>
    <w:rsid w:val="006E6B4E"/>
    <w:rsid w:val="006F0B94"/>
    <w:rsid w:val="006F43FA"/>
    <w:rsid w:val="006F560A"/>
    <w:rsid w:val="006F5BD9"/>
    <w:rsid w:val="00702484"/>
    <w:rsid w:val="00702FF4"/>
    <w:rsid w:val="007069D3"/>
    <w:rsid w:val="00707373"/>
    <w:rsid w:val="007077E6"/>
    <w:rsid w:val="00731C33"/>
    <w:rsid w:val="00732DF4"/>
    <w:rsid w:val="00733EC6"/>
    <w:rsid w:val="0073451B"/>
    <w:rsid w:val="00736C20"/>
    <w:rsid w:val="007370A7"/>
    <w:rsid w:val="0074441E"/>
    <w:rsid w:val="00744CFF"/>
    <w:rsid w:val="00747DD6"/>
    <w:rsid w:val="00750777"/>
    <w:rsid w:val="00750DD7"/>
    <w:rsid w:val="007539AC"/>
    <w:rsid w:val="00763D7A"/>
    <w:rsid w:val="00772357"/>
    <w:rsid w:val="00772DC4"/>
    <w:rsid w:val="007731A6"/>
    <w:rsid w:val="007827C4"/>
    <w:rsid w:val="007A546F"/>
    <w:rsid w:val="007A70E9"/>
    <w:rsid w:val="007B08C3"/>
    <w:rsid w:val="007B0CD7"/>
    <w:rsid w:val="007B0EDA"/>
    <w:rsid w:val="007B2511"/>
    <w:rsid w:val="007B276C"/>
    <w:rsid w:val="007B48C9"/>
    <w:rsid w:val="007B5CBC"/>
    <w:rsid w:val="007B6B58"/>
    <w:rsid w:val="007B7C91"/>
    <w:rsid w:val="007C3437"/>
    <w:rsid w:val="007C4DF9"/>
    <w:rsid w:val="007C69E5"/>
    <w:rsid w:val="007D3A2D"/>
    <w:rsid w:val="007E1931"/>
    <w:rsid w:val="007E2EA7"/>
    <w:rsid w:val="007E50D7"/>
    <w:rsid w:val="007E5A4D"/>
    <w:rsid w:val="007E7AA6"/>
    <w:rsid w:val="007F0878"/>
    <w:rsid w:val="007F5D1E"/>
    <w:rsid w:val="007F6C31"/>
    <w:rsid w:val="007F6E3D"/>
    <w:rsid w:val="008016E2"/>
    <w:rsid w:val="00804957"/>
    <w:rsid w:val="008069B0"/>
    <w:rsid w:val="00807767"/>
    <w:rsid w:val="00812A73"/>
    <w:rsid w:val="008152B3"/>
    <w:rsid w:val="00817CCB"/>
    <w:rsid w:val="00817CDD"/>
    <w:rsid w:val="008246B0"/>
    <w:rsid w:val="00827D58"/>
    <w:rsid w:val="00827EA1"/>
    <w:rsid w:val="0083165E"/>
    <w:rsid w:val="0083179D"/>
    <w:rsid w:val="00832E59"/>
    <w:rsid w:val="00836B86"/>
    <w:rsid w:val="0084107A"/>
    <w:rsid w:val="00841083"/>
    <w:rsid w:val="00846DCF"/>
    <w:rsid w:val="0084762B"/>
    <w:rsid w:val="00851B1F"/>
    <w:rsid w:val="00851FA4"/>
    <w:rsid w:val="0085606C"/>
    <w:rsid w:val="00860ECD"/>
    <w:rsid w:val="00864A08"/>
    <w:rsid w:val="008651EC"/>
    <w:rsid w:val="00865976"/>
    <w:rsid w:val="00870F5F"/>
    <w:rsid w:val="00872358"/>
    <w:rsid w:val="008737A2"/>
    <w:rsid w:val="00884231"/>
    <w:rsid w:val="008873E9"/>
    <w:rsid w:val="00892442"/>
    <w:rsid w:val="00893C1F"/>
    <w:rsid w:val="008941E8"/>
    <w:rsid w:val="00897268"/>
    <w:rsid w:val="008A09A4"/>
    <w:rsid w:val="008A63A7"/>
    <w:rsid w:val="008B4F29"/>
    <w:rsid w:val="008B6443"/>
    <w:rsid w:val="008B7606"/>
    <w:rsid w:val="008C039C"/>
    <w:rsid w:val="008C3714"/>
    <w:rsid w:val="008C48A3"/>
    <w:rsid w:val="008F0BE8"/>
    <w:rsid w:val="008F156E"/>
    <w:rsid w:val="008F5C0D"/>
    <w:rsid w:val="00902A0F"/>
    <w:rsid w:val="00907729"/>
    <w:rsid w:val="00911E08"/>
    <w:rsid w:val="00911FA7"/>
    <w:rsid w:val="00915C8D"/>
    <w:rsid w:val="00922384"/>
    <w:rsid w:val="00931072"/>
    <w:rsid w:val="00933198"/>
    <w:rsid w:val="00933A35"/>
    <w:rsid w:val="00934C0D"/>
    <w:rsid w:val="00936055"/>
    <w:rsid w:val="0093781E"/>
    <w:rsid w:val="00937F68"/>
    <w:rsid w:val="009404D3"/>
    <w:rsid w:val="00941AA7"/>
    <w:rsid w:val="00946345"/>
    <w:rsid w:val="00953A6F"/>
    <w:rsid w:val="00953B78"/>
    <w:rsid w:val="00956312"/>
    <w:rsid w:val="00956D21"/>
    <w:rsid w:val="0095764C"/>
    <w:rsid w:val="00957ADD"/>
    <w:rsid w:val="00960AF9"/>
    <w:rsid w:val="009675D6"/>
    <w:rsid w:val="00967BB8"/>
    <w:rsid w:val="00970C6C"/>
    <w:rsid w:val="009726DD"/>
    <w:rsid w:val="00973293"/>
    <w:rsid w:val="00986F97"/>
    <w:rsid w:val="009A1ECF"/>
    <w:rsid w:val="009A3A61"/>
    <w:rsid w:val="009A3D4B"/>
    <w:rsid w:val="009A4392"/>
    <w:rsid w:val="009A6D9B"/>
    <w:rsid w:val="009B23BD"/>
    <w:rsid w:val="009B4DA1"/>
    <w:rsid w:val="009B6D35"/>
    <w:rsid w:val="009C0B8E"/>
    <w:rsid w:val="009C42B6"/>
    <w:rsid w:val="009D02FF"/>
    <w:rsid w:val="009D0417"/>
    <w:rsid w:val="009D698B"/>
    <w:rsid w:val="009E141F"/>
    <w:rsid w:val="009E6E5D"/>
    <w:rsid w:val="009E6F50"/>
    <w:rsid w:val="009E7DBE"/>
    <w:rsid w:val="009F098D"/>
    <w:rsid w:val="009F0B18"/>
    <w:rsid w:val="009F1E0B"/>
    <w:rsid w:val="009F303C"/>
    <w:rsid w:val="009F565A"/>
    <w:rsid w:val="00A002FC"/>
    <w:rsid w:val="00A0094C"/>
    <w:rsid w:val="00A03EE9"/>
    <w:rsid w:val="00A0405F"/>
    <w:rsid w:val="00A05AEB"/>
    <w:rsid w:val="00A05D6A"/>
    <w:rsid w:val="00A10143"/>
    <w:rsid w:val="00A103A8"/>
    <w:rsid w:val="00A10B3A"/>
    <w:rsid w:val="00A11B82"/>
    <w:rsid w:val="00A1367A"/>
    <w:rsid w:val="00A1683B"/>
    <w:rsid w:val="00A16D3C"/>
    <w:rsid w:val="00A2472D"/>
    <w:rsid w:val="00A306BD"/>
    <w:rsid w:val="00A3197A"/>
    <w:rsid w:val="00A3694F"/>
    <w:rsid w:val="00A375E5"/>
    <w:rsid w:val="00A40D16"/>
    <w:rsid w:val="00A419B7"/>
    <w:rsid w:val="00A437D7"/>
    <w:rsid w:val="00A44A51"/>
    <w:rsid w:val="00A44D4F"/>
    <w:rsid w:val="00A45439"/>
    <w:rsid w:val="00A4797D"/>
    <w:rsid w:val="00A47A5D"/>
    <w:rsid w:val="00A47C93"/>
    <w:rsid w:val="00A538E8"/>
    <w:rsid w:val="00A55C3D"/>
    <w:rsid w:val="00A5740E"/>
    <w:rsid w:val="00A616B5"/>
    <w:rsid w:val="00A63980"/>
    <w:rsid w:val="00A6724B"/>
    <w:rsid w:val="00A67561"/>
    <w:rsid w:val="00A7712E"/>
    <w:rsid w:val="00A776A4"/>
    <w:rsid w:val="00A83812"/>
    <w:rsid w:val="00A83C18"/>
    <w:rsid w:val="00A9206C"/>
    <w:rsid w:val="00A92A66"/>
    <w:rsid w:val="00A9479F"/>
    <w:rsid w:val="00A973DD"/>
    <w:rsid w:val="00A97971"/>
    <w:rsid w:val="00AA2DB7"/>
    <w:rsid w:val="00AA451A"/>
    <w:rsid w:val="00AA5648"/>
    <w:rsid w:val="00AA775F"/>
    <w:rsid w:val="00AA78E6"/>
    <w:rsid w:val="00AB4262"/>
    <w:rsid w:val="00AB7D52"/>
    <w:rsid w:val="00AC0BD3"/>
    <w:rsid w:val="00AC0C12"/>
    <w:rsid w:val="00AC19B9"/>
    <w:rsid w:val="00AC6DD7"/>
    <w:rsid w:val="00AC7C18"/>
    <w:rsid w:val="00AD07BE"/>
    <w:rsid w:val="00AD1939"/>
    <w:rsid w:val="00AD456E"/>
    <w:rsid w:val="00AE1DB8"/>
    <w:rsid w:val="00AE4094"/>
    <w:rsid w:val="00AE5866"/>
    <w:rsid w:val="00AE783D"/>
    <w:rsid w:val="00AF0591"/>
    <w:rsid w:val="00AF27FD"/>
    <w:rsid w:val="00AF2AC7"/>
    <w:rsid w:val="00AF2DA2"/>
    <w:rsid w:val="00B01706"/>
    <w:rsid w:val="00B01EDC"/>
    <w:rsid w:val="00B024C1"/>
    <w:rsid w:val="00B026EE"/>
    <w:rsid w:val="00B03479"/>
    <w:rsid w:val="00B03D6F"/>
    <w:rsid w:val="00B072F6"/>
    <w:rsid w:val="00B073DD"/>
    <w:rsid w:val="00B20886"/>
    <w:rsid w:val="00B302F9"/>
    <w:rsid w:val="00B30DEA"/>
    <w:rsid w:val="00B34830"/>
    <w:rsid w:val="00B40864"/>
    <w:rsid w:val="00B4124D"/>
    <w:rsid w:val="00B46A72"/>
    <w:rsid w:val="00B46AFB"/>
    <w:rsid w:val="00B47125"/>
    <w:rsid w:val="00B5430D"/>
    <w:rsid w:val="00B57050"/>
    <w:rsid w:val="00B57371"/>
    <w:rsid w:val="00B61582"/>
    <w:rsid w:val="00B712CA"/>
    <w:rsid w:val="00B719FA"/>
    <w:rsid w:val="00B750FB"/>
    <w:rsid w:val="00B84ED0"/>
    <w:rsid w:val="00B854D6"/>
    <w:rsid w:val="00B92FB8"/>
    <w:rsid w:val="00B94CF4"/>
    <w:rsid w:val="00B95D5B"/>
    <w:rsid w:val="00B9652A"/>
    <w:rsid w:val="00BA0A4B"/>
    <w:rsid w:val="00BA186C"/>
    <w:rsid w:val="00BA2101"/>
    <w:rsid w:val="00BB083D"/>
    <w:rsid w:val="00BB234B"/>
    <w:rsid w:val="00BB2C7E"/>
    <w:rsid w:val="00BB4A37"/>
    <w:rsid w:val="00BB61CA"/>
    <w:rsid w:val="00BC1006"/>
    <w:rsid w:val="00BC5C9B"/>
    <w:rsid w:val="00BD02C1"/>
    <w:rsid w:val="00BD1B7A"/>
    <w:rsid w:val="00BD3A89"/>
    <w:rsid w:val="00BE360A"/>
    <w:rsid w:val="00BE3D77"/>
    <w:rsid w:val="00BE5091"/>
    <w:rsid w:val="00BE54B3"/>
    <w:rsid w:val="00BF042C"/>
    <w:rsid w:val="00BF0A69"/>
    <w:rsid w:val="00BF251A"/>
    <w:rsid w:val="00BF3E98"/>
    <w:rsid w:val="00BF67F8"/>
    <w:rsid w:val="00C00C88"/>
    <w:rsid w:val="00C05374"/>
    <w:rsid w:val="00C067E5"/>
    <w:rsid w:val="00C07AF2"/>
    <w:rsid w:val="00C12CC9"/>
    <w:rsid w:val="00C12DD8"/>
    <w:rsid w:val="00C2336D"/>
    <w:rsid w:val="00C2442A"/>
    <w:rsid w:val="00C26C10"/>
    <w:rsid w:val="00C31079"/>
    <w:rsid w:val="00C333D8"/>
    <w:rsid w:val="00C349D6"/>
    <w:rsid w:val="00C34A88"/>
    <w:rsid w:val="00C359CA"/>
    <w:rsid w:val="00C37770"/>
    <w:rsid w:val="00C42E4F"/>
    <w:rsid w:val="00C535FD"/>
    <w:rsid w:val="00C5456A"/>
    <w:rsid w:val="00C55AB1"/>
    <w:rsid w:val="00C561B4"/>
    <w:rsid w:val="00C61529"/>
    <w:rsid w:val="00C63071"/>
    <w:rsid w:val="00C64C23"/>
    <w:rsid w:val="00C65022"/>
    <w:rsid w:val="00C702DC"/>
    <w:rsid w:val="00C72253"/>
    <w:rsid w:val="00C7312E"/>
    <w:rsid w:val="00C73708"/>
    <w:rsid w:val="00C74119"/>
    <w:rsid w:val="00C76521"/>
    <w:rsid w:val="00C77103"/>
    <w:rsid w:val="00C771E7"/>
    <w:rsid w:val="00C77F93"/>
    <w:rsid w:val="00C8041B"/>
    <w:rsid w:val="00C809A5"/>
    <w:rsid w:val="00C82F2A"/>
    <w:rsid w:val="00C8338B"/>
    <w:rsid w:val="00C83BF0"/>
    <w:rsid w:val="00C862A1"/>
    <w:rsid w:val="00C96E35"/>
    <w:rsid w:val="00C97FE0"/>
    <w:rsid w:val="00CA004B"/>
    <w:rsid w:val="00CA057E"/>
    <w:rsid w:val="00CA2AD0"/>
    <w:rsid w:val="00CA3394"/>
    <w:rsid w:val="00CA59D5"/>
    <w:rsid w:val="00CA7423"/>
    <w:rsid w:val="00CA7BB7"/>
    <w:rsid w:val="00CB4BDE"/>
    <w:rsid w:val="00CB5C38"/>
    <w:rsid w:val="00CB7327"/>
    <w:rsid w:val="00CC26F6"/>
    <w:rsid w:val="00CC3C8F"/>
    <w:rsid w:val="00CC4C38"/>
    <w:rsid w:val="00CC6680"/>
    <w:rsid w:val="00CD04C9"/>
    <w:rsid w:val="00CD21D4"/>
    <w:rsid w:val="00CD393F"/>
    <w:rsid w:val="00CD4D42"/>
    <w:rsid w:val="00CE4F18"/>
    <w:rsid w:val="00CE63FC"/>
    <w:rsid w:val="00CF28DE"/>
    <w:rsid w:val="00CF6CCE"/>
    <w:rsid w:val="00D03F82"/>
    <w:rsid w:val="00D04152"/>
    <w:rsid w:val="00D07BE2"/>
    <w:rsid w:val="00D124A6"/>
    <w:rsid w:val="00D14E15"/>
    <w:rsid w:val="00D17B08"/>
    <w:rsid w:val="00D17BFE"/>
    <w:rsid w:val="00D24568"/>
    <w:rsid w:val="00D26909"/>
    <w:rsid w:val="00D2762F"/>
    <w:rsid w:val="00D3018E"/>
    <w:rsid w:val="00D30C71"/>
    <w:rsid w:val="00D335B3"/>
    <w:rsid w:val="00D33947"/>
    <w:rsid w:val="00D340DB"/>
    <w:rsid w:val="00D34B6B"/>
    <w:rsid w:val="00D34F86"/>
    <w:rsid w:val="00D3542E"/>
    <w:rsid w:val="00D37C25"/>
    <w:rsid w:val="00D40175"/>
    <w:rsid w:val="00D44557"/>
    <w:rsid w:val="00D44910"/>
    <w:rsid w:val="00D46289"/>
    <w:rsid w:val="00D47A65"/>
    <w:rsid w:val="00D52F30"/>
    <w:rsid w:val="00D53924"/>
    <w:rsid w:val="00D54EA6"/>
    <w:rsid w:val="00D61168"/>
    <w:rsid w:val="00D6525D"/>
    <w:rsid w:val="00D71F72"/>
    <w:rsid w:val="00D75C14"/>
    <w:rsid w:val="00D764A2"/>
    <w:rsid w:val="00D80E88"/>
    <w:rsid w:val="00D83314"/>
    <w:rsid w:val="00D94F58"/>
    <w:rsid w:val="00D95559"/>
    <w:rsid w:val="00D95A82"/>
    <w:rsid w:val="00D9634D"/>
    <w:rsid w:val="00D969A3"/>
    <w:rsid w:val="00D9706E"/>
    <w:rsid w:val="00DA0DAC"/>
    <w:rsid w:val="00DA7CBC"/>
    <w:rsid w:val="00DB010D"/>
    <w:rsid w:val="00DB330F"/>
    <w:rsid w:val="00DB5023"/>
    <w:rsid w:val="00DC1BB6"/>
    <w:rsid w:val="00DD0E78"/>
    <w:rsid w:val="00DD3E93"/>
    <w:rsid w:val="00DD6B32"/>
    <w:rsid w:val="00DE11FE"/>
    <w:rsid w:val="00DE2797"/>
    <w:rsid w:val="00DE3DA6"/>
    <w:rsid w:val="00DE48F1"/>
    <w:rsid w:val="00DE58C8"/>
    <w:rsid w:val="00DF0109"/>
    <w:rsid w:val="00DF070D"/>
    <w:rsid w:val="00DF136E"/>
    <w:rsid w:val="00DF1F90"/>
    <w:rsid w:val="00DF5378"/>
    <w:rsid w:val="00DF7B6C"/>
    <w:rsid w:val="00DF7C96"/>
    <w:rsid w:val="00E0444C"/>
    <w:rsid w:val="00E044B6"/>
    <w:rsid w:val="00E112CE"/>
    <w:rsid w:val="00E14B77"/>
    <w:rsid w:val="00E15D14"/>
    <w:rsid w:val="00E1604D"/>
    <w:rsid w:val="00E238FB"/>
    <w:rsid w:val="00E321E8"/>
    <w:rsid w:val="00E330ED"/>
    <w:rsid w:val="00E42554"/>
    <w:rsid w:val="00E43893"/>
    <w:rsid w:val="00E47397"/>
    <w:rsid w:val="00E514EE"/>
    <w:rsid w:val="00E52DA1"/>
    <w:rsid w:val="00E53D78"/>
    <w:rsid w:val="00E540BE"/>
    <w:rsid w:val="00E5430E"/>
    <w:rsid w:val="00E6110A"/>
    <w:rsid w:val="00E662DB"/>
    <w:rsid w:val="00E670A2"/>
    <w:rsid w:val="00E67637"/>
    <w:rsid w:val="00E73DE3"/>
    <w:rsid w:val="00E7771E"/>
    <w:rsid w:val="00E82D69"/>
    <w:rsid w:val="00E84B3F"/>
    <w:rsid w:val="00E9079B"/>
    <w:rsid w:val="00E915B3"/>
    <w:rsid w:val="00E921FA"/>
    <w:rsid w:val="00E94010"/>
    <w:rsid w:val="00E96A14"/>
    <w:rsid w:val="00E97227"/>
    <w:rsid w:val="00E973C7"/>
    <w:rsid w:val="00EA0A66"/>
    <w:rsid w:val="00EA6054"/>
    <w:rsid w:val="00EB2B6D"/>
    <w:rsid w:val="00EB321E"/>
    <w:rsid w:val="00EB3D6D"/>
    <w:rsid w:val="00EB46D9"/>
    <w:rsid w:val="00EB59F4"/>
    <w:rsid w:val="00EB6497"/>
    <w:rsid w:val="00EB7219"/>
    <w:rsid w:val="00EB7FD9"/>
    <w:rsid w:val="00EC3D0A"/>
    <w:rsid w:val="00EC42A4"/>
    <w:rsid w:val="00EC568B"/>
    <w:rsid w:val="00EC7818"/>
    <w:rsid w:val="00EE1CEB"/>
    <w:rsid w:val="00EE36DD"/>
    <w:rsid w:val="00EE3B28"/>
    <w:rsid w:val="00EF210F"/>
    <w:rsid w:val="00F003CD"/>
    <w:rsid w:val="00F005FC"/>
    <w:rsid w:val="00F01B69"/>
    <w:rsid w:val="00F02E44"/>
    <w:rsid w:val="00F0320E"/>
    <w:rsid w:val="00F04324"/>
    <w:rsid w:val="00F045AB"/>
    <w:rsid w:val="00F04FF2"/>
    <w:rsid w:val="00F064B7"/>
    <w:rsid w:val="00F11947"/>
    <w:rsid w:val="00F11F62"/>
    <w:rsid w:val="00F13CF8"/>
    <w:rsid w:val="00F154D2"/>
    <w:rsid w:val="00F167FB"/>
    <w:rsid w:val="00F16DA6"/>
    <w:rsid w:val="00F26845"/>
    <w:rsid w:val="00F34D98"/>
    <w:rsid w:val="00F37A26"/>
    <w:rsid w:val="00F4206D"/>
    <w:rsid w:val="00F42A3C"/>
    <w:rsid w:val="00F442D1"/>
    <w:rsid w:val="00F4435F"/>
    <w:rsid w:val="00F45DA4"/>
    <w:rsid w:val="00F460C9"/>
    <w:rsid w:val="00F46ED3"/>
    <w:rsid w:val="00F52824"/>
    <w:rsid w:val="00F57080"/>
    <w:rsid w:val="00F573AD"/>
    <w:rsid w:val="00F575DC"/>
    <w:rsid w:val="00F6186D"/>
    <w:rsid w:val="00F63845"/>
    <w:rsid w:val="00F65EA1"/>
    <w:rsid w:val="00F771B0"/>
    <w:rsid w:val="00F77C59"/>
    <w:rsid w:val="00F81246"/>
    <w:rsid w:val="00F82296"/>
    <w:rsid w:val="00F83001"/>
    <w:rsid w:val="00F83A39"/>
    <w:rsid w:val="00F85CBF"/>
    <w:rsid w:val="00F86E5E"/>
    <w:rsid w:val="00F9172D"/>
    <w:rsid w:val="00F91F4F"/>
    <w:rsid w:val="00F9624F"/>
    <w:rsid w:val="00FA032A"/>
    <w:rsid w:val="00FA0EF8"/>
    <w:rsid w:val="00FA3399"/>
    <w:rsid w:val="00FA4676"/>
    <w:rsid w:val="00FA69F1"/>
    <w:rsid w:val="00FB2507"/>
    <w:rsid w:val="00FB5F93"/>
    <w:rsid w:val="00FC1975"/>
    <w:rsid w:val="00FC2988"/>
    <w:rsid w:val="00FE0CB6"/>
    <w:rsid w:val="00FE10D3"/>
    <w:rsid w:val="00FE312B"/>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DC2B2-D17E-4C6A-9361-C69434B4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3">
    <w:name w:val="heading 3"/>
    <w:basedOn w:val="Normal"/>
    <w:next w:val="Normal"/>
    <w:link w:val="Ttulo3Car"/>
    <w:uiPriority w:val="9"/>
    <w:semiHidden/>
    <w:unhideWhenUsed/>
    <w:qFormat/>
    <w:rsid w:val="00DE2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 w:type="character" w:customStyle="1" w:styleId="Ttulo3Car">
    <w:name w:val="Título 3 Car"/>
    <w:basedOn w:val="Fuentedeprrafopredeter"/>
    <w:link w:val="Ttulo3"/>
    <w:uiPriority w:val="9"/>
    <w:semiHidden/>
    <w:rsid w:val="00DE2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1382316639">
      <w:bodyDiv w:val="1"/>
      <w:marLeft w:val="0"/>
      <w:marRight w:val="0"/>
      <w:marTop w:val="0"/>
      <w:marBottom w:val="0"/>
      <w:divBdr>
        <w:top w:val="none" w:sz="0" w:space="0" w:color="auto"/>
        <w:left w:val="none" w:sz="0" w:space="0" w:color="auto"/>
        <w:bottom w:val="none" w:sz="0" w:space="0" w:color="auto"/>
        <w:right w:val="none" w:sz="0" w:space="0" w:color="auto"/>
      </w:divBdr>
    </w:div>
    <w:div w:id="1601914791">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773A-D222-41CA-B0A9-00B9D9E7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5757</Words>
  <Characters>31668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cp:revision>
  <cp:lastPrinted>2017-06-15T20:47:00Z</cp:lastPrinted>
  <dcterms:created xsi:type="dcterms:W3CDTF">2017-06-15T20:51:00Z</dcterms:created>
  <dcterms:modified xsi:type="dcterms:W3CDTF">2017-09-11T20:15:00Z</dcterms:modified>
</cp:coreProperties>
</file>