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F6E13" w:rsidRPr="00875BEF" w:rsidRDefault="005F6E13" w:rsidP="005F6E1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5F6E13" w:rsidRPr="0094372D" w:rsidRDefault="005F6E13" w:rsidP="005F6E1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132462" w:rsidRPr="00D85E04" w:rsidRDefault="00132462" w:rsidP="00132462">
      <w:pPr>
        <w:rPr>
          <w:rFonts w:ascii="Tahoma" w:hAnsi="Tahoma" w:cs="Tahoma"/>
          <w:b/>
          <w:sz w:val="18"/>
          <w:szCs w:val="18"/>
          <w:lang w:val="es-CO"/>
        </w:rPr>
      </w:pPr>
      <w:bookmarkStart w:id="0" w:name="_GoBack"/>
      <w:bookmarkEnd w:id="0"/>
    </w:p>
    <w:p w:rsidR="00D2586A" w:rsidRPr="006D3768" w:rsidRDefault="00D2586A" w:rsidP="00567F17">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6D3768">
        <w:rPr>
          <w:rFonts w:ascii="Tahoma" w:hAnsi="Tahoma" w:cs="Tahoma"/>
          <w:b w:val="0"/>
          <w:bCs/>
          <w:sz w:val="18"/>
          <w:szCs w:val="18"/>
        </w:rPr>
        <w:t xml:space="preserve">Sentencia </w:t>
      </w:r>
      <w:r w:rsidR="00132462">
        <w:rPr>
          <w:rFonts w:ascii="Tahoma" w:hAnsi="Tahoma" w:cs="Tahoma"/>
          <w:b w:val="0"/>
          <w:bCs/>
          <w:sz w:val="18"/>
          <w:szCs w:val="18"/>
        </w:rPr>
        <w:t>- 2ª instancia -</w:t>
      </w:r>
      <w:r w:rsidRPr="006D3768">
        <w:rPr>
          <w:rFonts w:ascii="Tahoma" w:hAnsi="Tahoma" w:cs="Tahoma"/>
          <w:b w:val="0"/>
          <w:bCs/>
          <w:sz w:val="18"/>
          <w:szCs w:val="18"/>
        </w:rPr>
        <w:t xml:space="preserve"> </w:t>
      </w:r>
      <w:r w:rsidR="00B85148" w:rsidRPr="006D3768">
        <w:rPr>
          <w:rFonts w:ascii="Tahoma" w:hAnsi="Tahoma" w:cs="Tahoma"/>
          <w:b w:val="0"/>
          <w:bCs/>
          <w:sz w:val="18"/>
          <w:szCs w:val="18"/>
        </w:rPr>
        <w:t>2</w:t>
      </w:r>
      <w:r w:rsidR="00784BD5" w:rsidRPr="006D3768">
        <w:rPr>
          <w:rFonts w:ascii="Tahoma" w:hAnsi="Tahoma" w:cs="Tahoma"/>
          <w:b w:val="0"/>
          <w:bCs/>
          <w:sz w:val="18"/>
          <w:szCs w:val="18"/>
        </w:rPr>
        <w:t xml:space="preserve"> </w:t>
      </w:r>
      <w:r w:rsidRPr="006D3768">
        <w:rPr>
          <w:rFonts w:ascii="Tahoma" w:hAnsi="Tahoma" w:cs="Tahoma"/>
          <w:b w:val="0"/>
          <w:bCs/>
          <w:sz w:val="18"/>
          <w:szCs w:val="18"/>
        </w:rPr>
        <w:t xml:space="preserve">de </w:t>
      </w:r>
      <w:r w:rsidR="00805E94" w:rsidRPr="006D3768">
        <w:rPr>
          <w:rFonts w:ascii="Tahoma" w:hAnsi="Tahoma" w:cs="Tahoma"/>
          <w:b w:val="0"/>
          <w:bCs/>
          <w:sz w:val="18"/>
          <w:szCs w:val="18"/>
        </w:rPr>
        <w:t>junio</w:t>
      </w:r>
      <w:r w:rsidRPr="006D3768">
        <w:rPr>
          <w:rFonts w:ascii="Tahoma" w:hAnsi="Tahoma" w:cs="Tahoma"/>
          <w:b w:val="0"/>
          <w:bCs/>
          <w:sz w:val="18"/>
          <w:szCs w:val="18"/>
        </w:rPr>
        <w:t xml:space="preserve"> de 2017 </w:t>
      </w:r>
    </w:p>
    <w:p w:rsidR="00132462" w:rsidRPr="00BF4F59" w:rsidRDefault="00132462" w:rsidP="00132462">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Revoca decisión del a quo y accede a las pretensiones</w:t>
      </w:r>
    </w:p>
    <w:p w:rsidR="00D2586A" w:rsidRPr="00BF4F59" w:rsidRDefault="00D2586A" w:rsidP="00567F17">
      <w:pPr>
        <w:pStyle w:val="Puesto"/>
        <w:spacing w:line="240" w:lineRule="auto"/>
        <w:jc w:val="both"/>
        <w:rPr>
          <w:rFonts w:ascii="Tahoma" w:hAnsi="Tahoma" w:cs="Tahoma"/>
          <w:b w:val="0"/>
          <w:sz w:val="18"/>
          <w:szCs w:val="18"/>
        </w:rPr>
      </w:pPr>
      <w:r w:rsidRPr="006D3768">
        <w:rPr>
          <w:rFonts w:ascii="Tahoma" w:hAnsi="Tahoma" w:cs="Tahoma"/>
          <w:sz w:val="18"/>
          <w:szCs w:val="18"/>
        </w:rPr>
        <w:t>Radicación No.:</w:t>
      </w:r>
      <w:r w:rsidRPr="006D3768">
        <w:rPr>
          <w:rFonts w:ascii="Tahoma" w:hAnsi="Tahoma" w:cs="Tahoma"/>
          <w:b w:val="0"/>
          <w:sz w:val="18"/>
          <w:szCs w:val="18"/>
        </w:rPr>
        <w:tab/>
      </w:r>
      <w:r w:rsidRPr="006D3768">
        <w:rPr>
          <w:rFonts w:ascii="Tahoma" w:hAnsi="Tahoma" w:cs="Tahoma"/>
          <w:b w:val="0"/>
          <w:sz w:val="18"/>
          <w:szCs w:val="18"/>
        </w:rPr>
        <w:tab/>
        <w:t>66001-31-05-00</w:t>
      </w:r>
      <w:r w:rsidR="00572165">
        <w:rPr>
          <w:rFonts w:ascii="Tahoma" w:hAnsi="Tahoma" w:cs="Tahoma"/>
          <w:b w:val="0"/>
          <w:sz w:val="18"/>
          <w:szCs w:val="18"/>
        </w:rPr>
        <w:t>3</w:t>
      </w:r>
      <w:r w:rsidRPr="006D3768">
        <w:rPr>
          <w:rFonts w:ascii="Tahoma" w:hAnsi="Tahoma" w:cs="Tahoma"/>
          <w:b w:val="0"/>
          <w:sz w:val="18"/>
          <w:szCs w:val="18"/>
        </w:rPr>
        <w:t>-201</w:t>
      </w:r>
      <w:r w:rsidR="009751EC" w:rsidRPr="006D3768">
        <w:rPr>
          <w:rFonts w:ascii="Tahoma" w:hAnsi="Tahoma" w:cs="Tahoma"/>
          <w:b w:val="0"/>
          <w:sz w:val="18"/>
          <w:szCs w:val="18"/>
        </w:rPr>
        <w:t>5</w:t>
      </w:r>
      <w:r w:rsidRPr="006D3768">
        <w:rPr>
          <w:rFonts w:ascii="Tahoma" w:hAnsi="Tahoma" w:cs="Tahoma"/>
          <w:b w:val="0"/>
          <w:sz w:val="18"/>
          <w:szCs w:val="18"/>
        </w:rPr>
        <w:t>-00</w:t>
      </w:r>
      <w:r w:rsidR="00572165">
        <w:rPr>
          <w:rFonts w:ascii="Tahoma" w:hAnsi="Tahoma" w:cs="Tahoma"/>
          <w:b w:val="0"/>
          <w:sz w:val="18"/>
          <w:szCs w:val="18"/>
        </w:rPr>
        <w:t>656</w:t>
      </w:r>
      <w:r w:rsidRPr="006D3768">
        <w:rPr>
          <w:rFonts w:ascii="Tahoma" w:hAnsi="Tahoma" w:cs="Tahoma"/>
          <w:b w:val="0"/>
          <w:sz w:val="18"/>
          <w:szCs w:val="18"/>
        </w:rPr>
        <w:t>-01</w:t>
      </w:r>
    </w:p>
    <w:p w:rsidR="00D2586A" w:rsidRPr="00BF4F59" w:rsidRDefault="00D2586A" w:rsidP="00567F17">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sidR="00572165">
        <w:rPr>
          <w:rFonts w:ascii="Tahoma" w:hAnsi="Tahoma" w:cs="Tahoma"/>
          <w:b w:val="0"/>
          <w:sz w:val="18"/>
          <w:szCs w:val="18"/>
        </w:rPr>
        <w:t>Ligia Esperanza Clavijo Calle</w:t>
      </w:r>
    </w:p>
    <w:p w:rsidR="00D2586A" w:rsidRPr="00BF4F59" w:rsidRDefault="00D2586A" w:rsidP="00567F17">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00B85148">
        <w:rPr>
          <w:rFonts w:ascii="Tahoma" w:hAnsi="Tahoma" w:cs="Tahoma"/>
          <w:b w:val="0"/>
          <w:sz w:val="18"/>
          <w:szCs w:val="18"/>
        </w:rPr>
        <w:tab/>
      </w:r>
      <w:r w:rsidR="00B85148">
        <w:rPr>
          <w:rFonts w:ascii="Tahoma" w:hAnsi="Tahoma" w:cs="Tahoma"/>
          <w:b w:val="0"/>
          <w:sz w:val="18"/>
          <w:szCs w:val="18"/>
        </w:rPr>
        <w:tab/>
        <w:t xml:space="preserve">Colpensiones </w:t>
      </w:r>
    </w:p>
    <w:p w:rsidR="00D2586A" w:rsidRPr="00BF4F59" w:rsidRDefault="00D2586A" w:rsidP="00567F17">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572165">
        <w:rPr>
          <w:rFonts w:ascii="Tahoma" w:hAnsi="Tahoma" w:cs="Tahoma"/>
          <w:b w:val="0"/>
          <w:sz w:val="18"/>
          <w:szCs w:val="18"/>
        </w:rPr>
        <w:t>Tercer</w:t>
      </w:r>
      <w:r w:rsidR="00F96CB4">
        <w:rPr>
          <w:rFonts w:ascii="Tahoma" w:hAnsi="Tahoma" w:cs="Tahoma"/>
          <w:b w:val="0"/>
          <w:sz w:val="18"/>
          <w:szCs w:val="18"/>
        </w:rPr>
        <w:t>o</w:t>
      </w:r>
      <w:r w:rsidR="00B85148">
        <w:rPr>
          <w:rFonts w:ascii="Tahoma" w:hAnsi="Tahoma" w:cs="Tahoma"/>
          <w:b w:val="0"/>
          <w:sz w:val="18"/>
          <w:szCs w:val="18"/>
        </w:rPr>
        <w:t xml:space="preserve"> </w:t>
      </w:r>
      <w:r w:rsidRPr="00BF4F59">
        <w:rPr>
          <w:rFonts w:ascii="Tahoma" w:hAnsi="Tahoma" w:cs="Tahoma"/>
          <w:b w:val="0"/>
          <w:sz w:val="18"/>
          <w:szCs w:val="18"/>
        </w:rPr>
        <w:t>Laboral del Circuito de Pereira</w:t>
      </w:r>
    </w:p>
    <w:p w:rsidR="00D2586A" w:rsidRPr="00BF4F59" w:rsidRDefault="00D2586A" w:rsidP="00567F17">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567F17">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9A1CFB" w:rsidRPr="009A33C7" w:rsidRDefault="009A1CFB" w:rsidP="00567F17">
      <w:pPr>
        <w:ind w:left="2127" w:right="51"/>
        <w:jc w:val="both"/>
        <w:rPr>
          <w:rFonts w:ascii="Tahoma" w:hAnsi="Tahoma" w:cs="Tahoma"/>
          <w:sz w:val="18"/>
          <w:szCs w:val="18"/>
        </w:rPr>
      </w:pPr>
      <w:r w:rsidRPr="00BF4F59">
        <w:rPr>
          <w:rFonts w:ascii="Tahoma" w:hAnsi="Tahoma" w:cs="Tahoma"/>
          <w:b/>
          <w:sz w:val="18"/>
          <w:szCs w:val="18"/>
          <w:u w:val="single"/>
        </w:rPr>
        <w:t>Fecha de reconocimiento y pago de la pensión de vejez:</w:t>
      </w:r>
      <w:r w:rsidRPr="00BF4F59">
        <w:rPr>
          <w:rFonts w:ascii="Tahoma" w:hAnsi="Tahoma" w:cs="Tahoma"/>
          <w:sz w:val="18"/>
          <w:szCs w:val="18"/>
        </w:rPr>
        <w:t xml:space="preserve"> “</w:t>
      </w:r>
      <w:r w:rsidRPr="00BF4F59">
        <w:rPr>
          <w:rFonts w:ascii="Tahoma" w:hAnsi="Tahoma" w:cs="Tahoma"/>
          <w:iCs/>
          <w:sz w:val="18"/>
          <w:szCs w:val="18"/>
        </w:rPr>
        <w:t xml:space="preserve">si bien es cierto el </w:t>
      </w:r>
      <w:r w:rsidRPr="00BF4F59">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F4F59">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F4F59">
        <w:rPr>
          <w:rFonts w:ascii="Tahoma" w:hAnsi="Tahoma" w:cs="Tahoma"/>
          <w:strike/>
          <w:sz w:val="18"/>
          <w:szCs w:val="18"/>
        </w:rPr>
        <w:t>º</w:t>
      </w:r>
      <w:r w:rsidRPr="00BF4F59">
        <w:rPr>
          <w:rFonts w:ascii="Tahoma" w:hAnsi="Tahoma" w:cs="Tahoma"/>
          <w:sz w:val="18"/>
          <w:szCs w:val="18"/>
        </w:rPr>
        <w:t xml:space="preserve"> de mayo de 2004.”</w:t>
      </w:r>
      <w:r>
        <w:rPr>
          <w:rStyle w:val="Refdenotaalpie"/>
          <w:rFonts w:ascii="Tahoma" w:hAnsi="Tahoma" w:cs="Tahoma"/>
          <w:sz w:val="18"/>
          <w:szCs w:val="18"/>
        </w:rPr>
        <w:footnoteReference w:id="1"/>
      </w:r>
    </w:p>
    <w:p w:rsidR="00D2586A" w:rsidRPr="00603328" w:rsidRDefault="00D2586A" w:rsidP="00567F17">
      <w:pPr>
        <w:widowControl w:val="0"/>
        <w:autoSpaceDE w:val="0"/>
        <w:autoSpaceDN w:val="0"/>
        <w:adjustRightInd w:val="0"/>
        <w:ind w:left="2127"/>
        <w:jc w:val="both"/>
        <w:rPr>
          <w:rFonts w:ascii="Tahoma" w:hAnsi="Tahoma" w:cs="Tahoma"/>
          <w:sz w:val="18"/>
          <w:szCs w:val="18"/>
        </w:rPr>
      </w:pPr>
    </w:p>
    <w:p w:rsidR="00D2586A" w:rsidRPr="00094ED8" w:rsidRDefault="00D2586A" w:rsidP="00567F17">
      <w:pPr>
        <w:pStyle w:val="Puesto"/>
        <w:spacing w:line="240" w:lineRule="auto"/>
        <w:ind w:left="2127" w:hanging="2127"/>
        <w:jc w:val="both"/>
        <w:rPr>
          <w:rFonts w:ascii="Tahoma" w:hAnsi="Tahoma" w:cs="Tahoma"/>
          <w:sz w:val="18"/>
          <w:szCs w:val="18"/>
          <w:u w:val="single"/>
        </w:rPr>
      </w:pPr>
    </w:p>
    <w:p w:rsidR="00D2586A" w:rsidRPr="004B5DE4" w:rsidRDefault="00D2586A" w:rsidP="00567F17">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567F17">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567F17">
      <w:pPr>
        <w:jc w:val="center"/>
        <w:rPr>
          <w:rFonts w:ascii="Tahoma" w:hAnsi="Tahoma" w:cs="Tahoma"/>
          <w:bCs/>
          <w:sz w:val="22"/>
          <w:szCs w:val="22"/>
        </w:rPr>
      </w:pPr>
    </w:p>
    <w:p w:rsidR="00D2586A" w:rsidRPr="00A7597E" w:rsidRDefault="00D2586A" w:rsidP="00567F17">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567F17">
      <w:pPr>
        <w:jc w:val="center"/>
        <w:rPr>
          <w:rFonts w:ascii="Tahoma" w:hAnsi="Tahoma" w:cs="Tahoma"/>
          <w:b/>
          <w:bCs/>
          <w:sz w:val="22"/>
          <w:szCs w:val="22"/>
        </w:rPr>
      </w:pPr>
    </w:p>
    <w:p w:rsidR="00D2586A" w:rsidRPr="00A7597E" w:rsidRDefault="00D2586A" w:rsidP="00567F17">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567F17">
      <w:pPr>
        <w:jc w:val="center"/>
        <w:rPr>
          <w:rFonts w:ascii="Tahoma" w:hAnsi="Tahoma" w:cs="Tahoma"/>
          <w:b/>
          <w:sz w:val="22"/>
          <w:szCs w:val="22"/>
        </w:rPr>
      </w:pPr>
      <w:r w:rsidRPr="00A7597E">
        <w:rPr>
          <w:rFonts w:ascii="Tahoma" w:hAnsi="Tahoma" w:cs="Tahoma"/>
          <w:b/>
          <w:sz w:val="22"/>
          <w:szCs w:val="22"/>
        </w:rPr>
        <w:t>(</w:t>
      </w:r>
      <w:r w:rsidR="006D3768" w:rsidRPr="006D3768">
        <w:rPr>
          <w:rFonts w:ascii="Tahoma" w:hAnsi="Tahoma" w:cs="Tahoma"/>
          <w:b/>
          <w:sz w:val="22"/>
          <w:szCs w:val="22"/>
        </w:rPr>
        <w:t>Junio</w:t>
      </w:r>
      <w:r w:rsidR="00A7597E" w:rsidRPr="006D3768">
        <w:rPr>
          <w:rFonts w:ascii="Tahoma" w:hAnsi="Tahoma" w:cs="Tahoma"/>
          <w:b/>
          <w:sz w:val="22"/>
          <w:szCs w:val="22"/>
        </w:rPr>
        <w:t xml:space="preserve"> </w:t>
      </w:r>
      <w:r w:rsidR="00863C64" w:rsidRPr="006D3768">
        <w:rPr>
          <w:rFonts w:ascii="Tahoma" w:hAnsi="Tahoma" w:cs="Tahoma"/>
          <w:b/>
          <w:sz w:val="22"/>
          <w:szCs w:val="22"/>
        </w:rPr>
        <w:t>2</w:t>
      </w:r>
      <w:r w:rsidR="00A7597E" w:rsidRPr="006D3768">
        <w:rPr>
          <w:rFonts w:ascii="Tahoma" w:hAnsi="Tahoma" w:cs="Tahoma"/>
          <w:b/>
          <w:sz w:val="22"/>
          <w:szCs w:val="22"/>
        </w:rPr>
        <w:t xml:space="preserve"> de </w:t>
      </w:r>
      <w:r w:rsidRPr="006D3768">
        <w:rPr>
          <w:rFonts w:ascii="Tahoma" w:hAnsi="Tahoma" w:cs="Tahoma"/>
          <w:b/>
          <w:sz w:val="22"/>
          <w:szCs w:val="22"/>
        </w:rPr>
        <w:t>2017)</w:t>
      </w:r>
    </w:p>
    <w:p w:rsidR="00D2586A" w:rsidRPr="00A7597E" w:rsidRDefault="00D2586A" w:rsidP="00567F17">
      <w:pPr>
        <w:jc w:val="center"/>
        <w:rPr>
          <w:rFonts w:ascii="Tahoma" w:hAnsi="Tahoma" w:cs="Tahoma"/>
          <w:b/>
          <w:sz w:val="22"/>
          <w:szCs w:val="22"/>
        </w:rPr>
      </w:pPr>
    </w:p>
    <w:p w:rsidR="00D2586A" w:rsidRPr="00A7597E" w:rsidRDefault="00D2586A" w:rsidP="00567F17">
      <w:pPr>
        <w:pStyle w:val="Ttulo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567F17">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567F17">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572165">
        <w:rPr>
          <w:rFonts w:ascii="Tahoma" w:hAnsi="Tahoma" w:cs="Tahoma"/>
          <w:sz w:val="22"/>
          <w:szCs w:val="22"/>
          <w:lang w:val="es-ES_tradnl"/>
        </w:rPr>
        <w:t>9</w:t>
      </w:r>
      <w:r w:rsidRPr="002E44EA">
        <w:rPr>
          <w:rFonts w:ascii="Tahoma" w:hAnsi="Tahoma" w:cs="Tahoma"/>
          <w:sz w:val="22"/>
          <w:szCs w:val="22"/>
          <w:lang w:val="es-ES_tradnl"/>
        </w:rPr>
        <w:t>:</w:t>
      </w:r>
      <w:r w:rsidR="00572165">
        <w:rPr>
          <w:rFonts w:ascii="Tahoma" w:hAnsi="Tahoma" w:cs="Tahoma"/>
          <w:sz w:val="22"/>
          <w:szCs w:val="22"/>
          <w:lang w:val="es-ES_tradnl"/>
        </w:rPr>
        <w:t>4</w:t>
      </w:r>
      <w:r w:rsidRPr="002E44EA">
        <w:rPr>
          <w:rFonts w:ascii="Tahoma" w:hAnsi="Tahoma" w:cs="Tahoma"/>
          <w:sz w:val="22"/>
          <w:szCs w:val="22"/>
          <w:lang w:val="es-ES_tradnl"/>
        </w:rPr>
        <w:t>0 a.m</w:t>
      </w:r>
      <w:r w:rsidRPr="00A7597E">
        <w:rPr>
          <w:rFonts w:ascii="Tahoma" w:hAnsi="Tahoma" w:cs="Tahoma"/>
          <w:sz w:val="22"/>
          <w:szCs w:val="22"/>
          <w:lang w:val="es-ES_tradnl"/>
        </w:rPr>
        <w:t xml:space="preserve">. de hoy, </w:t>
      </w:r>
      <w:r w:rsidR="00863C64" w:rsidRPr="006D3768">
        <w:rPr>
          <w:rFonts w:ascii="Tahoma" w:hAnsi="Tahoma" w:cs="Tahoma"/>
          <w:sz w:val="22"/>
          <w:szCs w:val="22"/>
          <w:lang w:val="es-ES_tradnl"/>
        </w:rPr>
        <w:t>2</w:t>
      </w:r>
      <w:r w:rsidRPr="00A7597E">
        <w:rPr>
          <w:rFonts w:ascii="Tahoma" w:hAnsi="Tahoma" w:cs="Tahoma"/>
          <w:sz w:val="22"/>
          <w:szCs w:val="22"/>
          <w:lang w:val="es-ES_tradnl"/>
        </w:rPr>
        <w:t xml:space="preserve"> de </w:t>
      </w:r>
      <w:r w:rsidR="006D3768">
        <w:rPr>
          <w:rFonts w:ascii="Tahoma" w:hAnsi="Tahoma" w:cs="Tahoma"/>
          <w:sz w:val="22"/>
          <w:szCs w:val="22"/>
          <w:lang w:val="es-ES_tradnl"/>
        </w:rPr>
        <w:t xml:space="preserve">junio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572165">
        <w:rPr>
          <w:rFonts w:ascii="Tahoma" w:hAnsi="Tahoma" w:cs="Tahoma"/>
          <w:b/>
          <w:sz w:val="22"/>
          <w:szCs w:val="22"/>
          <w:lang w:val="es-ES_tradnl"/>
        </w:rPr>
        <w:t xml:space="preserve">Ligia Esperanza Clavijo Calle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567F17">
      <w:pPr>
        <w:ind w:firstLine="708"/>
        <w:jc w:val="both"/>
        <w:rPr>
          <w:rFonts w:ascii="Tahoma" w:hAnsi="Tahoma" w:cs="Tahoma"/>
          <w:sz w:val="22"/>
          <w:szCs w:val="22"/>
        </w:rPr>
      </w:pPr>
    </w:p>
    <w:p w:rsidR="00D2586A" w:rsidRPr="007834F9" w:rsidRDefault="00D2586A" w:rsidP="00567F17">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567F17">
      <w:pPr>
        <w:ind w:firstLine="1122"/>
        <w:jc w:val="both"/>
        <w:rPr>
          <w:rFonts w:ascii="Tahoma" w:hAnsi="Tahoma" w:cs="Tahoma"/>
          <w:caps/>
          <w:sz w:val="22"/>
          <w:szCs w:val="22"/>
          <w:lang w:val="es-ES_tradnl"/>
        </w:rPr>
      </w:pPr>
    </w:p>
    <w:p w:rsidR="00D2586A" w:rsidRPr="00C75CBF" w:rsidRDefault="00D2586A" w:rsidP="00567F17">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567F17">
      <w:pPr>
        <w:widowControl w:val="0"/>
        <w:autoSpaceDE w:val="0"/>
        <w:autoSpaceDN w:val="0"/>
        <w:adjustRightInd w:val="0"/>
        <w:jc w:val="both"/>
        <w:rPr>
          <w:rFonts w:ascii="Tahoma" w:hAnsi="Tahoma" w:cs="Tahoma"/>
          <w:sz w:val="22"/>
          <w:szCs w:val="22"/>
        </w:rPr>
      </w:pPr>
    </w:p>
    <w:p w:rsidR="00D2586A" w:rsidRPr="007834F9" w:rsidRDefault="00D2586A" w:rsidP="00567F17">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567F17">
      <w:pPr>
        <w:ind w:firstLine="708"/>
        <w:jc w:val="both"/>
        <w:rPr>
          <w:rFonts w:ascii="Tahoma" w:hAnsi="Tahoma" w:cs="Tahoma"/>
          <w:sz w:val="22"/>
          <w:szCs w:val="22"/>
          <w:lang w:val="es-ES_tradnl"/>
        </w:rPr>
      </w:pPr>
    </w:p>
    <w:p w:rsidR="00D2586A" w:rsidRPr="007834F9" w:rsidRDefault="00D2586A" w:rsidP="00567F17">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567F17">
      <w:pPr>
        <w:widowControl w:val="0"/>
        <w:autoSpaceDE w:val="0"/>
        <w:autoSpaceDN w:val="0"/>
        <w:adjustRightInd w:val="0"/>
        <w:jc w:val="center"/>
        <w:rPr>
          <w:rFonts w:ascii="Tahoma" w:hAnsi="Tahoma" w:cs="Tahoma"/>
          <w:b/>
          <w:sz w:val="22"/>
          <w:szCs w:val="22"/>
        </w:rPr>
      </w:pPr>
    </w:p>
    <w:p w:rsidR="00D2586A" w:rsidRDefault="00D2586A" w:rsidP="00567F17">
      <w:pPr>
        <w:widowControl w:val="0"/>
        <w:autoSpaceDE w:val="0"/>
        <w:autoSpaceDN w:val="0"/>
        <w:adjustRightInd w:val="0"/>
        <w:spacing w:line="276" w:lineRule="auto"/>
        <w:ind w:firstLine="708"/>
        <w:jc w:val="both"/>
        <w:rPr>
          <w:rFonts w:ascii="Tahoma" w:hAnsi="Tahoma" w:cs="Tahoma"/>
          <w:sz w:val="22"/>
          <w:szCs w:val="22"/>
        </w:rPr>
      </w:pPr>
      <w:r w:rsidRPr="00ED6986">
        <w:rPr>
          <w:rFonts w:ascii="Tahoma" w:hAnsi="Tahoma" w:cs="Tahoma"/>
          <w:sz w:val="22"/>
          <w:szCs w:val="22"/>
        </w:rPr>
        <w:t xml:space="preserve">Como quiera que los argumentos expuestos en las alegaciones fueron tenidos en cuenta en la discusión del proyecto, procede la Sala a resolver el grado jurisdiccional de consulta de la sentencia emitida por el Juzgado </w:t>
      </w:r>
      <w:r w:rsidR="00746AD7">
        <w:rPr>
          <w:rFonts w:ascii="Tahoma" w:hAnsi="Tahoma" w:cs="Tahoma"/>
          <w:sz w:val="22"/>
          <w:szCs w:val="22"/>
        </w:rPr>
        <w:t xml:space="preserve">Tercero </w:t>
      </w:r>
      <w:r w:rsidRPr="00ED6986">
        <w:rPr>
          <w:rFonts w:ascii="Tahoma" w:hAnsi="Tahoma" w:cs="Tahoma"/>
          <w:sz w:val="22"/>
          <w:szCs w:val="22"/>
        </w:rPr>
        <w:t xml:space="preserve">Laboral del Circuito de Pereira el </w:t>
      </w:r>
      <w:r w:rsidR="00746AD7">
        <w:rPr>
          <w:rFonts w:ascii="Tahoma" w:hAnsi="Tahoma" w:cs="Tahoma"/>
          <w:sz w:val="22"/>
          <w:szCs w:val="22"/>
        </w:rPr>
        <w:t>19</w:t>
      </w:r>
      <w:r w:rsidR="002E7615" w:rsidRPr="00ED6986">
        <w:rPr>
          <w:rFonts w:ascii="Tahoma" w:hAnsi="Tahoma" w:cs="Tahoma"/>
          <w:sz w:val="22"/>
          <w:szCs w:val="22"/>
        </w:rPr>
        <w:t xml:space="preserve"> de mayo </w:t>
      </w:r>
      <w:r w:rsidRPr="00ED6986">
        <w:rPr>
          <w:rFonts w:ascii="Tahoma" w:hAnsi="Tahoma" w:cs="Tahoma"/>
          <w:sz w:val="22"/>
          <w:szCs w:val="22"/>
        </w:rPr>
        <w:t>de 201</w:t>
      </w:r>
      <w:r w:rsidR="00A7597E" w:rsidRPr="00ED6986">
        <w:rPr>
          <w:rFonts w:ascii="Tahoma" w:hAnsi="Tahoma" w:cs="Tahoma"/>
          <w:sz w:val="22"/>
          <w:szCs w:val="22"/>
        </w:rPr>
        <w:t>6</w:t>
      </w:r>
      <w:r w:rsidRPr="00ED6986">
        <w:rPr>
          <w:rFonts w:ascii="Tahoma" w:hAnsi="Tahoma" w:cs="Tahoma"/>
          <w:sz w:val="22"/>
          <w:szCs w:val="22"/>
        </w:rPr>
        <w:t xml:space="preserve">, que </w:t>
      </w:r>
      <w:r w:rsidR="00ED6986" w:rsidRPr="00ED6986">
        <w:rPr>
          <w:rFonts w:ascii="Tahoma" w:hAnsi="Tahoma" w:cs="Tahoma"/>
          <w:sz w:val="22"/>
          <w:szCs w:val="22"/>
        </w:rPr>
        <w:t>resultara desfavorable a</w:t>
      </w:r>
      <w:r w:rsidR="00746AD7">
        <w:rPr>
          <w:rFonts w:ascii="Tahoma" w:hAnsi="Tahoma" w:cs="Tahoma"/>
          <w:sz w:val="22"/>
          <w:szCs w:val="22"/>
        </w:rPr>
        <w:t xml:space="preserve"> </w:t>
      </w:r>
      <w:r w:rsidR="00ED6986" w:rsidRPr="00ED6986">
        <w:rPr>
          <w:rFonts w:ascii="Tahoma" w:hAnsi="Tahoma" w:cs="Tahoma"/>
          <w:sz w:val="22"/>
          <w:szCs w:val="22"/>
        </w:rPr>
        <w:t>l</w:t>
      </w:r>
      <w:r w:rsidR="00746AD7">
        <w:rPr>
          <w:rFonts w:ascii="Tahoma" w:hAnsi="Tahoma" w:cs="Tahoma"/>
          <w:sz w:val="22"/>
          <w:szCs w:val="22"/>
        </w:rPr>
        <w:t>a</w:t>
      </w:r>
      <w:r w:rsidR="00ED6986" w:rsidRPr="00ED6986">
        <w:rPr>
          <w:rFonts w:ascii="Tahoma" w:hAnsi="Tahoma" w:cs="Tahoma"/>
          <w:sz w:val="22"/>
          <w:szCs w:val="22"/>
        </w:rPr>
        <w:t xml:space="preserve"> demandante</w:t>
      </w:r>
      <w:r w:rsidRPr="00ED6986">
        <w:rPr>
          <w:rFonts w:ascii="Tahoma" w:hAnsi="Tahoma" w:cs="Tahoma"/>
          <w:sz w:val="22"/>
          <w:szCs w:val="22"/>
        </w:rPr>
        <w:t>, dentro del proceso ordinario laboral reseñado con anterioridad.</w:t>
      </w:r>
      <w:r w:rsidRPr="007834F9">
        <w:rPr>
          <w:rFonts w:ascii="Tahoma" w:hAnsi="Tahoma" w:cs="Tahoma"/>
          <w:sz w:val="22"/>
          <w:szCs w:val="22"/>
        </w:rPr>
        <w:t xml:space="preserve"> </w:t>
      </w:r>
    </w:p>
    <w:p w:rsidR="00D2586A" w:rsidRPr="00C75CBF" w:rsidRDefault="00D2586A" w:rsidP="00567F17">
      <w:pPr>
        <w:widowControl w:val="0"/>
        <w:autoSpaceDE w:val="0"/>
        <w:autoSpaceDN w:val="0"/>
        <w:adjustRightInd w:val="0"/>
        <w:spacing w:line="276" w:lineRule="auto"/>
        <w:ind w:firstLine="708"/>
        <w:jc w:val="both"/>
        <w:rPr>
          <w:rFonts w:ascii="Tahoma" w:hAnsi="Tahoma" w:cs="Tahoma"/>
          <w:caps/>
          <w:sz w:val="22"/>
          <w:szCs w:val="22"/>
        </w:rPr>
      </w:pPr>
    </w:p>
    <w:p w:rsidR="00D2586A" w:rsidRPr="00C75CBF" w:rsidRDefault="00D2586A" w:rsidP="00567F17">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567F17">
      <w:pPr>
        <w:widowControl w:val="0"/>
        <w:tabs>
          <w:tab w:val="left" w:pos="748"/>
        </w:tabs>
        <w:autoSpaceDE w:val="0"/>
        <w:autoSpaceDN w:val="0"/>
        <w:adjustRightInd w:val="0"/>
        <w:ind w:left="748"/>
        <w:jc w:val="center"/>
        <w:rPr>
          <w:rFonts w:ascii="Tahoma" w:hAnsi="Tahoma" w:cs="Tahoma"/>
          <w:b/>
          <w:bCs/>
          <w:sz w:val="22"/>
          <w:szCs w:val="22"/>
        </w:rPr>
      </w:pPr>
    </w:p>
    <w:p w:rsidR="00746AD7" w:rsidRDefault="00D2586A" w:rsidP="00567F17">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6E7B3D" w:rsidRPr="004B63FB">
        <w:rPr>
          <w:rFonts w:ascii="Tahoma" w:hAnsi="Tahoma" w:cs="Tahoma"/>
          <w:sz w:val="22"/>
          <w:szCs w:val="22"/>
        </w:rPr>
        <w:t xml:space="preserve">De acuerdo con lo expuesto en la sentencia de primera instancia, le corresponde a la Sala determinar </w:t>
      </w:r>
      <w:r w:rsidR="006E7B3D" w:rsidRPr="00E90182">
        <w:rPr>
          <w:rFonts w:ascii="Tahoma" w:hAnsi="Tahoma" w:cs="Tahoma"/>
          <w:sz w:val="22"/>
          <w:szCs w:val="22"/>
        </w:rPr>
        <w:t xml:space="preserve">si </w:t>
      </w:r>
      <w:r w:rsidR="00746AD7">
        <w:rPr>
          <w:rFonts w:ascii="Tahoma" w:hAnsi="Tahoma" w:cs="Tahoma"/>
          <w:sz w:val="22"/>
          <w:szCs w:val="22"/>
        </w:rPr>
        <w:t>la demandante conservó el régimen de transición del que fue beneficiaria y, en caso positivo, si tiene derecho a la pensión de vejez consagrada en el Acuerdo 049 de 1990.</w:t>
      </w:r>
    </w:p>
    <w:p w:rsidR="00D2586A" w:rsidRDefault="00D2586A" w:rsidP="00567F17">
      <w:pPr>
        <w:tabs>
          <w:tab w:val="left" w:pos="567"/>
        </w:tabs>
        <w:jc w:val="both"/>
        <w:rPr>
          <w:rFonts w:ascii="Tahoma" w:hAnsi="Tahoma" w:cs="Tahoma"/>
          <w:sz w:val="22"/>
          <w:szCs w:val="22"/>
        </w:rPr>
      </w:pPr>
    </w:p>
    <w:p w:rsidR="00D2586A" w:rsidRDefault="00D2586A" w:rsidP="00567F17">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F44384" w:rsidRDefault="00F44384" w:rsidP="00567F17">
      <w:pPr>
        <w:widowControl w:val="0"/>
        <w:tabs>
          <w:tab w:val="left" w:pos="561"/>
          <w:tab w:val="left" w:pos="709"/>
          <w:tab w:val="left" w:pos="1065"/>
        </w:tabs>
        <w:autoSpaceDE w:val="0"/>
        <w:autoSpaceDN w:val="0"/>
        <w:adjustRightInd w:val="0"/>
        <w:jc w:val="both"/>
        <w:rPr>
          <w:rFonts w:ascii="Tahoma" w:hAnsi="Tahoma" w:cs="Tahoma"/>
          <w:b/>
          <w:caps/>
          <w:sz w:val="22"/>
          <w:szCs w:val="22"/>
        </w:rPr>
      </w:pPr>
    </w:p>
    <w:p w:rsidR="00746AD7" w:rsidRDefault="001D7AE7" w:rsidP="00567F1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sidRPr="00746AD7">
        <w:rPr>
          <w:rFonts w:ascii="Tahoma" w:hAnsi="Tahoma" w:cs="Tahoma"/>
          <w:caps/>
          <w:sz w:val="22"/>
          <w:szCs w:val="22"/>
        </w:rPr>
        <w:tab/>
      </w:r>
      <w:r w:rsidRPr="00746AD7">
        <w:rPr>
          <w:rFonts w:ascii="Tahoma" w:hAnsi="Tahoma" w:cs="Tahoma"/>
          <w:caps/>
          <w:sz w:val="22"/>
          <w:szCs w:val="22"/>
        </w:rPr>
        <w:tab/>
      </w:r>
      <w:r w:rsidR="00746AD7" w:rsidRPr="00746AD7">
        <w:rPr>
          <w:rFonts w:ascii="Tahoma" w:hAnsi="Tahoma" w:cs="Tahoma"/>
          <w:sz w:val="22"/>
          <w:szCs w:val="22"/>
        </w:rPr>
        <w:t xml:space="preserve">La citada </w:t>
      </w:r>
      <w:r w:rsidR="00746AD7">
        <w:rPr>
          <w:rFonts w:ascii="Tahoma" w:hAnsi="Tahoma" w:cs="Tahoma"/>
          <w:sz w:val="22"/>
          <w:szCs w:val="22"/>
        </w:rPr>
        <w:t xml:space="preserve">demandante solicita que se condene a Colpensiones, previa declaración del derecho, a que </w:t>
      </w:r>
      <w:r w:rsidR="0020371C">
        <w:rPr>
          <w:rFonts w:ascii="Tahoma" w:hAnsi="Tahoma" w:cs="Tahoma"/>
          <w:sz w:val="22"/>
          <w:szCs w:val="22"/>
        </w:rPr>
        <w:t>le reconozca y pague la pensión de vejez establecida en el Acuerdo 049 de 1990 a partir del 1º de julio de 2012, más los intereses moratorios de que trata el artículo 141 de la Ley 100 de 1993 y las costas procesales.</w:t>
      </w:r>
    </w:p>
    <w:p w:rsidR="00746AD7" w:rsidRDefault="00746AD7" w:rsidP="00567F1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20371C" w:rsidRDefault="00B74410" w:rsidP="00567F1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D2586A" w:rsidRPr="007834F9">
        <w:rPr>
          <w:rFonts w:ascii="Tahoma" w:hAnsi="Tahoma" w:cs="Tahoma"/>
          <w:sz w:val="22"/>
          <w:szCs w:val="22"/>
        </w:rPr>
        <w:t xml:space="preserve">Para fundar dichas pretensiones </w:t>
      </w:r>
      <w:r w:rsidR="00362FE8">
        <w:rPr>
          <w:rFonts w:ascii="Tahoma" w:hAnsi="Tahoma" w:cs="Tahoma"/>
          <w:sz w:val="22"/>
          <w:szCs w:val="22"/>
        </w:rPr>
        <w:t xml:space="preserve">manifiesta que </w:t>
      </w:r>
      <w:r w:rsidR="005170C6">
        <w:rPr>
          <w:rFonts w:ascii="Tahoma" w:hAnsi="Tahoma" w:cs="Tahoma"/>
          <w:sz w:val="22"/>
          <w:szCs w:val="22"/>
        </w:rPr>
        <w:t>nació el 1</w:t>
      </w:r>
      <w:r w:rsidR="0020371C">
        <w:rPr>
          <w:rFonts w:ascii="Tahoma" w:hAnsi="Tahoma" w:cs="Tahoma"/>
          <w:sz w:val="22"/>
          <w:szCs w:val="22"/>
        </w:rPr>
        <w:t xml:space="preserve">º de julio de 1957; </w:t>
      </w:r>
      <w:r w:rsidR="00891A49">
        <w:rPr>
          <w:rFonts w:ascii="Tahoma" w:hAnsi="Tahoma" w:cs="Tahoma"/>
          <w:sz w:val="22"/>
          <w:szCs w:val="22"/>
        </w:rPr>
        <w:t>que al 22 de julio de 2005 contaba con 758 semanas cotizadas</w:t>
      </w:r>
      <w:r w:rsidR="009A1CFB">
        <w:rPr>
          <w:rFonts w:ascii="Tahoma" w:hAnsi="Tahoma" w:cs="Tahoma"/>
          <w:sz w:val="22"/>
          <w:szCs w:val="22"/>
        </w:rPr>
        <w:t xml:space="preserve"> y</w:t>
      </w:r>
      <w:r w:rsidR="00891A49">
        <w:rPr>
          <w:rFonts w:ascii="Tahoma" w:hAnsi="Tahoma" w:cs="Tahoma"/>
          <w:sz w:val="22"/>
          <w:szCs w:val="22"/>
        </w:rPr>
        <w:t xml:space="preserve"> </w:t>
      </w:r>
      <w:r w:rsidR="0020371C">
        <w:rPr>
          <w:rFonts w:ascii="Tahoma" w:hAnsi="Tahoma" w:cs="Tahoma"/>
          <w:sz w:val="22"/>
          <w:szCs w:val="22"/>
        </w:rPr>
        <w:t>que al 30 de septiembre de 2012</w:t>
      </w:r>
      <w:r w:rsidR="009A1CFB">
        <w:rPr>
          <w:rFonts w:ascii="Tahoma" w:hAnsi="Tahoma" w:cs="Tahoma"/>
          <w:sz w:val="22"/>
          <w:szCs w:val="22"/>
        </w:rPr>
        <w:t xml:space="preserve"> tenía </w:t>
      </w:r>
      <w:r w:rsidR="0020371C">
        <w:rPr>
          <w:rFonts w:ascii="Tahoma" w:hAnsi="Tahoma" w:cs="Tahoma"/>
          <w:sz w:val="22"/>
          <w:szCs w:val="22"/>
        </w:rPr>
        <w:t>con 992</w:t>
      </w:r>
      <w:r w:rsidR="00465DB4">
        <w:rPr>
          <w:rFonts w:ascii="Tahoma" w:hAnsi="Tahoma" w:cs="Tahoma"/>
          <w:sz w:val="22"/>
          <w:szCs w:val="22"/>
        </w:rPr>
        <w:t>, a las cuales deben sumarse 55,71 que se encuentra</w:t>
      </w:r>
      <w:r w:rsidR="009A1CFB">
        <w:rPr>
          <w:rFonts w:ascii="Tahoma" w:hAnsi="Tahoma" w:cs="Tahoma"/>
          <w:sz w:val="22"/>
          <w:szCs w:val="22"/>
        </w:rPr>
        <w:t>n</w:t>
      </w:r>
      <w:r w:rsidR="00465DB4">
        <w:rPr>
          <w:rFonts w:ascii="Tahoma" w:hAnsi="Tahoma" w:cs="Tahoma"/>
          <w:sz w:val="22"/>
          <w:szCs w:val="22"/>
        </w:rPr>
        <w:t xml:space="preserve"> en mora por parte del empleador Luís Alfonso Galvis Palma, desde septiembre de 1998 hasta septiembre de 1999.</w:t>
      </w:r>
    </w:p>
    <w:p w:rsidR="00465DB4" w:rsidRDefault="00465DB4" w:rsidP="00567F1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465DB4" w:rsidRDefault="00465DB4" w:rsidP="00567F1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Agrega </w:t>
      </w:r>
      <w:r w:rsidR="00891A49">
        <w:rPr>
          <w:rFonts w:ascii="Tahoma" w:hAnsi="Tahoma" w:cs="Tahoma"/>
          <w:sz w:val="22"/>
          <w:szCs w:val="22"/>
        </w:rPr>
        <w:t>que el 29 de noviembre de 2013 solicitó ante Colpensiones el reconocimiento de su pensión de vejez, la cual fue negada a través de la Resolución GNR 19820 del 21 de enero de 2014</w:t>
      </w:r>
      <w:r w:rsidR="001A72EE">
        <w:rPr>
          <w:rFonts w:ascii="Tahoma" w:hAnsi="Tahoma" w:cs="Tahoma"/>
          <w:sz w:val="22"/>
          <w:szCs w:val="22"/>
        </w:rPr>
        <w:t>, bajo el argumento de que contaba con 992 semanas para pensión.</w:t>
      </w:r>
    </w:p>
    <w:p w:rsidR="00BA29CA" w:rsidRDefault="00BA29CA" w:rsidP="00567F1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BA29CA" w:rsidRDefault="00BA29CA" w:rsidP="00567F1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Indica que realizó su última cotización al sistema de pensiones el 30 de septiembre de 2012, como trabajadora independiente</w:t>
      </w:r>
      <w:r w:rsidR="007F7723">
        <w:rPr>
          <w:rFonts w:ascii="Tahoma" w:hAnsi="Tahoma" w:cs="Tahoma"/>
          <w:sz w:val="22"/>
          <w:szCs w:val="22"/>
        </w:rPr>
        <w:t>, y que el acto por medio del cual se le negó la pensión de vejez fue confirmado mediante las Resoluciones GNR 380765 del 28 de octubre de 2014 y VP</w:t>
      </w:r>
      <w:r w:rsidR="00A43AF7">
        <w:rPr>
          <w:rFonts w:ascii="Tahoma" w:hAnsi="Tahoma" w:cs="Tahoma"/>
          <w:sz w:val="22"/>
          <w:szCs w:val="22"/>
        </w:rPr>
        <w:t>B 22708 del 11 de marzo de 2015</w:t>
      </w:r>
      <w:r w:rsidR="007F7723">
        <w:rPr>
          <w:rFonts w:ascii="Tahoma" w:hAnsi="Tahoma" w:cs="Tahoma"/>
          <w:sz w:val="22"/>
          <w:szCs w:val="22"/>
        </w:rPr>
        <w:t>.</w:t>
      </w:r>
    </w:p>
    <w:p w:rsidR="00BA29CA" w:rsidRDefault="007F7723" w:rsidP="00567F1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 </w:t>
      </w:r>
      <w:r w:rsidR="00BA29CA">
        <w:rPr>
          <w:rFonts w:ascii="Tahoma" w:hAnsi="Tahoma" w:cs="Tahoma"/>
          <w:sz w:val="22"/>
          <w:szCs w:val="22"/>
        </w:rPr>
        <w:tab/>
      </w:r>
    </w:p>
    <w:p w:rsidR="007B7B59" w:rsidRDefault="007072CF" w:rsidP="00567F1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D2586A" w:rsidRPr="003B0BAF">
        <w:rPr>
          <w:rFonts w:ascii="Tahoma" w:hAnsi="Tahoma" w:cs="Tahoma"/>
          <w:sz w:val="22"/>
          <w:szCs w:val="22"/>
        </w:rPr>
        <w:t>Colpensiones</w:t>
      </w:r>
      <w:r w:rsidR="00A45DD8">
        <w:rPr>
          <w:rFonts w:ascii="Tahoma" w:hAnsi="Tahoma" w:cs="Tahoma"/>
          <w:sz w:val="22"/>
          <w:szCs w:val="22"/>
        </w:rPr>
        <w:t xml:space="preserve"> </w:t>
      </w:r>
      <w:r w:rsidR="00DB3291">
        <w:rPr>
          <w:rFonts w:ascii="Tahoma" w:hAnsi="Tahoma" w:cs="Tahoma"/>
          <w:sz w:val="22"/>
          <w:szCs w:val="22"/>
        </w:rPr>
        <w:t xml:space="preserve">aceptó </w:t>
      </w:r>
      <w:r w:rsidR="00C251B6">
        <w:rPr>
          <w:rFonts w:ascii="Tahoma" w:hAnsi="Tahoma" w:cs="Tahoma"/>
          <w:sz w:val="22"/>
          <w:szCs w:val="22"/>
        </w:rPr>
        <w:t>los hechos relacionado</w:t>
      </w:r>
      <w:r w:rsidR="00F94990">
        <w:rPr>
          <w:rFonts w:ascii="Tahoma" w:hAnsi="Tahoma" w:cs="Tahoma"/>
          <w:sz w:val="22"/>
          <w:szCs w:val="22"/>
        </w:rPr>
        <w:t>s con la edad de la demandante, la solicitud pensional y el contenido de las Resoluciones GNR 19820 y GNR 380765 de 2014 y VPB 22708 de 2015</w:t>
      </w:r>
      <w:r w:rsidR="00567F17">
        <w:rPr>
          <w:rFonts w:ascii="Tahoma" w:hAnsi="Tahoma" w:cs="Tahoma"/>
          <w:sz w:val="22"/>
          <w:szCs w:val="22"/>
        </w:rPr>
        <w:t>; f</w:t>
      </w:r>
      <w:r w:rsidR="00F94990">
        <w:rPr>
          <w:rFonts w:ascii="Tahoma" w:hAnsi="Tahoma" w:cs="Tahoma"/>
          <w:sz w:val="22"/>
          <w:szCs w:val="22"/>
        </w:rPr>
        <w:t>rente a los demás hechos manifestó que no eran ciertos o que no le constaban.</w:t>
      </w:r>
      <w:r w:rsidR="00567F17">
        <w:rPr>
          <w:rFonts w:ascii="Tahoma" w:hAnsi="Tahoma" w:cs="Tahoma"/>
          <w:sz w:val="22"/>
          <w:szCs w:val="22"/>
        </w:rPr>
        <w:t xml:space="preserve"> </w:t>
      </w:r>
      <w:r w:rsidR="007B7B59">
        <w:rPr>
          <w:rFonts w:ascii="Tahoma" w:hAnsi="Tahoma" w:cs="Tahoma"/>
          <w:sz w:val="22"/>
          <w:szCs w:val="22"/>
        </w:rPr>
        <w:t>Seguidamente se opuso a la totalidad de las pretensiones de la demanda y propuso como excepciones de mérito las que denominó</w:t>
      </w:r>
      <w:r w:rsidR="0040163F">
        <w:rPr>
          <w:rFonts w:ascii="Tahoma" w:hAnsi="Tahoma" w:cs="Tahoma"/>
          <w:sz w:val="22"/>
          <w:szCs w:val="22"/>
        </w:rPr>
        <w:t xml:space="preserve"> “Inexistencia de la obligación</w:t>
      </w:r>
      <w:r w:rsidR="00F94990">
        <w:rPr>
          <w:rFonts w:ascii="Tahoma" w:hAnsi="Tahoma" w:cs="Tahoma"/>
          <w:sz w:val="22"/>
          <w:szCs w:val="22"/>
        </w:rPr>
        <w:t xml:space="preserve"> demandada</w:t>
      </w:r>
      <w:r w:rsidR="007B7B59">
        <w:rPr>
          <w:rFonts w:ascii="Tahoma" w:hAnsi="Tahoma" w:cs="Tahoma"/>
          <w:sz w:val="22"/>
          <w:szCs w:val="22"/>
        </w:rPr>
        <w:t>” y “Prescripción”.</w:t>
      </w:r>
    </w:p>
    <w:p w:rsidR="00A45DD8" w:rsidRDefault="00A45DD8" w:rsidP="00567F17">
      <w:pPr>
        <w:widowControl w:val="0"/>
        <w:autoSpaceDE w:val="0"/>
        <w:autoSpaceDN w:val="0"/>
        <w:adjustRightInd w:val="0"/>
        <w:spacing w:line="276" w:lineRule="auto"/>
        <w:ind w:firstLine="708"/>
        <w:jc w:val="both"/>
        <w:rPr>
          <w:rFonts w:ascii="Tahoma" w:hAnsi="Tahoma" w:cs="Tahoma"/>
          <w:sz w:val="22"/>
          <w:szCs w:val="22"/>
        </w:rPr>
      </w:pPr>
    </w:p>
    <w:p w:rsidR="00D2586A" w:rsidRPr="00C75CBF" w:rsidRDefault="00D2586A" w:rsidP="00567F17">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D2586A" w:rsidRPr="007834F9" w:rsidRDefault="00D2586A" w:rsidP="00567F17">
      <w:pPr>
        <w:widowControl w:val="0"/>
        <w:autoSpaceDE w:val="0"/>
        <w:autoSpaceDN w:val="0"/>
        <w:adjustRightInd w:val="0"/>
        <w:jc w:val="center"/>
        <w:rPr>
          <w:rFonts w:ascii="Tahoma" w:hAnsi="Tahoma" w:cs="Tahoma"/>
          <w:b/>
          <w:sz w:val="22"/>
          <w:szCs w:val="22"/>
        </w:rPr>
      </w:pPr>
    </w:p>
    <w:p w:rsidR="002134E0" w:rsidRDefault="00D2586A" w:rsidP="00567F17">
      <w:pPr>
        <w:tabs>
          <w:tab w:val="left" w:pos="748"/>
        </w:tabs>
        <w:spacing w:line="276" w:lineRule="auto"/>
        <w:jc w:val="both"/>
        <w:rPr>
          <w:rFonts w:ascii="Tahoma" w:hAnsi="Tahoma" w:cs="Tahoma"/>
          <w:sz w:val="22"/>
          <w:szCs w:val="22"/>
        </w:rPr>
      </w:pPr>
      <w:r w:rsidRPr="007834F9">
        <w:rPr>
          <w:rFonts w:ascii="Tahoma" w:hAnsi="Tahoma" w:cs="Tahoma"/>
          <w:sz w:val="22"/>
          <w:szCs w:val="22"/>
        </w:rPr>
        <w:tab/>
        <w:t xml:space="preserve">La Jueza de </w:t>
      </w:r>
      <w:r w:rsidRPr="003B0BAF">
        <w:rPr>
          <w:rFonts w:ascii="Tahoma" w:hAnsi="Tahoma" w:cs="Tahoma"/>
          <w:sz w:val="22"/>
          <w:szCs w:val="22"/>
        </w:rPr>
        <w:t xml:space="preserve">conocimiento </w:t>
      </w:r>
      <w:r w:rsidR="00E83A71">
        <w:rPr>
          <w:rFonts w:ascii="Tahoma" w:hAnsi="Tahoma" w:cs="Tahoma"/>
          <w:sz w:val="22"/>
          <w:szCs w:val="22"/>
        </w:rPr>
        <w:t xml:space="preserve">declaró probada la excepción de “inexistencia de la obligación”  y, en consecuencia, negó </w:t>
      </w:r>
      <w:r w:rsidR="00AC3939">
        <w:rPr>
          <w:rFonts w:ascii="Tahoma" w:hAnsi="Tahoma" w:cs="Tahoma"/>
          <w:sz w:val="22"/>
          <w:szCs w:val="22"/>
        </w:rPr>
        <w:t>las pretensiones de</w:t>
      </w:r>
      <w:r w:rsidR="00A40625">
        <w:rPr>
          <w:rFonts w:ascii="Tahoma" w:hAnsi="Tahoma" w:cs="Tahoma"/>
          <w:sz w:val="22"/>
          <w:szCs w:val="22"/>
        </w:rPr>
        <w:t xml:space="preserve"> la demandante, </w:t>
      </w:r>
      <w:r w:rsidR="0040163F">
        <w:rPr>
          <w:rFonts w:ascii="Tahoma" w:hAnsi="Tahoma" w:cs="Tahoma"/>
          <w:sz w:val="22"/>
          <w:szCs w:val="22"/>
        </w:rPr>
        <w:t>a quien condenó al pago de las cos</w:t>
      </w:r>
      <w:r w:rsidR="003B0BAF">
        <w:rPr>
          <w:rFonts w:ascii="Tahoma" w:hAnsi="Tahoma" w:cs="Tahoma"/>
          <w:sz w:val="22"/>
          <w:szCs w:val="22"/>
        </w:rPr>
        <w:t>tas procesales.</w:t>
      </w:r>
      <w:r w:rsidR="00762C1F" w:rsidRPr="006A7605">
        <w:rPr>
          <w:rFonts w:ascii="Tahoma" w:hAnsi="Tahoma" w:cs="Tahoma"/>
          <w:sz w:val="22"/>
          <w:szCs w:val="22"/>
        </w:rPr>
        <w:t xml:space="preserve"> </w:t>
      </w:r>
    </w:p>
    <w:p w:rsidR="0040163F" w:rsidRPr="006A7605" w:rsidRDefault="0040163F" w:rsidP="00567F17">
      <w:pPr>
        <w:tabs>
          <w:tab w:val="left" w:pos="748"/>
        </w:tabs>
        <w:spacing w:line="276" w:lineRule="auto"/>
        <w:jc w:val="both"/>
        <w:rPr>
          <w:rFonts w:ascii="Tahoma" w:hAnsi="Tahoma" w:cs="Tahoma"/>
          <w:sz w:val="22"/>
          <w:szCs w:val="22"/>
        </w:rPr>
      </w:pPr>
    </w:p>
    <w:p w:rsidR="00F46281" w:rsidRDefault="00B97C7C" w:rsidP="00567F17">
      <w:pPr>
        <w:tabs>
          <w:tab w:val="left" w:pos="748"/>
        </w:tabs>
        <w:spacing w:line="276" w:lineRule="auto"/>
        <w:jc w:val="both"/>
        <w:rPr>
          <w:rFonts w:ascii="Tahoma" w:hAnsi="Tahoma" w:cs="Tahoma"/>
          <w:sz w:val="22"/>
          <w:szCs w:val="22"/>
        </w:rPr>
      </w:pPr>
      <w:r w:rsidRPr="006A7605">
        <w:rPr>
          <w:rFonts w:ascii="Tahoma" w:hAnsi="Tahoma" w:cs="Tahoma"/>
          <w:sz w:val="22"/>
          <w:szCs w:val="22"/>
        </w:rPr>
        <w:tab/>
        <w:t xml:space="preserve">Para llegar </w:t>
      </w:r>
      <w:r w:rsidRPr="00835A9D">
        <w:rPr>
          <w:rFonts w:ascii="Tahoma" w:hAnsi="Tahoma" w:cs="Tahoma"/>
          <w:sz w:val="22"/>
          <w:szCs w:val="22"/>
        </w:rPr>
        <w:t>a tal determinación la A-quo consideró, en</w:t>
      </w:r>
      <w:r w:rsidRPr="006A7605">
        <w:rPr>
          <w:rFonts w:ascii="Tahoma" w:hAnsi="Tahoma" w:cs="Tahoma"/>
          <w:sz w:val="22"/>
          <w:szCs w:val="22"/>
        </w:rPr>
        <w:t xml:space="preserve"> síntesis</w:t>
      </w:r>
      <w:r w:rsidR="00835A9D">
        <w:rPr>
          <w:rFonts w:ascii="Tahoma" w:hAnsi="Tahoma" w:cs="Tahoma"/>
          <w:sz w:val="22"/>
          <w:szCs w:val="22"/>
        </w:rPr>
        <w:t xml:space="preserve">, </w:t>
      </w:r>
      <w:r w:rsidR="00516B1A">
        <w:rPr>
          <w:rFonts w:ascii="Tahoma" w:hAnsi="Tahoma" w:cs="Tahoma"/>
          <w:sz w:val="22"/>
          <w:szCs w:val="22"/>
        </w:rPr>
        <w:t xml:space="preserve">que </w:t>
      </w:r>
      <w:r w:rsidR="00A40625">
        <w:rPr>
          <w:rFonts w:ascii="Tahoma" w:hAnsi="Tahoma" w:cs="Tahoma"/>
          <w:sz w:val="22"/>
          <w:szCs w:val="22"/>
        </w:rPr>
        <w:t>a pesar de que la demandante fue beneficiaria del régimen de transición, perdió dicha prerrogativa al contar al 27 de julio de 2005, fecha de entrada en vigencia del Acto Legislativo 01 de la misma anualidad, sólo con 745,16 semanas cotizadas de las 750 exigidas</w:t>
      </w:r>
      <w:r w:rsidR="00F46281">
        <w:rPr>
          <w:rFonts w:ascii="Tahoma" w:hAnsi="Tahoma" w:cs="Tahoma"/>
          <w:sz w:val="22"/>
          <w:szCs w:val="22"/>
        </w:rPr>
        <w:t>,</w:t>
      </w:r>
      <w:r w:rsidR="00A40625">
        <w:rPr>
          <w:rFonts w:ascii="Tahoma" w:hAnsi="Tahoma" w:cs="Tahoma"/>
          <w:sz w:val="22"/>
          <w:szCs w:val="22"/>
        </w:rPr>
        <w:t xml:space="preserve"> </w:t>
      </w:r>
      <w:r w:rsidR="00F46281">
        <w:rPr>
          <w:rFonts w:ascii="Tahoma" w:hAnsi="Tahoma" w:cs="Tahoma"/>
          <w:sz w:val="22"/>
          <w:szCs w:val="22"/>
        </w:rPr>
        <w:t>sin que fuera dable aumentar dicha cantidad de cotizaciones</w:t>
      </w:r>
      <w:r w:rsidR="008212BE">
        <w:rPr>
          <w:rFonts w:ascii="Tahoma" w:hAnsi="Tahoma" w:cs="Tahoma"/>
          <w:sz w:val="22"/>
          <w:szCs w:val="22"/>
        </w:rPr>
        <w:t xml:space="preserve">, pues </w:t>
      </w:r>
      <w:r w:rsidR="00F46281">
        <w:rPr>
          <w:rFonts w:ascii="Tahoma" w:hAnsi="Tahoma" w:cs="Tahoma"/>
          <w:sz w:val="22"/>
          <w:szCs w:val="22"/>
        </w:rPr>
        <w:t>las semanas que echa de menos la demandante por una supuesta mora patronal</w:t>
      </w:r>
      <w:r w:rsidR="008212BE">
        <w:rPr>
          <w:rFonts w:ascii="Tahoma" w:hAnsi="Tahoma" w:cs="Tahoma"/>
          <w:sz w:val="22"/>
          <w:szCs w:val="22"/>
        </w:rPr>
        <w:t xml:space="preserve"> no se observan en la historia laboral allegada por Colpensiones, en la cual se depuró y actualizó toda la información de los aportes efectivamente realizados</w:t>
      </w:r>
      <w:r w:rsidR="00AB1E98">
        <w:rPr>
          <w:rFonts w:ascii="Tahoma" w:hAnsi="Tahoma" w:cs="Tahoma"/>
          <w:sz w:val="22"/>
          <w:szCs w:val="22"/>
        </w:rPr>
        <w:t>.</w:t>
      </w:r>
    </w:p>
    <w:p w:rsidR="00AB1E98" w:rsidRDefault="00AB1E98" w:rsidP="00567F17">
      <w:pPr>
        <w:tabs>
          <w:tab w:val="left" w:pos="748"/>
        </w:tabs>
        <w:spacing w:line="276" w:lineRule="auto"/>
        <w:jc w:val="both"/>
        <w:rPr>
          <w:rFonts w:ascii="Tahoma" w:hAnsi="Tahoma" w:cs="Tahoma"/>
          <w:sz w:val="22"/>
          <w:szCs w:val="22"/>
        </w:rPr>
      </w:pPr>
    </w:p>
    <w:p w:rsidR="00AB1E98" w:rsidRDefault="00AB1E98" w:rsidP="00567F17">
      <w:pPr>
        <w:tabs>
          <w:tab w:val="left" w:pos="748"/>
        </w:tabs>
        <w:spacing w:line="276" w:lineRule="auto"/>
        <w:jc w:val="both"/>
        <w:rPr>
          <w:rFonts w:ascii="Tahoma" w:hAnsi="Tahoma" w:cs="Tahoma"/>
          <w:sz w:val="22"/>
          <w:szCs w:val="22"/>
        </w:rPr>
      </w:pPr>
      <w:r>
        <w:rPr>
          <w:rFonts w:ascii="Tahoma" w:hAnsi="Tahoma" w:cs="Tahoma"/>
          <w:sz w:val="22"/>
          <w:szCs w:val="22"/>
        </w:rPr>
        <w:tab/>
        <w:t xml:space="preserve">Por otra parte, indicó que la señora Clavijo Calle tampoco acreditaba los requisitos establecidos en el artículo 33 de la Ley 100 de 1993, modificado por el artículo 9º de la Ley </w:t>
      </w:r>
      <w:r w:rsidR="00F87C6D">
        <w:rPr>
          <w:rFonts w:ascii="Tahoma" w:hAnsi="Tahoma" w:cs="Tahoma"/>
          <w:sz w:val="22"/>
          <w:szCs w:val="22"/>
        </w:rPr>
        <w:t xml:space="preserve">797 de 2003, pues cuando alcanzó los 55 años de edad, el 1º de julio de 2012, </w:t>
      </w:r>
      <w:r w:rsidR="008C1215">
        <w:rPr>
          <w:rFonts w:ascii="Tahoma" w:hAnsi="Tahoma" w:cs="Tahoma"/>
          <w:sz w:val="22"/>
          <w:szCs w:val="22"/>
        </w:rPr>
        <w:t>tenía 1059 semanas cotizadas de las 1225 requeridas por la última norma.</w:t>
      </w:r>
    </w:p>
    <w:p w:rsidR="00B97C7C" w:rsidRPr="00B97C7C" w:rsidRDefault="00B97C7C" w:rsidP="00567F17">
      <w:pPr>
        <w:tabs>
          <w:tab w:val="left" w:pos="0"/>
        </w:tabs>
        <w:spacing w:line="276" w:lineRule="auto"/>
        <w:jc w:val="both"/>
        <w:rPr>
          <w:rFonts w:ascii="Tahoma" w:hAnsi="Tahoma" w:cs="Tahoma"/>
          <w:sz w:val="22"/>
          <w:szCs w:val="22"/>
        </w:rPr>
      </w:pPr>
    </w:p>
    <w:p w:rsidR="00D2586A" w:rsidRPr="00526F7D" w:rsidRDefault="00D2586A" w:rsidP="00567F17">
      <w:pPr>
        <w:widowControl w:val="0"/>
        <w:numPr>
          <w:ilvl w:val="0"/>
          <w:numId w:val="1"/>
        </w:numPr>
        <w:tabs>
          <w:tab w:val="clear" w:pos="1080"/>
          <w:tab w:val="num" w:pos="374"/>
        </w:tabs>
        <w:autoSpaceDE w:val="0"/>
        <w:autoSpaceDN w:val="0"/>
        <w:adjustRightInd w:val="0"/>
        <w:spacing w:line="276" w:lineRule="auto"/>
        <w:ind w:left="0" w:firstLine="0"/>
        <w:jc w:val="center"/>
        <w:rPr>
          <w:b/>
          <w:sz w:val="22"/>
          <w:szCs w:val="22"/>
        </w:rPr>
      </w:pPr>
      <w:r w:rsidRPr="00526F7D">
        <w:rPr>
          <w:rFonts w:ascii="Tahoma" w:hAnsi="Tahoma" w:cs="Tahoma"/>
          <w:b/>
          <w:sz w:val="22"/>
          <w:szCs w:val="22"/>
        </w:rPr>
        <w:t>Procedencia de la consulta</w:t>
      </w:r>
      <w:r w:rsidR="00B830B0" w:rsidRPr="00526F7D">
        <w:rPr>
          <w:rFonts w:ascii="Tahoma" w:hAnsi="Tahoma" w:cs="Tahoma"/>
          <w:b/>
          <w:sz w:val="22"/>
          <w:szCs w:val="22"/>
        </w:rPr>
        <w:t xml:space="preserve"> </w:t>
      </w:r>
    </w:p>
    <w:p w:rsidR="00B830B0" w:rsidRDefault="00B830B0" w:rsidP="00567F17">
      <w:pPr>
        <w:pStyle w:val="Sangradetextonormal"/>
        <w:spacing w:line="276" w:lineRule="auto"/>
        <w:ind w:firstLine="561"/>
        <w:rPr>
          <w:sz w:val="22"/>
          <w:szCs w:val="22"/>
        </w:rPr>
      </w:pPr>
    </w:p>
    <w:p w:rsidR="00D2586A" w:rsidRPr="00B97C7C" w:rsidRDefault="00D2586A" w:rsidP="00567F17">
      <w:pPr>
        <w:pStyle w:val="Sangradetextonormal"/>
        <w:spacing w:line="276" w:lineRule="auto"/>
        <w:ind w:firstLine="561"/>
        <w:rPr>
          <w:sz w:val="22"/>
          <w:szCs w:val="22"/>
        </w:rPr>
      </w:pPr>
      <w:r w:rsidRPr="00835A9D">
        <w:rPr>
          <w:sz w:val="22"/>
          <w:szCs w:val="22"/>
        </w:rPr>
        <w:t xml:space="preserve">Como quiera que la sentencia fue totalmente desfavorable para </w:t>
      </w:r>
      <w:r w:rsidR="00C639FC">
        <w:rPr>
          <w:sz w:val="22"/>
          <w:szCs w:val="22"/>
        </w:rPr>
        <w:t xml:space="preserve">el </w:t>
      </w:r>
      <w:r w:rsidR="00542B48" w:rsidRPr="00835A9D">
        <w:rPr>
          <w:sz w:val="22"/>
          <w:szCs w:val="22"/>
        </w:rPr>
        <w:t>promotor del litigio</w:t>
      </w:r>
      <w:r w:rsidRPr="00835A9D">
        <w:rPr>
          <w:sz w:val="22"/>
          <w:szCs w:val="22"/>
        </w:rPr>
        <w:t xml:space="preserve"> y no fue apelada, se dispuso el grado jurisdiccional de consulta.</w:t>
      </w:r>
    </w:p>
    <w:p w:rsidR="00D2586A" w:rsidRDefault="00D2586A" w:rsidP="00567F17">
      <w:pPr>
        <w:spacing w:line="276" w:lineRule="auto"/>
        <w:jc w:val="both"/>
        <w:rPr>
          <w:rFonts w:ascii="Tahoma" w:hAnsi="Tahoma" w:cs="Tahoma"/>
          <w:sz w:val="22"/>
          <w:szCs w:val="22"/>
        </w:rPr>
      </w:pPr>
    </w:p>
    <w:p w:rsidR="00567F17" w:rsidRPr="00B97C7C" w:rsidRDefault="00567F17" w:rsidP="00567F17">
      <w:pPr>
        <w:spacing w:line="276" w:lineRule="auto"/>
        <w:jc w:val="both"/>
        <w:rPr>
          <w:rFonts w:ascii="Tahoma" w:hAnsi="Tahoma" w:cs="Tahoma"/>
          <w:sz w:val="22"/>
          <w:szCs w:val="22"/>
        </w:rPr>
      </w:pPr>
    </w:p>
    <w:p w:rsidR="00D2586A" w:rsidRPr="00B97C7C" w:rsidRDefault="00D2586A" w:rsidP="00567F1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97C7C">
        <w:rPr>
          <w:rFonts w:ascii="Tahoma" w:hAnsi="Tahoma" w:cs="Tahoma"/>
          <w:b/>
          <w:caps/>
          <w:sz w:val="22"/>
          <w:szCs w:val="22"/>
        </w:rPr>
        <w:t xml:space="preserve"> </w:t>
      </w:r>
      <w:r w:rsidRPr="00B97C7C">
        <w:rPr>
          <w:rFonts w:ascii="Tahoma" w:hAnsi="Tahoma" w:cs="Tahoma"/>
          <w:b/>
          <w:sz w:val="22"/>
          <w:szCs w:val="22"/>
        </w:rPr>
        <w:t>Consideraciones</w:t>
      </w:r>
      <w:r w:rsidRPr="00B97C7C">
        <w:rPr>
          <w:rFonts w:ascii="Tahoma" w:hAnsi="Tahoma" w:cs="Tahoma"/>
          <w:caps/>
          <w:sz w:val="22"/>
          <w:szCs w:val="22"/>
        </w:rPr>
        <w:tab/>
      </w:r>
    </w:p>
    <w:p w:rsidR="00D2586A" w:rsidRPr="00B97C7C" w:rsidRDefault="00D2586A" w:rsidP="00567F17">
      <w:pPr>
        <w:pStyle w:val="Textoindependiente21"/>
        <w:spacing w:line="240" w:lineRule="auto"/>
        <w:ind w:firstLine="708"/>
        <w:rPr>
          <w:rFonts w:ascii="Tahoma" w:hAnsi="Tahoma" w:cs="Tahoma"/>
          <w:sz w:val="22"/>
          <w:szCs w:val="22"/>
        </w:rPr>
      </w:pPr>
    </w:p>
    <w:p w:rsidR="00B97C7C" w:rsidRPr="00B97C7C" w:rsidRDefault="00B97C7C" w:rsidP="00567F17">
      <w:pPr>
        <w:pStyle w:val="Textoindependiente"/>
        <w:numPr>
          <w:ilvl w:val="1"/>
          <w:numId w:val="1"/>
        </w:numPr>
        <w:spacing w:after="0" w:line="276" w:lineRule="auto"/>
        <w:ind w:right="51" w:hanging="371"/>
        <w:jc w:val="both"/>
        <w:rPr>
          <w:rFonts w:ascii="Tahoma" w:hAnsi="Tahoma" w:cs="Tahoma"/>
          <w:b/>
          <w:sz w:val="22"/>
          <w:szCs w:val="22"/>
        </w:rPr>
      </w:pPr>
      <w:r w:rsidRPr="00B97C7C">
        <w:rPr>
          <w:rFonts w:ascii="Tahoma" w:hAnsi="Tahoma" w:cs="Tahoma"/>
          <w:b/>
          <w:sz w:val="22"/>
          <w:szCs w:val="22"/>
        </w:rPr>
        <w:t>Caso concreto</w:t>
      </w:r>
    </w:p>
    <w:p w:rsidR="00B97C7C" w:rsidRDefault="00B97C7C" w:rsidP="00567F17">
      <w:pPr>
        <w:pStyle w:val="Sinespaciado"/>
        <w:rPr>
          <w:sz w:val="22"/>
          <w:szCs w:val="22"/>
        </w:rPr>
      </w:pPr>
    </w:p>
    <w:p w:rsidR="008C1215" w:rsidRDefault="008C1215" w:rsidP="00567F1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No existe discusión en el presente asunto respecto a la calidad de beneficiaria del régimen de transición que cobijó a la demandante, pues al 1º de abril de 1994 tenía 36 años de edad; tampoco se d</w:t>
      </w:r>
      <w:r w:rsidR="00567F17">
        <w:rPr>
          <w:rFonts w:ascii="Tahoma" w:hAnsi="Tahoma" w:cs="Tahoma"/>
          <w:sz w:val="22"/>
          <w:szCs w:val="22"/>
        </w:rPr>
        <w:t xml:space="preserve">ebate </w:t>
      </w:r>
      <w:r w:rsidR="00DE54DB">
        <w:rPr>
          <w:rFonts w:ascii="Tahoma" w:hAnsi="Tahoma" w:cs="Tahoma"/>
          <w:sz w:val="22"/>
          <w:szCs w:val="22"/>
        </w:rPr>
        <w:t>que ella debía contar con 750 semanas cotizadas a la entrada en vigencia del Acto Legislativo 01 de 2005, para que la aludida prerrogativa se extendiera hasta el año 2014, pues llegó a los 55 años de edad en el año 2012.</w:t>
      </w:r>
    </w:p>
    <w:p w:rsidR="00567F17" w:rsidRDefault="00567F17" w:rsidP="00567F17">
      <w:pPr>
        <w:widowControl w:val="0"/>
        <w:autoSpaceDE w:val="0"/>
        <w:autoSpaceDN w:val="0"/>
        <w:adjustRightInd w:val="0"/>
        <w:spacing w:line="276" w:lineRule="auto"/>
        <w:ind w:firstLine="708"/>
        <w:jc w:val="both"/>
        <w:rPr>
          <w:rFonts w:ascii="Tahoma" w:hAnsi="Tahoma" w:cs="Tahoma"/>
          <w:sz w:val="22"/>
          <w:szCs w:val="22"/>
        </w:rPr>
      </w:pPr>
    </w:p>
    <w:p w:rsidR="00DE54DB" w:rsidRDefault="00DE54DB" w:rsidP="00567F17">
      <w:pPr>
        <w:pStyle w:val="NormalWeb"/>
        <w:spacing w:before="0" w:beforeAutospacing="0" w:after="0" w:afterAutospacing="0" w:line="276" w:lineRule="auto"/>
        <w:ind w:firstLine="708"/>
        <w:jc w:val="both"/>
        <w:rPr>
          <w:rFonts w:ascii="Tahoma" w:hAnsi="Tahoma" w:cs="Tahoma"/>
          <w:sz w:val="22"/>
          <w:szCs w:val="22"/>
        </w:rPr>
      </w:pPr>
      <w:r>
        <w:rPr>
          <w:rFonts w:ascii="Tahoma" w:hAnsi="Tahoma" w:cs="Tahoma"/>
          <w:sz w:val="22"/>
          <w:szCs w:val="22"/>
        </w:rPr>
        <w:t>De esta manera, lo primero que tiene que precisar la Sala es que la aludida reforma constitucional entró en vigencia el 29 de julio de 2005, cuando</w:t>
      </w:r>
      <w:r w:rsidR="001B78AD">
        <w:rPr>
          <w:rFonts w:ascii="Tahoma" w:hAnsi="Tahoma" w:cs="Tahoma"/>
          <w:sz w:val="22"/>
          <w:szCs w:val="22"/>
        </w:rPr>
        <w:t xml:space="preserve"> fue publicado el Decreto 2576</w:t>
      </w:r>
      <w:r>
        <w:rPr>
          <w:rFonts w:ascii="Tahoma" w:hAnsi="Tahoma" w:cs="Tahoma"/>
          <w:sz w:val="22"/>
          <w:szCs w:val="22"/>
        </w:rPr>
        <w:t xml:space="preserve">, por medio del cual se </w:t>
      </w:r>
      <w:r w:rsidRPr="00DE54DB">
        <w:rPr>
          <w:rFonts w:ascii="Tahoma" w:hAnsi="Tahoma" w:cs="Tahoma"/>
          <w:sz w:val="22"/>
          <w:szCs w:val="22"/>
        </w:rPr>
        <w:t xml:space="preserve"> corrig</w:t>
      </w:r>
      <w:r w:rsidR="001B78AD">
        <w:rPr>
          <w:rFonts w:ascii="Tahoma" w:hAnsi="Tahoma" w:cs="Tahoma"/>
          <w:sz w:val="22"/>
          <w:szCs w:val="22"/>
        </w:rPr>
        <w:t>ió</w:t>
      </w:r>
      <w:r w:rsidRPr="00DE54DB">
        <w:rPr>
          <w:rFonts w:ascii="Tahoma" w:hAnsi="Tahoma" w:cs="Tahoma"/>
          <w:sz w:val="22"/>
          <w:szCs w:val="22"/>
        </w:rPr>
        <w:t xml:space="preserve"> un yerro en el título del Acto Legislativo</w:t>
      </w:r>
      <w:r w:rsidR="001B78AD">
        <w:rPr>
          <w:rFonts w:ascii="Tahoma" w:hAnsi="Tahoma" w:cs="Tahoma"/>
          <w:sz w:val="22"/>
          <w:szCs w:val="22"/>
        </w:rPr>
        <w:t xml:space="preserve"> </w:t>
      </w:r>
      <w:r w:rsidRPr="00DE54DB">
        <w:rPr>
          <w:rFonts w:ascii="Tahoma" w:hAnsi="Tahoma" w:cs="Tahoma"/>
          <w:sz w:val="22"/>
          <w:szCs w:val="22"/>
        </w:rPr>
        <w:t>01 de 2005</w:t>
      </w:r>
      <w:r w:rsidR="00567F17">
        <w:rPr>
          <w:rFonts w:ascii="Tahoma" w:hAnsi="Tahoma" w:cs="Tahoma"/>
          <w:sz w:val="22"/>
          <w:szCs w:val="22"/>
        </w:rPr>
        <w:t>; l</w:t>
      </w:r>
      <w:r w:rsidR="001B78AD">
        <w:rPr>
          <w:rFonts w:ascii="Tahoma" w:hAnsi="Tahoma" w:cs="Tahoma"/>
          <w:sz w:val="22"/>
          <w:szCs w:val="22"/>
        </w:rPr>
        <w:t>o anterior en razón a que, al hacer el cálculo hasta esa calenda con las semanas que aparecen en el reporte de cotizaciones allegado por Colpensiones</w:t>
      </w:r>
      <w:r w:rsidR="00D42AC6">
        <w:rPr>
          <w:rFonts w:ascii="Tahoma" w:hAnsi="Tahoma" w:cs="Tahoma"/>
          <w:sz w:val="22"/>
          <w:szCs w:val="22"/>
        </w:rPr>
        <w:t xml:space="preserve"> (fl. 90), se percibe que la demandante cuenta con 746,88 semanas cotizadas.</w:t>
      </w:r>
    </w:p>
    <w:p w:rsidR="00567F17" w:rsidRDefault="00567F17" w:rsidP="00567F17">
      <w:pPr>
        <w:pStyle w:val="NormalWeb"/>
        <w:spacing w:before="0" w:beforeAutospacing="0" w:after="0" w:afterAutospacing="0" w:line="276" w:lineRule="auto"/>
        <w:ind w:firstLine="708"/>
        <w:jc w:val="both"/>
        <w:rPr>
          <w:rFonts w:ascii="Tahoma" w:hAnsi="Tahoma" w:cs="Tahoma"/>
          <w:sz w:val="22"/>
          <w:szCs w:val="22"/>
        </w:rPr>
      </w:pPr>
    </w:p>
    <w:p w:rsidR="00D6028B" w:rsidRDefault="00376F21" w:rsidP="00567F17">
      <w:pPr>
        <w:pStyle w:val="NormalWeb"/>
        <w:spacing w:before="0" w:beforeAutospacing="0" w:after="0" w:afterAutospacing="0" w:line="276" w:lineRule="auto"/>
        <w:ind w:firstLine="708"/>
        <w:jc w:val="both"/>
        <w:rPr>
          <w:rFonts w:ascii="Tahoma" w:hAnsi="Tahoma" w:cs="Tahoma"/>
          <w:sz w:val="22"/>
          <w:szCs w:val="22"/>
        </w:rPr>
      </w:pPr>
      <w:r>
        <w:rPr>
          <w:rFonts w:ascii="Tahoma" w:hAnsi="Tahoma" w:cs="Tahoma"/>
          <w:sz w:val="22"/>
          <w:szCs w:val="22"/>
        </w:rPr>
        <w:t>Sin embargo</w:t>
      </w:r>
      <w:r w:rsidR="00D42AC6">
        <w:rPr>
          <w:rFonts w:ascii="Tahoma" w:hAnsi="Tahoma" w:cs="Tahoma"/>
          <w:sz w:val="22"/>
          <w:szCs w:val="22"/>
        </w:rPr>
        <w:t>, revisada con detenimiento la aludida documentación encuentra esta Corporación que el ciclo de agosto de 1998, a pesar de que se pagó y reportó en su totalidad, sólo acredita 1 día cotizado, dejando de contabilizar</w:t>
      </w:r>
      <w:r w:rsidR="00833300">
        <w:rPr>
          <w:rFonts w:ascii="Tahoma" w:hAnsi="Tahoma" w:cs="Tahoma"/>
          <w:sz w:val="22"/>
          <w:szCs w:val="22"/>
        </w:rPr>
        <w:t>se</w:t>
      </w:r>
      <w:r w:rsidR="00D42AC6">
        <w:rPr>
          <w:rFonts w:ascii="Tahoma" w:hAnsi="Tahoma" w:cs="Tahoma"/>
          <w:sz w:val="22"/>
          <w:szCs w:val="22"/>
        </w:rPr>
        <w:t>, sin alguna razón clara, 29 días que equivalen a 4,14 semanas</w:t>
      </w:r>
      <w:r w:rsidR="00C17672">
        <w:rPr>
          <w:rFonts w:ascii="Tahoma" w:hAnsi="Tahoma" w:cs="Tahoma"/>
          <w:sz w:val="22"/>
          <w:szCs w:val="22"/>
        </w:rPr>
        <w:t>;</w:t>
      </w:r>
      <w:r w:rsidR="00D42AC6">
        <w:rPr>
          <w:rFonts w:ascii="Tahoma" w:hAnsi="Tahoma" w:cs="Tahoma"/>
          <w:sz w:val="22"/>
          <w:szCs w:val="22"/>
        </w:rPr>
        <w:t xml:space="preserve"> </w:t>
      </w:r>
      <w:r w:rsidR="00C17672">
        <w:rPr>
          <w:rFonts w:ascii="Tahoma" w:hAnsi="Tahoma" w:cs="Tahoma"/>
          <w:sz w:val="22"/>
          <w:szCs w:val="22"/>
        </w:rPr>
        <w:t>m</w:t>
      </w:r>
      <w:r w:rsidR="00D42AC6">
        <w:rPr>
          <w:rFonts w:ascii="Tahoma" w:hAnsi="Tahoma" w:cs="Tahoma"/>
          <w:sz w:val="22"/>
          <w:szCs w:val="22"/>
        </w:rPr>
        <w:t xml:space="preserve">isma situación que se presenta en los ciclos </w:t>
      </w:r>
      <w:r w:rsidR="00833300">
        <w:rPr>
          <w:rFonts w:ascii="Tahoma" w:hAnsi="Tahoma" w:cs="Tahoma"/>
          <w:sz w:val="22"/>
          <w:szCs w:val="22"/>
        </w:rPr>
        <w:t>de julio de 2002 y enero de 2003, en los que no se tienen en cuenta 1 y 2 días respectivamente, que equivalen a 0,1 semanas</w:t>
      </w:r>
      <w:r w:rsidR="00D6028B">
        <w:rPr>
          <w:rFonts w:ascii="Tahoma" w:hAnsi="Tahoma" w:cs="Tahoma"/>
          <w:sz w:val="22"/>
          <w:szCs w:val="22"/>
        </w:rPr>
        <w:t>.</w:t>
      </w:r>
    </w:p>
    <w:p w:rsidR="00567F17" w:rsidRDefault="00567F17" w:rsidP="00567F17">
      <w:pPr>
        <w:pStyle w:val="NormalWeb"/>
        <w:spacing w:before="0" w:beforeAutospacing="0" w:after="0" w:afterAutospacing="0" w:line="276" w:lineRule="auto"/>
        <w:ind w:firstLine="708"/>
        <w:jc w:val="both"/>
        <w:rPr>
          <w:rFonts w:ascii="Tahoma" w:hAnsi="Tahoma" w:cs="Tahoma"/>
          <w:sz w:val="22"/>
          <w:szCs w:val="22"/>
        </w:rPr>
      </w:pPr>
    </w:p>
    <w:p w:rsidR="00D6028B" w:rsidRDefault="00D6028B" w:rsidP="00567F17">
      <w:pPr>
        <w:pStyle w:val="NormalWeb"/>
        <w:spacing w:before="0" w:beforeAutospacing="0" w:after="0" w:afterAutospacing="0" w:line="276" w:lineRule="auto"/>
        <w:ind w:firstLine="708"/>
        <w:jc w:val="both"/>
        <w:rPr>
          <w:rFonts w:ascii="Tahoma" w:hAnsi="Tahoma" w:cs="Tahoma"/>
          <w:sz w:val="22"/>
          <w:szCs w:val="22"/>
        </w:rPr>
      </w:pPr>
      <w:r>
        <w:rPr>
          <w:rFonts w:ascii="Tahoma" w:hAnsi="Tahoma" w:cs="Tahoma"/>
          <w:sz w:val="22"/>
          <w:szCs w:val="22"/>
        </w:rPr>
        <w:t xml:space="preserve">Así las cosas, con las 4.24 semanas sin registrar a que se ha hecho alusión, es evidente que la gestora de la litis cuenta al 29 de julio de 2005 con un total de 751,12 semanas, suficientes para conservar el régimen de transición y </w:t>
      </w:r>
      <w:r w:rsidR="00B57246">
        <w:rPr>
          <w:rFonts w:ascii="Tahoma" w:hAnsi="Tahoma" w:cs="Tahoma"/>
          <w:sz w:val="22"/>
          <w:szCs w:val="22"/>
        </w:rPr>
        <w:t>hacer viable el estudio del reconocimiento de su prestación con base en el Acuerdo 049 de 1990, norma cuyos requisitos cumple a cabalidad</w:t>
      </w:r>
      <w:r w:rsidR="004F66C0">
        <w:rPr>
          <w:rFonts w:ascii="Tahoma" w:hAnsi="Tahoma" w:cs="Tahoma"/>
          <w:sz w:val="22"/>
          <w:szCs w:val="22"/>
        </w:rPr>
        <w:t>, pues como se dijo previamente, cumplió los 55 años de edad el 1º de julio de 2012, fecha en la que acreditaba más de 1000 semanas cotizadas.</w:t>
      </w:r>
    </w:p>
    <w:p w:rsidR="00567F17" w:rsidRDefault="00567F17" w:rsidP="00567F17">
      <w:pPr>
        <w:pStyle w:val="NormalWeb"/>
        <w:spacing w:before="0" w:beforeAutospacing="0" w:after="0" w:afterAutospacing="0" w:line="276" w:lineRule="auto"/>
        <w:ind w:firstLine="708"/>
        <w:jc w:val="both"/>
        <w:rPr>
          <w:rFonts w:ascii="Tahoma" w:hAnsi="Tahoma" w:cs="Tahoma"/>
          <w:sz w:val="22"/>
          <w:szCs w:val="22"/>
        </w:rPr>
      </w:pPr>
    </w:p>
    <w:p w:rsidR="0094678A" w:rsidRPr="00BF4F59" w:rsidRDefault="00183865" w:rsidP="00567F17">
      <w:pPr>
        <w:spacing w:line="276" w:lineRule="auto"/>
        <w:ind w:firstLine="708"/>
        <w:jc w:val="both"/>
        <w:rPr>
          <w:rFonts w:ascii="Tahoma" w:hAnsi="Tahoma" w:cs="Tahoma"/>
          <w:sz w:val="22"/>
          <w:szCs w:val="22"/>
        </w:rPr>
      </w:pPr>
      <w:r>
        <w:rPr>
          <w:rFonts w:ascii="Tahoma" w:hAnsi="Tahoma" w:cs="Tahoma"/>
          <w:sz w:val="22"/>
          <w:szCs w:val="22"/>
        </w:rPr>
        <w:t>Por otra parte</w:t>
      </w:r>
      <w:r w:rsidR="0094678A">
        <w:rPr>
          <w:rFonts w:ascii="Tahoma" w:hAnsi="Tahoma" w:cs="Tahoma"/>
          <w:sz w:val="22"/>
          <w:szCs w:val="22"/>
        </w:rPr>
        <w:t>, con relación a la fecha de disfrute de la gracia pensional, se dirá que la misma es a partir del 1º de octubre de 2012, día siguiente a aquel en el que la demandante efectuara su última cotización</w:t>
      </w:r>
      <w:r w:rsidR="00567F17">
        <w:rPr>
          <w:rFonts w:ascii="Tahoma" w:hAnsi="Tahoma" w:cs="Tahoma"/>
          <w:sz w:val="22"/>
          <w:szCs w:val="22"/>
        </w:rPr>
        <w:t xml:space="preserve">, tal como lo </w:t>
      </w:r>
      <w:r w:rsidR="0094678A" w:rsidRPr="00BF4F59">
        <w:rPr>
          <w:rFonts w:ascii="Tahoma" w:hAnsi="Tahoma" w:cs="Tahoma"/>
          <w:sz w:val="22"/>
          <w:szCs w:val="22"/>
        </w:rPr>
        <w:t xml:space="preserve">sostuvo la Sala de Casación Laboral de la Corte Suprema de Justicia en sentencia del 11 de marzo de 2015, con radicado número 56171, ponencia del Magistrado Luis Gabriel Miranda Buelvas, </w:t>
      </w:r>
      <w:r w:rsidR="0094678A" w:rsidRPr="00BF4F59">
        <w:rPr>
          <w:rFonts w:ascii="Tahoma" w:hAnsi="Tahoma" w:cs="Tahoma"/>
          <w:i/>
          <w:sz w:val="22"/>
          <w:szCs w:val="22"/>
        </w:rPr>
        <w:t>-reiterada en la sentencia SL5603-2016-</w:t>
      </w:r>
      <w:r w:rsidR="0094678A" w:rsidRPr="00BF4F59">
        <w:rPr>
          <w:rFonts w:ascii="Tahoma" w:hAnsi="Tahoma" w:cs="Tahoma"/>
          <w:sz w:val="22"/>
          <w:szCs w:val="22"/>
        </w:rPr>
        <w:t>, en la cual se expuso:</w:t>
      </w:r>
    </w:p>
    <w:p w:rsidR="0094678A" w:rsidRPr="00BF4F59" w:rsidRDefault="0094678A" w:rsidP="00567F17">
      <w:pPr>
        <w:spacing w:line="276" w:lineRule="auto"/>
        <w:ind w:firstLine="709"/>
        <w:jc w:val="both"/>
        <w:rPr>
          <w:rFonts w:ascii="Tahoma" w:hAnsi="Tahoma" w:cs="Tahoma"/>
          <w:bCs/>
          <w:sz w:val="22"/>
          <w:szCs w:val="22"/>
        </w:rPr>
      </w:pPr>
    </w:p>
    <w:p w:rsidR="0094678A" w:rsidRDefault="0094678A" w:rsidP="00567F17">
      <w:pPr>
        <w:ind w:left="709" w:right="476"/>
        <w:jc w:val="both"/>
        <w:rPr>
          <w:rFonts w:ascii="Arial Narrow" w:hAnsi="Arial Narrow"/>
          <w:sz w:val="22"/>
          <w:szCs w:val="22"/>
        </w:rPr>
      </w:pPr>
      <w:r w:rsidRPr="00BF4F59">
        <w:rPr>
          <w:rFonts w:ascii="Arial Narrow" w:hAnsi="Arial Narrow" w:cs="Estrangelo Edessa"/>
          <w:iCs/>
          <w:sz w:val="22"/>
          <w:szCs w:val="22"/>
        </w:rPr>
        <w:t xml:space="preserve">“Además de las anteriores consideraciones debe precisar la Corte que si bien es cierto el </w:t>
      </w:r>
      <w:r w:rsidRPr="00BF4F5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F4F5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F4F59">
        <w:rPr>
          <w:rFonts w:ascii="Arial Narrow" w:hAnsi="Arial Narrow"/>
          <w:strike/>
          <w:sz w:val="22"/>
          <w:szCs w:val="22"/>
        </w:rPr>
        <w:t>º</w:t>
      </w:r>
      <w:r w:rsidRPr="00BF4F5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 es decir, desde el 2 de mayo de  2004.”</w:t>
      </w:r>
    </w:p>
    <w:p w:rsidR="00567F17" w:rsidRPr="00BF4F59" w:rsidRDefault="00567F17" w:rsidP="00567F17">
      <w:pPr>
        <w:ind w:left="709" w:right="476"/>
        <w:jc w:val="both"/>
        <w:rPr>
          <w:rFonts w:ascii="Arial Narrow" w:hAnsi="Arial Narrow"/>
          <w:sz w:val="22"/>
          <w:szCs w:val="22"/>
        </w:rPr>
      </w:pPr>
    </w:p>
    <w:p w:rsidR="004F66C0" w:rsidRDefault="009B7650" w:rsidP="00567F17">
      <w:pPr>
        <w:pStyle w:val="NormalWeb"/>
        <w:spacing w:before="0" w:beforeAutospacing="0" w:after="0" w:afterAutospacing="0" w:line="276" w:lineRule="auto"/>
        <w:ind w:firstLine="708"/>
        <w:jc w:val="both"/>
        <w:rPr>
          <w:rFonts w:ascii="Tahoma" w:hAnsi="Tahoma" w:cs="Tahoma"/>
          <w:sz w:val="22"/>
          <w:szCs w:val="22"/>
        </w:rPr>
      </w:pPr>
      <w:r>
        <w:rPr>
          <w:rFonts w:ascii="Tahoma" w:hAnsi="Tahoma" w:cs="Tahoma"/>
          <w:sz w:val="22"/>
          <w:szCs w:val="22"/>
        </w:rPr>
        <w:t xml:space="preserve">En este punto </w:t>
      </w:r>
      <w:r w:rsidR="0094678A">
        <w:rPr>
          <w:rFonts w:ascii="Tahoma" w:hAnsi="Tahoma" w:cs="Tahoma"/>
          <w:sz w:val="22"/>
          <w:szCs w:val="22"/>
        </w:rPr>
        <w:t xml:space="preserve">debe decirse que ninguna de las mesadas adeudadas se vio afectada por el fenómeno extintivo de la prescripción, </w:t>
      </w:r>
      <w:r w:rsidR="006213AD">
        <w:rPr>
          <w:rFonts w:ascii="Tahoma" w:hAnsi="Tahoma" w:cs="Tahoma"/>
          <w:sz w:val="22"/>
          <w:szCs w:val="22"/>
        </w:rPr>
        <w:t xml:space="preserve">pues entre la Resolución VPB de 2015, por medio de la cual se resolvió el </w:t>
      </w:r>
      <w:r w:rsidR="00183865">
        <w:rPr>
          <w:rFonts w:ascii="Tahoma" w:hAnsi="Tahoma" w:cs="Tahoma"/>
          <w:sz w:val="22"/>
          <w:szCs w:val="22"/>
        </w:rPr>
        <w:t>recurso</w:t>
      </w:r>
      <w:r w:rsidR="006213AD">
        <w:rPr>
          <w:rFonts w:ascii="Tahoma" w:hAnsi="Tahoma" w:cs="Tahoma"/>
          <w:sz w:val="22"/>
          <w:szCs w:val="22"/>
        </w:rPr>
        <w:t xml:space="preserve"> de apelación </w:t>
      </w:r>
      <w:r w:rsidR="00183865">
        <w:rPr>
          <w:rFonts w:ascii="Tahoma" w:hAnsi="Tahoma" w:cs="Tahoma"/>
          <w:sz w:val="22"/>
          <w:szCs w:val="22"/>
        </w:rPr>
        <w:t xml:space="preserve">interpuesto </w:t>
      </w:r>
      <w:r w:rsidR="006213AD">
        <w:rPr>
          <w:rFonts w:ascii="Tahoma" w:hAnsi="Tahoma" w:cs="Tahoma"/>
          <w:sz w:val="22"/>
          <w:szCs w:val="22"/>
        </w:rPr>
        <w:t xml:space="preserve">en contra de la Resolución 19820 de 2014, </w:t>
      </w:r>
      <w:r w:rsidR="00183865">
        <w:rPr>
          <w:rFonts w:ascii="Tahoma" w:hAnsi="Tahoma" w:cs="Tahoma"/>
          <w:sz w:val="22"/>
          <w:szCs w:val="22"/>
        </w:rPr>
        <w:t>y la presentación de la demanda no transcurrieron más de 3 años.</w:t>
      </w:r>
    </w:p>
    <w:p w:rsidR="00567F17" w:rsidRDefault="00567F17" w:rsidP="00567F17">
      <w:pPr>
        <w:pStyle w:val="NormalWeb"/>
        <w:spacing w:before="0" w:beforeAutospacing="0" w:after="0" w:afterAutospacing="0" w:line="276" w:lineRule="auto"/>
        <w:ind w:firstLine="708"/>
        <w:jc w:val="both"/>
        <w:rPr>
          <w:rFonts w:ascii="Tahoma" w:hAnsi="Tahoma" w:cs="Tahoma"/>
          <w:sz w:val="22"/>
          <w:szCs w:val="22"/>
        </w:rPr>
      </w:pPr>
    </w:p>
    <w:p w:rsidR="009B7650" w:rsidRDefault="009B7650" w:rsidP="00567F17">
      <w:pPr>
        <w:pStyle w:val="NormalWeb"/>
        <w:spacing w:before="0" w:beforeAutospacing="0" w:after="0" w:afterAutospacing="0" w:line="276" w:lineRule="auto"/>
        <w:ind w:firstLine="709"/>
        <w:jc w:val="both"/>
        <w:rPr>
          <w:rFonts w:ascii="Tahoma" w:hAnsi="Tahoma" w:cs="Tahoma"/>
          <w:sz w:val="22"/>
          <w:szCs w:val="22"/>
        </w:rPr>
      </w:pPr>
      <w:r>
        <w:rPr>
          <w:rFonts w:ascii="Tahoma" w:hAnsi="Tahoma" w:cs="Tahoma"/>
          <w:sz w:val="22"/>
          <w:szCs w:val="22"/>
        </w:rPr>
        <w:lastRenderedPageBreak/>
        <w:t>Como consecuencia de lo anterior, la Sala procedió a calcular el retroactivo adeudado entre el 1º de octubre de 2012 y el 3</w:t>
      </w:r>
      <w:r w:rsidR="007017FD">
        <w:rPr>
          <w:rFonts w:ascii="Tahoma" w:hAnsi="Tahoma" w:cs="Tahoma"/>
          <w:sz w:val="22"/>
          <w:szCs w:val="22"/>
        </w:rPr>
        <w:t>1</w:t>
      </w:r>
      <w:r>
        <w:rPr>
          <w:rFonts w:ascii="Tahoma" w:hAnsi="Tahoma" w:cs="Tahoma"/>
          <w:sz w:val="22"/>
          <w:szCs w:val="22"/>
        </w:rPr>
        <w:t xml:space="preserve"> de mayo de 201</w:t>
      </w:r>
      <w:r w:rsidR="007017FD">
        <w:rPr>
          <w:rFonts w:ascii="Tahoma" w:hAnsi="Tahoma" w:cs="Tahoma"/>
          <w:sz w:val="22"/>
          <w:szCs w:val="22"/>
        </w:rPr>
        <w:t>7</w:t>
      </w:r>
      <w:r>
        <w:rPr>
          <w:rFonts w:ascii="Tahoma" w:hAnsi="Tahoma" w:cs="Tahoma"/>
          <w:sz w:val="22"/>
          <w:szCs w:val="22"/>
        </w:rPr>
        <w:t xml:space="preserve">, con base en 13 mesadas anuales y el salario mínimo legal </w:t>
      </w:r>
      <w:r w:rsidRPr="00567F17">
        <w:rPr>
          <w:rFonts w:ascii="Tahoma" w:hAnsi="Tahoma" w:cs="Tahoma"/>
          <w:i/>
          <w:sz w:val="22"/>
          <w:szCs w:val="22"/>
        </w:rPr>
        <w:t>–con el cual se hicieron cotizaciones en los 10 años anteriores al reconocimiento-</w:t>
      </w:r>
      <w:r w:rsidR="005D4890">
        <w:rPr>
          <w:rFonts w:ascii="Tahoma" w:hAnsi="Tahoma" w:cs="Tahoma"/>
          <w:sz w:val="22"/>
          <w:szCs w:val="22"/>
        </w:rPr>
        <w:t xml:space="preserve">, encontrando que el mismo asciende a la suma de </w:t>
      </w:r>
      <w:r w:rsidR="00677B9E">
        <w:rPr>
          <w:rFonts w:ascii="Tahoma" w:hAnsi="Tahoma" w:cs="Tahoma"/>
          <w:sz w:val="22"/>
          <w:szCs w:val="22"/>
        </w:rPr>
        <w:t>$38.966.350</w:t>
      </w:r>
      <w:r w:rsidR="00FA5545">
        <w:rPr>
          <w:rFonts w:ascii="Tahoma" w:hAnsi="Tahoma" w:cs="Tahoma"/>
          <w:sz w:val="22"/>
          <w:szCs w:val="22"/>
        </w:rPr>
        <w:t>, sin perjuicio de las que se causen con posterioridad y los descuentos legales,</w:t>
      </w:r>
      <w:r w:rsidR="00677B9E">
        <w:rPr>
          <w:rFonts w:ascii="Tahoma" w:hAnsi="Tahoma" w:cs="Tahoma"/>
          <w:sz w:val="22"/>
          <w:szCs w:val="22"/>
        </w:rPr>
        <w:t xml:space="preserve"> </w:t>
      </w:r>
      <w:r w:rsidR="00567F17">
        <w:rPr>
          <w:rFonts w:ascii="Tahoma" w:hAnsi="Tahoma" w:cs="Tahoma"/>
          <w:sz w:val="22"/>
          <w:szCs w:val="22"/>
        </w:rPr>
        <w:t xml:space="preserve">tal </w:t>
      </w:r>
      <w:r w:rsidR="00677B9E">
        <w:rPr>
          <w:rFonts w:ascii="Tahoma" w:hAnsi="Tahoma" w:cs="Tahoma"/>
          <w:sz w:val="22"/>
          <w:szCs w:val="22"/>
        </w:rPr>
        <w:t>como se observa en la liquidación que se pone de presente a los asistentes y que hará parte del acta que se levante con ocasión de la presente diligencia.</w:t>
      </w:r>
    </w:p>
    <w:p w:rsidR="00567F17" w:rsidRDefault="00567F17" w:rsidP="00567F17">
      <w:pPr>
        <w:pStyle w:val="NormalWeb"/>
        <w:spacing w:before="0" w:beforeAutospacing="0" w:after="0" w:afterAutospacing="0" w:line="276" w:lineRule="auto"/>
        <w:ind w:firstLine="709"/>
        <w:jc w:val="both"/>
        <w:rPr>
          <w:rFonts w:ascii="Tahoma" w:hAnsi="Tahoma" w:cs="Tahoma"/>
          <w:sz w:val="22"/>
          <w:szCs w:val="22"/>
        </w:rPr>
      </w:pPr>
    </w:p>
    <w:p w:rsidR="00677B9E" w:rsidRDefault="00263B7E" w:rsidP="00567F17">
      <w:pPr>
        <w:pStyle w:val="NormalWeb"/>
        <w:spacing w:before="0" w:beforeAutospacing="0" w:after="0" w:afterAutospacing="0" w:line="276" w:lineRule="auto"/>
        <w:ind w:firstLine="709"/>
        <w:jc w:val="both"/>
        <w:rPr>
          <w:rFonts w:ascii="Tahoma" w:hAnsi="Tahoma" w:cs="Tahoma"/>
          <w:sz w:val="22"/>
          <w:szCs w:val="22"/>
        </w:rPr>
      </w:pPr>
      <w:r>
        <w:rPr>
          <w:rFonts w:ascii="Tahoma" w:hAnsi="Tahoma" w:cs="Tahoma"/>
          <w:sz w:val="22"/>
          <w:szCs w:val="22"/>
        </w:rPr>
        <w:t xml:space="preserve">Respecto de los intereses moratorios </w:t>
      </w:r>
      <w:r w:rsidR="00567F17">
        <w:rPr>
          <w:rFonts w:ascii="Tahoma" w:hAnsi="Tahoma" w:cs="Tahoma"/>
          <w:sz w:val="22"/>
          <w:szCs w:val="22"/>
        </w:rPr>
        <w:t xml:space="preserve">consagrados en el artículo 141 de la Ley 100 de 1993, </w:t>
      </w:r>
      <w:r>
        <w:rPr>
          <w:rFonts w:ascii="Tahoma" w:hAnsi="Tahoma" w:cs="Tahoma"/>
          <w:sz w:val="22"/>
          <w:szCs w:val="22"/>
        </w:rPr>
        <w:t>se dirá que los mismos empiezan a correr a partir del 30 de mayo de 2014, día siguiente a aquel en el que vencieron los 6 meses con los que contaba la entidad demandada para reconocer y pagar la pensión de vejez reclamada el 29 de noviembre de 2013.</w:t>
      </w:r>
    </w:p>
    <w:p w:rsidR="00567F17" w:rsidRDefault="00567F17" w:rsidP="00567F17">
      <w:pPr>
        <w:pStyle w:val="NormalWeb"/>
        <w:spacing w:before="0" w:beforeAutospacing="0" w:after="0" w:afterAutospacing="0" w:line="276" w:lineRule="auto"/>
        <w:ind w:firstLine="709"/>
        <w:jc w:val="both"/>
        <w:rPr>
          <w:rFonts w:ascii="Tahoma" w:hAnsi="Tahoma" w:cs="Tahoma"/>
          <w:sz w:val="22"/>
          <w:szCs w:val="22"/>
        </w:rPr>
      </w:pPr>
    </w:p>
    <w:p w:rsidR="009B7650" w:rsidRDefault="008B6F56" w:rsidP="00567F17">
      <w:pPr>
        <w:pStyle w:val="NormalWeb"/>
        <w:spacing w:before="0" w:beforeAutospacing="0" w:after="0" w:afterAutospacing="0" w:line="276" w:lineRule="auto"/>
        <w:ind w:firstLine="709"/>
        <w:jc w:val="both"/>
        <w:rPr>
          <w:rFonts w:ascii="Tahoma" w:hAnsi="Tahoma" w:cs="Tahoma"/>
          <w:sz w:val="22"/>
          <w:szCs w:val="22"/>
        </w:rPr>
      </w:pPr>
      <w:r>
        <w:rPr>
          <w:rFonts w:ascii="Tahoma" w:hAnsi="Tahoma" w:cs="Tahoma"/>
          <w:sz w:val="22"/>
          <w:szCs w:val="22"/>
        </w:rPr>
        <w:t>Finalmente, se condenará a la demandada al pago de las costas procesales de ambas instancias en un 100%, las cuales se liquidarán por la secretaría del Juzgado de origen.</w:t>
      </w:r>
    </w:p>
    <w:p w:rsidR="00567F17" w:rsidRDefault="00567F17" w:rsidP="00567F17">
      <w:pPr>
        <w:pStyle w:val="NormalWeb"/>
        <w:spacing w:before="0" w:beforeAutospacing="0" w:after="0" w:afterAutospacing="0" w:line="276" w:lineRule="auto"/>
        <w:ind w:firstLine="709"/>
        <w:jc w:val="both"/>
        <w:rPr>
          <w:rFonts w:ascii="Tahoma" w:hAnsi="Tahoma" w:cs="Tahoma"/>
          <w:sz w:val="22"/>
          <w:szCs w:val="22"/>
        </w:rPr>
      </w:pPr>
    </w:p>
    <w:p w:rsidR="00B97C7C" w:rsidRPr="00B97C7C" w:rsidRDefault="00B97C7C" w:rsidP="00567F17">
      <w:pPr>
        <w:pStyle w:val="Sangradetextonormal"/>
        <w:spacing w:line="276" w:lineRule="auto"/>
        <w:rPr>
          <w:sz w:val="22"/>
          <w:szCs w:val="22"/>
        </w:rPr>
      </w:pPr>
      <w:r w:rsidRPr="00B97C7C">
        <w:rPr>
          <w:sz w:val="22"/>
          <w:szCs w:val="22"/>
        </w:rPr>
        <w:t xml:space="preserve">En mérito de lo expuesto, el </w:t>
      </w:r>
      <w:r w:rsidRPr="00B97C7C">
        <w:rPr>
          <w:b/>
          <w:sz w:val="22"/>
          <w:szCs w:val="22"/>
        </w:rPr>
        <w:t>Tribunal Superior del Distrito Judicial de Pereira (Risaralda)</w:t>
      </w:r>
      <w:r w:rsidRPr="00B97C7C">
        <w:rPr>
          <w:sz w:val="22"/>
          <w:szCs w:val="22"/>
        </w:rPr>
        <w:t xml:space="preserve">, </w:t>
      </w:r>
      <w:r w:rsidRPr="00B97C7C">
        <w:rPr>
          <w:b/>
          <w:sz w:val="22"/>
          <w:szCs w:val="22"/>
        </w:rPr>
        <w:t>Sala Laboral No. 1</w:t>
      </w:r>
      <w:r w:rsidRPr="00B97C7C">
        <w:rPr>
          <w:sz w:val="22"/>
          <w:szCs w:val="22"/>
        </w:rPr>
        <w:t>, administrando justicia en nombre de la República y por autoridad de la Ley,</w:t>
      </w:r>
    </w:p>
    <w:p w:rsidR="00E1648E" w:rsidRPr="00B97C7C" w:rsidRDefault="00B97C7C" w:rsidP="00567F17">
      <w:pPr>
        <w:pStyle w:val="Textoindependiente"/>
        <w:spacing w:after="0"/>
        <w:ind w:right="51"/>
        <w:jc w:val="both"/>
        <w:rPr>
          <w:rFonts w:ascii="Tahoma" w:hAnsi="Tahoma" w:cs="Tahoma"/>
          <w:sz w:val="22"/>
          <w:szCs w:val="22"/>
        </w:rPr>
      </w:pPr>
      <w:r w:rsidRPr="00B97C7C">
        <w:rPr>
          <w:rFonts w:ascii="Tahoma" w:hAnsi="Tahoma" w:cs="Tahoma"/>
          <w:sz w:val="22"/>
          <w:szCs w:val="22"/>
        </w:rPr>
        <w:t xml:space="preserve"> </w:t>
      </w:r>
    </w:p>
    <w:p w:rsidR="00B97C7C" w:rsidRPr="00B97C7C" w:rsidRDefault="00B97C7C" w:rsidP="00567F17">
      <w:pPr>
        <w:widowControl w:val="0"/>
        <w:autoSpaceDE w:val="0"/>
        <w:autoSpaceDN w:val="0"/>
        <w:adjustRightInd w:val="0"/>
        <w:spacing w:line="276" w:lineRule="auto"/>
        <w:jc w:val="center"/>
        <w:rPr>
          <w:rFonts w:ascii="Tahoma" w:hAnsi="Tahoma" w:cs="Tahoma"/>
          <w:b/>
          <w:sz w:val="22"/>
          <w:szCs w:val="22"/>
        </w:rPr>
      </w:pPr>
      <w:r w:rsidRPr="00B97C7C">
        <w:rPr>
          <w:rFonts w:ascii="Tahoma" w:hAnsi="Tahoma" w:cs="Tahoma"/>
          <w:b/>
          <w:sz w:val="22"/>
          <w:szCs w:val="22"/>
        </w:rPr>
        <w:t>RESUELVE:</w:t>
      </w:r>
    </w:p>
    <w:p w:rsidR="00B97C7C" w:rsidRPr="00B97C7C" w:rsidRDefault="00B97C7C" w:rsidP="00567F17">
      <w:pPr>
        <w:widowControl w:val="0"/>
        <w:autoSpaceDE w:val="0"/>
        <w:autoSpaceDN w:val="0"/>
        <w:adjustRightInd w:val="0"/>
        <w:jc w:val="both"/>
        <w:rPr>
          <w:rFonts w:ascii="Tahoma" w:hAnsi="Tahoma" w:cs="Tahoma"/>
          <w:sz w:val="22"/>
          <w:szCs w:val="22"/>
        </w:rPr>
      </w:pPr>
    </w:p>
    <w:p w:rsidR="00B97C7C" w:rsidRPr="00B97C7C" w:rsidRDefault="00B97C7C" w:rsidP="00567F17">
      <w:pPr>
        <w:spacing w:line="276" w:lineRule="auto"/>
        <w:ind w:firstLine="708"/>
        <w:jc w:val="both"/>
        <w:rPr>
          <w:rFonts w:ascii="Tahoma" w:hAnsi="Tahoma" w:cs="Tahoma"/>
          <w:sz w:val="22"/>
          <w:szCs w:val="22"/>
        </w:rPr>
      </w:pPr>
      <w:r w:rsidRPr="00B97C7C">
        <w:rPr>
          <w:rFonts w:ascii="Tahoma" w:hAnsi="Tahoma" w:cs="Tahoma"/>
          <w:b/>
          <w:sz w:val="22"/>
          <w:szCs w:val="22"/>
          <w:u w:val="single"/>
        </w:rPr>
        <w:t>PRIMERO</w:t>
      </w:r>
      <w:r w:rsidRPr="00B97C7C">
        <w:rPr>
          <w:rFonts w:ascii="Tahoma" w:hAnsi="Tahoma" w:cs="Tahoma"/>
          <w:sz w:val="22"/>
          <w:szCs w:val="22"/>
        </w:rPr>
        <w:t xml:space="preserve">.- </w:t>
      </w:r>
      <w:r w:rsidR="008B6F56" w:rsidRPr="008B6F56">
        <w:rPr>
          <w:rFonts w:ascii="Tahoma" w:hAnsi="Tahoma" w:cs="Tahoma"/>
          <w:b/>
          <w:sz w:val="22"/>
          <w:szCs w:val="22"/>
        </w:rPr>
        <w:t>REVOCAR</w:t>
      </w:r>
      <w:r w:rsidR="00E1648E">
        <w:rPr>
          <w:rFonts w:ascii="Tahoma" w:hAnsi="Tahoma" w:cs="Tahoma"/>
          <w:b/>
          <w:sz w:val="22"/>
          <w:szCs w:val="22"/>
        </w:rPr>
        <w:t xml:space="preserve"> </w:t>
      </w:r>
      <w:r w:rsidR="00E1648E">
        <w:rPr>
          <w:rFonts w:ascii="Tahoma" w:hAnsi="Tahoma" w:cs="Tahoma"/>
          <w:sz w:val="22"/>
          <w:szCs w:val="22"/>
        </w:rPr>
        <w:t xml:space="preserve">la sentencia proferida </w:t>
      </w:r>
      <w:r w:rsidRPr="00B97C7C">
        <w:rPr>
          <w:rFonts w:ascii="Tahoma" w:hAnsi="Tahoma" w:cs="Tahoma"/>
          <w:sz w:val="22"/>
          <w:szCs w:val="22"/>
        </w:rPr>
        <w:t xml:space="preserve">por el Juzgado </w:t>
      </w:r>
      <w:r w:rsidR="008B6F56">
        <w:rPr>
          <w:rFonts w:ascii="Tahoma" w:hAnsi="Tahoma" w:cs="Tahoma"/>
          <w:sz w:val="22"/>
          <w:szCs w:val="22"/>
        </w:rPr>
        <w:t xml:space="preserve">Tercero </w:t>
      </w:r>
      <w:r w:rsidRPr="00B97C7C">
        <w:rPr>
          <w:rFonts w:ascii="Tahoma" w:hAnsi="Tahoma" w:cs="Tahoma"/>
          <w:sz w:val="22"/>
          <w:szCs w:val="22"/>
        </w:rPr>
        <w:t>Laboral del Circuito de Pereira, dentro del proceso ordinario laboral promovido por</w:t>
      </w:r>
      <w:r w:rsidRPr="00B97C7C">
        <w:rPr>
          <w:rFonts w:ascii="Tahoma" w:hAnsi="Tahoma" w:cs="Tahoma"/>
          <w:b/>
          <w:sz w:val="22"/>
          <w:szCs w:val="22"/>
        </w:rPr>
        <w:t xml:space="preserve"> </w:t>
      </w:r>
      <w:r w:rsidR="00FA5545">
        <w:rPr>
          <w:rFonts w:ascii="Tahoma" w:hAnsi="Tahoma" w:cs="Tahoma"/>
          <w:b/>
          <w:sz w:val="22"/>
          <w:szCs w:val="22"/>
        </w:rPr>
        <w:t>Ligia Esperanza Clavijo Calle</w:t>
      </w:r>
      <w:r w:rsidRPr="00B97C7C">
        <w:rPr>
          <w:rFonts w:ascii="Tahoma" w:hAnsi="Tahoma" w:cs="Tahoma"/>
          <w:b/>
          <w:sz w:val="22"/>
          <w:szCs w:val="22"/>
        </w:rPr>
        <w:t xml:space="preserve"> </w:t>
      </w:r>
      <w:r w:rsidRPr="00B97C7C">
        <w:rPr>
          <w:rFonts w:ascii="Tahoma" w:hAnsi="Tahoma" w:cs="Tahoma"/>
          <w:sz w:val="22"/>
          <w:szCs w:val="22"/>
          <w:lang w:val="es-ES_tradnl"/>
        </w:rPr>
        <w:t>en</w:t>
      </w:r>
      <w:r w:rsidRPr="00B97C7C">
        <w:rPr>
          <w:rFonts w:ascii="Tahoma" w:hAnsi="Tahoma" w:cs="Tahoma"/>
          <w:b/>
          <w:sz w:val="22"/>
          <w:szCs w:val="22"/>
        </w:rPr>
        <w:t xml:space="preserve"> </w:t>
      </w:r>
      <w:r w:rsidRPr="00B97C7C">
        <w:rPr>
          <w:rFonts w:ascii="Tahoma" w:hAnsi="Tahoma" w:cs="Tahoma"/>
          <w:sz w:val="22"/>
          <w:szCs w:val="22"/>
        </w:rPr>
        <w:t xml:space="preserve">contra de </w:t>
      </w:r>
      <w:r w:rsidRPr="00B97C7C">
        <w:rPr>
          <w:rFonts w:ascii="Tahoma" w:hAnsi="Tahoma" w:cs="Tahoma"/>
          <w:b/>
          <w:sz w:val="22"/>
          <w:szCs w:val="22"/>
        </w:rPr>
        <w:t>Colpensiones</w:t>
      </w:r>
      <w:r w:rsidR="00FA5545">
        <w:rPr>
          <w:rFonts w:ascii="Tahoma" w:hAnsi="Tahoma" w:cs="Tahoma"/>
          <w:b/>
          <w:sz w:val="22"/>
          <w:szCs w:val="22"/>
        </w:rPr>
        <w:t xml:space="preserve"> </w:t>
      </w:r>
      <w:r w:rsidR="00FA5545" w:rsidRPr="00FA5545">
        <w:rPr>
          <w:rFonts w:ascii="Tahoma" w:hAnsi="Tahoma" w:cs="Tahoma"/>
          <w:sz w:val="22"/>
          <w:szCs w:val="22"/>
        </w:rPr>
        <w:t>y, en consecuencia,</w:t>
      </w:r>
      <w:r w:rsidRPr="00B97C7C">
        <w:rPr>
          <w:rFonts w:ascii="Tahoma" w:hAnsi="Tahoma" w:cs="Tahoma"/>
          <w:bCs/>
          <w:sz w:val="22"/>
          <w:szCs w:val="22"/>
        </w:rPr>
        <w:t xml:space="preserve"> </w:t>
      </w:r>
    </w:p>
    <w:p w:rsidR="00B97C7C" w:rsidRPr="00B97C7C" w:rsidRDefault="00B97C7C" w:rsidP="00567F17">
      <w:pPr>
        <w:pStyle w:val="Sinespaciado"/>
        <w:rPr>
          <w:sz w:val="22"/>
          <w:szCs w:val="22"/>
        </w:rPr>
      </w:pPr>
    </w:p>
    <w:p w:rsidR="00FA5545" w:rsidRDefault="00B97C7C" w:rsidP="00567F17">
      <w:pPr>
        <w:spacing w:line="276" w:lineRule="auto"/>
        <w:ind w:firstLine="709"/>
        <w:jc w:val="both"/>
        <w:rPr>
          <w:rFonts w:ascii="Tahoma" w:hAnsi="Tahoma" w:cs="Tahoma"/>
          <w:sz w:val="22"/>
          <w:szCs w:val="22"/>
        </w:rPr>
      </w:pPr>
      <w:r w:rsidRPr="00B97C7C">
        <w:rPr>
          <w:rFonts w:ascii="Tahoma" w:hAnsi="Tahoma" w:cs="Tahoma"/>
          <w:b/>
          <w:sz w:val="22"/>
          <w:szCs w:val="22"/>
          <w:u w:val="single"/>
        </w:rPr>
        <w:t>SEGUNDO</w:t>
      </w:r>
      <w:r w:rsidRPr="00B97C7C">
        <w:rPr>
          <w:rFonts w:ascii="Tahoma" w:hAnsi="Tahoma" w:cs="Tahoma"/>
          <w:sz w:val="22"/>
          <w:szCs w:val="22"/>
        </w:rPr>
        <w:t xml:space="preserve">.- </w:t>
      </w:r>
      <w:r w:rsidR="00FA5545" w:rsidRPr="00FA5545">
        <w:rPr>
          <w:rFonts w:ascii="Tahoma" w:hAnsi="Tahoma" w:cs="Tahoma"/>
          <w:b/>
          <w:sz w:val="22"/>
          <w:szCs w:val="22"/>
        </w:rPr>
        <w:t>DECLARAR</w:t>
      </w:r>
      <w:r w:rsidR="00FA5545">
        <w:rPr>
          <w:rFonts w:ascii="Tahoma" w:hAnsi="Tahoma" w:cs="Tahoma"/>
          <w:sz w:val="22"/>
          <w:szCs w:val="22"/>
        </w:rPr>
        <w:t xml:space="preserve"> que a la </w:t>
      </w:r>
      <w:r w:rsidR="00FA5545" w:rsidRPr="009A1CFB">
        <w:rPr>
          <w:rFonts w:ascii="Tahoma" w:hAnsi="Tahoma" w:cs="Tahoma"/>
          <w:sz w:val="22"/>
          <w:szCs w:val="22"/>
        </w:rPr>
        <w:t>señora Ligia Esperanza Clavijo Calle,</w:t>
      </w:r>
      <w:r w:rsidR="00FA5545">
        <w:rPr>
          <w:rFonts w:ascii="Tahoma" w:hAnsi="Tahoma" w:cs="Tahoma"/>
          <w:sz w:val="22"/>
          <w:szCs w:val="22"/>
        </w:rPr>
        <w:t xml:space="preserve"> en su calidad de beneficiaria del régimen de transición, le asiste derecho al reconocimiento y pago de la pensión de vejez consagrada en el Acuerdo 049 de 1990, a partir del 1º de octubre de 2012, en cuantía del salario mínimo y por 13 mesadas anuales.</w:t>
      </w:r>
    </w:p>
    <w:p w:rsidR="00FA5545" w:rsidRDefault="00FA5545" w:rsidP="00567F17">
      <w:pPr>
        <w:spacing w:line="276" w:lineRule="auto"/>
        <w:ind w:firstLine="709"/>
        <w:jc w:val="both"/>
        <w:rPr>
          <w:rFonts w:ascii="Tahoma" w:hAnsi="Tahoma" w:cs="Tahoma"/>
          <w:sz w:val="22"/>
          <w:szCs w:val="22"/>
        </w:rPr>
      </w:pPr>
    </w:p>
    <w:p w:rsidR="00FA5545" w:rsidRDefault="00FA5545" w:rsidP="00567F17">
      <w:pPr>
        <w:spacing w:line="276" w:lineRule="auto"/>
        <w:ind w:firstLine="709"/>
        <w:jc w:val="both"/>
        <w:rPr>
          <w:rFonts w:ascii="Tahoma" w:hAnsi="Tahoma" w:cs="Tahoma"/>
          <w:sz w:val="22"/>
          <w:szCs w:val="22"/>
        </w:rPr>
      </w:pPr>
      <w:r w:rsidRPr="00FA5545">
        <w:rPr>
          <w:rFonts w:ascii="Tahoma" w:hAnsi="Tahoma" w:cs="Tahoma"/>
          <w:b/>
          <w:sz w:val="22"/>
          <w:szCs w:val="22"/>
          <w:u w:val="single"/>
        </w:rPr>
        <w:t>TERCERO</w:t>
      </w:r>
      <w:r w:rsidRPr="00FA5545">
        <w:rPr>
          <w:rFonts w:ascii="Tahoma" w:hAnsi="Tahoma" w:cs="Tahoma"/>
          <w:b/>
          <w:sz w:val="22"/>
          <w:szCs w:val="22"/>
        </w:rPr>
        <w:t>.-</w:t>
      </w:r>
      <w:r>
        <w:rPr>
          <w:rFonts w:ascii="Tahoma" w:hAnsi="Tahoma" w:cs="Tahoma"/>
          <w:sz w:val="22"/>
          <w:szCs w:val="22"/>
        </w:rPr>
        <w:t xml:space="preserve"> </w:t>
      </w:r>
      <w:r w:rsidRPr="00FA5545">
        <w:rPr>
          <w:rFonts w:ascii="Tahoma" w:hAnsi="Tahoma" w:cs="Tahoma"/>
          <w:b/>
          <w:sz w:val="22"/>
          <w:szCs w:val="22"/>
        </w:rPr>
        <w:t>CONDENAR</w:t>
      </w:r>
      <w:r>
        <w:rPr>
          <w:rFonts w:ascii="Tahoma" w:hAnsi="Tahoma" w:cs="Tahoma"/>
          <w:sz w:val="22"/>
          <w:szCs w:val="22"/>
        </w:rPr>
        <w:t xml:space="preserve"> a la Administradora Colombiana de Pensiones – Colpensiones a reconocer y pagar la pensión de vejez a la señora </w:t>
      </w:r>
      <w:r w:rsidRPr="009A1CFB">
        <w:rPr>
          <w:rFonts w:ascii="Tahoma" w:hAnsi="Tahoma" w:cs="Tahoma"/>
          <w:sz w:val="22"/>
          <w:szCs w:val="22"/>
        </w:rPr>
        <w:t>Ligia Esperanza Clavijo Calle a partir del 1º de octubre de 2012, cuyo retroactivo al 30 de mayo de 2017 asciende a la suma de</w:t>
      </w:r>
      <w:r>
        <w:rPr>
          <w:rFonts w:ascii="Tahoma" w:hAnsi="Tahoma" w:cs="Tahoma"/>
          <w:b/>
          <w:sz w:val="22"/>
          <w:szCs w:val="22"/>
        </w:rPr>
        <w:t xml:space="preserve"> </w:t>
      </w:r>
      <w:r>
        <w:rPr>
          <w:rFonts w:ascii="Tahoma" w:hAnsi="Tahoma" w:cs="Tahoma"/>
          <w:sz w:val="22"/>
          <w:szCs w:val="22"/>
        </w:rPr>
        <w:t>$38.966.350</w:t>
      </w:r>
      <w:r w:rsidR="009A1CFB">
        <w:rPr>
          <w:rFonts w:ascii="Tahoma" w:hAnsi="Tahoma" w:cs="Tahoma"/>
          <w:sz w:val="22"/>
          <w:szCs w:val="22"/>
        </w:rPr>
        <w:t xml:space="preserve">, sin perjuicio de las que se causen con posterioridad y los descuentos de ley. Asimismo, a cancelar los intereses moratorios de que trata el artículo 141 de la Ley 100 de 1993, a partir del 30 de mayo de 2014 hasta el pago efectivo de la obligación. </w:t>
      </w:r>
    </w:p>
    <w:p w:rsidR="00FA5545" w:rsidRDefault="00FA5545" w:rsidP="00567F17">
      <w:pPr>
        <w:spacing w:line="276" w:lineRule="auto"/>
        <w:jc w:val="both"/>
        <w:rPr>
          <w:rFonts w:ascii="Tahoma" w:hAnsi="Tahoma" w:cs="Tahoma"/>
          <w:sz w:val="22"/>
          <w:szCs w:val="22"/>
        </w:rPr>
      </w:pPr>
    </w:p>
    <w:p w:rsidR="009A1CFB" w:rsidRPr="009A1CFB" w:rsidRDefault="009A1CFB" w:rsidP="00567F17">
      <w:pPr>
        <w:spacing w:line="276" w:lineRule="auto"/>
        <w:jc w:val="both"/>
        <w:rPr>
          <w:rFonts w:ascii="Tahoma" w:hAnsi="Tahoma" w:cs="Tahoma"/>
          <w:sz w:val="22"/>
          <w:szCs w:val="22"/>
        </w:rPr>
      </w:pPr>
      <w:r>
        <w:rPr>
          <w:rFonts w:ascii="Tahoma" w:hAnsi="Tahoma" w:cs="Tahoma"/>
          <w:sz w:val="22"/>
          <w:szCs w:val="22"/>
        </w:rPr>
        <w:tab/>
      </w:r>
      <w:r w:rsidRPr="009A1CFB">
        <w:rPr>
          <w:rFonts w:ascii="Tahoma" w:hAnsi="Tahoma" w:cs="Tahoma"/>
          <w:b/>
          <w:sz w:val="22"/>
          <w:szCs w:val="22"/>
          <w:u w:val="single"/>
        </w:rPr>
        <w:t>CUARTO</w:t>
      </w:r>
      <w:r w:rsidRPr="009A1CFB">
        <w:rPr>
          <w:rFonts w:ascii="Tahoma" w:hAnsi="Tahoma" w:cs="Tahoma"/>
          <w:b/>
          <w:sz w:val="22"/>
          <w:szCs w:val="22"/>
        </w:rPr>
        <w:t>.-</w:t>
      </w:r>
      <w:r>
        <w:rPr>
          <w:rFonts w:ascii="Tahoma" w:hAnsi="Tahoma" w:cs="Tahoma"/>
          <w:b/>
          <w:sz w:val="22"/>
          <w:szCs w:val="22"/>
        </w:rPr>
        <w:t xml:space="preserve"> </w:t>
      </w:r>
      <w:r w:rsidRPr="009A1CFB">
        <w:rPr>
          <w:rFonts w:ascii="Tahoma" w:hAnsi="Tahoma" w:cs="Tahoma"/>
          <w:b/>
          <w:sz w:val="22"/>
          <w:szCs w:val="22"/>
        </w:rPr>
        <w:t>CONDENAR</w:t>
      </w:r>
      <w:r>
        <w:rPr>
          <w:rFonts w:ascii="Tahoma" w:hAnsi="Tahoma" w:cs="Tahoma"/>
          <w:sz w:val="22"/>
          <w:szCs w:val="22"/>
        </w:rPr>
        <w:t xml:space="preserve"> a Colpensiones a cancelar las costas procesales de ambas instancias en un 100% a favor de la demandante. Liquídense por la secretaría del juzgado de origen.</w:t>
      </w:r>
    </w:p>
    <w:p w:rsidR="00FA5545" w:rsidRDefault="00FA5545" w:rsidP="00567F17">
      <w:pPr>
        <w:spacing w:line="276" w:lineRule="auto"/>
        <w:ind w:firstLine="709"/>
        <w:jc w:val="both"/>
        <w:rPr>
          <w:rFonts w:ascii="Tahoma" w:hAnsi="Tahoma" w:cs="Tahoma"/>
          <w:sz w:val="22"/>
          <w:szCs w:val="22"/>
        </w:rPr>
      </w:pPr>
    </w:p>
    <w:p w:rsidR="00D2586A" w:rsidRPr="00B97C7C" w:rsidRDefault="00D2586A" w:rsidP="00567F17">
      <w:pPr>
        <w:widowControl w:val="0"/>
        <w:autoSpaceDE w:val="0"/>
        <w:autoSpaceDN w:val="0"/>
        <w:adjustRightInd w:val="0"/>
        <w:spacing w:line="276" w:lineRule="auto"/>
        <w:jc w:val="both"/>
        <w:rPr>
          <w:rFonts w:ascii="Tahoma" w:hAnsi="Tahoma" w:cs="Tahoma"/>
          <w:b/>
          <w:bCs/>
          <w:sz w:val="22"/>
          <w:szCs w:val="22"/>
        </w:rPr>
      </w:pPr>
      <w:r w:rsidRPr="00B97C7C">
        <w:rPr>
          <w:rFonts w:ascii="Tahoma" w:hAnsi="Tahoma" w:cs="Tahoma"/>
          <w:sz w:val="22"/>
          <w:szCs w:val="22"/>
        </w:rPr>
        <w:tab/>
      </w:r>
      <w:r w:rsidRPr="00B97C7C">
        <w:rPr>
          <w:rFonts w:ascii="Tahoma" w:hAnsi="Tahoma" w:cs="Tahoma"/>
          <w:b/>
          <w:bCs/>
          <w:sz w:val="22"/>
          <w:szCs w:val="22"/>
        </w:rPr>
        <w:t>Notificación surtida en estrados.</w:t>
      </w:r>
    </w:p>
    <w:p w:rsidR="00D2586A" w:rsidRPr="00B97C7C" w:rsidRDefault="00D2586A" w:rsidP="00567F17">
      <w:pPr>
        <w:widowControl w:val="0"/>
        <w:autoSpaceDE w:val="0"/>
        <w:autoSpaceDN w:val="0"/>
        <w:adjustRightInd w:val="0"/>
        <w:jc w:val="both"/>
        <w:rPr>
          <w:rFonts w:ascii="Tahoma" w:hAnsi="Tahoma" w:cs="Tahoma"/>
          <w:b/>
          <w:bCs/>
          <w:sz w:val="22"/>
          <w:szCs w:val="22"/>
        </w:rPr>
      </w:pPr>
    </w:p>
    <w:p w:rsidR="00D2586A" w:rsidRPr="00B97C7C" w:rsidRDefault="00D2586A" w:rsidP="00567F17">
      <w:pPr>
        <w:widowControl w:val="0"/>
        <w:autoSpaceDE w:val="0"/>
        <w:autoSpaceDN w:val="0"/>
        <w:adjustRightInd w:val="0"/>
        <w:spacing w:line="276" w:lineRule="auto"/>
        <w:ind w:firstLine="708"/>
        <w:jc w:val="both"/>
        <w:rPr>
          <w:rFonts w:ascii="Tahoma" w:hAnsi="Tahoma" w:cs="Tahoma"/>
          <w:sz w:val="22"/>
          <w:szCs w:val="22"/>
        </w:rPr>
      </w:pPr>
      <w:r w:rsidRPr="00B97C7C">
        <w:rPr>
          <w:rFonts w:ascii="Tahoma" w:hAnsi="Tahoma" w:cs="Tahoma"/>
          <w:b/>
          <w:sz w:val="22"/>
          <w:szCs w:val="22"/>
        </w:rPr>
        <w:t>Cúmplase</w:t>
      </w:r>
      <w:r w:rsidRPr="00B97C7C">
        <w:rPr>
          <w:rFonts w:ascii="Tahoma" w:hAnsi="Tahoma" w:cs="Tahoma"/>
          <w:sz w:val="22"/>
          <w:szCs w:val="22"/>
        </w:rPr>
        <w:t xml:space="preserve"> y </w:t>
      </w:r>
      <w:r w:rsidRPr="00B97C7C">
        <w:rPr>
          <w:rFonts w:ascii="Tahoma" w:hAnsi="Tahoma" w:cs="Tahoma"/>
          <w:b/>
          <w:sz w:val="22"/>
          <w:szCs w:val="22"/>
        </w:rPr>
        <w:t>devuélvase</w:t>
      </w:r>
      <w:r w:rsidRPr="00B97C7C">
        <w:rPr>
          <w:rFonts w:ascii="Tahoma" w:hAnsi="Tahoma" w:cs="Tahoma"/>
          <w:sz w:val="22"/>
          <w:szCs w:val="22"/>
        </w:rPr>
        <w:t xml:space="preserve"> el expediente al Juzgado de origen.</w:t>
      </w:r>
    </w:p>
    <w:p w:rsidR="00D2586A" w:rsidRPr="00B97C7C" w:rsidRDefault="00D2586A" w:rsidP="00567F17">
      <w:pPr>
        <w:widowControl w:val="0"/>
        <w:autoSpaceDE w:val="0"/>
        <w:autoSpaceDN w:val="0"/>
        <w:adjustRightInd w:val="0"/>
        <w:spacing w:line="276" w:lineRule="auto"/>
        <w:ind w:firstLine="708"/>
        <w:jc w:val="both"/>
        <w:rPr>
          <w:rFonts w:ascii="Tahoma" w:hAnsi="Tahoma" w:cs="Tahoma"/>
          <w:sz w:val="22"/>
          <w:szCs w:val="22"/>
        </w:rPr>
      </w:pPr>
    </w:p>
    <w:p w:rsidR="00D2586A" w:rsidRPr="00B97C7C" w:rsidRDefault="00D2586A" w:rsidP="00567F17">
      <w:pPr>
        <w:spacing w:line="276" w:lineRule="auto"/>
        <w:ind w:firstLine="708"/>
        <w:jc w:val="both"/>
        <w:rPr>
          <w:rFonts w:ascii="Tahoma" w:hAnsi="Tahoma" w:cs="Tahoma"/>
          <w:sz w:val="22"/>
          <w:szCs w:val="22"/>
        </w:rPr>
      </w:pPr>
      <w:r w:rsidRPr="00B97C7C">
        <w:rPr>
          <w:rFonts w:ascii="Tahoma" w:hAnsi="Tahoma" w:cs="Tahoma"/>
          <w:sz w:val="22"/>
          <w:szCs w:val="22"/>
        </w:rPr>
        <w:t>La Magistrada,</w:t>
      </w:r>
    </w:p>
    <w:p w:rsidR="00D2586A" w:rsidRPr="007834F9" w:rsidRDefault="00D2586A" w:rsidP="00567F17">
      <w:pPr>
        <w:spacing w:line="276" w:lineRule="auto"/>
        <w:rPr>
          <w:rFonts w:ascii="Tahoma" w:hAnsi="Tahoma" w:cs="Tahoma"/>
          <w:sz w:val="22"/>
          <w:szCs w:val="22"/>
        </w:rPr>
      </w:pPr>
    </w:p>
    <w:p w:rsidR="00D2586A" w:rsidRDefault="00D173AF" w:rsidP="00567F17">
      <w:pPr>
        <w:tabs>
          <w:tab w:val="left" w:pos="3519"/>
        </w:tabs>
        <w:spacing w:line="276" w:lineRule="auto"/>
        <w:rPr>
          <w:rFonts w:ascii="Tahoma" w:hAnsi="Tahoma" w:cs="Tahoma"/>
          <w:sz w:val="22"/>
          <w:szCs w:val="22"/>
        </w:rPr>
      </w:pPr>
      <w:r>
        <w:rPr>
          <w:rFonts w:ascii="Tahoma" w:hAnsi="Tahoma" w:cs="Tahoma"/>
          <w:sz w:val="22"/>
          <w:szCs w:val="22"/>
        </w:rPr>
        <w:tab/>
      </w:r>
    </w:p>
    <w:p w:rsidR="00D173AF" w:rsidRDefault="00D173AF" w:rsidP="00567F17">
      <w:pPr>
        <w:tabs>
          <w:tab w:val="left" w:pos="3519"/>
        </w:tabs>
        <w:spacing w:line="276" w:lineRule="auto"/>
        <w:rPr>
          <w:rFonts w:ascii="Tahoma" w:hAnsi="Tahoma" w:cs="Tahoma"/>
          <w:sz w:val="22"/>
          <w:szCs w:val="22"/>
        </w:rPr>
      </w:pPr>
    </w:p>
    <w:p w:rsidR="00D173AF" w:rsidRPr="007834F9" w:rsidRDefault="00D173AF" w:rsidP="00567F17">
      <w:pPr>
        <w:tabs>
          <w:tab w:val="left" w:pos="3519"/>
        </w:tabs>
        <w:spacing w:line="276" w:lineRule="auto"/>
        <w:rPr>
          <w:rFonts w:ascii="Tahoma" w:hAnsi="Tahoma" w:cs="Tahoma"/>
          <w:sz w:val="22"/>
          <w:szCs w:val="22"/>
        </w:rPr>
      </w:pPr>
    </w:p>
    <w:p w:rsidR="00D2586A" w:rsidRPr="007834F9" w:rsidRDefault="00D2586A" w:rsidP="00567F17">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2586A" w:rsidRDefault="00D2586A" w:rsidP="00567F17">
      <w:pPr>
        <w:spacing w:line="276" w:lineRule="auto"/>
        <w:ind w:firstLine="708"/>
        <w:jc w:val="both"/>
        <w:rPr>
          <w:rFonts w:ascii="Tahoma" w:hAnsi="Tahoma" w:cs="Tahoma"/>
          <w:sz w:val="22"/>
          <w:szCs w:val="22"/>
        </w:rPr>
      </w:pPr>
    </w:p>
    <w:p w:rsidR="00567F17" w:rsidRDefault="00567F17" w:rsidP="00567F17">
      <w:pPr>
        <w:spacing w:line="276" w:lineRule="auto"/>
        <w:ind w:firstLine="708"/>
        <w:jc w:val="both"/>
        <w:rPr>
          <w:rFonts w:ascii="Tahoma" w:hAnsi="Tahoma" w:cs="Tahoma"/>
          <w:sz w:val="22"/>
          <w:szCs w:val="22"/>
        </w:rPr>
      </w:pPr>
    </w:p>
    <w:p w:rsidR="00567F17" w:rsidRDefault="00567F17" w:rsidP="00567F17">
      <w:pPr>
        <w:spacing w:line="276" w:lineRule="auto"/>
        <w:ind w:firstLine="708"/>
        <w:jc w:val="both"/>
        <w:rPr>
          <w:rFonts w:ascii="Tahoma" w:hAnsi="Tahoma" w:cs="Tahoma"/>
          <w:sz w:val="22"/>
          <w:szCs w:val="22"/>
        </w:rPr>
      </w:pPr>
    </w:p>
    <w:p w:rsidR="00C17672" w:rsidRDefault="00C17672" w:rsidP="00567F17">
      <w:pPr>
        <w:spacing w:line="276" w:lineRule="auto"/>
        <w:ind w:firstLine="708"/>
        <w:jc w:val="both"/>
        <w:rPr>
          <w:rFonts w:ascii="Tahoma" w:hAnsi="Tahoma" w:cs="Tahoma"/>
          <w:sz w:val="22"/>
          <w:szCs w:val="22"/>
        </w:rPr>
      </w:pPr>
    </w:p>
    <w:p w:rsidR="00C17672" w:rsidRDefault="00C17672" w:rsidP="00567F17">
      <w:pPr>
        <w:spacing w:line="276" w:lineRule="auto"/>
        <w:ind w:firstLine="708"/>
        <w:jc w:val="both"/>
        <w:rPr>
          <w:rFonts w:ascii="Tahoma" w:hAnsi="Tahoma" w:cs="Tahoma"/>
          <w:sz w:val="22"/>
          <w:szCs w:val="22"/>
        </w:rPr>
      </w:pPr>
    </w:p>
    <w:p w:rsidR="00567F17" w:rsidRDefault="00567F17" w:rsidP="00567F17">
      <w:pPr>
        <w:spacing w:line="276" w:lineRule="auto"/>
        <w:ind w:firstLine="708"/>
        <w:jc w:val="both"/>
        <w:rPr>
          <w:rFonts w:ascii="Tahoma" w:hAnsi="Tahoma" w:cs="Tahoma"/>
          <w:sz w:val="22"/>
          <w:szCs w:val="22"/>
        </w:rPr>
      </w:pPr>
    </w:p>
    <w:p w:rsidR="00D2586A" w:rsidRPr="007834F9" w:rsidRDefault="00D2586A" w:rsidP="00567F17">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D2586A" w:rsidRDefault="00D2586A" w:rsidP="00567F17">
      <w:pPr>
        <w:spacing w:line="276" w:lineRule="auto"/>
        <w:rPr>
          <w:rFonts w:ascii="Tahoma" w:hAnsi="Tahoma" w:cs="Tahoma"/>
          <w:b/>
          <w:sz w:val="22"/>
          <w:szCs w:val="22"/>
        </w:rPr>
      </w:pPr>
    </w:p>
    <w:p w:rsidR="00D2586A" w:rsidRDefault="00D2586A" w:rsidP="00567F17">
      <w:pPr>
        <w:spacing w:line="276" w:lineRule="auto"/>
        <w:rPr>
          <w:rFonts w:ascii="Tahoma" w:hAnsi="Tahoma" w:cs="Tahoma"/>
          <w:b/>
          <w:sz w:val="22"/>
          <w:szCs w:val="22"/>
        </w:rPr>
      </w:pPr>
    </w:p>
    <w:p w:rsidR="00D173AF" w:rsidRDefault="00D173AF" w:rsidP="00567F17">
      <w:pPr>
        <w:spacing w:line="276" w:lineRule="auto"/>
        <w:rPr>
          <w:rFonts w:ascii="Tahoma" w:hAnsi="Tahoma" w:cs="Tahoma"/>
          <w:b/>
          <w:sz w:val="22"/>
          <w:szCs w:val="22"/>
        </w:rPr>
      </w:pPr>
    </w:p>
    <w:p w:rsidR="00D173AF" w:rsidRPr="007834F9" w:rsidRDefault="00D173AF" w:rsidP="00567F17">
      <w:pPr>
        <w:spacing w:line="276" w:lineRule="auto"/>
        <w:rPr>
          <w:rFonts w:ascii="Tahoma" w:hAnsi="Tahoma" w:cs="Tahoma"/>
          <w:b/>
          <w:sz w:val="22"/>
          <w:szCs w:val="22"/>
        </w:rPr>
      </w:pPr>
    </w:p>
    <w:p w:rsidR="00D2586A" w:rsidRPr="007834F9" w:rsidRDefault="00D2586A" w:rsidP="00567F17">
      <w:pPr>
        <w:spacing w:line="276" w:lineRule="auto"/>
        <w:rPr>
          <w:rFonts w:ascii="Tahoma" w:hAnsi="Tahoma" w:cs="Tahoma"/>
          <w:b/>
          <w:sz w:val="22"/>
          <w:szCs w:val="22"/>
        </w:rPr>
      </w:pPr>
    </w:p>
    <w:p w:rsidR="00D2586A" w:rsidRPr="007834F9" w:rsidRDefault="00D2586A" w:rsidP="00567F17">
      <w:pPr>
        <w:spacing w:line="276" w:lineRule="auto"/>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D2586A" w:rsidRPr="007834F9" w:rsidRDefault="00D2586A" w:rsidP="00567F17">
      <w:pPr>
        <w:spacing w:line="276" w:lineRule="auto"/>
        <w:jc w:val="both"/>
        <w:rPr>
          <w:rFonts w:ascii="Tahoma" w:hAnsi="Tahoma" w:cs="Tahoma"/>
          <w:sz w:val="22"/>
          <w:szCs w:val="22"/>
        </w:rPr>
      </w:pPr>
    </w:p>
    <w:p w:rsidR="00D2586A" w:rsidRPr="007834F9" w:rsidRDefault="00D2586A" w:rsidP="00567F17">
      <w:pPr>
        <w:jc w:val="center"/>
        <w:rPr>
          <w:rFonts w:ascii="Tahoma" w:hAnsi="Tahoma" w:cs="Tahoma"/>
          <w:b/>
          <w:sz w:val="22"/>
          <w:szCs w:val="22"/>
        </w:rPr>
      </w:pPr>
    </w:p>
    <w:p w:rsidR="00D2586A" w:rsidRDefault="00D2586A" w:rsidP="00567F17">
      <w:pPr>
        <w:jc w:val="center"/>
        <w:rPr>
          <w:rFonts w:ascii="Tahoma" w:hAnsi="Tahoma" w:cs="Tahoma"/>
          <w:b/>
          <w:sz w:val="22"/>
          <w:szCs w:val="22"/>
        </w:rPr>
      </w:pPr>
    </w:p>
    <w:p w:rsidR="00D173AF" w:rsidRPr="007834F9" w:rsidRDefault="00D173AF" w:rsidP="00567F17">
      <w:pPr>
        <w:jc w:val="center"/>
        <w:rPr>
          <w:rFonts w:ascii="Tahoma" w:hAnsi="Tahoma" w:cs="Tahoma"/>
          <w:b/>
          <w:sz w:val="22"/>
          <w:szCs w:val="22"/>
        </w:rPr>
      </w:pPr>
    </w:p>
    <w:p w:rsidR="00D2586A" w:rsidRPr="007834F9" w:rsidRDefault="00D2586A" w:rsidP="00567F17">
      <w:pPr>
        <w:jc w:val="center"/>
        <w:rPr>
          <w:rFonts w:ascii="Tahoma" w:hAnsi="Tahoma" w:cs="Tahoma"/>
          <w:b/>
          <w:sz w:val="22"/>
          <w:szCs w:val="22"/>
        </w:rPr>
      </w:pPr>
    </w:p>
    <w:p w:rsidR="00D2586A" w:rsidRPr="007834F9" w:rsidRDefault="00D2586A" w:rsidP="00567F17">
      <w:pPr>
        <w:jc w:val="center"/>
        <w:rPr>
          <w:rFonts w:ascii="Tahoma" w:hAnsi="Tahoma" w:cs="Tahoma"/>
          <w:b/>
          <w:sz w:val="22"/>
          <w:szCs w:val="22"/>
        </w:rPr>
      </w:pPr>
      <w:r>
        <w:rPr>
          <w:rFonts w:ascii="Tahoma" w:hAnsi="Tahoma" w:cs="Tahoma"/>
          <w:b/>
          <w:sz w:val="22"/>
          <w:szCs w:val="22"/>
        </w:rPr>
        <w:t>________________________</w:t>
      </w:r>
    </w:p>
    <w:p w:rsidR="00D2586A" w:rsidRPr="007834F9" w:rsidRDefault="00D2586A" w:rsidP="00567F17">
      <w:pPr>
        <w:jc w:val="center"/>
        <w:rPr>
          <w:rFonts w:ascii="Tahoma" w:hAnsi="Tahoma" w:cs="Tahoma"/>
          <w:sz w:val="22"/>
          <w:szCs w:val="22"/>
        </w:rPr>
      </w:pPr>
      <w:r w:rsidRPr="007834F9">
        <w:rPr>
          <w:rFonts w:ascii="Tahoma" w:hAnsi="Tahoma" w:cs="Tahoma"/>
          <w:sz w:val="22"/>
          <w:szCs w:val="22"/>
        </w:rPr>
        <w:t>Secretari</w:t>
      </w:r>
      <w:r w:rsidR="009A1CFB">
        <w:rPr>
          <w:rFonts w:ascii="Tahoma" w:hAnsi="Tahoma" w:cs="Tahoma"/>
          <w:sz w:val="22"/>
          <w:szCs w:val="22"/>
        </w:rPr>
        <w:t>a</w:t>
      </w:r>
      <w:r w:rsidRPr="007834F9">
        <w:rPr>
          <w:rFonts w:ascii="Tahoma" w:hAnsi="Tahoma" w:cs="Tahoma"/>
          <w:sz w:val="22"/>
          <w:szCs w:val="22"/>
        </w:rPr>
        <w:t xml:space="preserve"> Ad-Hoc</w:t>
      </w:r>
    </w:p>
    <w:p w:rsidR="00502262" w:rsidRDefault="00502262" w:rsidP="00567F17">
      <w:pPr>
        <w:tabs>
          <w:tab w:val="left" w:pos="748"/>
        </w:tabs>
        <w:spacing w:line="276" w:lineRule="auto"/>
        <w:jc w:val="both"/>
        <w:rPr>
          <w:rFonts w:ascii="Tahoma" w:hAnsi="Tahoma" w:cs="Tahoma"/>
          <w:sz w:val="22"/>
          <w:szCs w:val="22"/>
        </w:rPr>
      </w:pPr>
    </w:p>
    <w:p w:rsidR="009A1CFB" w:rsidRDefault="009A1CFB" w:rsidP="00567F17">
      <w:pPr>
        <w:tabs>
          <w:tab w:val="left" w:pos="748"/>
        </w:tabs>
        <w:spacing w:line="276" w:lineRule="auto"/>
        <w:jc w:val="both"/>
        <w:rPr>
          <w:rFonts w:ascii="Tahoma" w:hAnsi="Tahoma" w:cs="Tahoma"/>
          <w:sz w:val="22"/>
          <w:szCs w:val="22"/>
        </w:rPr>
      </w:pPr>
    </w:p>
    <w:p w:rsidR="009A1CFB" w:rsidRDefault="009A1CFB" w:rsidP="00567F17">
      <w:pPr>
        <w:tabs>
          <w:tab w:val="left" w:pos="748"/>
        </w:tabs>
        <w:spacing w:line="276" w:lineRule="auto"/>
        <w:jc w:val="both"/>
        <w:rPr>
          <w:rFonts w:ascii="Tahoma" w:hAnsi="Tahoma" w:cs="Tahoma"/>
          <w:sz w:val="22"/>
          <w:szCs w:val="22"/>
        </w:rPr>
      </w:pPr>
    </w:p>
    <w:p w:rsidR="009A1CFB" w:rsidRDefault="009A1CFB" w:rsidP="00567F17">
      <w:pPr>
        <w:tabs>
          <w:tab w:val="left" w:pos="748"/>
        </w:tabs>
        <w:spacing w:line="276" w:lineRule="auto"/>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840"/>
        <w:gridCol w:w="762"/>
        <w:gridCol w:w="1461"/>
        <w:gridCol w:w="1626"/>
      </w:tblGrid>
      <w:tr w:rsidR="009A1CFB" w:rsidRPr="009A1CFB" w:rsidTr="009A1CFB">
        <w:trPr>
          <w:trHeight w:val="20"/>
          <w:jc w:val="center"/>
        </w:trPr>
        <w:tc>
          <w:tcPr>
            <w:tcW w:w="0" w:type="auto"/>
            <w:shd w:val="clear" w:color="000000" w:fill="FFFF99"/>
            <w:vAlign w:val="center"/>
            <w:hideMark/>
          </w:tcPr>
          <w:p w:rsidR="009A1CFB" w:rsidRPr="009A1CFB" w:rsidRDefault="009A1CFB" w:rsidP="00567F17">
            <w:pPr>
              <w:jc w:val="center"/>
              <w:rPr>
                <w:rFonts w:asciiTheme="minorHAnsi" w:hAnsiTheme="minorHAnsi"/>
                <w:b/>
                <w:bCs/>
                <w:color w:val="000000"/>
                <w:sz w:val="16"/>
                <w:szCs w:val="16"/>
              </w:rPr>
            </w:pPr>
            <w:r w:rsidRPr="009A1CFB">
              <w:rPr>
                <w:rFonts w:asciiTheme="minorHAnsi" w:hAnsiTheme="minorHAnsi"/>
                <w:b/>
                <w:bCs/>
                <w:color w:val="000000"/>
                <w:sz w:val="16"/>
                <w:szCs w:val="16"/>
              </w:rPr>
              <w:t>Desde</w:t>
            </w:r>
          </w:p>
        </w:tc>
        <w:tc>
          <w:tcPr>
            <w:tcW w:w="0" w:type="auto"/>
            <w:shd w:val="clear" w:color="000000" w:fill="FFFF99"/>
            <w:vAlign w:val="center"/>
            <w:hideMark/>
          </w:tcPr>
          <w:p w:rsidR="009A1CFB" w:rsidRPr="009A1CFB" w:rsidRDefault="009A1CFB" w:rsidP="00567F17">
            <w:pPr>
              <w:jc w:val="center"/>
              <w:rPr>
                <w:rFonts w:asciiTheme="minorHAnsi" w:hAnsiTheme="minorHAnsi"/>
                <w:b/>
                <w:bCs/>
                <w:color w:val="000000"/>
                <w:sz w:val="16"/>
                <w:szCs w:val="16"/>
              </w:rPr>
            </w:pPr>
            <w:r w:rsidRPr="009A1CFB">
              <w:rPr>
                <w:rFonts w:asciiTheme="minorHAnsi" w:hAnsiTheme="minorHAnsi"/>
                <w:b/>
                <w:bCs/>
                <w:color w:val="000000"/>
                <w:sz w:val="16"/>
                <w:szCs w:val="16"/>
              </w:rPr>
              <w:t>Hasta</w:t>
            </w:r>
          </w:p>
        </w:tc>
        <w:tc>
          <w:tcPr>
            <w:tcW w:w="0" w:type="auto"/>
            <w:shd w:val="clear" w:color="000000" w:fill="FFFF99"/>
            <w:vAlign w:val="center"/>
            <w:hideMark/>
          </w:tcPr>
          <w:p w:rsidR="009A1CFB" w:rsidRPr="009A1CFB" w:rsidRDefault="009A1CFB" w:rsidP="00567F17">
            <w:pPr>
              <w:jc w:val="center"/>
              <w:rPr>
                <w:rFonts w:asciiTheme="minorHAnsi" w:hAnsiTheme="minorHAnsi"/>
                <w:b/>
                <w:bCs/>
                <w:color w:val="000000"/>
                <w:sz w:val="16"/>
                <w:szCs w:val="16"/>
              </w:rPr>
            </w:pPr>
            <w:r w:rsidRPr="009A1CFB">
              <w:rPr>
                <w:rFonts w:asciiTheme="minorHAnsi" w:hAnsiTheme="minorHAnsi"/>
                <w:b/>
                <w:bCs/>
                <w:color w:val="000000"/>
                <w:sz w:val="16"/>
                <w:szCs w:val="16"/>
              </w:rPr>
              <w:t>Causadas</w:t>
            </w:r>
          </w:p>
        </w:tc>
        <w:tc>
          <w:tcPr>
            <w:tcW w:w="0" w:type="auto"/>
            <w:shd w:val="clear" w:color="000000" w:fill="FFFF99"/>
            <w:vAlign w:val="center"/>
            <w:hideMark/>
          </w:tcPr>
          <w:p w:rsidR="009A1CFB" w:rsidRPr="009A1CFB" w:rsidRDefault="009A1CFB" w:rsidP="00567F17">
            <w:pPr>
              <w:jc w:val="center"/>
              <w:rPr>
                <w:rFonts w:asciiTheme="minorHAnsi" w:hAnsiTheme="minorHAnsi"/>
                <w:b/>
                <w:bCs/>
                <w:color w:val="000000"/>
                <w:sz w:val="16"/>
                <w:szCs w:val="16"/>
              </w:rPr>
            </w:pPr>
            <w:r w:rsidRPr="009A1CFB">
              <w:rPr>
                <w:rFonts w:asciiTheme="minorHAnsi" w:hAnsiTheme="minorHAnsi"/>
                <w:b/>
                <w:bCs/>
                <w:color w:val="000000"/>
                <w:sz w:val="16"/>
                <w:szCs w:val="16"/>
              </w:rPr>
              <w:t>Mesada reliquidada</w:t>
            </w:r>
          </w:p>
        </w:tc>
        <w:tc>
          <w:tcPr>
            <w:tcW w:w="0" w:type="auto"/>
            <w:shd w:val="clear" w:color="000000" w:fill="FFFF99"/>
            <w:vAlign w:val="center"/>
            <w:hideMark/>
          </w:tcPr>
          <w:p w:rsidR="009A1CFB" w:rsidRPr="009A1CFB" w:rsidRDefault="009A1CFB" w:rsidP="00567F17">
            <w:pPr>
              <w:jc w:val="center"/>
              <w:rPr>
                <w:rFonts w:asciiTheme="minorHAnsi" w:hAnsiTheme="minorHAnsi"/>
                <w:b/>
                <w:bCs/>
                <w:color w:val="000000"/>
                <w:sz w:val="16"/>
                <w:szCs w:val="16"/>
              </w:rPr>
            </w:pPr>
            <w:r w:rsidRPr="009A1CFB">
              <w:rPr>
                <w:rFonts w:asciiTheme="minorHAnsi" w:hAnsiTheme="minorHAnsi"/>
                <w:b/>
                <w:bCs/>
                <w:color w:val="000000"/>
                <w:sz w:val="16"/>
                <w:szCs w:val="16"/>
              </w:rPr>
              <w:t xml:space="preserve"> Diferencias a cancelar </w:t>
            </w:r>
          </w:p>
        </w:tc>
      </w:tr>
      <w:tr w:rsidR="009A1CFB" w:rsidRPr="009A1CFB" w:rsidTr="009A1CFB">
        <w:trPr>
          <w:trHeight w:val="20"/>
          <w:jc w:val="center"/>
        </w:trPr>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01-oct-12</w:t>
            </w:r>
          </w:p>
        </w:tc>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31-dic-12</w:t>
            </w:r>
          </w:p>
        </w:tc>
        <w:tc>
          <w:tcPr>
            <w:tcW w:w="0" w:type="auto"/>
            <w:shd w:val="clear" w:color="000000" w:fill="FFFFCC"/>
            <w:noWrap/>
            <w:vAlign w:val="bottom"/>
            <w:hideMark/>
          </w:tcPr>
          <w:p w:rsidR="009A1CFB" w:rsidRPr="009A1CFB" w:rsidRDefault="009A1CFB" w:rsidP="00567F17">
            <w:pPr>
              <w:jc w:val="center"/>
              <w:rPr>
                <w:rFonts w:asciiTheme="minorHAnsi" w:hAnsiTheme="minorHAnsi"/>
                <w:sz w:val="16"/>
                <w:szCs w:val="16"/>
              </w:rPr>
            </w:pPr>
            <w:r w:rsidRPr="009A1CFB">
              <w:rPr>
                <w:rFonts w:asciiTheme="minorHAnsi" w:hAnsiTheme="minorHAnsi"/>
                <w:sz w:val="16"/>
                <w:szCs w:val="16"/>
              </w:rPr>
              <w:t>4,00</w:t>
            </w:r>
          </w:p>
        </w:tc>
        <w:tc>
          <w:tcPr>
            <w:tcW w:w="0" w:type="auto"/>
            <w:shd w:val="clear" w:color="000000" w:fill="FFFFCC"/>
            <w:vAlign w:val="bottom"/>
            <w:hideMark/>
          </w:tcPr>
          <w:p w:rsidR="009A1CFB" w:rsidRPr="009A1CFB" w:rsidRDefault="009A1CFB" w:rsidP="00567F17">
            <w:pPr>
              <w:rPr>
                <w:rFonts w:asciiTheme="minorHAnsi" w:hAnsiTheme="minorHAnsi"/>
                <w:sz w:val="16"/>
                <w:szCs w:val="16"/>
              </w:rPr>
            </w:pPr>
            <w:r w:rsidRPr="009A1CFB">
              <w:rPr>
                <w:rFonts w:asciiTheme="minorHAnsi" w:hAnsiTheme="minorHAnsi"/>
                <w:sz w:val="16"/>
                <w:szCs w:val="16"/>
              </w:rPr>
              <w:t xml:space="preserve">        566.700 </w:t>
            </w:r>
          </w:p>
        </w:tc>
        <w:tc>
          <w:tcPr>
            <w:tcW w:w="0" w:type="auto"/>
            <w:shd w:val="clear" w:color="000000" w:fill="FFFFCC"/>
            <w:noWrap/>
            <w:vAlign w:val="center"/>
            <w:hideMark/>
          </w:tcPr>
          <w:p w:rsidR="009A1CFB" w:rsidRPr="009A1CFB" w:rsidRDefault="009A1CFB" w:rsidP="00567F17">
            <w:pPr>
              <w:rPr>
                <w:rFonts w:asciiTheme="minorHAnsi" w:hAnsiTheme="minorHAnsi"/>
                <w:color w:val="000000"/>
                <w:sz w:val="16"/>
                <w:szCs w:val="16"/>
              </w:rPr>
            </w:pPr>
            <w:r w:rsidRPr="009A1CFB">
              <w:rPr>
                <w:rFonts w:asciiTheme="minorHAnsi" w:hAnsiTheme="minorHAnsi"/>
                <w:color w:val="000000"/>
                <w:sz w:val="16"/>
                <w:szCs w:val="16"/>
              </w:rPr>
              <w:t xml:space="preserve">        2.266.800 </w:t>
            </w:r>
          </w:p>
        </w:tc>
      </w:tr>
      <w:tr w:rsidR="009A1CFB" w:rsidRPr="009A1CFB" w:rsidTr="009A1CFB">
        <w:trPr>
          <w:trHeight w:val="20"/>
          <w:jc w:val="center"/>
        </w:trPr>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01-ene-13</w:t>
            </w:r>
          </w:p>
        </w:tc>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31-dic-13</w:t>
            </w:r>
          </w:p>
        </w:tc>
        <w:tc>
          <w:tcPr>
            <w:tcW w:w="0" w:type="auto"/>
            <w:shd w:val="clear" w:color="000000" w:fill="FFFFCC"/>
            <w:noWrap/>
            <w:vAlign w:val="bottom"/>
            <w:hideMark/>
          </w:tcPr>
          <w:p w:rsidR="009A1CFB" w:rsidRPr="009A1CFB" w:rsidRDefault="009A1CFB" w:rsidP="00567F17">
            <w:pPr>
              <w:jc w:val="center"/>
              <w:rPr>
                <w:rFonts w:asciiTheme="minorHAnsi" w:hAnsiTheme="minorHAnsi"/>
                <w:sz w:val="16"/>
                <w:szCs w:val="16"/>
              </w:rPr>
            </w:pPr>
            <w:r w:rsidRPr="009A1CFB">
              <w:rPr>
                <w:rFonts w:asciiTheme="minorHAnsi" w:hAnsiTheme="minorHAnsi"/>
                <w:sz w:val="16"/>
                <w:szCs w:val="16"/>
              </w:rPr>
              <w:t>13,00</w:t>
            </w:r>
          </w:p>
        </w:tc>
        <w:tc>
          <w:tcPr>
            <w:tcW w:w="0" w:type="auto"/>
            <w:shd w:val="clear" w:color="000000" w:fill="FFFFCC"/>
            <w:vAlign w:val="bottom"/>
            <w:hideMark/>
          </w:tcPr>
          <w:p w:rsidR="009A1CFB" w:rsidRPr="009A1CFB" w:rsidRDefault="009A1CFB" w:rsidP="00567F17">
            <w:pPr>
              <w:rPr>
                <w:rFonts w:asciiTheme="minorHAnsi" w:hAnsiTheme="minorHAnsi"/>
                <w:sz w:val="16"/>
                <w:szCs w:val="16"/>
              </w:rPr>
            </w:pPr>
            <w:r w:rsidRPr="009A1CFB">
              <w:rPr>
                <w:rFonts w:asciiTheme="minorHAnsi" w:hAnsiTheme="minorHAnsi"/>
                <w:sz w:val="16"/>
                <w:szCs w:val="16"/>
              </w:rPr>
              <w:t xml:space="preserve">        589.500 </w:t>
            </w:r>
          </w:p>
        </w:tc>
        <w:tc>
          <w:tcPr>
            <w:tcW w:w="0" w:type="auto"/>
            <w:shd w:val="clear" w:color="000000" w:fill="FFFFCC"/>
            <w:noWrap/>
            <w:vAlign w:val="center"/>
            <w:hideMark/>
          </w:tcPr>
          <w:p w:rsidR="009A1CFB" w:rsidRPr="009A1CFB" w:rsidRDefault="009A1CFB" w:rsidP="00567F17">
            <w:pPr>
              <w:rPr>
                <w:rFonts w:asciiTheme="minorHAnsi" w:hAnsiTheme="minorHAnsi"/>
                <w:color w:val="000000"/>
                <w:sz w:val="16"/>
                <w:szCs w:val="16"/>
              </w:rPr>
            </w:pPr>
            <w:r w:rsidRPr="009A1CFB">
              <w:rPr>
                <w:rFonts w:asciiTheme="minorHAnsi" w:hAnsiTheme="minorHAnsi"/>
                <w:color w:val="000000"/>
                <w:sz w:val="16"/>
                <w:szCs w:val="16"/>
              </w:rPr>
              <w:t xml:space="preserve">        7.663.500 </w:t>
            </w:r>
          </w:p>
        </w:tc>
      </w:tr>
      <w:tr w:rsidR="009A1CFB" w:rsidRPr="009A1CFB" w:rsidTr="009A1CFB">
        <w:trPr>
          <w:trHeight w:val="20"/>
          <w:jc w:val="center"/>
        </w:trPr>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01-ene-14</w:t>
            </w:r>
          </w:p>
        </w:tc>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31-dic-14</w:t>
            </w:r>
          </w:p>
        </w:tc>
        <w:tc>
          <w:tcPr>
            <w:tcW w:w="0" w:type="auto"/>
            <w:shd w:val="clear" w:color="000000" w:fill="FFFFCC"/>
            <w:noWrap/>
            <w:vAlign w:val="bottom"/>
            <w:hideMark/>
          </w:tcPr>
          <w:p w:rsidR="009A1CFB" w:rsidRPr="009A1CFB" w:rsidRDefault="009A1CFB" w:rsidP="00567F17">
            <w:pPr>
              <w:jc w:val="center"/>
              <w:rPr>
                <w:rFonts w:asciiTheme="minorHAnsi" w:hAnsiTheme="minorHAnsi"/>
                <w:sz w:val="16"/>
                <w:szCs w:val="16"/>
              </w:rPr>
            </w:pPr>
            <w:r w:rsidRPr="009A1CFB">
              <w:rPr>
                <w:rFonts w:asciiTheme="minorHAnsi" w:hAnsiTheme="minorHAnsi"/>
                <w:sz w:val="16"/>
                <w:szCs w:val="16"/>
              </w:rPr>
              <w:t>13,00</w:t>
            </w:r>
          </w:p>
        </w:tc>
        <w:tc>
          <w:tcPr>
            <w:tcW w:w="0" w:type="auto"/>
            <w:shd w:val="clear" w:color="000000" w:fill="FFFFCC"/>
            <w:vAlign w:val="bottom"/>
            <w:hideMark/>
          </w:tcPr>
          <w:p w:rsidR="009A1CFB" w:rsidRPr="009A1CFB" w:rsidRDefault="009A1CFB" w:rsidP="00567F17">
            <w:pPr>
              <w:rPr>
                <w:rFonts w:asciiTheme="minorHAnsi" w:hAnsiTheme="minorHAnsi"/>
                <w:sz w:val="16"/>
                <w:szCs w:val="16"/>
              </w:rPr>
            </w:pPr>
            <w:r w:rsidRPr="009A1CFB">
              <w:rPr>
                <w:rFonts w:asciiTheme="minorHAnsi" w:hAnsiTheme="minorHAnsi"/>
                <w:sz w:val="16"/>
                <w:szCs w:val="16"/>
              </w:rPr>
              <w:t xml:space="preserve">        616.000 </w:t>
            </w:r>
          </w:p>
        </w:tc>
        <w:tc>
          <w:tcPr>
            <w:tcW w:w="0" w:type="auto"/>
            <w:shd w:val="clear" w:color="000000" w:fill="FFFFCC"/>
            <w:noWrap/>
            <w:vAlign w:val="center"/>
            <w:hideMark/>
          </w:tcPr>
          <w:p w:rsidR="009A1CFB" w:rsidRPr="009A1CFB" w:rsidRDefault="009A1CFB" w:rsidP="00567F17">
            <w:pPr>
              <w:rPr>
                <w:rFonts w:asciiTheme="minorHAnsi" w:hAnsiTheme="minorHAnsi"/>
                <w:color w:val="000000"/>
                <w:sz w:val="16"/>
                <w:szCs w:val="16"/>
              </w:rPr>
            </w:pPr>
            <w:r w:rsidRPr="009A1CFB">
              <w:rPr>
                <w:rFonts w:asciiTheme="minorHAnsi" w:hAnsiTheme="minorHAnsi"/>
                <w:color w:val="000000"/>
                <w:sz w:val="16"/>
                <w:szCs w:val="16"/>
              </w:rPr>
              <w:t xml:space="preserve">        8.008.000 </w:t>
            </w:r>
          </w:p>
        </w:tc>
      </w:tr>
      <w:tr w:rsidR="009A1CFB" w:rsidRPr="009A1CFB" w:rsidTr="009A1CFB">
        <w:trPr>
          <w:trHeight w:val="20"/>
          <w:jc w:val="center"/>
        </w:trPr>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01-ene-15</w:t>
            </w:r>
          </w:p>
        </w:tc>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31-dic-15</w:t>
            </w:r>
          </w:p>
        </w:tc>
        <w:tc>
          <w:tcPr>
            <w:tcW w:w="0" w:type="auto"/>
            <w:shd w:val="clear" w:color="000000" w:fill="FFFFCC"/>
            <w:noWrap/>
            <w:vAlign w:val="bottom"/>
            <w:hideMark/>
          </w:tcPr>
          <w:p w:rsidR="009A1CFB" w:rsidRPr="009A1CFB" w:rsidRDefault="009A1CFB" w:rsidP="00567F17">
            <w:pPr>
              <w:jc w:val="center"/>
              <w:rPr>
                <w:rFonts w:asciiTheme="minorHAnsi" w:hAnsiTheme="minorHAnsi"/>
                <w:sz w:val="16"/>
                <w:szCs w:val="16"/>
              </w:rPr>
            </w:pPr>
            <w:r w:rsidRPr="009A1CFB">
              <w:rPr>
                <w:rFonts w:asciiTheme="minorHAnsi" w:hAnsiTheme="minorHAnsi"/>
                <w:sz w:val="16"/>
                <w:szCs w:val="16"/>
              </w:rPr>
              <w:t>13,00</w:t>
            </w:r>
          </w:p>
        </w:tc>
        <w:tc>
          <w:tcPr>
            <w:tcW w:w="0" w:type="auto"/>
            <w:shd w:val="clear" w:color="000000" w:fill="FFFFCC"/>
            <w:vAlign w:val="bottom"/>
            <w:hideMark/>
          </w:tcPr>
          <w:p w:rsidR="009A1CFB" w:rsidRPr="009A1CFB" w:rsidRDefault="009A1CFB" w:rsidP="00567F17">
            <w:pPr>
              <w:rPr>
                <w:rFonts w:asciiTheme="minorHAnsi" w:hAnsiTheme="minorHAnsi"/>
                <w:sz w:val="16"/>
                <w:szCs w:val="16"/>
              </w:rPr>
            </w:pPr>
            <w:r w:rsidRPr="009A1CFB">
              <w:rPr>
                <w:rFonts w:asciiTheme="minorHAnsi" w:hAnsiTheme="minorHAnsi"/>
                <w:sz w:val="16"/>
                <w:szCs w:val="16"/>
              </w:rPr>
              <w:t xml:space="preserve">        644.350 </w:t>
            </w:r>
          </w:p>
        </w:tc>
        <w:tc>
          <w:tcPr>
            <w:tcW w:w="0" w:type="auto"/>
            <w:shd w:val="clear" w:color="000000" w:fill="FFFFCC"/>
            <w:noWrap/>
            <w:vAlign w:val="center"/>
            <w:hideMark/>
          </w:tcPr>
          <w:p w:rsidR="009A1CFB" w:rsidRPr="009A1CFB" w:rsidRDefault="009A1CFB" w:rsidP="00567F17">
            <w:pPr>
              <w:rPr>
                <w:rFonts w:asciiTheme="minorHAnsi" w:hAnsiTheme="minorHAnsi"/>
                <w:color w:val="000000"/>
                <w:sz w:val="16"/>
                <w:szCs w:val="16"/>
              </w:rPr>
            </w:pPr>
            <w:r w:rsidRPr="009A1CFB">
              <w:rPr>
                <w:rFonts w:asciiTheme="minorHAnsi" w:hAnsiTheme="minorHAnsi"/>
                <w:color w:val="000000"/>
                <w:sz w:val="16"/>
                <w:szCs w:val="16"/>
              </w:rPr>
              <w:t xml:space="preserve">        8.376.550 </w:t>
            </w:r>
          </w:p>
        </w:tc>
      </w:tr>
      <w:tr w:rsidR="009A1CFB" w:rsidRPr="009A1CFB" w:rsidTr="009A1CFB">
        <w:trPr>
          <w:trHeight w:val="20"/>
          <w:jc w:val="center"/>
        </w:trPr>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01-ene-16</w:t>
            </w:r>
          </w:p>
        </w:tc>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31-dic-16</w:t>
            </w:r>
          </w:p>
        </w:tc>
        <w:tc>
          <w:tcPr>
            <w:tcW w:w="0" w:type="auto"/>
            <w:shd w:val="clear" w:color="000000" w:fill="FFFFCC"/>
            <w:noWrap/>
            <w:vAlign w:val="bottom"/>
            <w:hideMark/>
          </w:tcPr>
          <w:p w:rsidR="009A1CFB" w:rsidRPr="009A1CFB" w:rsidRDefault="009A1CFB" w:rsidP="00567F17">
            <w:pPr>
              <w:jc w:val="center"/>
              <w:rPr>
                <w:rFonts w:asciiTheme="minorHAnsi" w:hAnsiTheme="minorHAnsi"/>
                <w:sz w:val="16"/>
                <w:szCs w:val="16"/>
              </w:rPr>
            </w:pPr>
            <w:r w:rsidRPr="009A1CFB">
              <w:rPr>
                <w:rFonts w:asciiTheme="minorHAnsi" w:hAnsiTheme="minorHAnsi"/>
                <w:sz w:val="16"/>
                <w:szCs w:val="16"/>
              </w:rPr>
              <w:t>13,00</w:t>
            </w:r>
          </w:p>
        </w:tc>
        <w:tc>
          <w:tcPr>
            <w:tcW w:w="0" w:type="auto"/>
            <w:shd w:val="clear" w:color="000000" w:fill="FFFFCC"/>
            <w:vAlign w:val="bottom"/>
            <w:hideMark/>
          </w:tcPr>
          <w:p w:rsidR="009A1CFB" w:rsidRPr="009A1CFB" w:rsidRDefault="009A1CFB" w:rsidP="00567F17">
            <w:pPr>
              <w:rPr>
                <w:rFonts w:asciiTheme="minorHAnsi" w:hAnsiTheme="minorHAnsi"/>
                <w:sz w:val="16"/>
                <w:szCs w:val="16"/>
              </w:rPr>
            </w:pPr>
            <w:r w:rsidRPr="009A1CFB">
              <w:rPr>
                <w:rFonts w:asciiTheme="minorHAnsi" w:hAnsiTheme="minorHAnsi"/>
                <w:sz w:val="16"/>
                <w:szCs w:val="16"/>
              </w:rPr>
              <w:t xml:space="preserve">        689.455 </w:t>
            </w:r>
          </w:p>
        </w:tc>
        <w:tc>
          <w:tcPr>
            <w:tcW w:w="0" w:type="auto"/>
            <w:shd w:val="clear" w:color="000000" w:fill="FFFFCC"/>
            <w:noWrap/>
            <w:vAlign w:val="center"/>
            <w:hideMark/>
          </w:tcPr>
          <w:p w:rsidR="009A1CFB" w:rsidRPr="009A1CFB" w:rsidRDefault="009A1CFB" w:rsidP="00567F17">
            <w:pPr>
              <w:rPr>
                <w:rFonts w:asciiTheme="minorHAnsi" w:hAnsiTheme="minorHAnsi"/>
                <w:color w:val="000000"/>
                <w:sz w:val="16"/>
                <w:szCs w:val="16"/>
              </w:rPr>
            </w:pPr>
            <w:r w:rsidRPr="009A1CFB">
              <w:rPr>
                <w:rFonts w:asciiTheme="minorHAnsi" w:hAnsiTheme="minorHAnsi"/>
                <w:color w:val="000000"/>
                <w:sz w:val="16"/>
                <w:szCs w:val="16"/>
              </w:rPr>
              <w:t xml:space="preserve">        8.962.915 </w:t>
            </w:r>
          </w:p>
        </w:tc>
      </w:tr>
      <w:tr w:rsidR="009A1CFB" w:rsidRPr="009A1CFB" w:rsidTr="009A1CFB">
        <w:trPr>
          <w:trHeight w:val="20"/>
          <w:jc w:val="center"/>
        </w:trPr>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01-ene-17</w:t>
            </w:r>
          </w:p>
        </w:tc>
        <w:tc>
          <w:tcPr>
            <w:tcW w:w="0" w:type="auto"/>
            <w:shd w:val="clear" w:color="auto" w:fill="auto"/>
            <w:noWrap/>
            <w:vAlign w:val="center"/>
            <w:hideMark/>
          </w:tcPr>
          <w:p w:rsidR="009A1CFB" w:rsidRPr="009A1CFB" w:rsidRDefault="009A1CFB" w:rsidP="00567F17">
            <w:pPr>
              <w:jc w:val="right"/>
              <w:rPr>
                <w:rFonts w:asciiTheme="minorHAnsi" w:hAnsiTheme="minorHAnsi"/>
                <w:color w:val="000000"/>
                <w:sz w:val="16"/>
                <w:szCs w:val="16"/>
              </w:rPr>
            </w:pPr>
            <w:r w:rsidRPr="009A1CFB">
              <w:rPr>
                <w:rFonts w:asciiTheme="minorHAnsi" w:hAnsiTheme="minorHAnsi"/>
                <w:color w:val="000000"/>
                <w:sz w:val="16"/>
                <w:szCs w:val="16"/>
              </w:rPr>
              <w:t>3</w:t>
            </w:r>
            <w:r w:rsidR="007017FD">
              <w:rPr>
                <w:rFonts w:asciiTheme="minorHAnsi" w:hAnsiTheme="minorHAnsi"/>
                <w:color w:val="000000"/>
                <w:sz w:val="16"/>
                <w:szCs w:val="16"/>
              </w:rPr>
              <w:t>1</w:t>
            </w:r>
            <w:r w:rsidRPr="009A1CFB">
              <w:rPr>
                <w:rFonts w:asciiTheme="minorHAnsi" w:hAnsiTheme="minorHAnsi"/>
                <w:color w:val="000000"/>
                <w:sz w:val="16"/>
                <w:szCs w:val="16"/>
              </w:rPr>
              <w:t>-may-17</w:t>
            </w:r>
          </w:p>
        </w:tc>
        <w:tc>
          <w:tcPr>
            <w:tcW w:w="0" w:type="auto"/>
            <w:shd w:val="clear" w:color="000000" w:fill="FFFFCC"/>
            <w:noWrap/>
            <w:vAlign w:val="bottom"/>
            <w:hideMark/>
          </w:tcPr>
          <w:p w:rsidR="009A1CFB" w:rsidRPr="009A1CFB" w:rsidRDefault="009A1CFB" w:rsidP="00567F17">
            <w:pPr>
              <w:jc w:val="center"/>
              <w:rPr>
                <w:rFonts w:asciiTheme="minorHAnsi" w:hAnsiTheme="minorHAnsi"/>
                <w:sz w:val="16"/>
                <w:szCs w:val="16"/>
              </w:rPr>
            </w:pPr>
            <w:r w:rsidRPr="009A1CFB">
              <w:rPr>
                <w:rFonts w:asciiTheme="minorHAnsi" w:hAnsiTheme="minorHAnsi"/>
                <w:sz w:val="16"/>
                <w:szCs w:val="16"/>
              </w:rPr>
              <w:t>5,00</w:t>
            </w:r>
          </w:p>
        </w:tc>
        <w:tc>
          <w:tcPr>
            <w:tcW w:w="0" w:type="auto"/>
            <w:shd w:val="clear" w:color="000000" w:fill="FFFFCC"/>
            <w:vAlign w:val="bottom"/>
            <w:hideMark/>
          </w:tcPr>
          <w:p w:rsidR="009A1CFB" w:rsidRPr="009A1CFB" w:rsidRDefault="009A1CFB" w:rsidP="00567F17">
            <w:pPr>
              <w:rPr>
                <w:rFonts w:asciiTheme="minorHAnsi" w:hAnsiTheme="minorHAnsi"/>
                <w:sz w:val="16"/>
                <w:szCs w:val="16"/>
              </w:rPr>
            </w:pPr>
            <w:r w:rsidRPr="009A1CFB">
              <w:rPr>
                <w:rFonts w:asciiTheme="minorHAnsi" w:hAnsiTheme="minorHAnsi"/>
                <w:sz w:val="16"/>
                <w:szCs w:val="16"/>
              </w:rPr>
              <w:t xml:space="preserve">        737.717 </w:t>
            </w:r>
          </w:p>
        </w:tc>
        <w:tc>
          <w:tcPr>
            <w:tcW w:w="0" w:type="auto"/>
            <w:shd w:val="clear" w:color="000000" w:fill="FFFFCC"/>
            <w:noWrap/>
            <w:vAlign w:val="center"/>
            <w:hideMark/>
          </w:tcPr>
          <w:p w:rsidR="009A1CFB" w:rsidRPr="009A1CFB" w:rsidRDefault="009A1CFB" w:rsidP="00567F17">
            <w:pPr>
              <w:rPr>
                <w:rFonts w:asciiTheme="minorHAnsi" w:hAnsiTheme="minorHAnsi"/>
                <w:color w:val="000000"/>
                <w:sz w:val="16"/>
                <w:szCs w:val="16"/>
              </w:rPr>
            </w:pPr>
            <w:r w:rsidRPr="009A1CFB">
              <w:rPr>
                <w:rFonts w:asciiTheme="minorHAnsi" w:hAnsiTheme="minorHAnsi"/>
                <w:color w:val="000000"/>
                <w:sz w:val="16"/>
                <w:szCs w:val="16"/>
              </w:rPr>
              <w:t xml:space="preserve">        3.688.585 </w:t>
            </w:r>
          </w:p>
        </w:tc>
      </w:tr>
      <w:tr w:rsidR="009A1CFB" w:rsidRPr="009A1CFB" w:rsidTr="009A1CFB">
        <w:trPr>
          <w:trHeight w:val="20"/>
          <w:jc w:val="center"/>
        </w:trPr>
        <w:tc>
          <w:tcPr>
            <w:tcW w:w="0" w:type="auto"/>
            <w:gridSpan w:val="4"/>
            <w:shd w:val="clear" w:color="000000" w:fill="FFFFCC"/>
            <w:vAlign w:val="bottom"/>
            <w:hideMark/>
          </w:tcPr>
          <w:p w:rsidR="009A1CFB" w:rsidRPr="009A1CFB" w:rsidRDefault="009A1CFB" w:rsidP="00567F17">
            <w:pPr>
              <w:jc w:val="center"/>
              <w:rPr>
                <w:rFonts w:asciiTheme="minorHAnsi" w:hAnsiTheme="minorHAnsi"/>
                <w:sz w:val="16"/>
                <w:szCs w:val="16"/>
              </w:rPr>
            </w:pPr>
            <w:r w:rsidRPr="009A1CFB">
              <w:rPr>
                <w:rFonts w:asciiTheme="minorHAnsi" w:hAnsiTheme="minorHAnsi"/>
                <w:sz w:val="16"/>
                <w:szCs w:val="16"/>
              </w:rPr>
              <w:t xml:space="preserve"> TOTALES </w:t>
            </w:r>
          </w:p>
        </w:tc>
        <w:tc>
          <w:tcPr>
            <w:tcW w:w="0" w:type="auto"/>
            <w:shd w:val="clear" w:color="000000" w:fill="FFFF00"/>
            <w:noWrap/>
            <w:vAlign w:val="center"/>
            <w:hideMark/>
          </w:tcPr>
          <w:p w:rsidR="009A1CFB" w:rsidRPr="009A1CFB" w:rsidRDefault="009A1CFB" w:rsidP="00567F17">
            <w:pPr>
              <w:rPr>
                <w:rFonts w:asciiTheme="minorHAnsi" w:hAnsiTheme="minorHAnsi"/>
                <w:color w:val="000000"/>
                <w:sz w:val="16"/>
                <w:szCs w:val="16"/>
              </w:rPr>
            </w:pPr>
            <w:r w:rsidRPr="009A1CFB">
              <w:rPr>
                <w:rFonts w:asciiTheme="minorHAnsi" w:hAnsiTheme="minorHAnsi"/>
                <w:color w:val="000000"/>
                <w:sz w:val="16"/>
                <w:szCs w:val="16"/>
              </w:rPr>
              <w:t xml:space="preserve">      38.966.350 </w:t>
            </w:r>
          </w:p>
        </w:tc>
      </w:tr>
    </w:tbl>
    <w:p w:rsidR="00502262" w:rsidRDefault="00502262" w:rsidP="00567F17">
      <w:pPr>
        <w:tabs>
          <w:tab w:val="left" w:pos="748"/>
        </w:tabs>
        <w:spacing w:line="276" w:lineRule="auto"/>
        <w:jc w:val="both"/>
        <w:rPr>
          <w:rFonts w:ascii="Tahoma" w:hAnsi="Tahoma" w:cs="Tahoma"/>
          <w:sz w:val="22"/>
          <w:szCs w:val="22"/>
        </w:rPr>
      </w:pPr>
    </w:p>
    <w:p w:rsidR="00502262" w:rsidRDefault="00502262" w:rsidP="00567F17">
      <w:pPr>
        <w:tabs>
          <w:tab w:val="left" w:pos="748"/>
        </w:tabs>
        <w:spacing w:line="276" w:lineRule="auto"/>
        <w:jc w:val="both"/>
        <w:rPr>
          <w:rFonts w:ascii="Tahoma" w:hAnsi="Tahoma" w:cs="Tahoma"/>
          <w:sz w:val="22"/>
          <w:szCs w:val="22"/>
        </w:rPr>
      </w:pPr>
    </w:p>
    <w:p w:rsidR="009A1CFB" w:rsidRPr="007834F9" w:rsidRDefault="009A1CFB" w:rsidP="00567F17">
      <w:pPr>
        <w:spacing w:line="276" w:lineRule="auto"/>
        <w:rPr>
          <w:rFonts w:ascii="Tahoma" w:hAnsi="Tahoma" w:cs="Tahoma"/>
          <w:sz w:val="22"/>
          <w:szCs w:val="22"/>
        </w:rPr>
      </w:pPr>
    </w:p>
    <w:p w:rsidR="009A1CFB" w:rsidRDefault="009A1CFB" w:rsidP="00567F17">
      <w:pPr>
        <w:tabs>
          <w:tab w:val="left" w:pos="3519"/>
        </w:tabs>
        <w:spacing w:line="276" w:lineRule="auto"/>
        <w:rPr>
          <w:rFonts w:ascii="Tahoma" w:hAnsi="Tahoma" w:cs="Tahoma"/>
          <w:sz w:val="22"/>
          <w:szCs w:val="22"/>
        </w:rPr>
      </w:pPr>
      <w:r>
        <w:rPr>
          <w:rFonts w:ascii="Tahoma" w:hAnsi="Tahoma" w:cs="Tahoma"/>
          <w:sz w:val="22"/>
          <w:szCs w:val="22"/>
        </w:rPr>
        <w:tab/>
      </w:r>
    </w:p>
    <w:p w:rsidR="009A1CFB" w:rsidRPr="007834F9" w:rsidRDefault="009A1CFB" w:rsidP="00567F17">
      <w:pPr>
        <w:tabs>
          <w:tab w:val="left" w:pos="3519"/>
        </w:tabs>
        <w:spacing w:line="276" w:lineRule="auto"/>
        <w:rPr>
          <w:rFonts w:ascii="Tahoma" w:hAnsi="Tahoma" w:cs="Tahoma"/>
          <w:sz w:val="22"/>
          <w:szCs w:val="22"/>
        </w:rPr>
      </w:pPr>
    </w:p>
    <w:p w:rsidR="009A1CFB" w:rsidRPr="007834F9" w:rsidRDefault="009A1CFB" w:rsidP="00567F17">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9A1CFB" w:rsidRPr="00B97C7C" w:rsidRDefault="009A1CFB" w:rsidP="00567F17">
      <w:pPr>
        <w:spacing w:line="276" w:lineRule="auto"/>
        <w:jc w:val="center"/>
        <w:rPr>
          <w:rFonts w:ascii="Tahoma" w:hAnsi="Tahoma" w:cs="Tahoma"/>
          <w:sz w:val="22"/>
          <w:szCs w:val="22"/>
        </w:rPr>
      </w:pPr>
      <w:r w:rsidRPr="00B97C7C">
        <w:rPr>
          <w:rFonts w:ascii="Tahoma" w:hAnsi="Tahoma" w:cs="Tahoma"/>
          <w:sz w:val="22"/>
          <w:szCs w:val="22"/>
        </w:rPr>
        <w:t>Magistrada</w:t>
      </w:r>
    </w:p>
    <w:p w:rsidR="00502262" w:rsidRDefault="00502262" w:rsidP="00567F17">
      <w:pPr>
        <w:tabs>
          <w:tab w:val="left" w:pos="748"/>
        </w:tabs>
        <w:spacing w:line="276" w:lineRule="auto"/>
        <w:jc w:val="both"/>
        <w:rPr>
          <w:rFonts w:ascii="Tahoma" w:hAnsi="Tahoma" w:cs="Tahoma"/>
          <w:sz w:val="22"/>
          <w:szCs w:val="22"/>
        </w:rPr>
      </w:pPr>
    </w:p>
    <w:p w:rsidR="00502262" w:rsidRDefault="00502262" w:rsidP="00567F17">
      <w:pPr>
        <w:tabs>
          <w:tab w:val="left" w:pos="748"/>
        </w:tabs>
        <w:spacing w:line="276" w:lineRule="auto"/>
        <w:jc w:val="both"/>
        <w:rPr>
          <w:rFonts w:ascii="Tahoma" w:hAnsi="Tahoma" w:cs="Tahoma"/>
          <w:sz w:val="22"/>
          <w:szCs w:val="22"/>
        </w:rPr>
      </w:pPr>
    </w:p>
    <w:sectPr w:rsidR="00502262" w:rsidSect="00B413F5">
      <w:headerReference w:type="default" r:id="rId7"/>
      <w:footerReference w:type="default" r:id="rId8"/>
      <w:footerReference w:type="first" r:id="rId9"/>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11" w:rsidRDefault="00B24C11" w:rsidP="00D2586A">
      <w:r>
        <w:separator/>
      </w:r>
    </w:p>
  </w:endnote>
  <w:endnote w:type="continuationSeparator" w:id="0">
    <w:p w:rsidR="00B24C11" w:rsidRDefault="00B24C11"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sdtContent>
      <w:p w:rsidR="00DE54DB" w:rsidRPr="00B413F5" w:rsidRDefault="00DE54DB">
        <w:pPr>
          <w:pStyle w:val="Piedepgina"/>
          <w:jc w:val="right"/>
        </w:pPr>
        <w:r w:rsidRPr="00B413F5">
          <w:fldChar w:fldCharType="begin"/>
        </w:r>
        <w:r w:rsidRPr="00B413F5">
          <w:instrText>PAGE   \* MERGEFORMAT</w:instrText>
        </w:r>
        <w:r w:rsidRPr="00B413F5">
          <w:fldChar w:fldCharType="separate"/>
        </w:r>
        <w:r w:rsidR="005F6E13">
          <w:rPr>
            <w:noProof/>
          </w:rPr>
          <w:t>4</w:t>
        </w:r>
        <w:r w:rsidRPr="00B413F5">
          <w:fldChar w:fldCharType="end"/>
        </w:r>
      </w:p>
    </w:sdtContent>
  </w:sdt>
  <w:p w:rsidR="00DE54DB" w:rsidRDefault="00DE54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rsidR="00DE54DB" w:rsidRDefault="00DE54DB">
        <w:pPr>
          <w:pStyle w:val="Piedepgina"/>
          <w:jc w:val="right"/>
        </w:pPr>
        <w:r>
          <w:fldChar w:fldCharType="begin"/>
        </w:r>
        <w:r>
          <w:instrText>PAGE   \* MERGEFORMAT</w:instrText>
        </w:r>
        <w:r>
          <w:fldChar w:fldCharType="separate"/>
        </w:r>
        <w:r w:rsidR="005F6E13">
          <w:rPr>
            <w:noProof/>
          </w:rPr>
          <w:t>1</w:t>
        </w:r>
        <w:r>
          <w:fldChar w:fldCharType="end"/>
        </w:r>
      </w:p>
    </w:sdtContent>
  </w:sdt>
  <w:p w:rsidR="00DE54DB" w:rsidRDefault="00DE5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11" w:rsidRDefault="00B24C11" w:rsidP="00D2586A">
      <w:r>
        <w:separator/>
      </w:r>
    </w:p>
  </w:footnote>
  <w:footnote w:type="continuationSeparator" w:id="0">
    <w:p w:rsidR="00B24C11" w:rsidRDefault="00B24C11" w:rsidP="00D2586A">
      <w:r>
        <w:continuationSeparator/>
      </w:r>
    </w:p>
  </w:footnote>
  <w:footnote w:id="1">
    <w:p w:rsidR="009A1CFB" w:rsidRPr="009A33C7" w:rsidRDefault="009A1CFB" w:rsidP="009A1CFB">
      <w:pPr>
        <w:pStyle w:val="Textonotapie"/>
        <w:jc w:val="both"/>
        <w:rPr>
          <w:lang w:val="es-CO"/>
        </w:rPr>
      </w:pPr>
      <w:r>
        <w:rPr>
          <w:rStyle w:val="Refdenotaalpie"/>
        </w:rPr>
        <w:footnoteRef/>
      </w:r>
      <w:r>
        <w:t xml:space="preserve"> </w:t>
      </w:r>
      <w:r w:rsidRPr="009A33C7">
        <w:rPr>
          <w:sz w:val="16"/>
          <w:szCs w:val="16"/>
        </w:rPr>
        <w:t>Corte Suprema de Justicia</w:t>
      </w:r>
      <w:r>
        <w:rPr>
          <w:sz w:val="16"/>
          <w:szCs w:val="16"/>
        </w:rPr>
        <w:t>,</w:t>
      </w:r>
      <w:r w:rsidRPr="009A33C7">
        <w:rPr>
          <w:sz w:val="16"/>
          <w:szCs w:val="16"/>
        </w:rPr>
        <w:t xml:space="preserve"> Sala de Casación Laboral</w:t>
      </w:r>
      <w:r>
        <w:rPr>
          <w:sz w:val="16"/>
          <w:szCs w:val="16"/>
        </w:rPr>
        <w:t>.</w:t>
      </w:r>
      <w:r w:rsidRPr="009A33C7">
        <w:rPr>
          <w:sz w:val="16"/>
          <w:szCs w:val="16"/>
        </w:rPr>
        <w:t xml:space="preserve"> Sentencia del </w:t>
      </w:r>
      <w:r w:rsidRPr="00AF6802">
        <w:rPr>
          <w:sz w:val="16"/>
          <w:szCs w:val="16"/>
        </w:rPr>
        <w:t>11 de marzo de 2015</w:t>
      </w:r>
      <w:r w:rsidRPr="009A33C7">
        <w:rPr>
          <w:sz w:val="16"/>
          <w:szCs w:val="16"/>
        </w:rPr>
        <w:t xml:space="preserve">, con Radicado número </w:t>
      </w:r>
      <w:r w:rsidRPr="00AF6802">
        <w:rPr>
          <w:sz w:val="16"/>
          <w:szCs w:val="16"/>
        </w:rPr>
        <w:t>56171</w:t>
      </w:r>
      <w:r>
        <w:rPr>
          <w:sz w:val="16"/>
          <w:szCs w:val="16"/>
        </w:rPr>
        <w:t xml:space="preserve">. M.P. </w:t>
      </w:r>
      <w:r w:rsidRPr="00AF6802">
        <w:rPr>
          <w:sz w:val="16"/>
          <w:szCs w:val="16"/>
        </w:rPr>
        <w:t>Luis Gabriel Miranda Buelvas</w:t>
      </w:r>
      <w:r>
        <w:rPr>
          <w:sz w:val="16"/>
          <w:szCs w:val="16"/>
        </w:rPr>
        <w:t>; postura reiterada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DB" w:rsidRPr="00572165" w:rsidRDefault="00DE54DB" w:rsidP="00572165">
    <w:pPr>
      <w:pStyle w:val="Puesto"/>
      <w:spacing w:line="240" w:lineRule="auto"/>
      <w:jc w:val="both"/>
      <w:rPr>
        <w:rFonts w:ascii="Times New Roman" w:hAnsi="Times New Roman" w:cs="Times New Roman"/>
        <w:b w:val="0"/>
        <w:sz w:val="16"/>
        <w:szCs w:val="16"/>
      </w:rPr>
    </w:pPr>
    <w:r w:rsidRPr="0057216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572165">
      <w:rPr>
        <w:rFonts w:ascii="Times New Roman" w:hAnsi="Times New Roman" w:cs="Times New Roman"/>
        <w:b w:val="0"/>
        <w:sz w:val="16"/>
        <w:szCs w:val="16"/>
      </w:rPr>
      <w:t>66001-31-05-003-2015-00656-01</w:t>
    </w:r>
  </w:p>
  <w:p w:rsidR="00DE54DB" w:rsidRPr="00572165" w:rsidRDefault="00DE54DB" w:rsidP="00572165">
    <w:pPr>
      <w:pStyle w:val="Puesto"/>
      <w:spacing w:line="240" w:lineRule="auto"/>
      <w:jc w:val="both"/>
      <w:rPr>
        <w:rFonts w:ascii="Times New Roman" w:hAnsi="Times New Roman" w:cs="Times New Roman"/>
        <w:b w:val="0"/>
        <w:sz w:val="16"/>
        <w:szCs w:val="16"/>
      </w:rPr>
    </w:pPr>
    <w:r w:rsidRPr="00572165">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572165">
      <w:rPr>
        <w:rFonts w:ascii="Times New Roman" w:hAnsi="Times New Roman" w:cs="Times New Roman"/>
        <w:b w:val="0"/>
        <w:sz w:val="16"/>
        <w:szCs w:val="16"/>
      </w:rPr>
      <w:t>Ligia Esperanza Clavijo Calle</w:t>
    </w:r>
  </w:p>
  <w:p w:rsidR="00DE54DB" w:rsidRPr="00572165" w:rsidRDefault="00DE54DB" w:rsidP="00572165">
    <w:pPr>
      <w:pStyle w:val="Puesto"/>
      <w:spacing w:line="240" w:lineRule="auto"/>
      <w:ind w:left="708" w:hanging="708"/>
      <w:jc w:val="both"/>
      <w:rPr>
        <w:rFonts w:ascii="Times New Roman" w:hAnsi="Times New Roman" w:cs="Times New Roman"/>
        <w:b w:val="0"/>
        <w:sz w:val="16"/>
        <w:szCs w:val="16"/>
      </w:rPr>
    </w:pPr>
    <w:r w:rsidRPr="0057216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572165">
      <w:rPr>
        <w:rFonts w:ascii="Times New Roman" w:hAnsi="Times New Roman" w:cs="Times New Roman"/>
        <w:b w:val="0"/>
        <w:sz w:val="16"/>
        <w:szCs w:val="16"/>
      </w:rPr>
      <w:t xml:space="preserve">Colpensiones </w:t>
    </w:r>
  </w:p>
  <w:p w:rsidR="00DE54DB" w:rsidRPr="00480896" w:rsidRDefault="00DE54DB" w:rsidP="006F7BDD">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46E89"/>
    <w:rsid w:val="00046EAA"/>
    <w:rsid w:val="000477B5"/>
    <w:rsid w:val="000629BF"/>
    <w:rsid w:val="00071A80"/>
    <w:rsid w:val="00085590"/>
    <w:rsid w:val="000947ED"/>
    <w:rsid w:val="0009748B"/>
    <w:rsid w:val="000A4DF2"/>
    <w:rsid w:val="000B4700"/>
    <w:rsid w:val="000D1C08"/>
    <w:rsid w:val="000D2488"/>
    <w:rsid w:val="000D433B"/>
    <w:rsid w:val="000D771D"/>
    <w:rsid w:val="000E21D3"/>
    <w:rsid w:val="000E3497"/>
    <w:rsid w:val="000F50F5"/>
    <w:rsid w:val="00104B0A"/>
    <w:rsid w:val="00124FE1"/>
    <w:rsid w:val="00125115"/>
    <w:rsid w:val="00132462"/>
    <w:rsid w:val="00144BED"/>
    <w:rsid w:val="00146856"/>
    <w:rsid w:val="001509FE"/>
    <w:rsid w:val="00182A8B"/>
    <w:rsid w:val="00183865"/>
    <w:rsid w:val="0019259D"/>
    <w:rsid w:val="001A72EE"/>
    <w:rsid w:val="001B050E"/>
    <w:rsid w:val="001B2090"/>
    <w:rsid w:val="001B78AD"/>
    <w:rsid w:val="001C1EE7"/>
    <w:rsid w:val="001D7AE7"/>
    <w:rsid w:val="001E4C92"/>
    <w:rsid w:val="00200B5A"/>
    <w:rsid w:val="0020371C"/>
    <w:rsid w:val="002040F0"/>
    <w:rsid w:val="002134E0"/>
    <w:rsid w:val="002164C0"/>
    <w:rsid w:val="00250567"/>
    <w:rsid w:val="002627BC"/>
    <w:rsid w:val="00263B7E"/>
    <w:rsid w:val="00265189"/>
    <w:rsid w:val="0027748D"/>
    <w:rsid w:val="0029261F"/>
    <w:rsid w:val="00292C55"/>
    <w:rsid w:val="002A05F1"/>
    <w:rsid w:val="002A24DA"/>
    <w:rsid w:val="002A4362"/>
    <w:rsid w:val="002A4AE5"/>
    <w:rsid w:val="002B41B3"/>
    <w:rsid w:val="002B6860"/>
    <w:rsid w:val="002D04B7"/>
    <w:rsid w:val="002E4211"/>
    <w:rsid w:val="002E44EA"/>
    <w:rsid w:val="002E7615"/>
    <w:rsid w:val="00307E8C"/>
    <w:rsid w:val="00312CA3"/>
    <w:rsid w:val="00314369"/>
    <w:rsid w:val="00317112"/>
    <w:rsid w:val="00317607"/>
    <w:rsid w:val="00323ADC"/>
    <w:rsid w:val="00323C9F"/>
    <w:rsid w:val="00325819"/>
    <w:rsid w:val="00341794"/>
    <w:rsid w:val="0034289B"/>
    <w:rsid w:val="00342A86"/>
    <w:rsid w:val="00346EE7"/>
    <w:rsid w:val="003529F4"/>
    <w:rsid w:val="00362FE8"/>
    <w:rsid w:val="00372D7A"/>
    <w:rsid w:val="00376F21"/>
    <w:rsid w:val="003A2C38"/>
    <w:rsid w:val="003A58A7"/>
    <w:rsid w:val="003A6D80"/>
    <w:rsid w:val="003B0BAF"/>
    <w:rsid w:val="003D53FE"/>
    <w:rsid w:val="003E146B"/>
    <w:rsid w:val="003E30DD"/>
    <w:rsid w:val="003E4DCB"/>
    <w:rsid w:val="003F0A96"/>
    <w:rsid w:val="003F499F"/>
    <w:rsid w:val="00400368"/>
    <w:rsid w:val="0040163F"/>
    <w:rsid w:val="0040234F"/>
    <w:rsid w:val="0040548E"/>
    <w:rsid w:val="004169F3"/>
    <w:rsid w:val="0042379F"/>
    <w:rsid w:val="00427CCE"/>
    <w:rsid w:val="00434579"/>
    <w:rsid w:val="00436E17"/>
    <w:rsid w:val="004376EB"/>
    <w:rsid w:val="00446C84"/>
    <w:rsid w:val="00452CFF"/>
    <w:rsid w:val="00460646"/>
    <w:rsid w:val="00465DB4"/>
    <w:rsid w:val="0046635E"/>
    <w:rsid w:val="004709C5"/>
    <w:rsid w:val="004721A6"/>
    <w:rsid w:val="004759B0"/>
    <w:rsid w:val="004804D9"/>
    <w:rsid w:val="004813AB"/>
    <w:rsid w:val="00484248"/>
    <w:rsid w:val="00494A6F"/>
    <w:rsid w:val="004B51F6"/>
    <w:rsid w:val="004C2AB0"/>
    <w:rsid w:val="004E34A8"/>
    <w:rsid w:val="004F29DA"/>
    <w:rsid w:val="004F622B"/>
    <w:rsid w:val="004F66C0"/>
    <w:rsid w:val="00502262"/>
    <w:rsid w:val="00504A3D"/>
    <w:rsid w:val="00511B63"/>
    <w:rsid w:val="00516B1A"/>
    <w:rsid w:val="005170C6"/>
    <w:rsid w:val="00526F7D"/>
    <w:rsid w:val="00530D9D"/>
    <w:rsid w:val="00542B48"/>
    <w:rsid w:val="005431EC"/>
    <w:rsid w:val="0055496E"/>
    <w:rsid w:val="00556AAD"/>
    <w:rsid w:val="00560E56"/>
    <w:rsid w:val="00561621"/>
    <w:rsid w:val="00567F17"/>
    <w:rsid w:val="00572165"/>
    <w:rsid w:val="00575BC3"/>
    <w:rsid w:val="00583F3A"/>
    <w:rsid w:val="005870C3"/>
    <w:rsid w:val="00594DC3"/>
    <w:rsid w:val="00595F3F"/>
    <w:rsid w:val="005A029F"/>
    <w:rsid w:val="005A23B0"/>
    <w:rsid w:val="005C46E4"/>
    <w:rsid w:val="005C523A"/>
    <w:rsid w:val="005D4890"/>
    <w:rsid w:val="005D5E67"/>
    <w:rsid w:val="005E0656"/>
    <w:rsid w:val="005E469D"/>
    <w:rsid w:val="005E4C6C"/>
    <w:rsid w:val="005E5157"/>
    <w:rsid w:val="005F601D"/>
    <w:rsid w:val="005F6E13"/>
    <w:rsid w:val="00603328"/>
    <w:rsid w:val="006213AD"/>
    <w:rsid w:val="00623AC8"/>
    <w:rsid w:val="00632011"/>
    <w:rsid w:val="00635B86"/>
    <w:rsid w:val="006411E6"/>
    <w:rsid w:val="00642280"/>
    <w:rsid w:val="006607CE"/>
    <w:rsid w:val="006630D7"/>
    <w:rsid w:val="006630E1"/>
    <w:rsid w:val="00667264"/>
    <w:rsid w:val="0067330A"/>
    <w:rsid w:val="00673B42"/>
    <w:rsid w:val="00674DE3"/>
    <w:rsid w:val="00677B9E"/>
    <w:rsid w:val="006A43CC"/>
    <w:rsid w:val="006A4B4A"/>
    <w:rsid w:val="006A7605"/>
    <w:rsid w:val="006A789A"/>
    <w:rsid w:val="006B278C"/>
    <w:rsid w:val="006C696D"/>
    <w:rsid w:val="006D3768"/>
    <w:rsid w:val="006E7B3D"/>
    <w:rsid w:val="006F2CB5"/>
    <w:rsid w:val="006F74C2"/>
    <w:rsid w:val="006F7BDD"/>
    <w:rsid w:val="00700BC6"/>
    <w:rsid w:val="007017FD"/>
    <w:rsid w:val="007072CF"/>
    <w:rsid w:val="00715653"/>
    <w:rsid w:val="00731EAF"/>
    <w:rsid w:val="007367ED"/>
    <w:rsid w:val="00737CE4"/>
    <w:rsid w:val="00744755"/>
    <w:rsid w:val="00745300"/>
    <w:rsid w:val="00745C7B"/>
    <w:rsid w:val="00746AD7"/>
    <w:rsid w:val="00755706"/>
    <w:rsid w:val="00762C1F"/>
    <w:rsid w:val="00772BDB"/>
    <w:rsid w:val="007743E4"/>
    <w:rsid w:val="0077536F"/>
    <w:rsid w:val="00784BD5"/>
    <w:rsid w:val="00791D36"/>
    <w:rsid w:val="007949D1"/>
    <w:rsid w:val="007A3FC5"/>
    <w:rsid w:val="007A6B25"/>
    <w:rsid w:val="007B6C75"/>
    <w:rsid w:val="007B7B59"/>
    <w:rsid w:val="007E052D"/>
    <w:rsid w:val="007E29A1"/>
    <w:rsid w:val="007F361A"/>
    <w:rsid w:val="007F6023"/>
    <w:rsid w:val="007F683C"/>
    <w:rsid w:val="007F7723"/>
    <w:rsid w:val="007F7A15"/>
    <w:rsid w:val="008025E1"/>
    <w:rsid w:val="00805E94"/>
    <w:rsid w:val="00806AE9"/>
    <w:rsid w:val="008072B2"/>
    <w:rsid w:val="0081592F"/>
    <w:rsid w:val="0081696C"/>
    <w:rsid w:val="008212BE"/>
    <w:rsid w:val="00833300"/>
    <w:rsid w:val="00833ADF"/>
    <w:rsid w:val="00834315"/>
    <w:rsid w:val="00835A9D"/>
    <w:rsid w:val="00852626"/>
    <w:rsid w:val="0086023E"/>
    <w:rsid w:val="00863C64"/>
    <w:rsid w:val="008728DB"/>
    <w:rsid w:val="00891A49"/>
    <w:rsid w:val="008964CB"/>
    <w:rsid w:val="008970DE"/>
    <w:rsid w:val="008A0899"/>
    <w:rsid w:val="008A170F"/>
    <w:rsid w:val="008A5CDE"/>
    <w:rsid w:val="008A7574"/>
    <w:rsid w:val="008B6F56"/>
    <w:rsid w:val="008C103D"/>
    <w:rsid w:val="008C1215"/>
    <w:rsid w:val="008C64BE"/>
    <w:rsid w:val="008D7273"/>
    <w:rsid w:val="008F26A2"/>
    <w:rsid w:val="008F4E76"/>
    <w:rsid w:val="00916355"/>
    <w:rsid w:val="009167D5"/>
    <w:rsid w:val="0092491B"/>
    <w:rsid w:val="00925EAE"/>
    <w:rsid w:val="0094678A"/>
    <w:rsid w:val="00960ACC"/>
    <w:rsid w:val="00965D68"/>
    <w:rsid w:val="009751EC"/>
    <w:rsid w:val="00977175"/>
    <w:rsid w:val="00991DE3"/>
    <w:rsid w:val="00992D74"/>
    <w:rsid w:val="009A1CFB"/>
    <w:rsid w:val="009B7238"/>
    <w:rsid w:val="009B7650"/>
    <w:rsid w:val="009C1642"/>
    <w:rsid w:val="009C170D"/>
    <w:rsid w:val="009C79DB"/>
    <w:rsid w:val="009D628E"/>
    <w:rsid w:val="009E3D53"/>
    <w:rsid w:val="00A20F0C"/>
    <w:rsid w:val="00A24570"/>
    <w:rsid w:val="00A33A09"/>
    <w:rsid w:val="00A40625"/>
    <w:rsid w:val="00A42FC7"/>
    <w:rsid w:val="00A43AF7"/>
    <w:rsid w:val="00A45DD8"/>
    <w:rsid w:val="00A565A8"/>
    <w:rsid w:val="00A5721D"/>
    <w:rsid w:val="00A64145"/>
    <w:rsid w:val="00A7597E"/>
    <w:rsid w:val="00A77A1E"/>
    <w:rsid w:val="00A9186E"/>
    <w:rsid w:val="00AA0629"/>
    <w:rsid w:val="00AA2110"/>
    <w:rsid w:val="00AA4583"/>
    <w:rsid w:val="00AB1E98"/>
    <w:rsid w:val="00AC1CBF"/>
    <w:rsid w:val="00AC3939"/>
    <w:rsid w:val="00AC6A06"/>
    <w:rsid w:val="00AD1EC5"/>
    <w:rsid w:val="00AD66A5"/>
    <w:rsid w:val="00B15402"/>
    <w:rsid w:val="00B20BC9"/>
    <w:rsid w:val="00B227C7"/>
    <w:rsid w:val="00B24C11"/>
    <w:rsid w:val="00B34754"/>
    <w:rsid w:val="00B36B7A"/>
    <w:rsid w:val="00B413F5"/>
    <w:rsid w:val="00B46444"/>
    <w:rsid w:val="00B57246"/>
    <w:rsid w:val="00B73ECD"/>
    <w:rsid w:val="00B74410"/>
    <w:rsid w:val="00B82128"/>
    <w:rsid w:val="00B830B0"/>
    <w:rsid w:val="00B85148"/>
    <w:rsid w:val="00B933D9"/>
    <w:rsid w:val="00B97C7C"/>
    <w:rsid w:val="00BA138F"/>
    <w:rsid w:val="00BA29CA"/>
    <w:rsid w:val="00BD33A6"/>
    <w:rsid w:val="00BE20C6"/>
    <w:rsid w:val="00BE34A3"/>
    <w:rsid w:val="00BE35C7"/>
    <w:rsid w:val="00C17672"/>
    <w:rsid w:val="00C2421E"/>
    <w:rsid w:val="00C251B6"/>
    <w:rsid w:val="00C2584F"/>
    <w:rsid w:val="00C31BB2"/>
    <w:rsid w:val="00C328CD"/>
    <w:rsid w:val="00C33765"/>
    <w:rsid w:val="00C417E3"/>
    <w:rsid w:val="00C4685C"/>
    <w:rsid w:val="00C639FC"/>
    <w:rsid w:val="00C64B40"/>
    <w:rsid w:val="00C72D5C"/>
    <w:rsid w:val="00C77E6D"/>
    <w:rsid w:val="00C85CDF"/>
    <w:rsid w:val="00CB10E5"/>
    <w:rsid w:val="00CC045E"/>
    <w:rsid w:val="00CC39E2"/>
    <w:rsid w:val="00CD6E82"/>
    <w:rsid w:val="00CE3938"/>
    <w:rsid w:val="00CE588C"/>
    <w:rsid w:val="00CF6535"/>
    <w:rsid w:val="00D046EA"/>
    <w:rsid w:val="00D04A16"/>
    <w:rsid w:val="00D173AF"/>
    <w:rsid w:val="00D22B0D"/>
    <w:rsid w:val="00D2586A"/>
    <w:rsid w:val="00D42AC6"/>
    <w:rsid w:val="00D42D7A"/>
    <w:rsid w:val="00D4314C"/>
    <w:rsid w:val="00D44AB9"/>
    <w:rsid w:val="00D546BF"/>
    <w:rsid w:val="00D6028B"/>
    <w:rsid w:val="00D70702"/>
    <w:rsid w:val="00D70F71"/>
    <w:rsid w:val="00D87CBB"/>
    <w:rsid w:val="00D91C73"/>
    <w:rsid w:val="00D94881"/>
    <w:rsid w:val="00DA7071"/>
    <w:rsid w:val="00DB3291"/>
    <w:rsid w:val="00DB4DAF"/>
    <w:rsid w:val="00DC1D61"/>
    <w:rsid w:val="00DD1045"/>
    <w:rsid w:val="00DD4093"/>
    <w:rsid w:val="00DE12C7"/>
    <w:rsid w:val="00DE2DCC"/>
    <w:rsid w:val="00DE490C"/>
    <w:rsid w:val="00DE54DB"/>
    <w:rsid w:val="00DF3E6F"/>
    <w:rsid w:val="00E00212"/>
    <w:rsid w:val="00E11CCE"/>
    <w:rsid w:val="00E14E49"/>
    <w:rsid w:val="00E1648E"/>
    <w:rsid w:val="00E3043C"/>
    <w:rsid w:val="00E37E79"/>
    <w:rsid w:val="00E52ED2"/>
    <w:rsid w:val="00E66E42"/>
    <w:rsid w:val="00E67933"/>
    <w:rsid w:val="00E67E6D"/>
    <w:rsid w:val="00E71CAE"/>
    <w:rsid w:val="00E83A71"/>
    <w:rsid w:val="00E90182"/>
    <w:rsid w:val="00E96CFA"/>
    <w:rsid w:val="00EA341A"/>
    <w:rsid w:val="00EB29C5"/>
    <w:rsid w:val="00ED6986"/>
    <w:rsid w:val="00EE68EE"/>
    <w:rsid w:val="00EE770E"/>
    <w:rsid w:val="00EF3D79"/>
    <w:rsid w:val="00F2139C"/>
    <w:rsid w:val="00F3009A"/>
    <w:rsid w:val="00F32ACB"/>
    <w:rsid w:val="00F331D9"/>
    <w:rsid w:val="00F42B90"/>
    <w:rsid w:val="00F44384"/>
    <w:rsid w:val="00F46281"/>
    <w:rsid w:val="00F52C28"/>
    <w:rsid w:val="00F756D7"/>
    <w:rsid w:val="00F828AE"/>
    <w:rsid w:val="00F8486A"/>
    <w:rsid w:val="00F877C6"/>
    <w:rsid w:val="00F87C6D"/>
    <w:rsid w:val="00F9189A"/>
    <w:rsid w:val="00F94990"/>
    <w:rsid w:val="00F96CB4"/>
    <w:rsid w:val="00FA266D"/>
    <w:rsid w:val="00FA5545"/>
    <w:rsid w:val="00FB41AA"/>
    <w:rsid w:val="00FC68B9"/>
    <w:rsid w:val="00FD400F"/>
    <w:rsid w:val="00FE6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7CC2BC-3101-4B8C-96CF-F638A092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99"/>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B97C7C"/>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E54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844981431">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394426380">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2597</TotalTime>
  <Pages>5</Pages>
  <Words>2074</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246</cp:revision>
  <cp:lastPrinted>2017-05-26T16:28:00Z</cp:lastPrinted>
  <dcterms:created xsi:type="dcterms:W3CDTF">2017-04-24T16:13:00Z</dcterms:created>
  <dcterms:modified xsi:type="dcterms:W3CDTF">2017-09-11T20:21:00Z</dcterms:modified>
</cp:coreProperties>
</file>