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094BDD" w:rsidRDefault="00683B3E" w:rsidP="00094BDD">
      <w:pPr>
        <w:pStyle w:val="Puesto"/>
        <w:spacing w:line="240" w:lineRule="auto"/>
        <w:jc w:val="both"/>
        <w:rPr>
          <w:rFonts w:ascii="Tahoma" w:hAnsi="Tahoma" w:cs="Tahoma"/>
          <w:b w:val="0"/>
          <w:sz w:val="18"/>
          <w:szCs w:val="18"/>
        </w:rPr>
      </w:pPr>
      <w:r w:rsidRPr="00094BDD">
        <w:rPr>
          <w:rFonts w:ascii="Tahoma" w:hAnsi="Tahoma" w:cs="Tahoma"/>
          <w:sz w:val="18"/>
          <w:szCs w:val="18"/>
        </w:rPr>
        <w:t>Providencia:</w:t>
      </w:r>
      <w:r w:rsidRPr="00094BDD">
        <w:rPr>
          <w:rFonts w:ascii="Tahoma" w:hAnsi="Tahoma" w:cs="Tahoma"/>
          <w:b w:val="0"/>
          <w:sz w:val="18"/>
          <w:szCs w:val="18"/>
        </w:rPr>
        <w:t xml:space="preserve"> </w:t>
      </w:r>
      <w:r w:rsidRPr="00094BDD">
        <w:rPr>
          <w:rFonts w:ascii="Tahoma" w:hAnsi="Tahoma" w:cs="Tahoma"/>
          <w:b w:val="0"/>
          <w:sz w:val="18"/>
          <w:szCs w:val="18"/>
        </w:rPr>
        <w:tab/>
      </w:r>
      <w:r w:rsidRPr="00094BDD">
        <w:rPr>
          <w:rFonts w:ascii="Tahoma" w:hAnsi="Tahoma" w:cs="Tahoma"/>
          <w:b w:val="0"/>
          <w:sz w:val="18"/>
          <w:szCs w:val="18"/>
        </w:rPr>
        <w:tab/>
      </w:r>
      <w:r w:rsidRPr="00094BDD">
        <w:rPr>
          <w:rFonts w:ascii="Tahoma" w:hAnsi="Tahoma" w:cs="Tahoma"/>
          <w:b w:val="0"/>
          <w:sz w:val="18"/>
          <w:szCs w:val="18"/>
        </w:rPr>
        <w:tab/>
      </w:r>
      <w:r w:rsidR="00BD493C" w:rsidRPr="00094BDD">
        <w:rPr>
          <w:rFonts w:ascii="Tahoma" w:hAnsi="Tahoma" w:cs="Tahoma"/>
          <w:b w:val="0"/>
          <w:sz w:val="18"/>
          <w:szCs w:val="18"/>
        </w:rPr>
        <w:t xml:space="preserve">Auto del </w:t>
      </w:r>
      <w:r w:rsidR="00833E6B" w:rsidRPr="00094BDD">
        <w:rPr>
          <w:rFonts w:ascii="Tahoma" w:hAnsi="Tahoma" w:cs="Tahoma"/>
          <w:b w:val="0"/>
          <w:sz w:val="18"/>
          <w:szCs w:val="18"/>
        </w:rPr>
        <w:t xml:space="preserve">11 de julio </w:t>
      </w:r>
      <w:r w:rsidR="00BD493C" w:rsidRPr="00094BDD">
        <w:rPr>
          <w:rFonts w:ascii="Tahoma" w:hAnsi="Tahoma" w:cs="Tahoma"/>
          <w:b w:val="0"/>
          <w:sz w:val="18"/>
          <w:szCs w:val="18"/>
        </w:rPr>
        <w:t xml:space="preserve">de 2017 </w:t>
      </w:r>
    </w:p>
    <w:p w:rsidR="00B72571" w:rsidRPr="00094BDD" w:rsidRDefault="00B72571" w:rsidP="00094BDD">
      <w:pPr>
        <w:pStyle w:val="Puesto"/>
        <w:spacing w:line="240" w:lineRule="auto"/>
        <w:jc w:val="both"/>
        <w:rPr>
          <w:rFonts w:ascii="Tahoma" w:hAnsi="Tahoma" w:cs="Tahoma"/>
          <w:b w:val="0"/>
          <w:sz w:val="18"/>
          <w:szCs w:val="18"/>
        </w:rPr>
      </w:pPr>
      <w:r w:rsidRPr="00094BDD">
        <w:rPr>
          <w:rFonts w:ascii="Tahoma" w:hAnsi="Tahoma" w:cs="Tahoma"/>
          <w:sz w:val="18"/>
          <w:szCs w:val="18"/>
        </w:rPr>
        <w:t>Radicación No.:</w:t>
      </w:r>
      <w:r w:rsidRPr="00094BDD">
        <w:rPr>
          <w:rFonts w:ascii="Tahoma" w:hAnsi="Tahoma" w:cs="Tahoma"/>
          <w:b w:val="0"/>
          <w:sz w:val="18"/>
          <w:szCs w:val="18"/>
        </w:rPr>
        <w:tab/>
      </w:r>
      <w:r w:rsidRPr="00094BDD">
        <w:rPr>
          <w:rFonts w:ascii="Tahoma" w:hAnsi="Tahoma" w:cs="Tahoma"/>
          <w:b w:val="0"/>
          <w:sz w:val="18"/>
          <w:szCs w:val="18"/>
        </w:rPr>
        <w:tab/>
      </w:r>
      <w:r w:rsidRPr="00094BDD">
        <w:rPr>
          <w:rFonts w:ascii="Tahoma" w:hAnsi="Tahoma" w:cs="Tahoma"/>
          <w:b w:val="0"/>
          <w:sz w:val="18"/>
          <w:szCs w:val="18"/>
        </w:rPr>
        <w:tab/>
      </w:r>
      <w:r w:rsidR="00E83CF4" w:rsidRPr="00094BDD">
        <w:rPr>
          <w:rFonts w:ascii="Tahoma" w:hAnsi="Tahoma" w:cs="Tahoma"/>
          <w:b w:val="0"/>
          <w:sz w:val="18"/>
          <w:szCs w:val="18"/>
        </w:rPr>
        <w:t>66001-31-05-00</w:t>
      </w:r>
      <w:r w:rsidR="00833E6B" w:rsidRPr="00094BDD">
        <w:rPr>
          <w:rFonts w:ascii="Tahoma" w:hAnsi="Tahoma" w:cs="Tahoma"/>
          <w:b w:val="0"/>
          <w:sz w:val="18"/>
          <w:szCs w:val="18"/>
        </w:rPr>
        <w:t>2</w:t>
      </w:r>
      <w:r w:rsidR="00E83CF4" w:rsidRPr="00094BDD">
        <w:rPr>
          <w:rFonts w:ascii="Tahoma" w:hAnsi="Tahoma" w:cs="Tahoma"/>
          <w:b w:val="0"/>
          <w:sz w:val="18"/>
          <w:szCs w:val="18"/>
        </w:rPr>
        <w:t>-201</w:t>
      </w:r>
      <w:r w:rsidR="00833E6B" w:rsidRPr="00094BDD">
        <w:rPr>
          <w:rFonts w:ascii="Tahoma" w:hAnsi="Tahoma" w:cs="Tahoma"/>
          <w:b w:val="0"/>
          <w:sz w:val="18"/>
          <w:szCs w:val="18"/>
        </w:rPr>
        <w:t>5</w:t>
      </w:r>
      <w:r w:rsidR="00E83CF4" w:rsidRPr="00094BDD">
        <w:rPr>
          <w:rFonts w:ascii="Tahoma" w:hAnsi="Tahoma" w:cs="Tahoma"/>
          <w:b w:val="0"/>
          <w:sz w:val="18"/>
          <w:szCs w:val="18"/>
        </w:rPr>
        <w:t>-00</w:t>
      </w:r>
      <w:r w:rsidR="00833E6B" w:rsidRPr="00094BDD">
        <w:rPr>
          <w:rFonts w:ascii="Tahoma" w:hAnsi="Tahoma" w:cs="Tahoma"/>
          <w:b w:val="0"/>
          <w:sz w:val="18"/>
          <w:szCs w:val="18"/>
        </w:rPr>
        <w:t>578</w:t>
      </w:r>
      <w:r w:rsidR="00E83CF4" w:rsidRPr="00094BDD">
        <w:rPr>
          <w:rFonts w:ascii="Tahoma" w:hAnsi="Tahoma" w:cs="Tahoma"/>
          <w:b w:val="0"/>
          <w:sz w:val="18"/>
          <w:szCs w:val="18"/>
        </w:rPr>
        <w:t>-01</w:t>
      </w:r>
    </w:p>
    <w:p w:rsidR="00B72571" w:rsidRPr="00094BDD" w:rsidRDefault="00B72571" w:rsidP="00094BDD">
      <w:pPr>
        <w:pStyle w:val="Puesto"/>
        <w:spacing w:line="240" w:lineRule="auto"/>
        <w:jc w:val="both"/>
        <w:rPr>
          <w:rFonts w:ascii="Tahoma" w:hAnsi="Tahoma" w:cs="Tahoma"/>
          <w:b w:val="0"/>
          <w:sz w:val="18"/>
          <w:szCs w:val="18"/>
        </w:rPr>
      </w:pPr>
      <w:r w:rsidRPr="00094BDD">
        <w:rPr>
          <w:rFonts w:ascii="Tahoma" w:hAnsi="Tahoma" w:cs="Tahoma"/>
          <w:sz w:val="18"/>
          <w:szCs w:val="18"/>
        </w:rPr>
        <w:t>Proceso:</w:t>
      </w:r>
      <w:r w:rsidRPr="00094BDD">
        <w:rPr>
          <w:rFonts w:ascii="Tahoma" w:hAnsi="Tahoma" w:cs="Tahoma"/>
          <w:b w:val="0"/>
          <w:sz w:val="18"/>
          <w:szCs w:val="18"/>
        </w:rPr>
        <w:tab/>
      </w:r>
      <w:r w:rsidRPr="00094BDD">
        <w:rPr>
          <w:rFonts w:ascii="Tahoma" w:hAnsi="Tahoma" w:cs="Tahoma"/>
          <w:b w:val="0"/>
          <w:sz w:val="18"/>
          <w:szCs w:val="18"/>
        </w:rPr>
        <w:tab/>
      </w:r>
      <w:r w:rsidRPr="00094BDD">
        <w:rPr>
          <w:rFonts w:ascii="Tahoma" w:hAnsi="Tahoma" w:cs="Tahoma"/>
          <w:b w:val="0"/>
          <w:sz w:val="18"/>
          <w:szCs w:val="18"/>
        </w:rPr>
        <w:tab/>
        <w:t xml:space="preserve">Ordinario laboral </w:t>
      </w:r>
    </w:p>
    <w:p w:rsidR="00E83CF4" w:rsidRPr="00094BDD" w:rsidRDefault="00E83CF4" w:rsidP="00094BDD">
      <w:pPr>
        <w:pStyle w:val="Puesto"/>
        <w:spacing w:line="240" w:lineRule="auto"/>
        <w:jc w:val="both"/>
        <w:rPr>
          <w:rFonts w:ascii="Tahoma" w:hAnsi="Tahoma" w:cs="Tahoma"/>
          <w:b w:val="0"/>
          <w:sz w:val="18"/>
          <w:szCs w:val="18"/>
        </w:rPr>
      </w:pPr>
      <w:r w:rsidRPr="00094BDD">
        <w:rPr>
          <w:rFonts w:ascii="Tahoma" w:hAnsi="Tahoma" w:cs="Tahoma"/>
          <w:sz w:val="18"/>
          <w:szCs w:val="18"/>
        </w:rPr>
        <w:t>Demandante:</w:t>
      </w:r>
      <w:r w:rsidRPr="00094BDD">
        <w:rPr>
          <w:rFonts w:ascii="Tahoma" w:hAnsi="Tahoma" w:cs="Tahoma"/>
          <w:b w:val="0"/>
          <w:sz w:val="18"/>
          <w:szCs w:val="18"/>
        </w:rPr>
        <w:tab/>
      </w:r>
      <w:r w:rsidRPr="00094BDD">
        <w:rPr>
          <w:rFonts w:ascii="Tahoma" w:hAnsi="Tahoma" w:cs="Tahoma"/>
          <w:b w:val="0"/>
          <w:sz w:val="18"/>
          <w:szCs w:val="18"/>
        </w:rPr>
        <w:tab/>
      </w:r>
      <w:r w:rsidRPr="00094BDD">
        <w:rPr>
          <w:rFonts w:ascii="Tahoma" w:hAnsi="Tahoma" w:cs="Tahoma"/>
          <w:b w:val="0"/>
          <w:sz w:val="18"/>
          <w:szCs w:val="18"/>
        </w:rPr>
        <w:tab/>
      </w:r>
      <w:r w:rsidR="00833E6B" w:rsidRPr="00094BDD">
        <w:rPr>
          <w:rFonts w:ascii="Tahoma" w:hAnsi="Tahoma" w:cs="Tahoma"/>
          <w:b w:val="0"/>
          <w:sz w:val="18"/>
          <w:szCs w:val="18"/>
        </w:rPr>
        <w:t>María Leriden Monsalve Ramírez</w:t>
      </w:r>
    </w:p>
    <w:p w:rsidR="00E83CF4" w:rsidRPr="00094BDD" w:rsidRDefault="00E83CF4" w:rsidP="00094BDD">
      <w:pPr>
        <w:pStyle w:val="Puesto"/>
        <w:spacing w:line="240" w:lineRule="auto"/>
        <w:ind w:left="708" w:hanging="708"/>
        <w:jc w:val="both"/>
        <w:rPr>
          <w:rFonts w:ascii="Tahoma" w:hAnsi="Tahoma" w:cs="Tahoma"/>
          <w:b w:val="0"/>
          <w:sz w:val="18"/>
          <w:szCs w:val="18"/>
        </w:rPr>
      </w:pPr>
      <w:r w:rsidRPr="00094BDD">
        <w:rPr>
          <w:rFonts w:ascii="Tahoma" w:hAnsi="Tahoma" w:cs="Tahoma"/>
          <w:sz w:val="18"/>
          <w:szCs w:val="18"/>
        </w:rPr>
        <w:t>Demandado:</w:t>
      </w:r>
      <w:r w:rsidRPr="00094BDD">
        <w:rPr>
          <w:rFonts w:ascii="Tahoma" w:hAnsi="Tahoma" w:cs="Tahoma"/>
          <w:b w:val="0"/>
          <w:sz w:val="18"/>
          <w:szCs w:val="18"/>
        </w:rPr>
        <w:tab/>
      </w:r>
      <w:r w:rsidRPr="00094BDD">
        <w:rPr>
          <w:rFonts w:ascii="Tahoma" w:hAnsi="Tahoma" w:cs="Tahoma"/>
          <w:b w:val="0"/>
          <w:sz w:val="18"/>
          <w:szCs w:val="18"/>
        </w:rPr>
        <w:tab/>
      </w:r>
      <w:r w:rsidRPr="00094BDD">
        <w:rPr>
          <w:rFonts w:ascii="Tahoma" w:hAnsi="Tahoma" w:cs="Tahoma"/>
          <w:b w:val="0"/>
          <w:sz w:val="18"/>
          <w:szCs w:val="18"/>
        </w:rPr>
        <w:tab/>
      </w:r>
      <w:r w:rsidR="00833E6B" w:rsidRPr="00094BDD">
        <w:rPr>
          <w:rFonts w:ascii="Tahoma" w:hAnsi="Tahoma" w:cs="Tahoma"/>
          <w:b w:val="0"/>
          <w:sz w:val="18"/>
          <w:szCs w:val="18"/>
        </w:rPr>
        <w:t>Nueva E.P.S. y Policlínico Ejesalud S.A.S.</w:t>
      </w:r>
    </w:p>
    <w:p w:rsidR="00B72571" w:rsidRPr="00094BDD" w:rsidRDefault="00B72571" w:rsidP="00094BDD">
      <w:pPr>
        <w:pStyle w:val="Puesto"/>
        <w:spacing w:line="240" w:lineRule="auto"/>
        <w:jc w:val="both"/>
        <w:rPr>
          <w:rFonts w:ascii="Tahoma" w:hAnsi="Tahoma" w:cs="Tahoma"/>
          <w:b w:val="0"/>
          <w:sz w:val="18"/>
          <w:szCs w:val="18"/>
        </w:rPr>
      </w:pPr>
      <w:r w:rsidRPr="00094BDD">
        <w:rPr>
          <w:rFonts w:ascii="Tahoma" w:hAnsi="Tahoma" w:cs="Tahoma"/>
          <w:sz w:val="18"/>
          <w:szCs w:val="18"/>
        </w:rPr>
        <w:t>Juzgado de origen:</w:t>
      </w:r>
      <w:r w:rsidRPr="00094BDD">
        <w:rPr>
          <w:rFonts w:ascii="Tahoma" w:hAnsi="Tahoma" w:cs="Tahoma"/>
          <w:b w:val="0"/>
          <w:sz w:val="18"/>
          <w:szCs w:val="18"/>
        </w:rPr>
        <w:t xml:space="preserve"> </w:t>
      </w:r>
      <w:r w:rsidRPr="00094BDD">
        <w:rPr>
          <w:rFonts w:ascii="Tahoma" w:hAnsi="Tahoma" w:cs="Tahoma"/>
          <w:b w:val="0"/>
          <w:sz w:val="18"/>
          <w:szCs w:val="18"/>
        </w:rPr>
        <w:tab/>
      </w:r>
      <w:r w:rsidRPr="00094BDD">
        <w:rPr>
          <w:rFonts w:ascii="Tahoma" w:hAnsi="Tahoma" w:cs="Tahoma"/>
          <w:b w:val="0"/>
          <w:sz w:val="18"/>
          <w:szCs w:val="18"/>
        </w:rPr>
        <w:tab/>
      </w:r>
      <w:r w:rsidR="00833E6B" w:rsidRPr="00094BDD">
        <w:rPr>
          <w:rFonts w:ascii="Tahoma" w:hAnsi="Tahoma" w:cs="Tahoma"/>
          <w:b w:val="0"/>
          <w:sz w:val="18"/>
          <w:szCs w:val="18"/>
        </w:rPr>
        <w:t xml:space="preserve">Segundo </w:t>
      </w:r>
      <w:r w:rsidR="00E83CF4" w:rsidRPr="00094BDD">
        <w:rPr>
          <w:rFonts w:ascii="Tahoma" w:hAnsi="Tahoma" w:cs="Tahoma"/>
          <w:b w:val="0"/>
          <w:sz w:val="18"/>
          <w:szCs w:val="18"/>
        </w:rPr>
        <w:t>Laboral del Circuito de Pereira</w:t>
      </w:r>
    </w:p>
    <w:p w:rsidR="00683B3E" w:rsidRPr="00094BDD" w:rsidRDefault="00683B3E" w:rsidP="00094BDD">
      <w:pPr>
        <w:pStyle w:val="Puesto"/>
        <w:spacing w:line="240" w:lineRule="auto"/>
        <w:jc w:val="both"/>
        <w:rPr>
          <w:rFonts w:ascii="Tahoma" w:hAnsi="Tahoma" w:cs="Tahoma"/>
          <w:b w:val="0"/>
          <w:sz w:val="18"/>
          <w:szCs w:val="18"/>
        </w:rPr>
      </w:pPr>
      <w:r w:rsidRPr="00094BDD">
        <w:rPr>
          <w:rFonts w:ascii="Tahoma" w:hAnsi="Tahoma" w:cs="Tahoma"/>
          <w:sz w:val="18"/>
          <w:szCs w:val="18"/>
        </w:rPr>
        <w:t>Magistrad</w:t>
      </w:r>
      <w:r w:rsidR="00833E6B" w:rsidRPr="00094BDD">
        <w:rPr>
          <w:rFonts w:ascii="Tahoma" w:hAnsi="Tahoma" w:cs="Tahoma"/>
          <w:sz w:val="18"/>
          <w:szCs w:val="18"/>
        </w:rPr>
        <w:t>a</w:t>
      </w:r>
      <w:r w:rsidRPr="00094BDD">
        <w:rPr>
          <w:rFonts w:ascii="Tahoma" w:hAnsi="Tahoma" w:cs="Tahoma"/>
          <w:sz w:val="18"/>
          <w:szCs w:val="18"/>
        </w:rPr>
        <w:t xml:space="preserve"> </w:t>
      </w:r>
      <w:r w:rsidR="00833E6B" w:rsidRPr="00094BDD">
        <w:rPr>
          <w:rFonts w:ascii="Tahoma" w:hAnsi="Tahoma" w:cs="Tahoma"/>
          <w:sz w:val="18"/>
          <w:szCs w:val="18"/>
        </w:rPr>
        <w:t>ponente</w:t>
      </w:r>
      <w:r w:rsidRPr="00094BDD">
        <w:rPr>
          <w:rFonts w:ascii="Tahoma" w:hAnsi="Tahoma" w:cs="Tahoma"/>
          <w:sz w:val="18"/>
          <w:szCs w:val="18"/>
        </w:rPr>
        <w:t>:</w:t>
      </w:r>
      <w:r w:rsidRPr="00094BDD">
        <w:rPr>
          <w:rFonts w:ascii="Tahoma" w:hAnsi="Tahoma" w:cs="Tahoma"/>
          <w:b w:val="0"/>
          <w:sz w:val="18"/>
          <w:szCs w:val="18"/>
        </w:rPr>
        <w:tab/>
      </w:r>
      <w:r w:rsidRPr="00094BDD">
        <w:rPr>
          <w:rFonts w:ascii="Tahoma" w:hAnsi="Tahoma" w:cs="Tahoma"/>
          <w:b w:val="0"/>
          <w:sz w:val="18"/>
          <w:szCs w:val="18"/>
        </w:rPr>
        <w:tab/>
        <w:t xml:space="preserve">Dr. </w:t>
      </w:r>
      <w:r w:rsidR="007F652C" w:rsidRPr="00094BDD">
        <w:rPr>
          <w:rFonts w:ascii="Tahoma" w:hAnsi="Tahoma" w:cs="Tahoma"/>
          <w:b w:val="0"/>
          <w:sz w:val="18"/>
          <w:szCs w:val="18"/>
        </w:rPr>
        <w:t xml:space="preserve">Julio César Salazar Muñoz </w:t>
      </w:r>
    </w:p>
    <w:p w:rsidR="00683B3E" w:rsidRPr="00094BDD" w:rsidRDefault="00683B3E" w:rsidP="00094BDD">
      <w:pPr>
        <w:pStyle w:val="Puesto"/>
        <w:spacing w:line="240" w:lineRule="auto"/>
        <w:ind w:left="2805" w:hanging="2805"/>
        <w:jc w:val="both"/>
        <w:rPr>
          <w:rFonts w:ascii="Tahoma" w:hAnsi="Tahoma" w:cs="Tahoma"/>
          <w:sz w:val="18"/>
          <w:szCs w:val="18"/>
        </w:rPr>
      </w:pPr>
      <w:r w:rsidRPr="00094BDD">
        <w:rPr>
          <w:rFonts w:ascii="Tahoma" w:hAnsi="Tahoma" w:cs="Tahoma"/>
          <w:sz w:val="18"/>
          <w:szCs w:val="18"/>
        </w:rPr>
        <w:t>Magistrada que salva voto:</w:t>
      </w:r>
      <w:r w:rsidRPr="00094BDD">
        <w:rPr>
          <w:rFonts w:ascii="Tahoma" w:hAnsi="Tahoma" w:cs="Tahoma"/>
          <w:sz w:val="18"/>
          <w:szCs w:val="18"/>
        </w:rPr>
        <w:tab/>
      </w:r>
      <w:r w:rsidRPr="00094BDD">
        <w:rPr>
          <w:rFonts w:ascii="Tahoma" w:hAnsi="Tahoma" w:cs="Tahoma"/>
          <w:b w:val="0"/>
          <w:sz w:val="18"/>
          <w:szCs w:val="18"/>
        </w:rPr>
        <w:t>Dra. Ana Lucia Caicedo Calderón</w:t>
      </w:r>
    </w:p>
    <w:p w:rsidR="006D12E6" w:rsidRPr="00094BDD" w:rsidRDefault="006D12E6" w:rsidP="00094BDD">
      <w:pPr>
        <w:ind w:left="2127"/>
        <w:jc w:val="both"/>
        <w:rPr>
          <w:sz w:val="18"/>
          <w:szCs w:val="18"/>
          <w:lang w:eastAsia="es-MX"/>
        </w:rPr>
      </w:pPr>
    </w:p>
    <w:p w:rsidR="006D12E6" w:rsidRPr="00094BDD" w:rsidRDefault="006D12E6" w:rsidP="00094BDD">
      <w:pPr>
        <w:rPr>
          <w:sz w:val="22"/>
          <w:szCs w:val="22"/>
          <w:lang w:val="es-CO" w:eastAsia="es-MX"/>
        </w:rPr>
      </w:pPr>
    </w:p>
    <w:p w:rsidR="00683B3E" w:rsidRPr="00094BDD" w:rsidRDefault="00683B3E" w:rsidP="00094BDD">
      <w:pPr>
        <w:pStyle w:val="Ttulo1"/>
        <w:widowControl/>
        <w:autoSpaceDE/>
        <w:autoSpaceDN/>
        <w:adjustRightInd/>
        <w:rPr>
          <w:rFonts w:ascii="Tahoma" w:hAnsi="Tahoma" w:cs="Tahoma"/>
          <w:bCs/>
          <w:sz w:val="22"/>
          <w:szCs w:val="22"/>
          <w:u w:val="single"/>
        </w:rPr>
      </w:pPr>
      <w:r w:rsidRPr="00094BDD">
        <w:rPr>
          <w:rFonts w:ascii="Tahoma" w:hAnsi="Tahoma" w:cs="Tahoma"/>
          <w:bCs/>
          <w:sz w:val="22"/>
          <w:szCs w:val="22"/>
          <w:u w:val="single"/>
        </w:rPr>
        <w:t>SALVAMENTO DE VOTO</w:t>
      </w:r>
    </w:p>
    <w:p w:rsidR="00683B3E" w:rsidRPr="00094BDD" w:rsidRDefault="00683B3E" w:rsidP="00094BDD">
      <w:pPr>
        <w:jc w:val="both"/>
        <w:rPr>
          <w:rFonts w:ascii="Tahoma" w:hAnsi="Tahoma" w:cs="Tahoma"/>
          <w:b/>
          <w:bCs/>
          <w:sz w:val="22"/>
          <w:szCs w:val="22"/>
        </w:rPr>
      </w:pPr>
    </w:p>
    <w:p w:rsidR="00094BDD" w:rsidRPr="00094BDD" w:rsidRDefault="00094BDD" w:rsidP="00F40F41">
      <w:pPr>
        <w:spacing w:line="276" w:lineRule="auto"/>
        <w:ind w:firstLine="708"/>
        <w:jc w:val="both"/>
        <w:rPr>
          <w:rFonts w:ascii="Tahoma" w:hAnsi="Tahoma" w:cs="Tahoma"/>
          <w:sz w:val="22"/>
          <w:szCs w:val="22"/>
        </w:rPr>
      </w:pPr>
      <w:r w:rsidRPr="00094BDD">
        <w:rPr>
          <w:rFonts w:ascii="Tahoma" w:hAnsi="Tahoma" w:cs="Tahoma"/>
          <w:sz w:val="22"/>
          <w:szCs w:val="22"/>
        </w:rPr>
        <w:t>Con mi acostumbrado respeto manifiesto mi inconformidad frente a la decisión mayoritaria, por cuanto considero que en el presente caso debió revocarse la decisión de primer grado para, en su lugar, ordenar el decreto de la prueba trasladada que solicitara el apoderado de la Nueva E.P.S. en la audiencia consagrada en el artículo 77 del Código Procesal del Trabajo y la s.s., por las siguientes razones:</w:t>
      </w:r>
    </w:p>
    <w:p w:rsidR="008E1548" w:rsidRPr="00094BDD" w:rsidRDefault="008E1548" w:rsidP="00094BDD">
      <w:pPr>
        <w:spacing w:line="276" w:lineRule="auto"/>
        <w:jc w:val="both"/>
        <w:rPr>
          <w:rFonts w:ascii="Tahoma" w:hAnsi="Tahoma" w:cs="Tahoma"/>
          <w:sz w:val="22"/>
          <w:szCs w:val="22"/>
          <w:shd w:val="clear" w:color="auto" w:fill="FFFFFF"/>
        </w:rPr>
      </w:pPr>
    </w:p>
    <w:p w:rsidR="008E1548" w:rsidRPr="00094BDD" w:rsidRDefault="00865709" w:rsidP="00F40F41">
      <w:pPr>
        <w:pStyle w:val="Prrafodelista"/>
        <w:numPr>
          <w:ilvl w:val="0"/>
          <w:numId w:val="6"/>
        </w:numPr>
        <w:tabs>
          <w:tab w:val="left" w:pos="993"/>
        </w:tabs>
        <w:spacing w:line="276" w:lineRule="auto"/>
        <w:ind w:left="709" w:firstLine="0"/>
        <w:jc w:val="both"/>
        <w:rPr>
          <w:rFonts w:ascii="Tahoma" w:hAnsi="Tahoma" w:cs="Tahoma"/>
          <w:b/>
          <w:sz w:val="22"/>
          <w:szCs w:val="22"/>
          <w:shd w:val="clear" w:color="auto" w:fill="FFFFFF"/>
        </w:rPr>
      </w:pPr>
      <w:r w:rsidRPr="00094BDD">
        <w:rPr>
          <w:rFonts w:ascii="Tahoma" w:hAnsi="Tahoma" w:cs="Tahoma"/>
          <w:b/>
          <w:sz w:val="22"/>
          <w:szCs w:val="22"/>
        </w:rPr>
        <w:t>El decreto de pruebas de oficio es una facultad</w:t>
      </w:r>
      <w:r w:rsidR="008E1548" w:rsidRPr="00094BDD">
        <w:rPr>
          <w:rFonts w:ascii="Tahoma" w:hAnsi="Tahoma" w:cs="Tahoma"/>
          <w:b/>
          <w:sz w:val="22"/>
          <w:szCs w:val="22"/>
        </w:rPr>
        <w:t>-</w:t>
      </w:r>
      <w:r w:rsidRPr="00094BDD">
        <w:rPr>
          <w:rFonts w:ascii="Tahoma" w:hAnsi="Tahoma" w:cs="Tahoma"/>
          <w:b/>
          <w:sz w:val="22"/>
          <w:szCs w:val="22"/>
        </w:rPr>
        <w:t xml:space="preserve">deber para los y las Juzgadoras </w:t>
      </w:r>
      <w:r w:rsidR="008E1548" w:rsidRPr="00094BDD">
        <w:rPr>
          <w:rFonts w:ascii="Tahoma" w:hAnsi="Tahoma" w:cs="Tahoma"/>
          <w:b/>
          <w:sz w:val="22"/>
          <w:szCs w:val="22"/>
        </w:rPr>
        <w:t>-</w:t>
      </w:r>
      <w:r w:rsidR="008E1548" w:rsidRPr="00094BDD">
        <w:rPr>
          <w:rFonts w:ascii="Tahoma" w:hAnsi="Tahoma" w:cs="Tahoma"/>
          <w:b/>
          <w:sz w:val="22"/>
          <w:szCs w:val="22"/>
          <w:u w:val="single"/>
        </w:rPr>
        <w:t xml:space="preserve"> </w:t>
      </w:r>
      <w:r w:rsidRPr="00094BDD">
        <w:rPr>
          <w:rFonts w:ascii="Tahoma" w:hAnsi="Tahoma" w:cs="Tahoma"/>
          <w:b/>
          <w:sz w:val="22"/>
          <w:szCs w:val="22"/>
          <w:u w:val="single"/>
        </w:rPr>
        <w:t>Su omisión viola derechos fundamentales</w:t>
      </w:r>
      <w:r w:rsidR="008E1548" w:rsidRPr="00094BDD">
        <w:rPr>
          <w:rFonts w:ascii="Tahoma" w:hAnsi="Tahoma" w:cs="Tahoma"/>
          <w:b/>
          <w:sz w:val="22"/>
          <w:szCs w:val="22"/>
          <w:shd w:val="clear" w:color="auto" w:fill="FFFFFF"/>
        </w:rPr>
        <w:t xml:space="preserve"> </w:t>
      </w:r>
    </w:p>
    <w:p w:rsidR="008E1548" w:rsidRPr="00094BDD" w:rsidRDefault="008E1548" w:rsidP="00094BDD">
      <w:pPr>
        <w:pStyle w:val="Prrafodelista"/>
        <w:spacing w:line="276" w:lineRule="auto"/>
        <w:ind w:left="0"/>
        <w:jc w:val="both"/>
        <w:rPr>
          <w:rFonts w:ascii="Tahoma" w:hAnsi="Tahoma" w:cs="Tahoma"/>
          <w:b/>
          <w:sz w:val="22"/>
          <w:szCs w:val="22"/>
          <w:shd w:val="clear" w:color="auto" w:fill="FFFFFF"/>
        </w:rPr>
      </w:pPr>
    </w:p>
    <w:p w:rsidR="008E1548" w:rsidRPr="00094BDD" w:rsidRDefault="008E1548" w:rsidP="00F40F41">
      <w:pPr>
        <w:pStyle w:val="Prrafodelista"/>
        <w:spacing w:line="293" w:lineRule="atLeast"/>
        <w:ind w:left="0" w:firstLine="708"/>
        <w:jc w:val="both"/>
        <w:textAlignment w:val="baseline"/>
        <w:rPr>
          <w:rFonts w:ascii="Tahoma" w:hAnsi="Tahoma" w:cs="Tahoma"/>
          <w:sz w:val="22"/>
          <w:szCs w:val="22"/>
        </w:rPr>
      </w:pPr>
      <w:r w:rsidRPr="00094BDD">
        <w:rPr>
          <w:rFonts w:ascii="Tahoma" w:hAnsi="Tahoma" w:cs="Tahoma"/>
          <w:sz w:val="22"/>
          <w:szCs w:val="22"/>
        </w:rPr>
        <w:t xml:space="preserve">El artículo 83 del C. de P.L. establece una </w:t>
      </w:r>
      <w:r w:rsidRPr="00094BDD">
        <w:rPr>
          <w:rFonts w:ascii="Tahoma" w:hAnsi="Tahoma" w:cs="Tahoma"/>
          <w:b/>
          <w:sz w:val="22"/>
          <w:szCs w:val="22"/>
        </w:rPr>
        <w:t xml:space="preserve">facultad-deber </w:t>
      </w:r>
      <w:r w:rsidRPr="00094BDD">
        <w:rPr>
          <w:rFonts w:ascii="Tahoma" w:hAnsi="Tahoma" w:cs="Tahoma"/>
          <w:sz w:val="22"/>
          <w:szCs w:val="22"/>
        </w:rPr>
        <w:t>del juez o jueza laboral cuando la necesidad de esclarecer los hechos del proceso amerite el decreto de pruebas de oficio. Por lo tanto no es discrecional del juez o jueza decretar pruebas de oficio sino una obligación constitucional.</w:t>
      </w:r>
    </w:p>
    <w:p w:rsidR="00382D2E" w:rsidRPr="00094BDD" w:rsidRDefault="00382D2E" w:rsidP="00094BDD">
      <w:pPr>
        <w:pStyle w:val="Prrafodelista"/>
        <w:spacing w:line="293" w:lineRule="atLeast"/>
        <w:ind w:left="0"/>
        <w:jc w:val="both"/>
        <w:textAlignment w:val="baseline"/>
        <w:rPr>
          <w:rFonts w:ascii="Tahoma" w:hAnsi="Tahoma" w:cs="Tahoma"/>
          <w:sz w:val="22"/>
          <w:szCs w:val="22"/>
        </w:rPr>
      </w:pPr>
    </w:p>
    <w:p w:rsidR="008E1548" w:rsidRPr="00094BDD" w:rsidRDefault="00094BDD" w:rsidP="00F40F41">
      <w:pPr>
        <w:pStyle w:val="Prrafodelista"/>
        <w:spacing w:line="293" w:lineRule="atLeast"/>
        <w:ind w:left="0" w:firstLine="708"/>
        <w:jc w:val="both"/>
        <w:textAlignment w:val="baseline"/>
        <w:rPr>
          <w:rFonts w:ascii="Tahoma" w:hAnsi="Tahoma" w:cs="Tahoma"/>
          <w:sz w:val="22"/>
          <w:szCs w:val="22"/>
        </w:rPr>
      </w:pPr>
      <w:r w:rsidRPr="00094BDD">
        <w:rPr>
          <w:rFonts w:ascii="Tahoma" w:hAnsi="Tahoma" w:cs="Tahoma"/>
          <w:sz w:val="22"/>
          <w:szCs w:val="22"/>
        </w:rPr>
        <w:t>Por otra parte, e</w:t>
      </w:r>
      <w:r w:rsidR="008E1548" w:rsidRPr="00094BDD">
        <w:rPr>
          <w:rFonts w:ascii="Tahoma" w:hAnsi="Tahoma" w:cs="Tahoma"/>
          <w:sz w:val="22"/>
          <w:szCs w:val="22"/>
        </w:rPr>
        <w:t>l artículo 29 de la Constitución establece que es un derecho de las partes, como algo consustancial al</w:t>
      </w:r>
      <w:r w:rsidR="008E1548" w:rsidRPr="00094BDD">
        <w:rPr>
          <w:rFonts w:ascii="Tahoma" w:hAnsi="Tahoma" w:cs="Tahoma"/>
          <w:b/>
          <w:i/>
          <w:sz w:val="22"/>
          <w:szCs w:val="22"/>
          <w:bdr w:val="none" w:sz="0" w:space="0" w:color="auto" w:frame="1"/>
        </w:rPr>
        <w:t xml:space="preserve"> derecho de defensa</w:t>
      </w:r>
      <w:r w:rsidR="008E1548" w:rsidRPr="00094BDD">
        <w:rPr>
          <w:rFonts w:ascii="Tahoma" w:hAnsi="Tahoma" w:cs="Tahoma"/>
          <w:sz w:val="22"/>
          <w:szCs w:val="22"/>
        </w:rPr>
        <w:t xml:space="preserve">, </w:t>
      </w:r>
      <w:r w:rsidR="008E1548" w:rsidRPr="00F40F41">
        <w:rPr>
          <w:rFonts w:ascii="Tahoma" w:hAnsi="Tahoma" w:cs="Tahoma"/>
          <w:sz w:val="22"/>
          <w:szCs w:val="22"/>
        </w:rPr>
        <w:t>el que</w:t>
      </w:r>
      <w:r w:rsidR="008E1548" w:rsidRPr="00094BDD">
        <w:rPr>
          <w:rFonts w:ascii="Tahoma" w:hAnsi="Tahoma" w:cs="Tahoma"/>
          <w:b/>
          <w:sz w:val="22"/>
          <w:szCs w:val="22"/>
        </w:rPr>
        <w:t xml:space="preserve"> </w:t>
      </w:r>
      <w:r w:rsidR="008E1548" w:rsidRPr="00094BDD">
        <w:rPr>
          <w:b/>
          <w:i/>
          <w:sz w:val="22"/>
          <w:szCs w:val="22"/>
          <w:bdr w:val="none" w:sz="0" w:space="0" w:color="auto" w:frame="1"/>
        </w:rPr>
        <w:t>de oficio se practiquen las pruebas que resulten necesarias para asegurar el principio de realización y efectividad de los derechos</w:t>
      </w:r>
      <w:r w:rsidR="008E1548" w:rsidRPr="00094BDD">
        <w:rPr>
          <w:sz w:val="22"/>
          <w:szCs w:val="22"/>
          <w:bdr w:val="none" w:sz="0" w:space="0" w:color="auto" w:frame="1"/>
        </w:rPr>
        <w:t xml:space="preserve"> </w:t>
      </w:r>
      <w:r w:rsidR="008E1548" w:rsidRPr="00094BDD">
        <w:rPr>
          <w:rFonts w:ascii="Tahoma" w:hAnsi="Tahoma" w:cs="Tahoma"/>
          <w:sz w:val="22"/>
          <w:szCs w:val="22"/>
          <w:bdr w:val="none" w:sz="0" w:space="0" w:color="auto" w:frame="1"/>
        </w:rPr>
        <w:t>de acuerdo a los arts. 2 y 228 de la Carta</w:t>
      </w:r>
      <w:r w:rsidR="008E1548" w:rsidRPr="00094BDD">
        <w:rPr>
          <w:rFonts w:ascii="Tahoma" w:hAnsi="Tahoma" w:cs="Tahoma"/>
          <w:sz w:val="22"/>
          <w:szCs w:val="22"/>
        </w:rPr>
        <w:t>, tal como lo pregonó la Corte Constitucional en la citada Sentencia C-1270 de 2000.</w:t>
      </w:r>
    </w:p>
    <w:p w:rsidR="00382D2E" w:rsidRPr="00094BDD" w:rsidRDefault="00382D2E" w:rsidP="00094BDD">
      <w:pPr>
        <w:pStyle w:val="Prrafodelista"/>
        <w:ind w:left="0"/>
        <w:rPr>
          <w:rFonts w:ascii="Tahoma" w:hAnsi="Tahoma" w:cs="Tahoma"/>
          <w:sz w:val="22"/>
          <w:szCs w:val="22"/>
        </w:rPr>
      </w:pPr>
    </w:p>
    <w:p w:rsidR="008E1548" w:rsidRPr="00094BDD" w:rsidRDefault="00094BDD" w:rsidP="00F40F41">
      <w:pPr>
        <w:pStyle w:val="Prrafodelista"/>
        <w:spacing w:line="293" w:lineRule="atLeast"/>
        <w:ind w:left="0" w:firstLine="708"/>
        <w:jc w:val="both"/>
        <w:textAlignment w:val="baseline"/>
        <w:rPr>
          <w:rFonts w:ascii="Tahoma" w:hAnsi="Tahoma" w:cs="Tahoma"/>
          <w:sz w:val="22"/>
          <w:szCs w:val="22"/>
        </w:rPr>
      </w:pPr>
      <w:r w:rsidRPr="00094BDD">
        <w:rPr>
          <w:rFonts w:ascii="Tahoma" w:hAnsi="Tahoma" w:cs="Tahoma"/>
          <w:sz w:val="22"/>
          <w:szCs w:val="22"/>
        </w:rPr>
        <w:t>Debe indicarse que l</w:t>
      </w:r>
      <w:r w:rsidR="008E1548" w:rsidRPr="00094BDD">
        <w:rPr>
          <w:rFonts w:ascii="Tahoma" w:hAnsi="Tahoma" w:cs="Tahoma"/>
          <w:sz w:val="22"/>
          <w:szCs w:val="22"/>
        </w:rPr>
        <w:t>a prueba que se decreta de oficio no se decreta a favor de ninguna de las partes sino en beneficio del proceso, y por esa misma razón no cercena a las partes la posibilidad de contradecirla, tal como lo dijo la Corte Constitucional en la Sentencia C-159 de 2007 al estudiar la constitucionalidad del artículo 180 del C de P</w:t>
      </w:r>
      <w:r w:rsidR="00382D2E" w:rsidRPr="00094BDD">
        <w:rPr>
          <w:rFonts w:ascii="Tahoma" w:hAnsi="Tahoma" w:cs="Tahoma"/>
          <w:sz w:val="22"/>
          <w:szCs w:val="22"/>
        </w:rPr>
        <w:t>.</w:t>
      </w:r>
      <w:r w:rsidR="008E1548" w:rsidRPr="00094BDD">
        <w:rPr>
          <w:rFonts w:ascii="Tahoma" w:hAnsi="Tahoma" w:cs="Tahoma"/>
          <w:sz w:val="22"/>
          <w:szCs w:val="22"/>
        </w:rPr>
        <w:t>C.</w:t>
      </w:r>
    </w:p>
    <w:p w:rsidR="00382D2E" w:rsidRPr="00094BDD" w:rsidRDefault="00382D2E" w:rsidP="00094BDD">
      <w:pPr>
        <w:pStyle w:val="Prrafodelista"/>
        <w:ind w:left="0"/>
        <w:rPr>
          <w:rFonts w:ascii="Tahoma" w:hAnsi="Tahoma" w:cs="Tahoma"/>
          <w:sz w:val="22"/>
          <w:szCs w:val="22"/>
        </w:rPr>
      </w:pPr>
    </w:p>
    <w:p w:rsidR="008E1548" w:rsidRPr="00094BDD" w:rsidRDefault="00094BDD" w:rsidP="00F40F41">
      <w:pPr>
        <w:pStyle w:val="Prrafodelista"/>
        <w:spacing w:line="293" w:lineRule="atLeast"/>
        <w:ind w:left="0" w:firstLine="708"/>
        <w:jc w:val="both"/>
        <w:textAlignment w:val="baseline"/>
        <w:rPr>
          <w:rFonts w:ascii="Tahoma" w:hAnsi="Tahoma" w:cs="Tahoma"/>
          <w:sz w:val="22"/>
          <w:szCs w:val="22"/>
        </w:rPr>
      </w:pPr>
      <w:r w:rsidRPr="00094BDD">
        <w:rPr>
          <w:rFonts w:ascii="Tahoma" w:hAnsi="Tahoma" w:cs="Tahoma"/>
          <w:sz w:val="22"/>
          <w:szCs w:val="22"/>
        </w:rPr>
        <w:t>Asimismo, e</w:t>
      </w:r>
      <w:r w:rsidR="008E1548" w:rsidRPr="00094BDD">
        <w:rPr>
          <w:rFonts w:ascii="Tahoma" w:hAnsi="Tahoma" w:cs="Tahoma"/>
          <w:sz w:val="22"/>
          <w:szCs w:val="22"/>
        </w:rPr>
        <w:t xml:space="preserve">l decreto oficioso de pruebas no depende de la actividad de las partes, ni pretende subsanar la negligencia de una de ellas. Las pruebas de oficio no son ni un premio ni una sanción para ninguna de las partes; son un instrumento para hacer efectivo varios principios y derechos constitucionales, entre otros, el de hacer prevalecer lo sustancial sobre lo meramente formal, el del respeto a la dignidad humana y el de acceso a la administración de justicia. </w:t>
      </w:r>
    </w:p>
    <w:p w:rsidR="00A82BD2" w:rsidRDefault="00A82BD2" w:rsidP="00094BDD">
      <w:pPr>
        <w:spacing w:line="276" w:lineRule="auto"/>
        <w:jc w:val="both"/>
        <w:rPr>
          <w:rFonts w:ascii="Tahoma" w:hAnsi="Tahoma" w:cs="Tahoma"/>
          <w:sz w:val="22"/>
          <w:szCs w:val="22"/>
        </w:rPr>
      </w:pPr>
    </w:p>
    <w:p w:rsidR="00F40F41" w:rsidRPr="00F40F41" w:rsidRDefault="00F40F41" w:rsidP="00F40F41">
      <w:pPr>
        <w:spacing w:line="276" w:lineRule="auto"/>
        <w:ind w:firstLine="708"/>
        <w:jc w:val="both"/>
        <w:rPr>
          <w:rFonts w:ascii="Tahoma" w:hAnsi="Tahoma" w:cs="Tahoma"/>
          <w:b/>
          <w:sz w:val="22"/>
          <w:szCs w:val="22"/>
        </w:rPr>
      </w:pPr>
      <w:r w:rsidRPr="00F40F41">
        <w:rPr>
          <w:rFonts w:ascii="Tahoma" w:hAnsi="Tahoma" w:cs="Tahoma"/>
          <w:b/>
          <w:sz w:val="22"/>
          <w:szCs w:val="22"/>
        </w:rPr>
        <w:t>2. Caso concreto</w:t>
      </w:r>
    </w:p>
    <w:p w:rsidR="00F40F41" w:rsidRDefault="00F40F41" w:rsidP="00094BDD">
      <w:pPr>
        <w:spacing w:line="276" w:lineRule="auto"/>
        <w:jc w:val="both"/>
        <w:rPr>
          <w:rFonts w:ascii="Tahoma" w:hAnsi="Tahoma" w:cs="Tahoma"/>
          <w:sz w:val="22"/>
          <w:szCs w:val="22"/>
        </w:rPr>
      </w:pPr>
    </w:p>
    <w:p w:rsidR="00523C3B" w:rsidRDefault="00F40F41" w:rsidP="00F40F41">
      <w:pPr>
        <w:spacing w:line="276" w:lineRule="auto"/>
        <w:ind w:firstLine="708"/>
        <w:jc w:val="both"/>
        <w:rPr>
          <w:rFonts w:ascii="Tahoma" w:hAnsi="Tahoma" w:cs="Tahoma"/>
          <w:sz w:val="22"/>
          <w:szCs w:val="22"/>
        </w:rPr>
      </w:pPr>
      <w:r>
        <w:rPr>
          <w:rFonts w:ascii="Tahoma" w:hAnsi="Tahoma" w:cs="Tahoma"/>
          <w:sz w:val="22"/>
          <w:szCs w:val="22"/>
        </w:rPr>
        <w:t>En el caso de marras se debe advertir que s</w:t>
      </w:r>
      <w:r w:rsidR="00A82BD2" w:rsidRPr="00094BDD">
        <w:rPr>
          <w:rFonts w:ascii="Tahoma" w:hAnsi="Tahoma" w:cs="Tahoma"/>
          <w:sz w:val="22"/>
          <w:szCs w:val="22"/>
        </w:rPr>
        <w:t xml:space="preserve">i bien </w:t>
      </w:r>
      <w:r>
        <w:rPr>
          <w:rFonts w:ascii="Tahoma" w:hAnsi="Tahoma" w:cs="Tahoma"/>
          <w:sz w:val="22"/>
          <w:szCs w:val="22"/>
        </w:rPr>
        <w:t xml:space="preserve">la prueba objeto de controversia </w:t>
      </w:r>
      <w:r w:rsidR="00A82BD2" w:rsidRPr="00094BDD">
        <w:rPr>
          <w:rFonts w:ascii="Tahoma" w:hAnsi="Tahoma" w:cs="Tahoma"/>
          <w:sz w:val="22"/>
          <w:szCs w:val="22"/>
        </w:rPr>
        <w:t xml:space="preserve">no se solicitó en la contestación de la demanda, </w:t>
      </w:r>
      <w:r w:rsidR="00E86D50" w:rsidRPr="00094BDD">
        <w:rPr>
          <w:rFonts w:ascii="Tahoma" w:hAnsi="Tahoma" w:cs="Tahoma"/>
          <w:sz w:val="22"/>
          <w:szCs w:val="22"/>
        </w:rPr>
        <w:t>el hecho de que se haya presentado en la etapa de “decreto de pruebas”</w:t>
      </w:r>
      <w:r w:rsidR="0091790C" w:rsidRPr="00094BDD">
        <w:rPr>
          <w:rFonts w:ascii="Tahoma" w:hAnsi="Tahoma" w:cs="Tahoma"/>
          <w:sz w:val="22"/>
          <w:szCs w:val="22"/>
        </w:rPr>
        <w:t xml:space="preserve"> permitía a la Jueza, de manera excepcional y por la complejidad del asunto, </w:t>
      </w:r>
      <w:r w:rsidR="008A590A" w:rsidRPr="00094BDD">
        <w:rPr>
          <w:rFonts w:ascii="Tahoma" w:hAnsi="Tahoma" w:cs="Tahoma"/>
          <w:sz w:val="22"/>
          <w:szCs w:val="22"/>
        </w:rPr>
        <w:t xml:space="preserve">acoplarla al cúmulo de </w:t>
      </w:r>
      <w:r w:rsidR="00007966" w:rsidRPr="00094BDD">
        <w:rPr>
          <w:rFonts w:ascii="Tahoma" w:hAnsi="Tahoma" w:cs="Tahoma"/>
          <w:sz w:val="22"/>
          <w:szCs w:val="22"/>
        </w:rPr>
        <w:t>medios probatorios q</w:t>
      </w:r>
      <w:r w:rsidR="008A590A" w:rsidRPr="00094BDD">
        <w:rPr>
          <w:rFonts w:ascii="Tahoma" w:hAnsi="Tahoma" w:cs="Tahoma"/>
          <w:sz w:val="22"/>
          <w:szCs w:val="22"/>
        </w:rPr>
        <w:t>ue se practicarían en curso de</w:t>
      </w:r>
      <w:r>
        <w:rPr>
          <w:rFonts w:ascii="Tahoma" w:hAnsi="Tahoma" w:cs="Tahoma"/>
          <w:sz w:val="22"/>
          <w:szCs w:val="22"/>
        </w:rPr>
        <w:t xml:space="preserve"> </w:t>
      </w:r>
      <w:r w:rsidR="008A590A" w:rsidRPr="00094BDD">
        <w:rPr>
          <w:rFonts w:ascii="Tahoma" w:hAnsi="Tahoma" w:cs="Tahoma"/>
          <w:sz w:val="22"/>
          <w:szCs w:val="22"/>
        </w:rPr>
        <w:t>l</w:t>
      </w:r>
      <w:r>
        <w:rPr>
          <w:rFonts w:ascii="Tahoma" w:hAnsi="Tahoma" w:cs="Tahoma"/>
          <w:sz w:val="22"/>
          <w:szCs w:val="22"/>
        </w:rPr>
        <w:t>a diligencia de que trata el</w:t>
      </w:r>
      <w:r w:rsidR="008A590A" w:rsidRPr="00094BDD">
        <w:rPr>
          <w:rFonts w:ascii="Tahoma" w:hAnsi="Tahoma" w:cs="Tahoma"/>
          <w:sz w:val="22"/>
          <w:szCs w:val="22"/>
        </w:rPr>
        <w:t xml:space="preserve"> artículo 80 </w:t>
      </w:r>
      <w:r w:rsidR="00007966" w:rsidRPr="00094BDD">
        <w:rPr>
          <w:rFonts w:ascii="Tahoma" w:hAnsi="Tahoma" w:cs="Tahoma"/>
          <w:sz w:val="22"/>
          <w:szCs w:val="22"/>
        </w:rPr>
        <w:t>ibídem, previo traslado de la solicitud a la parte actora.</w:t>
      </w:r>
      <w:r w:rsidR="00523C3B">
        <w:rPr>
          <w:rFonts w:ascii="Tahoma" w:hAnsi="Tahoma" w:cs="Tahoma"/>
          <w:sz w:val="22"/>
          <w:szCs w:val="22"/>
        </w:rPr>
        <w:t xml:space="preserve"> </w:t>
      </w:r>
    </w:p>
    <w:p w:rsidR="00523C3B" w:rsidRDefault="00523C3B" w:rsidP="00F40F41">
      <w:pPr>
        <w:spacing w:line="276" w:lineRule="auto"/>
        <w:ind w:firstLine="708"/>
        <w:jc w:val="both"/>
        <w:rPr>
          <w:rFonts w:ascii="Tahoma" w:hAnsi="Tahoma" w:cs="Tahoma"/>
          <w:sz w:val="22"/>
          <w:szCs w:val="22"/>
        </w:rPr>
      </w:pPr>
    </w:p>
    <w:p w:rsidR="00823A7A" w:rsidRPr="00094BDD" w:rsidRDefault="00523C3B" w:rsidP="00F40F41">
      <w:pPr>
        <w:spacing w:line="276" w:lineRule="auto"/>
        <w:ind w:firstLine="708"/>
        <w:jc w:val="both"/>
        <w:rPr>
          <w:rFonts w:ascii="Tahoma" w:hAnsi="Tahoma" w:cs="Tahoma"/>
          <w:sz w:val="22"/>
          <w:szCs w:val="22"/>
        </w:rPr>
      </w:pPr>
      <w:r>
        <w:rPr>
          <w:rFonts w:ascii="Tahoma" w:hAnsi="Tahoma" w:cs="Tahoma"/>
          <w:sz w:val="22"/>
          <w:szCs w:val="22"/>
        </w:rPr>
        <w:t>Con ello no</w:t>
      </w:r>
      <w:r w:rsidR="00E1452C" w:rsidRPr="00094BDD">
        <w:rPr>
          <w:rFonts w:ascii="Tahoma" w:hAnsi="Tahoma" w:cs="Tahoma"/>
          <w:sz w:val="22"/>
          <w:szCs w:val="22"/>
        </w:rPr>
        <w:t xml:space="preserve"> desconozco que el procedimiento está establecido para generar unas reglas de igualdad entre las partes y en la comunidad en general, </w:t>
      </w:r>
      <w:r w:rsidR="005A224C" w:rsidRPr="00094BDD">
        <w:rPr>
          <w:rFonts w:ascii="Tahoma" w:hAnsi="Tahoma" w:cs="Tahoma"/>
          <w:sz w:val="22"/>
          <w:szCs w:val="22"/>
        </w:rPr>
        <w:t xml:space="preserve">pero </w:t>
      </w:r>
      <w:r w:rsidR="00505724">
        <w:rPr>
          <w:rFonts w:ascii="Tahoma" w:hAnsi="Tahoma" w:cs="Tahoma"/>
          <w:sz w:val="22"/>
          <w:szCs w:val="22"/>
        </w:rPr>
        <w:t xml:space="preserve">ni </w:t>
      </w:r>
      <w:r w:rsidR="005A224C" w:rsidRPr="00094BDD">
        <w:rPr>
          <w:rFonts w:ascii="Tahoma" w:hAnsi="Tahoma" w:cs="Tahoma"/>
          <w:sz w:val="22"/>
          <w:szCs w:val="22"/>
        </w:rPr>
        <w:t xml:space="preserve">ello, ni la celeridad </w:t>
      </w:r>
      <w:r w:rsidR="00A801E6">
        <w:rPr>
          <w:rFonts w:ascii="Tahoma" w:hAnsi="Tahoma" w:cs="Tahoma"/>
          <w:sz w:val="22"/>
          <w:szCs w:val="22"/>
        </w:rPr>
        <w:t>que trae consigo el espíritu del sistema oral</w:t>
      </w:r>
      <w:r w:rsidR="00505724">
        <w:rPr>
          <w:rFonts w:ascii="Tahoma" w:hAnsi="Tahoma" w:cs="Tahoma"/>
          <w:sz w:val="22"/>
          <w:szCs w:val="22"/>
        </w:rPr>
        <w:t xml:space="preserve">, </w:t>
      </w:r>
      <w:r w:rsidR="005A224C" w:rsidRPr="00094BDD">
        <w:rPr>
          <w:rFonts w:ascii="Tahoma" w:hAnsi="Tahoma" w:cs="Tahoma"/>
          <w:sz w:val="22"/>
          <w:szCs w:val="22"/>
        </w:rPr>
        <w:t>pueden convertirse en limitantes que impida</w:t>
      </w:r>
      <w:r w:rsidR="00A801E6">
        <w:rPr>
          <w:rFonts w:ascii="Tahoma" w:hAnsi="Tahoma" w:cs="Tahoma"/>
          <w:sz w:val="22"/>
          <w:szCs w:val="22"/>
        </w:rPr>
        <w:t>n</w:t>
      </w:r>
      <w:r w:rsidR="005A224C" w:rsidRPr="00094BDD">
        <w:rPr>
          <w:rFonts w:ascii="Tahoma" w:hAnsi="Tahoma" w:cs="Tahoma"/>
          <w:sz w:val="22"/>
          <w:szCs w:val="22"/>
        </w:rPr>
        <w:t xml:space="preserve"> al Juzgador procurar todos los medios necesarios para emitir una orden justa, más a</w:t>
      </w:r>
      <w:r w:rsidR="00E90650" w:rsidRPr="00094BDD">
        <w:rPr>
          <w:rFonts w:ascii="Tahoma" w:hAnsi="Tahoma" w:cs="Tahoma"/>
          <w:sz w:val="22"/>
          <w:szCs w:val="22"/>
        </w:rPr>
        <w:t xml:space="preserve">ún cuando </w:t>
      </w:r>
      <w:r>
        <w:rPr>
          <w:rFonts w:ascii="Tahoma" w:hAnsi="Tahoma" w:cs="Tahoma"/>
          <w:sz w:val="22"/>
          <w:szCs w:val="22"/>
        </w:rPr>
        <w:t xml:space="preserve">aquella </w:t>
      </w:r>
      <w:r w:rsidR="00E90650" w:rsidRPr="00094BDD">
        <w:rPr>
          <w:rFonts w:ascii="Tahoma" w:hAnsi="Tahoma" w:cs="Tahoma"/>
          <w:sz w:val="22"/>
          <w:szCs w:val="22"/>
        </w:rPr>
        <w:t>prueba</w:t>
      </w:r>
      <w:r w:rsidR="00A801E6">
        <w:rPr>
          <w:rFonts w:ascii="Tahoma" w:hAnsi="Tahoma" w:cs="Tahoma"/>
          <w:sz w:val="22"/>
          <w:szCs w:val="22"/>
        </w:rPr>
        <w:t xml:space="preserve"> </w:t>
      </w:r>
      <w:r w:rsidR="00E90650" w:rsidRPr="00094BDD">
        <w:rPr>
          <w:rFonts w:ascii="Tahoma" w:hAnsi="Tahoma" w:cs="Tahoma"/>
          <w:sz w:val="22"/>
          <w:szCs w:val="22"/>
        </w:rPr>
        <w:t>p</w:t>
      </w:r>
      <w:r>
        <w:rPr>
          <w:rFonts w:ascii="Tahoma" w:hAnsi="Tahoma" w:cs="Tahoma"/>
          <w:sz w:val="22"/>
          <w:szCs w:val="22"/>
        </w:rPr>
        <w:t>uede</w:t>
      </w:r>
      <w:r w:rsidR="00E90650" w:rsidRPr="00094BDD">
        <w:rPr>
          <w:rFonts w:ascii="Tahoma" w:hAnsi="Tahoma" w:cs="Tahoma"/>
          <w:sz w:val="22"/>
          <w:szCs w:val="22"/>
        </w:rPr>
        <w:t xml:space="preserve"> </w:t>
      </w:r>
      <w:r w:rsidR="00A801E6">
        <w:rPr>
          <w:rFonts w:ascii="Tahoma" w:hAnsi="Tahoma" w:cs="Tahoma"/>
          <w:sz w:val="22"/>
          <w:szCs w:val="22"/>
        </w:rPr>
        <w:t>se</w:t>
      </w:r>
      <w:r>
        <w:rPr>
          <w:rFonts w:ascii="Tahoma" w:hAnsi="Tahoma" w:cs="Tahoma"/>
          <w:sz w:val="22"/>
          <w:szCs w:val="22"/>
        </w:rPr>
        <w:t>r</w:t>
      </w:r>
      <w:r w:rsidR="00A801E6">
        <w:rPr>
          <w:rFonts w:ascii="Tahoma" w:hAnsi="Tahoma" w:cs="Tahoma"/>
          <w:sz w:val="22"/>
          <w:szCs w:val="22"/>
        </w:rPr>
        <w:t xml:space="preserve"> </w:t>
      </w:r>
      <w:r w:rsidR="00E90650" w:rsidRPr="00094BDD">
        <w:rPr>
          <w:rFonts w:ascii="Tahoma" w:hAnsi="Tahoma" w:cs="Tahoma"/>
          <w:sz w:val="22"/>
          <w:szCs w:val="22"/>
        </w:rPr>
        <w:t>controverti</w:t>
      </w:r>
      <w:r w:rsidR="00A801E6">
        <w:rPr>
          <w:rFonts w:ascii="Tahoma" w:hAnsi="Tahoma" w:cs="Tahoma"/>
          <w:sz w:val="22"/>
          <w:szCs w:val="22"/>
        </w:rPr>
        <w:t xml:space="preserve">da </w:t>
      </w:r>
      <w:r w:rsidR="00E90650" w:rsidRPr="00094BDD">
        <w:rPr>
          <w:rFonts w:ascii="Tahoma" w:hAnsi="Tahoma" w:cs="Tahoma"/>
          <w:sz w:val="22"/>
          <w:szCs w:val="22"/>
        </w:rPr>
        <w:t xml:space="preserve">con todas </w:t>
      </w:r>
      <w:r w:rsidR="00A801E6">
        <w:rPr>
          <w:rFonts w:ascii="Tahoma" w:hAnsi="Tahoma" w:cs="Tahoma"/>
          <w:sz w:val="22"/>
          <w:szCs w:val="22"/>
        </w:rPr>
        <w:t xml:space="preserve">las garantías del caso </w:t>
      </w:r>
      <w:r w:rsidR="00E90650" w:rsidRPr="00094BDD">
        <w:rPr>
          <w:rFonts w:ascii="Tahoma" w:hAnsi="Tahoma" w:cs="Tahoma"/>
          <w:sz w:val="22"/>
          <w:szCs w:val="22"/>
        </w:rPr>
        <w:t>al momento de practi</w:t>
      </w:r>
      <w:r w:rsidR="00A801E6">
        <w:rPr>
          <w:rFonts w:ascii="Tahoma" w:hAnsi="Tahoma" w:cs="Tahoma"/>
          <w:sz w:val="22"/>
          <w:szCs w:val="22"/>
        </w:rPr>
        <w:t>c</w:t>
      </w:r>
      <w:r>
        <w:rPr>
          <w:rFonts w:ascii="Tahoma" w:hAnsi="Tahoma" w:cs="Tahoma"/>
          <w:sz w:val="22"/>
          <w:szCs w:val="22"/>
        </w:rPr>
        <w:t>arla;</w:t>
      </w:r>
      <w:r w:rsidR="000F2B9C">
        <w:rPr>
          <w:rFonts w:ascii="Tahoma" w:hAnsi="Tahoma" w:cs="Tahoma"/>
          <w:sz w:val="22"/>
          <w:szCs w:val="22"/>
        </w:rPr>
        <w:t xml:space="preserve"> </w:t>
      </w:r>
      <w:r w:rsidR="009E0BCC" w:rsidRPr="00094BDD">
        <w:rPr>
          <w:rFonts w:ascii="Tahoma" w:hAnsi="Tahoma" w:cs="Tahoma"/>
          <w:sz w:val="22"/>
          <w:szCs w:val="22"/>
        </w:rPr>
        <w:t>además</w:t>
      </w:r>
      <w:r>
        <w:rPr>
          <w:rFonts w:ascii="Tahoma" w:hAnsi="Tahoma" w:cs="Tahoma"/>
          <w:sz w:val="22"/>
          <w:szCs w:val="22"/>
        </w:rPr>
        <w:t>,</w:t>
      </w:r>
      <w:r w:rsidR="009E0BCC" w:rsidRPr="00094BDD">
        <w:rPr>
          <w:rFonts w:ascii="Tahoma" w:hAnsi="Tahoma" w:cs="Tahoma"/>
          <w:sz w:val="22"/>
          <w:szCs w:val="22"/>
        </w:rPr>
        <w:t xml:space="preserve"> </w:t>
      </w:r>
      <w:r w:rsidR="00823A7A" w:rsidRPr="00094BDD">
        <w:rPr>
          <w:rFonts w:ascii="Tahoma" w:hAnsi="Tahoma" w:cs="Tahoma"/>
          <w:sz w:val="22"/>
          <w:szCs w:val="22"/>
        </w:rPr>
        <w:t>el derecho a incorporar y controvertir pruebas en un proceso es un componente del derecho fundamental al debido proceso, como lo tiene definido la jurisprudencia constitucional (sentencia C-034/14, Magistrada Ponente María Victoria Calle Correa):</w:t>
      </w:r>
    </w:p>
    <w:p w:rsidR="00823A7A" w:rsidRPr="00094BDD" w:rsidRDefault="00823A7A" w:rsidP="00094BDD">
      <w:pPr>
        <w:tabs>
          <w:tab w:val="left" w:pos="3960"/>
        </w:tabs>
        <w:spacing w:line="276" w:lineRule="auto"/>
        <w:jc w:val="both"/>
        <w:rPr>
          <w:rFonts w:ascii="Tahoma" w:hAnsi="Tahoma" w:cs="Tahoma"/>
          <w:sz w:val="22"/>
          <w:szCs w:val="22"/>
        </w:rPr>
      </w:pPr>
    </w:p>
    <w:p w:rsidR="00823A7A" w:rsidRPr="00094BDD" w:rsidRDefault="00823A7A" w:rsidP="00F40F41">
      <w:pPr>
        <w:ind w:left="709" w:right="760"/>
        <w:jc w:val="both"/>
        <w:rPr>
          <w:rFonts w:ascii="Arial Narrow" w:hAnsi="Arial Narrow" w:cs="Tahoma"/>
          <w:sz w:val="22"/>
          <w:szCs w:val="22"/>
        </w:rPr>
      </w:pPr>
      <w:r w:rsidRPr="00094BDD">
        <w:rPr>
          <w:rFonts w:ascii="Arial Narrow" w:hAnsi="Arial Narrow" w:cs="Tahoma"/>
          <w:sz w:val="22"/>
          <w:szCs w:val="22"/>
        </w:rPr>
        <w:lastRenderedPageBreak/>
        <w:t>“</w:t>
      </w:r>
      <w:r w:rsidRPr="00094BDD">
        <w:rPr>
          <w:rFonts w:ascii="Arial Narrow" w:hAnsi="Arial Narrow" w:cs="Tahoma"/>
          <w:i/>
          <w:sz w:val="22"/>
          <w:szCs w:val="22"/>
        </w:rPr>
        <w:t>El problema jurídico planteado en esta oportunidad atañe al derecho a presentar pruebas, el cual ha sido considerado como un derecho fundamental autónomo, a la vez que una de las garantías del más amplio derecho al debido proceso [C-598 de 2011].</w:t>
      </w:r>
      <w:r w:rsidRPr="00094BDD">
        <w:rPr>
          <w:rStyle w:val="Refdenotaalpie"/>
          <w:rFonts w:ascii="Arial Narrow" w:hAnsi="Arial Narrow" w:cs="Tahoma"/>
          <w:i/>
          <w:sz w:val="22"/>
          <w:szCs w:val="22"/>
        </w:rPr>
        <w:footnoteReference w:id="1"/>
      </w:r>
      <w:r w:rsidRPr="00094BDD">
        <w:rPr>
          <w:rFonts w:ascii="Arial Narrow" w:hAnsi="Arial Narrow" w:cs="Tahoma"/>
          <w:sz w:val="22"/>
          <w:szCs w:val="22"/>
        </w:rPr>
        <w:t xml:space="preserve"> </w:t>
      </w:r>
    </w:p>
    <w:p w:rsidR="00823A7A" w:rsidRPr="00094BDD" w:rsidRDefault="00823A7A" w:rsidP="00F40F41">
      <w:pPr>
        <w:tabs>
          <w:tab w:val="left" w:pos="3960"/>
        </w:tabs>
        <w:ind w:left="709" w:right="760"/>
        <w:jc w:val="both"/>
        <w:rPr>
          <w:rFonts w:ascii="Arial Narrow" w:hAnsi="Arial Narrow" w:cs="Tahoma"/>
          <w:sz w:val="22"/>
          <w:szCs w:val="22"/>
        </w:rPr>
      </w:pPr>
    </w:p>
    <w:p w:rsidR="00823A7A" w:rsidRPr="00094BDD" w:rsidRDefault="00823A7A" w:rsidP="00F40F41">
      <w:pPr>
        <w:ind w:left="709" w:right="760"/>
        <w:jc w:val="both"/>
        <w:rPr>
          <w:rFonts w:ascii="Arial Narrow" w:hAnsi="Arial Narrow" w:cs="Tahoma"/>
          <w:i/>
          <w:sz w:val="22"/>
          <w:szCs w:val="22"/>
        </w:rPr>
      </w:pPr>
      <w:r w:rsidRPr="00094BDD">
        <w:rPr>
          <w:rFonts w:ascii="Arial Narrow" w:hAnsi="Arial Narrow" w:cs="Tahoma"/>
          <w:sz w:val="22"/>
          <w:szCs w:val="22"/>
        </w:rPr>
        <w:t>“</w:t>
      </w:r>
      <w:r w:rsidRPr="00094BDD">
        <w:rPr>
          <w:rFonts w:ascii="Arial Narrow" w:hAnsi="Arial Narrow" w:cs="Tahoma"/>
          <w:i/>
          <w:sz w:val="22"/>
          <w:szCs w:val="22"/>
        </w:rPr>
        <w:t xml:space="preserve">La importancia de las pruebas en todo procedimiento es evidente, pues solo a través de una vigorosa actividad probatoria, que incluye la posibilidad de solicitar, aportar y controvertir las que obran en cada trámite, puede el funcionario administrativo o judicial alcanzar un conocimiento mínimo de los hechos que dan lugar a la aplicación de las normas jurídicas pertinentes, y dar respuesta a los asuntos de su competencia ciñéndose al derecho sustancial.  En la sentencia </w:t>
      </w:r>
      <w:r w:rsidRPr="00094BDD">
        <w:rPr>
          <w:rFonts w:ascii="Arial Narrow" w:hAnsi="Arial Narrow" w:cs="Tahoma"/>
          <w:i/>
          <w:sz w:val="22"/>
          <w:szCs w:val="22"/>
          <w:lang w:val="es-CO"/>
        </w:rPr>
        <w:t>C-1270 de 2000,</w:t>
      </w:r>
      <w:r w:rsidRPr="00094BDD">
        <w:rPr>
          <w:rStyle w:val="Refdenotaalpie"/>
          <w:rFonts w:ascii="Arial Narrow" w:hAnsi="Arial Narrow" w:cs="Tahoma"/>
          <w:i/>
          <w:sz w:val="22"/>
          <w:szCs w:val="22"/>
          <w:lang w:val="es-CO"/>
        </w:rPr>
        <w:footnoteReference w:id="2"/>
      </w:r>
      <w:r w:rsidRPr="00094BDD">
        <w:rPr>
          <w:rFonts w:ascii="Arial Narrow" w:hAnsi="Arial Narrow" w:cs="Tahoma"/>
          <w:i/>
          <w:sz w:val="22"/>
          <w:szCs w:val="22"/>
          <w:lang w:val="es-CO"/>
        </w:rPr>
        <w:t xml:space="preserve"> </w:t>
      </w:r>
      <w:r w:rsidRPr="00094BDD">
        <w:rPr>
          <w:rFonts w:ascii="Arial Narrow" w:hAnsi="Arial Narrow" w:cs="Tahoma"/>
          <w:i/>
          <w:sz w:val="22"/>
          <w:szCs w:val="22"/>
        </w:rPr>
        <w:t>la Corporación se refirió al alcance del derecho a presentar y controvertir pruebas, en el escenario de los conflictos propios del derecho laboral:</w:t>
      </w:r>
    </w:p>
    <w:p w:rsidR="00823A7A" w:rsidRPr="00094BDD" w:rsidRDefault="00823A7A" w:rsidP="00F40F41">
      <w:pPr>
        <w:ind w:left="709" w:right="760"/>
        <w:jc w:val="both"/>
        <w:rPr>
          <w:rFonts w:ascii="Arial Narrow" w:hAnsi="Arial Narrow" w:cs="Tahoma"/>
          <w:b/>
          <w:sz w:val="22"/>
          <w:szCs w:val="22"/>
          <w:lang w:val="es-CO"/>
        </w:rPr>
      </w:pPr>
    </w:p>
    <w:p w:rsidR="00823A7A" w:rsidRPr="00094BDD" w:rsidRDefault="00823A7A" w:rsidP="00F40F41">
      <w:pPr>
        <w:ind w:left="709" w:right="760"/>
        <w:jc w:val="both"/>
        <w:rPr>
          <w:rFonts w:ascii="Arial Narrow" w:hAnsi="Arial Narrow" w:cs="Tahoma"/>
          <w:sz w:val="22"/>
          <w:szCs w:val="22"/>
        </w:rPr>
      </w:pPr>
      <w:r w:rsidRPr="00094BDD">
        <w:rPr>
          <w:rFonts w:ascii="Arial Narrow" w:hAnsi="Arial Narrow" w:cs="Tahoma"/>
          <w:b/>
          <w:sz w:val="22"/>
          <w:szCs w:val="22"/>
          <w:lang w:eastAsia="es-CO"/>
        </w:rPr>
        <w:t>“</w:t>
      </w:r>
      <w:r w:rsidRPr="00094BDD">
        <w:rPr>
          <w:rFonts w:ascii="Arial Narrow" w:hAnsi="Arial Narrow" w:cs="Tahoma"/>
          <w:i/>
          <w:sz w:val="22"/>
          <w:szCs w:val="22"/>
          <w:lang w:val="es-CO" w:eastAsia="es-CO"/>
        </w:rPr>
        <w:t>3.2. Aun cuando el artículo 29 de la Constitución confiere al legislador la facultad de diseñar las reglas del debido proceso y, por consiguiente, la estructura probatoria de los procesos, no es menos cierto que dicha norma impone a aquél la necesidad de observar y regular ciertas garantías mínimas en materia probatoria. En efecto, como algo consustancial al derecho de defensa, debe el legislador prever que en los procesos judiciales se reconozcan a las partes los siguientes derechos: i) el derecho para presentarlas y solicitarlas; ii) el derecho para controvertir las pruebas que se presenten en su contra; iii) el derecho a la publicidad de la prueba, pues de esta manera se asegura el derecho de contradicción; iv) el derecho a la regularidad de la prueba, esto es, observando las reglas del debido proceso, siendo nula de pleno derecho la obtenida con violación de éste; v) el derecho a que de oficio se practiquen las pruebas que resulten necesarias para asegurar el principio de realización y efectividad de los derechos (arts. 2 y 228); y vi) el derecho a que se evalúen por el juzgador las pruebas incorporadas al proceso…</w:t>
      </w:r>
      <w:r w:rsidRPr="00094BDD">
        <w:rPr>
          <w:rFonts w:ascii="Arial Narrow" w:hAnsi="Arial Narrow" w:cs="Tahoma"/>
          <w:sz w:val="22"/>
          <w:szCs w:val="22"/>
          <w:lang w:val="es-CO" w:eastAsia="es-CO"/>
        </w:rPr>
        <w:t>”.</w:t>
      </w:r>
    </w:p>
    <w:p w:rsidR="008E1548" w:rsidRPr="00094BDD" w:rsidRDefault="008E1548" w:rsidP="00094BDD">
      <w:pPr>
        <w:spacing w:line="276" w:lineRule="auto"/>
        <w:jc w:val="both"/>
        <w:rPr>
          <w:rFonts w:ascii="Tahoma" w:hAnsi="Tahoma" w:cs="Tahoma"/>
          <w:sz w:val="22"/>
          <w:szCs w:val="22"/>
          <w:shd w:val="clear" w:color="auto" w:fill="FFFFFF"/>
        </w:rPr>
      </w:pPr>
    </w:p>
    <w:p w:rsidR="006F0E6A" w:rsidRDefault="00523C3B" w:rsidP="006F0E6A">
      <w:pPr>
        <w:spacing w:line="276" w:lineRule="auto"/>
        <w:ind w:firstLine="708"/>
        <w:jc w:val="both"/>
        <w:rPr>
          <w:rFonts w:ascii="Tahoma" w:hAnsi="Tahoma" w:cs="Tahoma"/>
          <w:sz w:val="22"/>
          <w:szCs w:val="22"/>
        </w:rPr>
      </w:pPr>
      <w:r>
        <w:rPr>
          <w:rFonts w:ascii="Tahoma" w:hAnsi="Tahoma" w:cs="Tahoma"/>
          <w:sz w:val="22"/>
          <w:szCs w:val="22"/>
        </w:rPr>
        <w:t xml:space="preserve">Así las cosas, considero que </w:t>
      </w:r>
      <w:r w:rsidR="006F0E6A">
        <w:rPr>
          <w:rFonts w:ascii="Tahoma" w:hAnsi="Tahoma" w:cs="Tahoma"/>
          <w:sz w:val="22"/>
          <w:szCs w:val="22"/>
        </w:rPr>
        <w:t xml:space="preserve">al no acceder a la prueba solicitada por el sólo hecho de no haberse solicitado en </w:t>
      </w:r>
      <w:r w:rsidR="00505724">
        <w:rPr>
          <w:rFonts w:ascii="Tahoma" w:hAnsi="Tahoma" w:cs="Tahoma"/>
          <w:sz w:val="22"/>
          <w:szCs w:val="22"/>
        </w:rPr>
        <w:t>el</w:t>
      </w:r>
      <w:r w:rsidR="006F0E6A">
        <w:rPr>
          <w:rFonts w:ascii="Tahoma" w:hAnsi="Tahoma" w:cs="Tahoma"/>
          <w:sz w:val="22"/>
          <w:szCs w:val="22"/>
        </w:rPr>
        <w:t xml:space="preserve"> momento procesal</w:t>
      </w:r>
      <w:r w:rsidR="00505724">
        <w:rPr>
          <w:rFonts w:ascii="Tahoma" w:hAnsi="Tahoma" w:cs="Tahoma"/>
          <w:sz w:val="22"/>
          <w:szCs w:val="22"/>
        </w:rPr>
        <w:t xml:space="preserve"> instituido para ello</w:t>
      </w:r>
      <w:r w:rsidR="006F0E6A">
        <w:rPr>
          <w:rFonts w:ascii="Tahoma" w:hAnsi="Tahoma" w:cs="Tahoma"/>
          <w:sz w:val="22"/>
          <w:szCs w:val="22"/>
        </w:rPr>
        <w:t xml:space="preserve">, la Jueza de instancia zanjó su potestad de tener en su haber una cantidad de pruebas con las que puede emitir una decisión </w:t>
      </w:r>
      <w:r w:rsidR="00505724">
        <w:rPr>
          <w:rFonts w:ascii="Tahoma" w:hAnsi="Tahoma" w:cs="Tahoma"/>
          <w:sz w:val="22"/>
          <w:szCs w:val="22"/>
        </w:rPr>
        <w:t xml:space="preserve">en la que </w:t>
      </w:r>
      <w:r w:rsidR="006F0E6A">
        <w:rPr>
          <w:rFonts w:ascii="Tahoma" w:hAnsi="Tahoma" w:cs="Tahoma"/>
          <w:sz w:val="22"/>
          <w:szCs w:val="22"/>
        </w:rPr>
        <w:t>se desaten todos los puntos en litigio, siendo del caso advertir que el hecho de que haya negado la solicitud en esta oportunidad no es óbice para que la decrete oficiosamente hasta antes de dictar sentencia.</w:t>
      </w:r>
    </w:p>
    <w:p w:rsidR="00505724" w:rsidRDefault="00505724" w:rsidP="006F0E6A">
      <w:pPr>
        <w:spacing w:line="276" w:lineRule="auto"/>
        <w:ind w:firstLine="708"/>
        <w:jc w:val="both"/>
        <w:rPr>
          <w:rFonts w:ascii="Tahoma" w:hAnsi="Tahoma" w:cs="Tahoma"/>
          <w:sz w:val="22"/>
          <w:szCs w:val="22"/>
        </w:rPr>
      </w:pPr>
    </w:p>
    <w:p w:rsidR="00505724" w:rsidRDefault="00505724" w:rsidP="006F0E6A">
      <w:pPr>
        <w:spacing w:line="276" w:lineRule="auto"/>
        <w:ind w:firstLine="708"/>
        <w:jc w:val="both"/>
        <w:rPr>
          <w:rFonts w:ascii="Tahoma" w:hAnsi="Tahoma" w:cs="Tahoma"/>
          <w:sz w:val="22"/>
          <w:szCs w:val="22"/>
        </w:rPr>
      </w:pPr>
      <w:r>
        <w:rPr>
          <w:rFonts w:ascii="Tahoma" w:hAnsi="Tahoma" w:cs="Tahoma"/>
          <w:sz w:val="22"/>
          <w:szCs w:val="22"/>
        </w:rPr>
        <w:t xml:space="preserve">Finalmente, se dirá que si bien la suscrita Magistrada </w:t>
      </w:r>
      <w:r w:rsidR="00233DC1">
        <w:rPr>
          <w:rFonts w:ascii="Tahoma" w:hAnsi="Tahoma" w:cs="Tahoma"/>
          <w:sz w:val="22"/>
          <w:szCs w:val="22"/>
        </w:rPr>
        <w:t xml:space="preserve">previamente había negado </w:t>
      </w:r>
      <w:r>
        <w:rPr>
          <w:rFonts w:ascii="Tahoma" w:hAnsi="Tahoma" w:cs="Tahoma"/>
          <w:sz w:val="22"/>
          <w:szCs w:val="22"/>
        </w:rPr>
        <w:t xml:space="preserve">una solicitud que en el mismo sentido hiciera el togado de la Nueva E.P.S., en otro proceso donde el punto en litigio era el mismo que </w:t>
      </w:r>
      <w:r w:rsidR="00233DC1">
        <w:rPr>
          <w:rFonts w:ascii="Tahoma" w:hAnsi="Tahoma" w:cs="Tahoma"/>
          <w:sz w:val="22"/>
          <w:szCs w:val="22"/>
        </w:rPr>
        <w:t xml:space="preserve">el </w:t>
      </w:r>
      <w:r>
        <w:rPr>
          <w:rFonts w:ascii="Tahoma" w:hAnsi="Tahoma" w:cs="Tahoma"/>
          <w:sz w:val="22"/>
          <w:szCs w:val="22"/>
        </w:rPr>
        <w:t>aquí se debate, ello obedeció básicamente a que el proceso se encontraba en segunda instancia, lo que implicaba que la Jueza de primer grado no tuvo la oportunidad de valorar</w:t>
      </w:r>
      <w:r w:rsidR="00233DC1">
        <w:rPr>
          <w:rFonts w:ascii="Tahoma" w:hAnsi="Tahoma" w:cs="Tahoma"/>
          <w:sz w:val="22"/>
          <w:szCs w:val="22"/>
        </w:rPr>
        <w:t>la, y que cualquier pronunciamiento que se hiciera respecto de la misma no podría ser controvertido.</w:t>
      </w:r>
      <w:bookmarkStart w:id="0" w:name="_GoBack"/>
      <w:bookmarkEnd w:id="0"/>
    </w:p>
    <w:p w:rsidR="006F0E6A" w:rsidRDefault="006F0E6A" w:rsidP="00F40F41">
      <w:pPr>
        <w:spacing w:line="276" w:lineRule="auto"/>
        <w:ind w:firstLine="708"/>
        <w:jc w:val="both"/>
        <w:rPr>
          <w:rFonts w:ascii="Tahoma" w:hAnsi="Tahoma" w:cs="Tahoma"/>
          <w:sz w:val="22"/>
          <w:szCs w:val="22"/>
        </w:rPr>
      </w:pPr>
    </w:p>
    <w:p w:rsidR="00683B3E" w:rsidRPr="00094BDD" w:rsidRDefault="00683B3E" w:rsidP="006F0E6A">
      <w:pPr>
        <w:spacing w:line="276" w:lineRule="auto"/>
        <w:ind w:firstLine="708"/>
        <w:jc w:val="both"/>
        <w:rPr>
          <w:rFonts w:ascii="Tahoma" w:hAnsi="Tahoma" w:cs="Tahoma"/>
          <w:sz w:val="22"/>
          <w:szCs w:val="22"/>
        </w:rPr>
      </w:pPr>
      <w:r w:rsidRPr="00094BDD">
        <w:rPr>
          <w:rFonts w:ascii="Tahoma" w:hAnsi="Tahoma" w:cs="Tahoma"/>
          <w:sz w:val="22"/>
          <w:szCs w:val="22"/>
        </w:rPr>
        <w:t>En estos términos</w:t>
      </w:r>
      <w:r w:rsidR="00865709" w:rsidRPr="00094BDD">
        <w:rPr>
          <w:rFonts w:ascii="Tahoma" w:hAnsi="Tahoma" w:cs="Tahoma"/>
          <w:sz w:val="22"/>
          <w:szCs w:val="22"/>
        </w:rPr>
        <w:t xml:space="preserve"> sustento mi salvamento de voto.</w:t>
      </w:r>
    </w:p>
    <w:p w:rsidR="00865709" w:rsidRPr="00094BDD" w:rsidRDefault="00865709" w:rsidP="00094BDD">
      <w:pPr>
        <w:spacing w:line="276" w:lineRule="auto"/>
        <w:jc w:val="both"/>
        <w:rPr>
          <w:rFonts w:ascii="Tahoma" w:hAnsi="Tahoma" w:cs="Tahoma"/>
          <w:sz w:val="22"/>
          <w:szCs w:val="22"/>
        </w:rPr>
      </w:pPr>
    </w:p>
    <w:p w:rsidR="00683B3E" w:rsidRPr="00094BDD" w:rsidRDefault="00683B3E" w:rsidP="00094BDD">
      <w:pPr>
        <w:widowControl w:val="0"/>
        <w:autoSpaceDE w:val="0"/>
        <w:autoSpaceDN w:val="0"/>
        <w:adjustRightInd w:val="0"/>
        <w:jc w:val="both"/>
        <w:rPr>
          <w:rFonts w:ascii="Tahoma" w:hAnsi="Tahoma" w:cs="Tahoma"/>
          <w:sz w:val="22"/>
          <w:szCs w:val="22"/>
        </w:rPr>
      </w:pPr>
    </w:p>
    <w:p w:rsidR="00823A7A" w:rsidRPr="00094BDD" w:rsidRDefault="00823A7A" w:rsidP="00094BDD">
      <w:pPr>
        <w:widowControl w:val="0"/>
        <w:autoSpaceDE w:val="0"/>
        <w:autoSpaceDN w:val="0"/>
        <w:adjustRightInd w:val="0"/>
        <w:jc w:val="both"/>
        <w:rPr>
          <w:rFonts w:ascii="Tahoma" w:hAnsi="Tahoma" w:cs="Tahoma"/>
          <w:sz w:val="22"/>
          <w:szCs w:val="22"/>
        </w:rPr>
      </w:pPr>
    </w:p>
    <w:p w:rsidR="00823A7A" w:rsidRPr="00094BDD" w:rsidRDefault="00823A7A" w:rsidP="00094BDD">
      <w:pPr>
        <w:widowControl w:val="0"/>
        <w:autoSpaceDE w:val="0"/>
        <w:autoSpaceDN w:val="0"/>
        <w:adjustRightInd w:val="0"/>
        <w:jc w:val="both"/>
        <w:rPr>
          <w:rFonts w:ascii="Tahoma" w:hAnsi="Tahoma" w:cs="Tahoma"/>
          <w:sz w:val="22"/>
          <w:szCs w:val="22"/>
        </w:rPr>
      </w:pPr>
    </w:p>
    <w:p w:rsidR="00443E77" w:rsidRPr="00094BDD" w:rsidRDefault="00443E77" w:rsidP="00094BDD">
      <w:pPr>
        <w:widowControl w:val="0"/>
        <w:autoSpaceDE w:val="0"/>
        <w:autoSpaceDN w:val="0"/>
        <w:adjustRightInd w:val="0"/>
        <w:spacing w:line="360" w:lineRule="auto"/>
        <w:jc w:val="both"/>
        <w:rPr>
          <w:rFonts w:ascii="Tahoma" w:hAnsi="Tahoma" w:cs="Tahoma"/>
          <w:sz w:val="22"/>
          <w:szCs w:val="22"/>
        </w:rPr>
      </w:pPr>
    </w:p>
    <w:p w:rsidR="00683B3E" w:rsidRPr="00094BDD" w:rsidRDefault="00683B3E" w:rsidP="00094BDD">
      <w:pPr>
        <w:pStyle w:val="Ttulo3"/>
        <w:spacing w:line="240" w:lineRule="auto"/>
        <w:rPr>
          <w:rFonts w:ascii="Tahoma" w:hAnsi="Tahoma" w:cs="Tahoma"/>
          <w:sz w:val="22"/>
          <w:szCs w:val="22"/>
        </w:rPr>
      </w:pPr>
      <w:r w:rsidRPr="00094BDD">
        <w:rPr>
          <w:rFonts w:ascii="Tahoma" w:hAnsi="Tahoma" w:cs="Tahoma"/>
          <w:sz w:val="22"/>
          <w:szCs w:val="22"/>
        </w:rPr>
        <w:t>ANA LUCÍA CAICEDO CALDERÓN</w:t>
      </w:r>
    </w:p>
    <w:p w:rsidR="00FD076A" w:rsidRPr="00094BDD" w:rsidRDefault="008C308D" w:rsidP="00094BDD">
      <w:pPr>
        <w:rPr>
          <w:sz w:val="22"/>
          <w:szCs w:val="22"/>
        </w:rPr>
      </w:pPr>
    </w:p>
    <w:sectPr w:rsidR="00FD076A" w:rsidRPr="00094BDD" w:rsidSect="006F0E6A">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8D" w:rsidRDefault="008C308D">
      <w:r>
        <w:separator/>
      </w:r>
    </w:p>
  </w:endnote>
  <w:endnote w:type="continuationSeparator" w:id="0">
    <w:p w:rsidR="008C308D" w:rsidRDefault="008C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C30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3DC1">
      <w:rPr>
        <w:rStyle w:val="Nmerodepgina"/>
        <w:noProof/>
      </w:rPr>
      <w:t>2</w:t>
    </w:r>
    <w:r>
      <w:rPr>
        <w:rStyle w:val="Nmerodepgina"/>
      </w:rPr>
      <w:fldChar w:fldCharType="end"/>
    </w:r>
  </w:p>
  <w:p w:rsidR="00F0306B" w:rsidRDefault="008C3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8D" w:rsidRDefault="008C308D">
      <w:r>
        <w:separator/>
      </w:r>
    </w:p>
  </w:footnote>
  <w:footnote w:type="continuationSeparator" w:id="0">
    <w:p w:rsidR="008C308D" w:rsidRDefault="008C308D">
      <w:r>
        <w:continuationSeparator/>
      </w:r>
    </w:p>
  </w:footnote>
  <w:footnote w:id="1">
    <w:p w:rsidR="00823A7A" w:rsidRPr="00823A7A" w:rsidRDefault="00823A7A" w:rsidP="00823A7A">
      <w:pPr>
        <w:pStyle w:val="Textonotapie"/>
        <w:rPr>
          <w:rFonts w:ascii="Times New Roman" w:hAnsi="Times New Roman" w:cs="Times New Roman"/>
          <w:sz w:val="16"/>
          <w:szCs w:val="16"/>
        </w:rPr>
      </w:pPr>
      <w:r w:rsidRPr="00823A7A">
        <w:rPr>
          <w:rStyle w:val="Refdenotaalpie"/>
          <w:rFonts w:ascii="Times New Roman" w:hAnsi="Times New Roman" w:cs="Times New Roman"/>
          <w:sz w:val="16"/>
          <w:szCs w:val="16"/>
        </w:rPr>
        <w:footnoteRef/>
      </w:r>
      <w:r w:rsidRPr="00823A7A">
        <w:rPr>
          <w:rFonts w:ascii="Times New Roman" w:hAnsi="Times New Roman" w:cs="Times New Roman"/>
          <w:sz w:val="16"/>
          <w:szCs w:val="16"/>
        </w:rPr>
        <w:t xml:space="preserve"> MP. Jorge Ignacio Pretelt Chaljub. SPV. María Victoria Calle Correa. </w:t>
      </w:r>
    </w:p>
  </w:footnote>
  <w:footnote w:id="2">
    <w:p w:rsidR="00823A7A" w:rsidRPr="00886030" w:rsidRDefault="00823A7A" w:rsidP="00823A7A">
      <w:pPr>
        <w:pStyle w:val="Textonotapie"/>
        <w:rPr>
          <w:rFonts w:ascii="Tahoma" w:hAnsi="Tahoma" w:cs="Tahoma"/>
          <w:sz w:val="18"/>
        </w:rPr>
      </w:pPr>
      <w:r w:rsidRPr="00823A7A">
        <w:rPr>
          <w:rStyle w:val="Refdenotaalpie"/>
          <w:rFonts w:ascii="Times New Roman" w:hAnsi="Times New Roman" w:cs="Times New Roman"/>
          <w:sz w:val="16"/>
          <w:szCs w:val="16"/>
        </w:rPr>
        <w:footnoteRef/>
      </w:r>
      <w:r w:rsidRPr="00823A7A">
        <w:rPr>
          <w:rFonts w:ascii="Times New Roman" w:hAnsi="Times New Roman" w:cs="Times New Roman"/>
          <w:sz w:val="16"/>
          <w:szCs w:val="16"/>
        </w:rPr>
        <w:t xml:space="preserve"> MP. Antonio Barrera Carbonell.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3">
    <w:nsid w:val="203C5152"/>
    <w:multiLevelType w:val="hybridMultilevel"/>
    <w:tmpl w:val="E2AC8D08"/>
    <w:lvl w:ilvl="0" w:tplc="14DEE25E">
      <w:start w:val="1"/>
      <w:numFmt w:val="lowerRoman"/>
      <w:lvlText w:val="%1)"/>
      <w:lvlJc w:val="left"/>
      <w:pPr>
        <w:ind w:left="3552" w:hanging="720"/>
      </w:pPr>
      <w:rPr>
        <w:rFonts w:ascii="Tahoma" w:eastAsiaTheme="minorHAnsi" w:hAnsi="Tahoma" w:cs="Tahoma"/>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nsid w:val="45A04AC8"/>
    <w:multiLevelType w:val="hybridMultilevel"/>
    <w:tmpl w:val="482061C8"/>
    <w:lvl w:ilvl="0" w:tplc="0C0A0011">
      <w:start w:val="1"/>
      <w:numFmt w:val="decimal"/>
      <w:lvlText w:val="%1)"/>
      <w:lvlJc w:val="left"/>
      <w:pPr>
        <w:ind w:left="2060"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608E0544"/>
    <w:multiLevelType w:val="hybridMultilevel"/>
    <w:tmpl w:val="9F9A49DE"/>
    <w:lvl w:ilvl="0" w:tplc="454020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001305"/>
    <w:rsid w:val="00001F6F"/>
    <w:rsid w:val="00007966"/>
    <w:rsid w:val="00010109"/>
    <w:rsid w:val="00094BDD"/>
    <w:rsid w:val="000A6C24"/>
    <w:rsid w:val="000C4772"/>
    <w:rsid w:val="000F2B9C"/>
    <w:rsid w:val="00123424"/>
    <w:rsid w:val="00166944"/>
    <w:rsid w:val="001773F3"/>
    <w:rsid w:val="00185CD4"/>
    <w:rsid w:val="0019088F"/>
    <w:rsid w:val="001D371A"/>
    <w:rsid w:val="001E15BE"/>
    <w:rsid w:val="001F3EF9"/>
    <w:rsid w:val="00233DC1"/>
    <w:rsid w:val="00266DB6"/>
    <w:rsid w:val="0029238E"/>
    <w:rsid w:val="002A2012"/>
    <w:rsid w:val="002D58F2"/>
    <w:rsid w:val="002E7A2A"/>
    <w:rsid w:val="00311807"/>
    <w:rsid w:val="00311BAE"/>
    <w:rsid w:val="00336A99"/>
    <w:rsid w:val="00382D2E"/>
    <w:rsid w:val="003F45B1"/>
    <w:rsid w:val="00401604"/>
    <w:rsid w:val="00410EC1"/>
    <w:rsid w:val="00443E77"/>
    <w:rsid w:val="004F1FC5"/>
    <w:rsid w:val="00505724"/>
    <w:rsid w:val="00523C3B"/>
    <w:rsid w:val="00535810"/>
    <w:rsid w:val="00537C68"/>
    <w:rsid w:val="005661B5"/>
    <w:rsid w:val="005A224C"/>
    <w:rsid w:val="005D7177"/>
    <w:rsid w:val="00683B3E"/>
    <w:rsid w:val="00695064"/>
    <w:rsid w:val="006D12E6"/>
    <w:rsid w:val="006E7ACD"/>
    <w:rsid w:val="006F0E6A"/>
    <w:rsid w:val="006F3EC6"/>
    <w:rsid w:val="007C21F4"/>
    <w:rsid w:val="007D3D0B"/>
    <w:rsid w:val="007F652C"/>
    <w:rsid w:val="0080770E"/>
    <w:rsid w:val="00823A7A"/>
    <w:rsid w:val="00833E6B"/>
    <w:rsid w:val="00840FC2"/>
    <w:rsid w:val="00864FF1"/>
    <w:rsid w:val="00865709"/>
    <w:rsid w:val="008A590A"/>
    <w:rsid w:val="008C308D"/>
    <w:rsid w:val="008D379E"/>
    <w:rsid w:val="008E1548"/>
    <w:rsid w:val="0091324B"/>
    <w:rsid w:val="0091790C"/>
    <w:rsid w:val="0092121C"/>
    <w:rsid w:val="00926E19"/>
    <w:rsid w:val="00991684"/>
    <w:rsid w:val="00997B4A"/>
    <w:rsid w:val="009E0BCC"/>
    <w:rsid w:val="009F13A6"/>
    <w:rsid w:val="00A56490"/>
    <w:rsid w:val="00A70169"/>
    <w:rsid w:val="00A801E6"/>
    <w:rsid w:val="00A82BD2"/>
    <w:rsid w:val="00AD0B40"/>
    <w:rsid w:val="00AF2029"/>
    <w:rsid w:val="00AF6121"/>
    <w:rsid w:val="00B10A0F"/>
    <w:rsid w:val="00B72571"/>
    <w:rsid w:val="00B7769C"/>
    <w:rsid w:val="00B93C57"/>
    <w:rsid w:val="00BB3DBF"/>
    <w:rsid w:val="00BD493C"/>
    <w:rsid w:val="00C02062"/>
    <w:rsid w:val="00C33F54"/>
    <w:rsid w:val="00CE2EB6"/>
    <w:rsid w:val="00D079B8"/>
    <w:rsid w:val="00D34F0D"/>
    <w:rsid w:val="00D9390A"/>
    <w:rsid w:val="00E066D5"/>
    <w:rsid w:val="00E1452C"/>
    <w:rsid w:val="00E56B61"/>
    <w:rsid w:val="00E83CF4"/>
    <w:rsid w:val="00E86D50"/>
    <w:rsid w:val="00E90650"/>
    <w:rsid w:val="00ED4AFD"/>
    <w:rsid w:val="00F278F9"/>
    <w:rsid w:val="00F40F41"/>
    <w:rsid w:val="00FA3248"/>
    <w:rsid w:val="00FD03F2"/>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 w:type="character" w:styleId="Refdenotaalpie">
    <w:name w:val="footnote reference"/>
    <w:basedOn w:val="Fuentedeprrafopredeter"/>
    <w:uiPriority w:val="99"/>
    <w:semiHidden/>
    <w:rsid w:val="0029238E"/>
    <w:rPr>
      <w:sz w:val="20"/>
      <w:szCs w:val="20"/>
      <w:vertAlign w:val="superscript"/>
    </w:rPr>
  </w:style>
  <w:style w:type="paragraph" w:styleId="Textonotapie">
    <w:name w:val="footnote text"/>
    <w:aliases w:val="Ref. de nota al pie1,Texto de nota al pie,referencia nota al pie,Fago Fußnotenzeichen,Appel note de bas de page,Footnotes refss,Footnote number,BVI fnr,Footnote symbol,Footnote,Ref,de nota al pie,Footnote Text Char1 Car Car Car Car,f"/>
    <w:basedOn w:val="Normal"/>
    <w:link w:val="TextonotapieCar"/>
    <w:uiPriority w:val="99"/>
    <w:semiHidden/>
    <w:rsid w:val="0029238E"/>
    <w:pPr>
      <w:widowControl w:val="0"/>
      <w:overflowPunct w:val="0"/>
      <w:autoSpaceDE w:val="0"/>
      <w:autoSpaceDN w:val="0"/>
      <w:adjustRightInd w:val="0"/>
      <w:textAlignment w:val="baseline"/>
    </w:pPr>
    <w:rPr>
      <w:rFonts w:ascii="Roman PS" w:hAnsi="Roman PS" w:cs="Roman PS"/>
      <w:sz w:val="20"/>
      <w:szCs w:val="20"/>
    </w:rPr>
  </w:style>
  <w:style w:type="character" w:customStyle="1" w:styleId="TextonotapieCar">
    <w:name w:val="Texto nota pie Car"/>
    <w:aliases w:val="Ref. de nota al pie1 Car1,Texto de nota al pie Car1,referencia nota al pie Car1,Fago Fußnotenzeichen Car1,Appel note de bas de page Car1,Footnotes refss Car1,Footnote number Car1,BVI fnr Car1,Footnote symbol Car1,Footnote Car1,f Car"/>
    <w:basedOn w:val="Fuentedeprrafopredeter"/>
    <w:link w:val="Textonotapie"/>
    <w:uiPriority w:val="99"/>
    <w:semiHidden/>
    <w:rsid w:val="0029238E"/>
    <w:rPr>
      <w:rFonts w:ascii="Roman PS" w:eastAsia="Times New Roman" w:hAnsi="Roman PS" w:cs="Roman PS"/>
      <w:sz w:val="20"/>
      <w:szCs w:val="20"/>
      <w:lang w:eastAsia="es-ES"/>
    </w:rPr>
  </w:style>
  <w:style w:type="character" w:customStyle="1" w:styleId="TextonotapieCar1">
    <w:name w:val="Texto nota pie Car1"/>
    <w:aliases w:val="Ref. de nota al pie1 Car,Texto de nota al pie Car,referencia nota al pie Car,Fago Fußnotenzeichen Car,Appel note de bas de page Car,Footnotes refss Car,Footnote number Car,BVI fnr Car,Footnote symbol Car,Footnote Car,Ref Car,f Car1"/>
    <w:uiPriority w:val="99"/>
    <w:semiHidden/>
    <w:locked/>
    <w:rsid w:val="00823A7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7164-4366-4A33-B939-D4B27564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11</cp:revision>
  <cp:lastPrinted>2017-07-31T18:20:00Z</cp:lastPrinted>
  <dcterms:created xsi:type="dcterms:W3CDTF">2017-07-31T12:33:00Z</dcterms:created>
  <dcterms:modified xsi:type="dcterms:W3CDTF">2017-07-31T20:17:00Z</dcterms:modified>
</cp:coreProperties>
</file>