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F5460F">
        <w:rPr>
          <w:rFonts w:ascii="Tahoma" w:hAnsi="Tahoma" w:cs="Tahoma"/>
          <w:b w:val="0"/>
          <w:sz w:val="18"/>
          <w:szCs w:val="18"/>
        </w:rPr>
        <w:t xml:space="preserve">17 de agosto </w:t>
      </w:r>
      <w:r w:rsidR="0084707C">
        <w:rPr>
          <w:rFonts w:ascii="Tahoma" w:hAnsi="Tahoma" w:cs="Tahoma"/>
          <w:b w:val="0"/>
          <w:sz w:val="18"/>
          <w:szCs w:val="18"/>
        </w:rPr>
        <w:t>de 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342326">
        <w:rPr>
          <w:rFonts w:ascii="Tahoma" w:hAnsi="Tahoma" w:cs="Tahoma"/>
          <w:b w:val="0"/>
          <w:sz w:val="18"/>
          <w:szCs w:val="18"/>
        </w:rPr>
        <w:t>2</w:t>
      </w:r>
      <w:r w:rsidRPr="00FF0A79">
        <w:rPr>
          <w:rFonts w:ascii="Tahoma" w:hAnsi="Tahoma" w:cs="Tahoma"/>
          <w:b w:val="0"/>
          <w:sz w:val="18"/>
          <w:szCs w:val="18"/>
        </w:rPr>
        <w:t>-201</w:t>
      </w:r>
      <w:r w:rsidR="006437E3">
        <w:rPr>
          <w:rFonts w:ascii="Tahoma" w:hAnsi="Tahoma" w:cs="Tahoma"/>
          <w:b w:val="0"/>
          <w:sz w:val="18"/>
          <w:szCs w:val="18"/>
        </w:rPr>
        <w:t>5</w:t>
      </w:r>
      <w:r w:rsidRPr="00FF0A79">
        <w:rPr>
          <w:rFonts w:ascii="Tahoma" w:hAnsi="Tahoma" w:cs="Tahoma"/>
          <w:b w:val="0"/>
          <w:sz w:val="18"/>
          <w:szCs w:val="18"/>
        </w:rPr>
        <w:t>-00</w:t>
      </w:r>
      <w:r w:rsidR="007B5411">
        <w:rPr>
          <w:rFonts w:ascii="Tahoma" w:hAnsi="Tahoma" w:cs="Tahoma"/>
          <w:b w:val="0"/>
          <w:sz w:val="18"/>
          <w:szCs w:val="18"/>
        </w:rPr>
        <w:t>185</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7B5411">
        <w:rPr>
          <w:rFonts w:ascii="Tahoma" w:hAnsi="Tahoma" w:cs="Tahoma"/>
          <w:b w:val="0"/>
          <w:sz w:val="18"/>
          <w:szCs w:val="18"/>
        </w:rPr>
        <w:t xml:space="preserve">Edilberto Pineda Uribe </w:t>
      </w:r>
      <w:r w:rsidR="001B5378">
        <w:rPr>
          <w:rFonts w:ascii="Tahoma" w:hAnsi="Tahoma" w:cs="Tahoma"/>
          <w:b w:val="0"/>
          <w:sz w:val="18"/>
          <w:szCs w:val="18"/>
        </w:rPr>
        <w:t xml:space="preserve">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7B5411">
        <w:rPr>
          <w:rFonts w:ascii="Tahoma" w:hAnsi="Tahoma" w:cs="Tahoma"/>
          <w:sz w:val="18"/>
          <w:szCs w:val="18"/>
        </w:rPr>
        <w:t>o</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7B5411">
        <w:rPr>
          <w:rFonts w:ascii="Tahoma" w:hAnsi="Tahoma" w:cs="Tahoma"/>
          <w:b w:val="0"/>
          <w:sz w:val="18"/>
          <w:szCs w:val="18"/>
        </w:rPr>
        <w:t xml:space="preserve">Francisco Javier Tamayo Tabares </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667FC0" w:rsidRPr="00986F1F" w:rsidRDefault="00667FC0" w:rsidP="00667FC0">
      <w:pPr>
        <w:pStyle w:val="Puesto"/>
        <w:spacing w:line="240" w:lineRule="auto"/>
        <w:ind w:left="2805" w:hanging="2805"/>
        <w:jc w:val="both"/>
        <w:rPr>
          <w:rFonts w:ascii="Tahoma" w:hAnsi="Tahoma" w:cs="Tahoma"/>
          <w:sz w:val="18"/>
          <w:szCs w:val="18"/>
        </w:rPr>
      </w:pPr>
      <w:r w:rsidRPr="00023F99">
        <w:rPr>
          <w:rFonts w:ascii="Tahoma" w:hAnsi="Tahoma" w:cs="Tahoma"/>
          <w:sz w:val="18"/>
          <w:szCs w:val="18"/>
        </w:rPr>
        <w:t>Tema</w:t>
      </w:r>
      <w:r w:rsidRPr="00986F1F">
        <w:rPr>
          <w:rFonts w:ascii="Tahoma" w:hAnsi="Tahoma" w:cs="Tahoma"/>
          <w:sz w:val="18"/>
          <w:szCs w:val="18"/>
        </w:rPr>
        <w:t xml:space="preserve">: </w:t>
      </w:r>
      <w:r w:rsidRPr="00986F1F">
        <w:rPr>
          <w:rFonts w:ascii="Tahoma" w:hAnsi="Tahoma" w:cs="Tahoma"/>
          <w:sz w:val="18"/>
          <w:szCs w:val="18"/>
        </w:rPr>
        <w:tab/>
      </w:r>
    </w:p>
    <w:p w:rsidR="005B4F46" w:rsidRPr="005B4F46" w:rsidRDefault="00667FC0" w:rsidP="005B4F46">
      <w:pPr>
        <w:pStyle w:val="Prrafodelista"/>
        <w:ind w:left="2835"/>
        <w:jc w:val="both"/>
        <w:rPr>
          <w:rFonts w:ascii="Tahoma" w:hAnsi="Tahoma" w:cs="Tahoma"/>
          <w:sz w:val="18"/>
          <w:szCs w:val="18"/>
        </w:rPr>
      </w:pPr>
      <w:r w:rsidRPr="005B4F46">
        <w:rPr>
          <w:rFonts w:ascii="Tahoma" w:hAnsi="Tahoma" w:cs="Tahoma"/>
          <w:b/>
          <w:sz w:val="18"/>
          <w:szCs w:val="18"/>
        </w:rPr>
        <w:t>Cumplimiento de la edad para pensionarse durante el proceso:</w:t>
      </w:r>
      <w:r w:rsidRPr="00986F1F">
        <w:rPr>
          <w:rFonts w:ascii="Tahoma" w:hAnsi="Tahoma" w:cs="Tahoma"/>
          <w:sz w:val="18"/>
          <w:szCs w:val="18"/>
        </w:rPr>
        <w:t xml:space="preserve"> </w:t>
      </w:r>
      <w:r w:rsidR="005B4F46" w:rsidRPr="005B4F46">
        <w:rPr>
          <w:rFonts w:ascii="Tahoma" w:hAnsi="Tahoma" w:cs="Tahoma"/>
          <w:sz w:val="18"/>
          <w:szCs w:val="18"/>
        </w:rPr>
        <w:t xml:space="preserve">El advenimiento de la edad durante el transcurso del proceso, en mi concepto, es un HECHO SOBREVINIENTE que debe acogerse por la administración de justicia y por economía procesal debió reconocerse la pensión de vejez con fundamento en la Ley 100 de 1993. Con ello se haría efectiva la justicia material por cuanto se definiría de una vez un derecho que ya está en cabeza de la demandante en un derecho tan caro a la dignidad humana como es la seguridad social en pensiones, a sabiendas de que la falta de la pensión afecta su mínimo vital y el derecho a la salud. </w:t>
      </w:r>
    </w:p>
    <w:p w:rsidR="00667FC0" w:rsidRDefault="00667FC0" w:rsidP="00667FC0">
      <w:pPr>
        <w:rPr>
          <w:lang w:eastAsia="es-MX"/>
        </w:rPr>
      </w:pPr>
    </w:p>
    <w:p w:rsidR="00667FC0" w:rsidRPr="00986F1F" w:rsidRDefault="00667FC0" w:rsidP="00667FC0">
      <w:pPr>
        <w:rPr>
          <w:lang w:eastAsia="es-MX"/>
        </w:rPr>
      </w:pPr>
    </w:p>
    <w:p w:rsidR="00667FC0" w:rsidRPr="00B91415" w:rsidRDefault="00667FC0" w:rsidP="00667FC0">
      <w:pPr>
        <w:pStyle w:val="Ttulo1"/>
        <w:widowControl/>
        <w:autoSpaceDE/>
        <w:autoSpaceDN/>
        <w:adjustRightInd/>
        <w:spacing w:line="276" w:lineRule="auto"/>
        <w:rPr>
          <w:rFonts w:ascii="Tahoma" w:hAnsi="Tahoma" w:cs="Tahoma"/>
          <w:bCs/>
          <w:sz w:val="24"/>
          <w:u w:val="single"/>
        </w:rPr>
      </w:pPr>
      <w:r>
        <w:rPr>
          <w:rFonts w:ascii="Tahoma" w:hAnsi="Tahoma" w:cs="Tahoma"/>
          <w:bCs/>
          <w:sz w:val="24"/>
          <w:u w:val="single"/>
        </w:rPr>
        <w:t>SALVAMENTO</w:t>
      </w:r>
      <w:r w:rsidRPr="00B91415">
        <w:rPr>
          <w:rFonts w:ascii="Tahoma" w:hAnsi="Tahoma" w:cs="Tahoma"/>
          <w:bCs/>
          <w:sz w:val="24"/>
          <w:u w:val="single"/>
        </w:rPr>
        <w:t xml:space="preserve"> DE VOTO</w:t>
      </w:r>
    </w:p>
    <w:p w:rsidR="00667FC0" w:rsidRPr="00B91415" w:rsidRDefault="00667FC0" w:rsidP="00667FC0">
      <w:pPr>
        <w:spacing w:line="276" w:lineRule="auto"/>
        <w:jc w:val="both"/>
        <w:rPr>
          <w:rFonts w:ascii="Tahoma" w:hAnsi="Tahoma" w:cs="Tahoma"/>
          <w:b/>
          <w:bCs/>
        </w:rPr>
      </w:pPr>
    </w:p>
    <w:p w:rsidR="00667FC0" w:rsidRDefault="00667FC0" w:rsidP="00667FC0">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w:t>
      </w:r>
      <w:r>
        <w:rPr>
          <w:rFonts w:ascii="Tahoma" w:hAnsi="Tahoma" w:cs="Tahoma"/>
          <w:sz w:val="22"/>
          <w:szCs w:val="22"/>
        </w:rPr>
        <w:t>me aparto de la decisión de las mayorías con base en los siguientes argumentos:</w:t>
      </w:r>
    </w:p>
    <w:p w:rsidR="00667FC0" w:rsidRDefault="00667FC0" w:rsidP="00667FC0">
      <w:pPr>
        <w:spacing w:line="276" w:lineRule="auto"/>
        <w:jc w:val="both"/>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Para poner en contexto el presente asunto, conviene rememorar que la demanda se impetró para que se le reconociera la pensión de vejez al actor con fundamento en el RÉGIMEN DE TRANSICIÓN del que supuestamente era beneficiari</w:t>
      </w:r>
      <w:r w:rsidR="00F53707">
        <w:rPr>
          <w:rFonts w:ascii="Tahoma" w:hAnsi="Tahoma" w:cs="Tahoma"/>
          <w:sz w:val="22"/>
          <w:szCs w:val="22"/>
        </w:rPr>
        <w:t>o</w:t>
      </w:r>
      <w:r>
        <w:rPr>
          <w:rFonts w:ascii="Tahoma" w:hAnsi="Tahoma" w:cs="Tahoma"/>
          <w:sz w:val="22"/>
          <w:szCs w:val="22"/>
        </w:rPr>
        <w:t xml:space="preserve">. </w:t>
      </w:r>
    </w:p>
    <w:p w:rsidR="00667FC0" w:rsidRDefault="00667FC0" w:rsidP="00667FC0">
      <w:pPr>
        <w:pStyle w:val="Prrafodelista"/>
        <w:spacing w:line="276" w:lineRule="auto"/>
        <w:jc w:val="both"/>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Sin embargo, la Jueza de primer grado concluyó que no le asistía derecho a esa prerrogativa en razón a que a la entrada en vigencia de la Ley 100 de 1993 tenía 3</w:t>
      </w:r>
      <w:r w:rsidR="00F53707">
        <w:rPr>
          <w:rFonts w:ascii="Tahoma" w:hAnsi="Tahoma" w:cs="Tahoma"/>
          <w:sz w:val="22"/>
          <w:szCs w:val="22"/>
        </w:rPr>
        <w:t>9</w:t>
      </w:r>
      <w:r>
        <w:rPr>
          <w:rFonts w:ascii="Tahoma" w:hAnsi="Tahoma" w:cs="Tahoma"/>
          <w:sz w:val="22"/>
          <w:szCs w:val="22"/>
        </w:rPr>
        <w:t xml:space="preserve"> años de edad y </w:t>
      </w:r>
      <w:r w:rsidR="00F53707">
        <w:rPr>
          <w:rFonts w:ascii="Tahoma" w:hAnsi="Tahoma" w:cs="Tahoma"/>
          <w:sz w:val="22"/>
          <w:szCs w:val="22"/>
        </w:rPr>
        <w:t>menos de 15 años de servicios</w:t>
      </w:r>
      <w:r>
        <w:rPr>
          <w:rFonts w:ascii="Tahoma" w:hAnsi="Tahoma" w:cs="Tahoma"/>
          <w:sz w:val="22"/>
          <w:szCs w:val="22"/>
        </w:rPr>
        <w:t>;</w:t>
      </w:r>
      <w:r w:rsidRPr="0030721C">
        <w:rPr>
          <w:rFonts w:ascii="Tahoma" w:hAnsi="Tahoma" w:cs="Tahoma"/>
          <w:sz w:val="22"/>
          <w:szCs w:val="22"/>
        </w:rPr>
        <w:t xml:space="preserve"> </w:t>
      </w:r>
      <w:r>
        <w:rPr>
          <w:rFonts w:ascii="Tahoma" w:hAnsi="Tahoma" w:cs="Tahoma"/>
          <w:sz w:val="22"/>
          <w:szCs w:val="22"/>
        </w:rPr>
        <w:t>por eso se denegaron sus pretensiones. As</w:t>
      </w:r>
      <w:r w:rsidR="006C461C">
        <w:rPr>
          <w:rFonts w:ascii="Tahoma" w:hAnsi="Tahoma" w:cs="Tahoma"/>
          <w:sz w:val="22"/>
          <w:szCs w:val="22"/>
        </w:rPr>
        <w:t>i</w:t>
      </w:r>
      <w:r>
        <w:rPr>
          <w:rFonts w:ascii="Tahoma" w:hAnsi="Tahoma" w:cs="Tahoma"/>
          <w:sz w:val="22"/>
          <w:szCs w:val="22"/>
        </w:rPr>
        <w:t>mismo</w:t>
      </w:r>
      <w:r w:rsidR="006C461C">
        <w:rPr>
          <w:rFonts w:ascii="Tahoma" w:hAnsi="Tahoma" w:cs="Tahoma"/>
          <w:sz w:val="22"/>
          <w:szCs w:val="22"/>
        </w:rPr>
        <w:t>,</w:t>
      </w:r>
      <w:r>
        <w:rPr>
          <w:rFonts w:ascii="Tahoma" w:hAnsi="Tahoma" w:cs="Tahoma"/>
          <w:sz w:val="22"/>
          <w:szCs w:val="22"/>
        </w:rPr>
        <w:t xml:space="preserve"> se advirtió en la sentencia de primera instancia que la pensión del señor</w:t>
      </w:r>
      <w:r w:rsidR="00B1138C">
        <w:rPr>
          <w:rFonts w:ascii="Tahoma" w:hAnsi="Tahoma" w:cs="Tahoma"/>
          <w:sz w:val="22"/>
          <w:szCs w:val="22"/>
        </w:rPr>
        <w:t xml:space="preserve"> Pineda Uribe </w:t>
      </w:r>
      <w:r>
        <w:rPr>
          <w:rFonts w:ascii="Tahoma" w:hAnsi="Tahoma" w:cs="Tahoma"/>
          <w:sz w:val="22"/>
          <w:szCs w:val="22"/>
        </w:rPr>
        <w:t>se disciplinaba con la Ley 100 de 1993 y sus modificaciones posteriores.</w:t>
      </w:r>
    </w:p>
    <w:p w:rsidR="00667FC0" w:rsidRPr="0030721C" w:rsidRDefault="00667FC0" w:rsidP="00667FC0">
      <w:pPr>
        <w:pStyle w:val="Prrafodelista"/>
        <w:rPr>
          <w:rFonts w:ascii="Tahoma" w:hAnsi="Tahoma" w:cs="Tahoma"/>
          <w:sz w:val="22"/>
          <w:szCs w:val="22"/>
        </w:rPr>
      </w:pPr>
    </w:p>
    <w:p w:rsidR="00667FC0" w:rsidRPr="00C7240D" w:rsidRDefault="00C7240D" w:rsidP="009705C4">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 xml:space="preserve">Un mes antes de proferirse </w:t>
      </w:r>
      <w:r w:rsidR="00667FC0" w:rsidRPr="00C7240D">
        <w:rPr>
          <w:rFonts w:ascii="Tahoma" w:hAnsi="Tahoma" w:cs="Tahoma"/>
          <w:sz w:val="22"/>
          <w:szCs w:val="22"/>
        </w:rPr>
        <w:t>la sentencia de primera instancia (</w:t>
      </w:r>
      <w:r w:rsidR="00A6507E">
        <w:rPr>
          <w:rFonts w:ascii="Tahoma" w:hAnsi="Tahoma" w:cs="Tahoma"/>
          <w:sz w:val="22"/>
          <w:szCs w:val="22"/>
        </w:rPr>
        <w:t xml:space="preserve">19 </w:t>
      </w:r>
      <w:r w:rsidR="00667FC0" w:rsidRPr="00C7240D">
        <w:rPr>
          <w:rFonts w:ascii="Tahoma" w:hAnsi="Tahoma" w:cs="Tahoma"/>
          <w:sz w:val="22"/>
          <w:szCs w:val="22"/>
        </w:rPr>
        <w:t xml:space="preserve">de </w:t>
      </w:r>
      <w:r w:rsidR="006C461C" w:rsidRPr="00C7240D">
        <w:rPr>
          <w:rFonts w:ascii="Tahoma" w:hAnsi="Tahoma" w:cs="Tahoma"/>
          <w:sz w:val="22"/>
          <w:szCs w:val="22"/>
        </w:rPr>
        <w:t xml:space="preserve">julio </w:t>
      </w:r>
      <w:r w:rsidR="00667FC0" w:rsidRPr="00C7240D">
        <w:rPr>
          <w:rFonts w:ascii="Tahoma" w:hAnsi="Tahoma" w:cs="Tahoma"/>
          <w:sz w:val="22"/>
          <w:szCs w:val="22"/>
        </w:rPr>
        <w:t xml:space="preserve">de 2016) </w:t>
      </w:r>
      <w:r w:rsidR="00A6507E">
        <w:rPr>
          <w:rFonts w:ascii="Tahoma" w:hAnsi="Tahoma" w:cs="Tahoma"/>
          <w:sz w:val="22"/>
          <w:szCs w:val="22"/>
        </w:rPr>
        <w:t>el</w:t>
      </w:r>
      <w:r w:rsidR="00667FC0" w:rsidRPr="00C7240D">
        <w:rPr>
          <w:rFonts w:ascii="Tahoma" w:hAnsi="Tahoma" w:cs="Tahoma"/>
          <w:sz w:val="22"/>
          <w:szCs w:val="22"/>
        </w:rPr>
        <w:t xml:space="preserve"> promotora del litigio </w:t>
      </w:r>
      <w:r w:rsidR="009657B8">
        <w:rPr>
          <w:rFonts w:ascii="Tahoma" w:hAnsi="Tahoma" w:cs="Tahoma"/>
          <w:sz w:val="22"/>
          <w:szCs w:val="22"/>
        </w:rPr>
        <w:t xml:space="preserve">alcanzó los </w:t>
      </w:r>
      <w:r w:rsidR="00A6507E">
        <w:rPr>
          <w:rFonts w:ascii="Tahoma" w:hAnsi="Tahoma" w:cs="Tahoma"/>
          <w:sz w:val="22"/>
          <w:szCs w:val="22"/>
        </w:rPr>
        <w:t>62</w:t>
      </w:r>
      <w:r w:rsidR="00667FC0" w:rsidRPr="00C7240D">
        <w:rPr>
          <w:rFonts w:ascii="Tahoma" w:hAnsi="Tahoma" w:cs="Tahoma"/>
          <w:sz w:val="22"/>
          <w:szCs w:val="22"/>
        </w:rPr>
        <w:t xml:space="preserve"> años </w:t>
      </w:r>
      <w:r w:rsidR="009657B8">
        <w:rPr>
          <w:rFonts w:ascii="Tahoma" w:hAnsi="Tahoma" w:cs="Tahoma"/>
          <w:sz w:val="22"/>
          <w:szCs w:val="22"/>
        </w:rPr>
        <w:t>de edad</w:t>
      </w:r>
      <w:r w:rsidR="00667FC0" w:rsidRPr="00C7240D">
        <w:rPr>
          <w:rFonts w:ascii="Tahoma" w:hAnsi="Tahoma" w:cs="Tahoma"/>
          <w:sz w:val="22"/>
          <w:szCs w:val="22"/>
        </w:rPr>
        <w:t xml:space="preserve">, razón por la cual para esa calenda </w:t>
      </w:r>
      <w:r w:rsidR="00667FC0" w:rsidRPr="00C7240D">
        <w:rPr>
          <w:rFonts w:ascii="Tahoma" w:hAnsi="Tahoma" w:cs="Tahoma"/>
          <w:i/>
          <w:sz w:val="22"/>
          <w:szCs w:val="22"/>
        </w:rPr>
        <w:t xml:space="preserve">–la de la sentencia- </w:t>
      </w:r>
      <w:r w:rsidR="00667FC0" w:rsidRPr="00C7240D">
        <w:rPr>
          <w:rFonts w:ascii="Tahoma" w:hAnsi="Tahoma" w:cs="Tahoma"/>
          <w:sz w:val="22"/>
          <w:szCs w:val="22"/>
        </w:rPr>
        <w:t>era posible reconocerle la pensión de vejez</w:t>
      </w:r>
      <w:r w:rsidR="00652C81">
        <w:rPr>
          <w:rFonts w:ascii="Tahoma" w:hAnsi="Tahoma" w:cs="Tahoma"/>
          <w:sz w:val="22"/>
          <w:szCs w:val="22"/>
        </w:rPr>
        <w:t xml:space="preserve">, pues contaba con </w:t>
      </w:r>
      <w:r w:rsidR="00652C81" w:rsidRPr="00C7240D">
        <w:rPr>
          <w:rFonts w:ascii="Tahoma" w:hAnsi="Tahoma" w:cs="Tahoma"/>
          <w:sz w:val="22"/>
          <w:szCs w:val="22"/>
        </w:rPr>
        <w:t>1</w:t>
      </w:r>
      <w:r w:rsidR="00A6507E">
        <w:rPr>
          <w:rFonts w:ascii="Tahoma" w:hAnsi="Tahoma" w:cs="Tahoma"/>
          <w:sz w:val="22"/>
          <w:szCs w:val="22"/>
        </w:rPr>
        <w:t>508</w:t>
      </w:r>
      <w:r w:rsidR="00652C81" w:rsidRPr="00C7240D">
        <w:rPr>
          <w:rFonts w:ascii="Tahoma" w:hAnsi="Tahoma" w:cs="Tahoma"/>
          <w:sz w:val="16"/>
          <w:szCs w:val="16"/>
        </w:rPr>
        <w:t>,</w:t>
      </w:r>
      <w:r w:rsidR="00A6507E">
        <w:rPr>
          <w:rFonts w:ascii="Tahoma" w:hAnsi="Tahoma" w:cs="Tahoma"/>
          <w:sz w:val="16"/>
          <w:szCs w:val="16"/>
        </w:rPr>
        <w:t>16</w:t>
      </w:r>
      <w:r w:rsidR="00652C81" w:rsidRPr="00C7240D">
        <w:rPr>
          <w:rFonts w:ascii="Tahoma" w:hAnsi="Tahoma" w:cs="Tahoma"/>
          <w:sz w:val="22"/>
          <w:szCs w:val="22"/>
        </w:rPr>
        <w:t xml:space="preserve"> semanas cotizadas</w:t>
      </w:r>
      <w:r>
        <w:rPr>
          <w:rFonts w:ascii="Tahoma" w:hAnsi="Tahoma" w:cs="Tahoma"/>
          <w:sz w:val="22"/>
          <w:szCs w:val="22"/>
        </w:rPr>
        <w:t>; n</w:t>
      </w:r>
      <w:r w:rsidR="00667FC0" w:rsidRPr="00C7240D">
        <w:rPr>
          <w:rFonts w:ascii="Tahoma" w:hAnsi="Tahoma" w:cs="Tahoma"/>
          <w:sz w:val="22"/>
          <w:szCs w:val="22"/>
        </w:rPr>
        <w:t xml:space="preserve">o obstante, </w:t>
      </w:r>
      <w:r w:rsidR="00652C81">
        <w:rPr>
          <w:rFonts w:ascii="Tahoma" w:hAnsi="Tahoma" w:cs="Tahoma"/>
          <w:sz w:val="22"/>
          <w:szCs w:val="22"/>
        </w:rPr>
        <w:t xml:space="preserve">dicha situación fue pasada por alto por la Jueza de primer grado, así como por la </w:t>
      </w:r>
      <w:r w:rsidR="00667FC0" w:rsidRPr="00C7240D">
        <w:rPr>
          <w:rFonts w:ascii="Tahoma" w:hAnsi="Tahoma" w:cs="Tahoma"/>
          <w:sz w:val="22"/>
          <w:szCs w:val="22"/>
        </w:rPr>
        <w:t>mayoría de los Magistrados</w:t>
      </w:r>
      <w:r w:rsidR="00652C81">
        <w:rPr>
          <w:rFonts w:ascii="Tahoma" w:hAnsi="Tahoma" w:cs="Tahoma"/>
          <w:sz w:val="22"/>
          <w:szCs w:val="22"/>
        </w:rPr>
        <w:t>, quienes</w:t>
      </w:r>
      <w:r w:rsidR="00667FC0" w:rsidRPr="00C7240D">
        <w:rPr>
          <w:rFonts w:ascii="Tahoma" w:hAnsi="Tahoma" w:cs="Tahoma"/>
          <w:sz w:val="22"/>
          <w:szCs w:val="22"/>
        </w:rPr>
        <w:t xml:space="preserve"> consideraron que no era posible reconocer la pensión por haberse pedido antes de tiempo, conforme la posición de la Sala laboral de la Corte Suprema de Justicia en sentencia No. </w:t>
      </w:r>
      <w:r w:rsidR="00652C81">
        <w:rPr>
          <w:rFonts w:ascii="Tahoma" w:hAnsi="Tahoma" w:cs="Tahoma"/>
          <w:sz w:val="22"/>
          <w:szCs w:val="22"/>
        </w:rPr>
        <w:t xml:space="preserve">40740 </w:t>
      </w:r>
      <w:r w:rsidR="00667FC0" w:rsidRPr="00C7240D">
        <w:rPr>
          <w:rFonts w:ascii="Tahoma" w:hAnsi="Tahoma" w:cs="Tahoma"/>
          <w:sz w:val="22"/>
          <w:szCs w:val="22"/>
        </w:rPr>
        <w:t>del 1</w:t>
      </w:r>
      <w:r w:rsidR="00652C81">
        <w:rPr>
          <w:rFonts w:ascii="Tahoma" w:hAnsi="Tahoma" w:cs="Tahoma"/>
          <w:sz w:val="22"/>
          <w:szCs w:val="22"/>
        </w:rPr>
        <w:t>1</w:t>
      </w:r>
      <w:r w:rsidR="00667FC0" w:rsidRPr="00C7240D">
        <w:rPr>
          <w:rFonts w:ascii="Tahoma" w:hAnsi="Tahoma" w:cs="Tahoma"/>
          <w:sz w:val="22"/>
          <w:szCs w:val="22"/>
        </w:rPr>
        <w:t xml:space="preserve"> de marzo de 20</w:t>
      </w:r>
      <w:r w:rsidR="00652C81">
        <w:rPr>
          <w:rFonts w:ascii="Tahoma" w:hAnsi="Tahoma" w:cs="Tahoma"/>
          <w:sz w:val="22"/>
          <w:szCs w:val="22"/>
        </w:rPr>
        <w:t>15</w:t>
      </w:r>
      <w:r w:rsidR="00667FC0" w:rsidRPr="00C7240D">
        <w:rPr>
          <w:rFonts w:ascii="Tahoma" w:hAnsi="Tahoma" w:cs="Tahoma"/>
          <w:sz w:val="22"/>
          <w:szCs w:val="22"/>
        </w:rPr>
        <w:t>.</w:t>
      </w:r>
    </w:p>
    <w:p w:rsidR="00667FC0" w:rsidRPr="00170892" w:rsidRDefault="00667FC0" w:rsidP="00667FC0">
      <w:pPr>
        <w:pStyle w:val="Prrafodelista"/>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Sin embargo</w:t>
      </w:r>
      <w:r w:rsidR="00023F99">
        <w:rPr>
          <w:rFonts w:ascii="Tahoma" w:hAnsi="Tahoma" w:cs="Tahoma"/>
          <w:sz w:val="22"/>
          <w:szCs w:val="22"/>
        </w:rPr>
        <w:t>,</w:t>
      </w:r>
      <w:r>
        <w:rPr>
          <w:rFonts w:ascii="Tahoma" w:hAnsi="Tahoma" w:cs="Tahoma"/>
          <w:sz w:val="22"/>
          <w:szCs w:val="22"/>
        </w:rPr>
        <w:t xml:space="preserve"> disiento de esa posición porque en realidad </w:t>
      </w:r>
      <w:r w:rsidR="005D36A8">
        <w:rPr>
          <w:rFonts w:ascii="Tahoma" w:hAnsi="Tahoma" w:cs="Tahoma"/>
          <w:sz w:val="22"/>
          <w:szCs w:val="22"/>
        </w:rPr>
        <w:t>el</w:t>
      </w:r>
      <w:r>
        <w:rPr>
          <w:rFonts w:ascii="Tahoma" w:hAnsi="Tahoma" w:cs="Tahoma"/>
          <w:sz w:val="22"/>
          <w:szCs w:val="22"/>
        </w:rPr>
        <w:t xml:space="preserve"> señor </w:t>
      </w:r>
      <w:r w:rsidR="005D36A8">
        <w:rPr>
          <w:rFonts w:ascii="Tahoma" w:hAnsi="Tahoma" w:cs="Tahoma"/>
          <w:sz w:val="22"/>
          <w:szCs w:val="22"/>
        </w:rPr>
        <w:t>Edilberto Pineda Uribe</w:t>
      </w:r>
      <w:r w:rsidR="00652C81">
        <w:rPr>
          <w:rFonts w:ascii="Tahoma" w:hAnsi="Tahoma" w:cs="Tahoma"/>
          <w:sz w:val="22"/>
          <w:szCs w:val="22"/>
        </w:rPr>
        <w:t xml:space="preserve"> </w:t>
      </w:r>
      <w:r>
        <w:rPr>
          <w:rFonts w:ascii="Tahoma" w:hAnsi="Tahoma" w:cs="Tahoma"/>
          <w:sz w:val="22"/>
          <w:szCs w:val="22"/>
        </w:rPr>
        <w:t>jamás pidió antes de tiempo</w:t>
      </w:r>
      <w:r w:rsidR="00652C81">
        <w:rPr>
          <w:rFonts w:ascii="Tahoma" w:hAnsi="Tahoma" w:cs="Tahoma"/>
          <w:sz w:val="22"/>
          <w:szCs w:val="22"/>
        </w:rPr>
        <w:t>, p</w:t>
      </w:r>
      <w:r>
        <w:rPr>
          <w:rFonts w:ascii="Tahoma" w:hAnsi="Tahoma" w:cs="Tahoma"/>
          <w:sz w:val="22"/>
          <w:szCs w:val="22"/>
        </w:rPr>
        <w:t>or el contrario</w:t>
      </w:r>
      <w:r w:rsidR="00652C81">
        <w:rPr>
          <w:rFonts w:ascii="Tahoma" w:hAnsi="Tahoma" w:cs="Tahoma"/>
          <w:sz w:val="22"/>
          <w:szCs w:val="22"/>
        </w:rPr>
        <w:t>,</w:t>
      </w:r>
      <w:r>
        <w:rPr>
          <w:rFonts w:ascii="Tahoma" w:hAnsi="Tahoma" w:cs="Tahoma"/>
          <w:sz w:val="22"/>
          <w:szCs w:val="22"/>
        </w:rPr>
        <w:t xml:space="preserve"> lo hizo bajo la convicción de cumplir los requisitos del régimen de transición (</w:t>
      </w:r>
      <w:r w:rsidR="005D36A8">
        <w:rPr>
          <w:rFonts w:ascii="Tahoma" w:hAnsi="Tahoma" w:cs="Tahoma"/>
          <w:sz w:val="22"/>
          <w:szCs w:val="22"/>
        </w:rPr>
        <w:t>60</w:t>
      </w:r>
      <w:r>
        <w:rPr>
          <w:rFonts w:ascii="Tahoma" w:hAnsi="Tahoma" w:cs="Tahoma"/>
          <w:sz w:val="22"/>
          <w:szCs w:val="22"/>
        </w:rPr>
        <w:t xml:space="preserve"> años de edad y número de semanas cotizadas), sólo que en realidad no era beneficiari</w:t>
      </w:r>
      <w:r w:rsidR="005D36A8">
        <w:rPr>
          <w:rFonts w:ascii="Tahoma" w:hAnsi="Tahoma" w:cs="Tahoma"/>
          <w:sz w:val="22"/>
          <w:szCs w:val="22"/>
        </w:rPr>
        <w:t>o</w:t>
      </w:r>
      <w:r>
        <w:rPr>
          <w:rFonts w:ascii="Tahoma" w:hAnsi="Tahoma" w:cs="Tahoma"/>
          <w:sz w:val="22"/>
          <w:szCs w:val="22"/>
        </w:rPr>
        <w:t xml:space="preserve"> de</w:t>
      </w:r>
      <w:r w:rsidR="00652C81">
        <w:rPr>
          <w:rFonts w:ascii="Tahoma" w:hAnsi="Tahoma" w:cs="Tahoma"/>
          <w:sz w:val="22"/>
          <w:szCs w:val="22"/>
        </w:rPr>
        <w:t xml:space="preserve"> </w:t>
      </w:r>
      <w:r>
        <w:rPr>
          <w:rFonts w:ascii="Tahoma" w:hAnsi="Tahoma" w:cs="Tahoma"/>
          <w:sz w:val="22"/>
          <w:szCs w:val="22"/>
        </w:rPr>
        <w:t>dich</w:t>
      </w:r>
      <w:r w:rsidR="00652C81">
        <w:rPr>
          <w:rFonts w:ascii="Tahoma" w:hAnsi="Tahoma" w:cs="Tahoma"/>
          <w:sz w:val="22"/>
          <w:szCs w:val="22"/>
        </w:rPr>
        <w:t>a prerrogativa;</w:t>
      </w:r>
      <w:r>
        <w:rPr>
          <w:rFonts w:ascii="Tahoma" w:hAnsi="Tahoma" w:cs="Tahoma"/>
          <w:sz w:val="22"/>
          <w:szCs w:val="22"/>
        </w:rPr>
        <w:t xml:space="preserve"> </w:t>
      </w:r>
      <w:r w:rsidR="00652C81">
        <w:rPr>
          <w:rFonts w:ascii="Tahoma" w:hAnsi="Tahoma" w:cs="Tahoma"/>
          <w:sz w:val="22"/>
          <w:szCs w:val="22"/>
        </w:rPr>
        <w:t>e</w:t>
      </w:r>
      <w:r>
        <w:rPr>
          <w:rFonts w:ascii="Tahoma" w:hAnsi="Tahoma" w:cs="Tahoma"/>
          <w:sz w:val="22"/>
          <w:szCs w:val="22"/>
        </w:rPr>
        <w:t xml:space="preserve">n caso de haberlo sido, se le hubiera reconocido la pensión </w:t>
      </w:r>
      <w:r w:rsidR="00652C81">
        <w:rPr>
          <w:rFonts w:ascii="Tahoma" w:hAnsi="Tahoma" w:cs="Tahoma"/>
          <w:sz w:val="22"/>
          <w:szCs w:val="22"/>
        </w:rPr>
        <w:t>sin aludirse que la pidió de manera adelantada</w:t>
      </w:r>
      <w:r>
        <w:rPr>
          <w:rFonts w:ascii="Tahoma" w:hAnsi="Tahoma" w:cs="Tahoma"/>
          <w:sz w:val="22"/>
          <w:szCs w:val="22"/>
        </w:rPr>
        <w:t>.</w:t>
      </w:r>
    </w:p>
    <w:p w:rsidR="00667FC0" w:rsidRPr="00170892" w:rsidRDefault="00667FC0" w:rsidP="00667FC0">
      <w:pPr>
        <w:pStyle w:val="Prrafodelista"/>
        <w:rPr>
          <w:rFonts w:ascii="Tahoma" w:hAnsi="Tahoma" w:cs="Tahoma"/>
          <w:sz w:val="22"/>
          <w:szCs w:val="22"/>
        </w:rPr>
      </w:pPr>
    </w:p>
    <w:p w:rsidR="00637F51" w:rsidRDefault="00667FC0" w:rsidP="00F901EE">
      <w:pPr>
        <w:pStyle w:val="Prrafodelista"/>
        <w:numPr>
          <w:ilvl w:val="0"/>
          <w:numId w:val="3"/>
        </w:numPr>
        <w:spacing w:line="276" w:lineRule="auto"/>
        <w:jc w:val="both"/>
        <w:rPr>
          <w:rFonts w:ascii="Tahoma" w:hAnsi="Tahoma" w:cs="Tahoma"/>
          <w:sz w:val="22"/>
          <w:szCs w:val="22"/>
        </w:rPr>
      </w:pPr>
      <w:r w:rsidRPr="00A71324">
        <w:rPr>
          <w:rFonts w:ascii="Tahoma" w:hAnsi="Tahoma" w:cs="Tahoma"/>
          <w:sz w:val="22"/>
          <w:szCs w:val="22"/>
        </w:rPr>
        <w:t>El advenimiento de la edad durante el transcurso del proceso, en mi concepto</w:t>
      </w:r>
      <w:r w:rsidR="00A71324" w:rsidRPr="00A71324">
        <w:rPr>
          <w:rFonts w:ascii="Tahoma" w:hAnsi="Tahoma" w:cs="Tahoma"/>
          <w:sz w:val="22"/>
          <w:szCs w:val="22"/>
        </w:rPr>
        <w:t>,</w:t>
      </w:r>
      <w:r w:rsidRPr="00A71324">
        <w:rPr>
          <w:rFonts w:ascii="Tahoma" w:hAnsi="Tahoma" w:cs="Tahoma"/>
          <w:sz w:val="22"/>
          <w:szCs w:val="22"/>
        </w:rPr>
        <w:t xml:space="preserve"> es un HECHO SOBREVINIENTE </w:t>
      </w:r>
      <w:r w:rsidR="00A71324" w:rsidRPr="00A71324">
        <w:rPr>
          <w:rFonts w:ascii="Tahoma" w:hAnsi="Tahoma" w:cs="Tahoma"/>
          <w:sz w:val="22"/>
          <w:szCs w:val="22"/>
        </w:rPr>
        <w:t>que debe acogerse por la administración de justicia y por economía procesal debió reconocerse la pensión de vejez con fundamento en la Ley 100 de 1993</w:t>
      </w:r>
      <w:r w:rsidR="00637F51">
        <w:rPr>
          <w:rFonts w:ascii="Tahoma" w:hAnsi="Tahoma" w:cs="Tahoma"/>
          <w:sz w:val="22"/>
          <w:szCs w:val="22"/>
        </w:rPr>
        <w:t xml:space="preserve">. </w:t>
      </w:r>
      <w:r w:rsidR="00637F51" w:rsidRPr="00A71324">
        <w:rPr>
          <w:rFonts w:ascii="Tahoma" w:hAnsi="Tahoma" w:cs="Tahoma"/>
          <w:sz w:val="22"/>
          <w:szCs w:val="22"/>
        </w:rPr>
        <w:t xml:space="preserve">Con ello se haría efectiva la justicia material por cuanto se definiría de </w:t>
      </w:r>
      <w:r w:rsidR="00637F51" w:rsidRPr="00A71324">
        <w:rPr>
          <w:rFonts w:ascii="Tahoma" w:hAnsi="Tahoma" w:cs="Tahoma"/>
          <w:sz w:val="22"/>
          <w:szCs w:val="22"/>
        </w:rPr>
        <w:lastRenderedPageBreak/>
        <w:t>una vez un</w:t>
      </w:r>
      <w:r w:rsidR="00023F99">
        <w:rPr>
          <w:rFonts w:ascii="Tahoma" w:hAnsi="Tahoma" w:cs="Tahoma"/>
          <w:sz w:val="22"/>
          <w:szCs w:val="22"/>
        </w:rPr>
        <w:t xml:space="preserve">a prestación </w:t>
      </w:r>
      <w:r w:rsidR="00637F51" w:rsidRPr="00A71324">
        <w:rPr>
          <w:rFonts w:ascii="Tahoma" w:hAnsi="Tahoma" w:cs="Tahoma"/>
          <w:sz w:val="22"/>
          <w:szCs w:val="22"/>
        </w:rPr>
        <w:t xml:space="preserve">que ya está en cabeza del demandante </w:t>
      </w:r>
      <w:r w:rsidR="00637F51">
        <w:rPr>
          <w:rFonts w:ascii="Tahoma" w:hAnsi="Tahoma" w:cs="Tahoma"/>
          <w:sz w:val="22"/>
          <w:szCs w:val="22"/>
        </w:rPr>
        <w:t>en un derecho tan caro a la dignidad humana como es la seguridad social en pensiones, a sabiendas de que la falta de la pensión afecta su mínimo vital y el derecho a la salud.</w:t>
      </w:r>
      <w:r w:rsidR="00637F51" w:rsidRPr="00637F51">
        <w:rPr>
          <w:rFonts w:ascii="Tahoma" w:hAnsi="Tahoma" w:cs="Tahoma"/>
          <w:sz w:val="22"/>
          <w:szCs w:val="22"/>
        </w:rPr>
        <w:t xml:space="preserve"> </w:t>
      </w:r>
    </w:p>
    <w:p w:rsidR="00637F51" w:rsidRPr="00637F51" w:rsidRDefault="00637F51" w:rsidP="00637F51">
      <w:pPr>
        <w:pStyle w:val="Prrafodelista"/>
        <w:rPr>
          <w:rFonts w:ascii="Tahoma" w:hAnsi="Tahoma" w:cs="Tahoma"/>
          <w:sz w:val="22"/>
          <w:szCs w:val="22"/>
        </w:rPr>
      </w:pPr>
    </w:p>
    <w:p w:rsidR="00637F51" w:rsidRDefault="00637F51" w:rsidP="00637F51">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En tales condiciones, a efectos de no vulnerar los derechos de COPENSIONES</w:t>
      </w:r>
      <w:r w:rsidR="00850AE6">
        <w:rPr>
          <w:rFonts w:ascii="Tahoma" w:hAnsi="Tahoma" w:cs="Tahoma"/>
          <w:sz w:val="22"/>
          <w:szCs w:val="22"/>
        </w:rPr>
        <w:t>,</w:t>
      </w:r>
      <w:r>
        <w:rPr>
          <w:rFonts w:ascii="Tahoma" w:hAnsi="Tahoma" w:cs="Tahoma"/>
          <w:sz w:val="22"/>
          <w:szCs w:val="22"/>
        </w:rPr>
        <w:t xml:space="preserve"> debió la Sala abstenerse de condenar a dicha entidad por concepto de intereses moratorios y costas procesales</w:t>
      </w:r>
      <w:r w:rsidR="005D36A8">
        <w:rPr>
          <w:rFonts w:ascii="Tahoma" w:hAnsi="Tahoma" w:cs="Tahoma"/>
          <w:sz w:val="22"/>
          <w:szCs w:val="22"/>
        </w:rPr>
        <w:t>;</w:t>
      </w:r>
      <w:r>
        <w:rPr>
          <w:rFonts w:ascii="Tahoma" w:hAnsi="Tahoma" w:cs="Tahoma"/>
          <w:sz w:val="22"/>
          <w:szCs w:val="22"/>
        </w:rPr>
        <w:t xml:space="preserve"> cuestión plenamente válida.</w:t>
      </w:r>
    </w:p>
    <w:p w:rsidR="00667FC0" w:rsidRPr="00840AB0" w:rsidRDefault="00667FC0" w:rsidP="00667FC0">
      <w:pPr>
        <w:pStyle w:val="Prrafodelista"/>
        <w:rPr>
          <w:rFonts w:ascii="Tahoma" w:hAnsi="Tahoma" w:cs="Tahoma"/>
          <w:sz w:val="22"/>
          <w:szCs w:val="22"/>
        </w:rPr>
      </w:pPr>
    </w:p>
    <w:p w:rsidR="00667FC0" w:rsidRDefault="00667FC0" w:rsidP="00667FC0">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 xml:space="preserve">De esa manera, se hubiera definido de una vez por todas el derecho a la pensión de vejez del demandante, sin someterla a otro tortuoso camino de tipo administrativo para pedir su pensión ante COLPENSIONES, y quizá a otro proceso judicial, demoras que incluso afectan a la misma entidad </w:t>
      </w:r>
      <w:r w:rsidR="00F812BC">
        <w:rPr>
          <w:rFonts w:ascii="Tahoma" w:hAnsi="Tahoma" w:cs="Tahoma"/>
          <w:sz w:val="22"/>
          <w:szCs w:val="22"/>
        </w:rPr>
        <w:t xml:space="preserve">e incluso </w:t>
      </w:r>
      <w:r>
        <w:rPr>
          <w:rFonts w:ascii="Tahoma" w:hAnsi="Tahoma" w:cs="Tahoma"/>
          <w:sz w:val="22"/>
          <w:szCs w:val="22"/>
        </w:rPr>
        <w:t>a la administración de justicia.</w:t>
      </w:r>
    </w:p>
    <w:p w:rsidR="00667FC0" w:rsidRPr="007D030A" w:rsidRDefault="00667FC0" w:rsidP="00667FC0">
      <w:pPr>
        <w:pStyle w:val="Prrafodelista"/>
        <w:rPr>
          <w:rFonts w:ascii="Tahoma" w:hAnsi="Tahoma" w:cs="Tahoma"/>
          <w:sz w:val="22"/>
          <w:szCs w:val="22"/>
        </w:rPr>
      </w:pPr>
    </w:p>
    <w:p w:rsidR="00667FC0" w:rsidRPr="00684E30" w:rsidRDefault="00667FC0" w:rsidP="00667FC0">
      <w:pPr>
        <w:pStyle w:val="Prrafodelista"/>
        <w:numPr>
          <w:ilvl w:val="0"/>
          <w:numId w:val="3"/>
        </w:numPr>
        <w:spacing w:line="276" w:lineRule="auto"/>
        <w:jc w:val="both"/>
        <w:rPr>
          <w:rFonts w:ascii="Tahoma" w:hAnsi="Tahoma" w:cs="Tahoma"/>
          <w:sz w:val="22"/>
          <w:szCs w:val="22"/>
        </w:rPr>
      </w:pPr>
      <w:r w:rsidRPr="00684E30">
        <w:rPr>
          <w:rFonts w:ascii="Tahoma" w:hAnsi="Tahoma" w:cs="Tahoma"/>
          <w:sz w:val="22"/>
          <w:szCs w:val="22"/>
        </w:rPr>
        <w:t xml:space="preserve">El principio de eficiencia que compete a todas las entidades públicas y la globalización mundial obliga a mirar los asuntos de una manera diferente a la tradicional, y a no anteponer razones legales formales que obstaculicen el efectivo goce de los derechos fundamentales, en este caso, el derecho a la seguridad social en pensiones de una persona de la tercera edad, para quien la demora en el goce de su mesada pensional puede incluso comprometer su vida en condiciones dignas. </w:t>
      </w:r>
    </w:p>
    <w:p w:rsidR="00667FC0" w:rsidRDefault="00667FC0" w:rsidP="00667FC0">
      <w:pPr>
        <w:spacing w:line="276" w:lineRule="auto"/>
        <w:ind w:firstLine="851"/>
        <w:jc w:val="both"/>
        <w:rPr>
          <w:rFonts w:ascii="Tahoma" w:hAnsi="Tahoma" w:cs="Tahoma"/>
          <w:sz w:val="22"/>
          <w:szCs w:val="22"/>
        </w:rPr>
      </w:pPr>
    </w:p>
    <w:p w:rsidR="00667FC0" w:rsidRPr="00F81906" w:rsidRDefault="00667FC0" w:rsidP="00667FC0">
      <w:pPr>
        <w:pStyle w:val="Textoindependiente"/>
        <w:spacing w:line="276" w:lineRule="auto"/>
        <w:ind w:firstLine="708"/>
        <w:rPr>
          <w:rFonts w:ascii="Tahoma" w:hAnsi="Tahoma" w:cs="Tahoma"/>
          <w:sz w:val="22"/>
          <w:szCs w:val="22"/>
          <w:lang w:val="es-ES"/>
        </w:rPr>
      </w:pPr>
      <w:r w:rsidRPr="00F81906">
        <w:rPr>
          <w:rFonts w:ascii="Tahoma" w:hAnsi="Tahoma" w:cs="Tahoma"/>
          <w:sz w:val="22"/>
          <w:szCs w:val="22"/>
          <w:lang w:val="es-ES"/>
        </w:rPr>
        <w:t xml:space="preserve">En estos términos sustento mi </w:t>
      </w:r>
      <w:r>
        <w:rPr>
          <w:rFonts w:ascii="Tahoma" w:hAnsi="Tahoma" w:cs="Tahoma"/>
          <w:sz w:val="22"/>
          <w:szCs w:val="22"/>
          <w:lang w:val="es-ES"/>
        </w:rPr>
        <w:t>salvamento</w:t>
      </w:r>
      <w:r w:rsidRPr="00F81906">
        <w:rPr>
          <w:rFonts w:ascii="Tahoma" w:hAnsi="Tahoma" w:cs="Tahoma"/>
          <w:sz w:val="22"/>
          <w:szCs w:val="22"/>
          <w:lang w:val="es-ES"/>
        </w:rPr>
        <w:t xml:space="preserve"> de voto.</w:t>
      </w:r>
    </w:p>
    <w:p w:rsidR="00667FC0" w:rsidRDefault="00667FC0" w:rsidP="00667FC0">
      <w:pPr>
        <w:widowControl w:val="0"/>
        <w:autoSpaceDE w:val="0"/>
        <w:autoSpaceDN w:val="0"/>
        <w:adjustRightInd w:val="0"/>
        <w:spacing w:line="276" w:lineRule="auto"/>
        <w:jc w:val="both"/>
        <w:rPr>
          <w:rFonts w:ascii="Tahoma" w:hAnsi="Tahoma" w:cs="Tahoma"/>
          <w:sz w:val="22"/>
          <w:szCs w:val="22"/>
        </w:rPr>
      </w:pPr>
      <w:bookmarkStart w:id="0" w:name="_GoBack"/>
      <w:bookmarkEnd w:id="0"/>
    </w:p>
    <w:p w:rsidR="00667FC0" w:rsidRDefault="00667FC0" w:rsidP="00667FC0">
      <w:pPr>
        <w:widowControl w:val="0"/>
        <w:autoSpaceDE w:val="0"/>
        <w:autoSpaceDN w:val="0"/>
        <w:adjustRightInd w:val="0"/>
        <w:spacing w:line="276" w:lineRule="auto"/>
        <w:jc w:val="both"/>
        <w:rPr>
          <w:rFonts w:ascii="Tahoma" w:hAnsi="Tahoma" w:cs="Tahoma"/>
          <w:sz w:val="22"/>
          <w:szCs w:val="22"/>
        </w:rPr>
      </w:pPr>
    </w:p>
    <w:p w:rsidR="00667FC0" w:rsidRDefault="00667FC0" w:rsidP="00667FC0">
      <w:pPr>
        <w:widowControl w:val="0"/>
        <w:autoSpaceDE w:val="0"/>
        <w:autoSpaceDN w:val="0"/>
        <w:adjustRightInd w:val="0"/>
        <w:spacing w:line="276" w:lineRule="auto"/>
        <w:jc w:val="both"/>
        <w:rPr>
          <w:rFonts w:ascii="Tahoma" w:hAnsi="Tahoma" w:cs="Tahoma"/>
          <w:sz w:val="22"/>
          <w:szCs w:val="22"/>
        </w:rPr>
      </w:pPr>
    </w:p>
    <w:p w:rsidR="00667FC0" w:rsidRPr="00F81906" w:rsidRDefault="00667FC0" w:rsidP="00667FC0">
      <w:pPr>
        <w:widowControl w:val="0"/>
        <w:autoSpaceDE w:val="0"/>
        <w:autoSpaceDN w:val="0"/>
        <w:adjustRightInd w:val="0"/>
        <w:spacing w:line="276" w:lineRule="auto"/>
        <w:jc w:val="both"/>
        <w:rPr>
          <w:rFonts w:ascii="Tahoma" w:hAnsi="Tahoma" w:cs="Tahoma"/>
          <w:sz w:val="22"/>
          <w:szCs w:val="22"/>
        </w:rPr>
      </w:pPr>
    </w:p>
    <w:p w:rsidR="00667FC0" w:rsidRDefault="00667FC0" w:rsidP="00667FC0">
      <w:pPr>
        <w:pStyle w:val="Ttulo3"/>
        <w:spacing w:line="276" w:lineRule="auto"/>
        <w:rPr>
          <w:rFonts w:ascii="Tahoma" w:hAnsi="Tahoma" w:cs="Tahoma"/>
          <w:sz w:val="22"/>
          <w:szCs w:val="22"/>
        </w:rPr>
      </w:pPr>
    </w:p>
    <w:p w:rsidR="00667FC0" w:rsidRPr="00F81906" w:rsidRDefault="00667FC0" w:rsidP="00667FC0">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667FC0" w:rsidRDefault="00667FC0" w:rsidP="00667FC0">
      <w:pPr>
        <w:pStyle w:val="Ttulo1"/>
        <w:widowControl/>
        <w:autoSpaceDE/>
        <w:adjustRightInd/>
        <w:spacing w:line="276" w:lineRule="auto"/>
        <w:rPr>
          <w:rFonts w:ascii="Tahoma" w:hAnsi="Tahoma" w:cs="Tahoma"/>
          <w:bCs/>
          <w:sz w:val="22"/>
          <w:szCs w:val="22"/>
          <w:u w:val="single"/>
        </w:rPr>
      </w:pPr>
    </w:p>
    <w:p w:rsidR="00667FC0" w:rsidRDefault="00667FC0" w:rsidP="00667FC0">
      <w:pPr>
        <w:pStyle w:val="Ttulo1"/>
        <w:widowControl/>
        <w:autoSpaceDE/>
        <w:adjustRightInd/>
        <w:spacing w:line="276" w:lineRule="auto"/>
        <w:rPr>
          <w:rFonts w:ascii="Tahoma" w:hAnsi="Tahoma" w:cs="Tahoma"/>
          <w:bCs/>
          <w:sz w:val="22"/>
          <w:szCs w:val="22"/>
          <w:u w:val="single"/>
        </w:rPr>
      </w:pPr>
    </w:p>
    <w:sectPr w:rsidR="00667FC0"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ED" w:rsidRDefault="005A29ED">
      <w:r>
        <w:separator/>
      </w:r>
    </w:p>
  </w:endnote>
  <w:endnote w:type="continuationSeparator" w:id="0">
    <w:p w:rsidR="005A29ED" w:rsidRDefault="005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5A29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56E5">
      <w:rPr>
        <w:rStyle w:val="Nmerodepgina"/>
        <w:noProof/>
      </w:rPr>
      <w:t>2</w:t>
    </w:r>
    <w:r>
      <w:rPr>
        <w:rStyle w:val="Nmerodepgina"/>
      </w:rPr>
      <w:fldChar w:fldCharType="end"/>
    </w:r>
  </w:p>
  <w:p w:rsidR="00F0306B" w:rsidRDefault="005A2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ED" w:rsidRDefault="005A29ED">
      <w:r>
        <w:separator/>
      </w:r>
    </w:p>
  </w:footnote>
  <w:footnote w:type="continuationSeparator" w:id="0">
    <w:p w:rsidR="005A29ED" w:rsidRDefault="005A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462934"/>
    <w:multiLevelType w:val="hybridMultilevel"/>
    <w:tmpl w:val="3BF80BCC"/>
    <w:lvl w:ilvl="0" w:tplc="D09A2574">
      <w:start w:val="1"/>
      <w:numFmt w:val="decimal"/>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23F99"/>
    <w:rsid w:val="000C4C66"/>
    <w:rsid w:val="000D2162"/>
    <w:rsid w:val="000D4908"/>
    <w:rsid w:val="00131AD3"/>
    <w:rsid w:val="001B5378"/>
    <w:rsid w:val="002E6083"/>
    <w:rsid w:val="003143A2"/>
    <w:rsid w:val="00342326"/>
    <w:rsid w:val="00344350"/>
    <w:rsid w:val="00347152"/>
    <w:rsid w:val="00371E6A"/>
    <w:rsid w:val="00380143"/>
    <w:rsid w:val="003C5D0C"/>
    <w:rsid w:val="004208BE"/>
    <w:rsid w:val="004213A7"/>
    <w:rsid w:val="004634CD"/>
    <w:rsid w:val="004E3A76"/>
    <w:rsid w:val="00521F8D"/>
    <w:rsid w:val="0055223C"/>
    <w:rsid w:val="00593DD2"/>
    <w:rsid w:val="005A29ED"/>
    <w:rsid w:val="005A51BF"/>
    <w:rsid w:val="005B4F46"/>
    <w:rsid w:val="005D36A8"/>
    <w:rsid w:val="00607D86"/>
    <w:rsid w:val="00637F51"/>
    <w:rsid w:val="006437E3"/>
    <w:rsid w:val="00652C81"/>
    <w:rsid w:val="00667FC0"/>
    <w:rsid w:val="006C461C"/>
    <w:rsid w:val="006E285D"/>
    <w:rsid w:val="00756D08"/>
    <w:rsid w:val="00792FA9"/>
    <w:rsid w:val="007B5411"/>
    <w:rsid w:val="007E5E88"/>
    <w:rsid w:val="007F6DE4"/>
    <w:rsid w:val="0084707C"/>
    <w:rsid w:val="00850AE6"/>
    <w:rsid w:val="0089179B"/>
    <w:rsid w:val="008B4BD9"/>
    <w:rsid w:val="008F2D96"/>
    <w:rsid w:val="009119E0"/>
    <w:rsid w:val="00940A76"/>
    <w:rsid w:val="00941F67"/>
    <w:rsid w:val="009657B8"/>
    <w:rsid w:val="00972239"/>
    <w:rsid w:val="009C2F50"/>
    <w:rsid w:val="009D3C5C"/>
    <w:rsid w:val="00A462A2"/>
    <w:rsid w:val="00A6507E"/>
    <w:rsid w:val="00A6571B"/>
    <w:rsid w:val="00A71324"/>
    <w:rsid w:val="00AF0F47"/>
    <w:rsid w:val="00B1138C"/>
    <w:rsid w:val="00B37A3B"/>
    <w:rsid w:val="00B54081"/>
    <w:rsid w:val="00B64034"/>
    <w:rsid w:val="00B723BE"/>
    <w:rsid w:val="00B742BE"/>
    <w:rsid w:val="00BD0F97"/>
    <w:rsid w:val="00C01A75"/>
    <w:rsid w:val="00C7240D"/>
    <w:rsid w:val="00CE6C1D"/>
    <w:rsid w:val="00D04492"/>
    <w:rsid w:val="00D0563A"/>
    <w:rsid w:val="00D1601F"/>
    <w:rsid w:val="00D60231"/>
    <w:rsid w:val="00D62D12"/>
    <w:rsid w:val="00DB18DF"/>
    <w:rsid w:val="00DD7149"/>
    <w:rsid w:val="00DF032A"/>
    <w:rsid w:val="00E33B5B"/>
    <w:rsid w:val="00E356E5"/>
    <w:rsid w:val="00E709F2"/>
    <w:rsid w:val="00F53707"/>
    <w:rsid w:val="00F5460F"/>
    <w:rsid w:val="00F6017E"/>
    <w:rsid w:val="00F74BEC"/>
    <w:rsid w:val="00F77521"/>
    <w:rsid w:val="00F812BC"/>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10091">
      <w:bodyDiv w:val="1"/>
      <w:marLeft w:val="0"/>
      <w:marRight w:val="0"/>
      <w:marTop w:val="0"/>
      <w:marBottom w:val="0"/>
      <w:divBdr>
        <w:top w:val="none" w:sz="0" w:space="0" w:color="auto"/>
        <w:left w:val="none" w:sz="0" w:space="0" w:color="auto"/>
        <w:bottom w:val="none" w:sz="0" w:space="0" w:color="auto"/>
        <w:right w:val="none" w:sz="0" w:space="0" w:color="auto"/>
      </w:divBdr>
    </w:div>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33C8-66AC-4A2C-98D1-56BD4BCF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689</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7</cp:revision>
  <cp:lastPrinted>2017-08-28T20:32:00Z</cp:lastPrinted>
  <dcterms:created xsi:type="dcterms:W3CDTF">2017-08-28T19:46:00Z</dcterms:created>
  <dcterms:modified xsi:type="dcterms:W3CDTF">2017-08-28T22:31:00Z</dcterms:modified>
</cp:coreProperties>
</file>