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603F1">
        <w:rPr>
          <w:rFonts w:ascii="Tahoma" w:hAnsi="Tahoma" w:cs="Tahoma"/>
          <w:b w:val="0"/>
          <w:bCs/>
          <w:sz w:val="18"/>
          <w:szCs w:val="18"/>
        </w:rPr>
        <w:t>2</w:t>
      </w:r>
      <w:r w:rsidR="00BE36DD">
        <w:rPr>
          <w:rFonts w:ascii="Tahoma" w:hAnsi="Tahoma" w:cs="Tahoma"/>
          <w:b w:val="0"/>
          <w:bCs/>
          <w:sz w:val="18"/>
          <w:szCs w:val="18"/>
        </w:rPr>
        <w:t>0</w:t>
      </w:r>
      <w:r w:rsidR="004603F1">
        <w:rPr>
          <w:rFonts w:ascii="Tahoma" w:hAnsi="Tahoma" w:cs="Tahoma"/>
          <w:b w:val="0"/>
          <w:bCs/>
          <w:sz w:val="18"/>
          <w:szCs w:val="18"/>
        </w:rPr>
        <w:t xml:space="preserve"> </w:t>
      </w:r>
      <w:r w:rsidR="00835297">
        <w:rPr>
          <w:rFonts w:ascii="Tahoma" w:hAnsi="Tahoma" w:cs="Tahoma"/>
          <w:b w:val="0"/>
          <w:bCs/>
          <w:sz w:val="18"/>
          <w:szCs w:val="18"/>
        </w:rPr>
        <w:t>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BE36DD">
        <w:rPr>
          <w:rFonts w:ascii="Tahoma" w:hAnsi="Tahoma" w:cs="Tahoma"/>
          <w:b w:val="0"/>
          <w:sz w:val="18"/>
          <w:szCs w:val="18"/>
        </w:rPr>
        <w:t>1</w:t>
      </w:r>
      <w:r w:rsidRPr="00EA3EFB">
        <w:rPr>
          <w:rFonts w:ascii="Tahoma" w:hAnsi="Tahoma" w:cs="Tahoma"/>
          <w:b w:val="0"/>
          <w:sz w:val="18"/>
          <w:szCs w:val="18"/>
        </w:rPr>
        <w:t>-201</w:t>
      </w:r>
      <w:r w:rsidR="00BE36DD">
        <w:rPr>
          <w:rFonts w:ascii="Tahoma" w:hAnsi="Tahoma" w:cs="Tahoma"/>
          <w:b w:val="0"/>
          <w:sz w:val="18"/>
          <w:szCs w:val="18"/>
        </w:rPr>
        <w:t>5</w:t>
      </w:r>
      <w:r w:rsidRPr="00EA3EFB">
        <w:rPr>
          <w:rFonts w:ascii="Tahoma" w:hAnsi="Tahoma" w:cs="Tahoma"/>
          <w:b w:val="0"/>
          <w:sz w:val="18"/>
          <w:szCs w:val="18"/>
        </w:rPr>
        <w:t>-00</w:t>
      </w:r>
      <w:r w:rsidR="00107AB5">
        <w:rPr>
          <w:rFonts w:ascii="Tahoma" w:hAnsi="Tahoma" w:cs="Tahoma"/>
          <w:b w:val="0"/>
          <w:sz w:val="18"/>
          <w:szCs w:val="18"/>
        </w:rPr>
        <w:t>120</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proofErr w:type="spellStart"/>
      <w:r w:rsidR="00107AB5">
        <w:rPr>
          <w:rFonts w:ascii="Tahoma" w:hAnsi="Tahoma" w:cs="Tahoma"/>
          <w:b w:val="0"/>
          <w:sz w:val="18"/>
          <w:szCs w:val="18"/>
        </w:rPr>
        <w:t>Luzceli</w:t>
      </w:r>
      <w:proofErr w:type="spellEnd"/>
      <w:r w:rsidR="00107AB5">
        <w:rPr>
          <w:rFonts w:ascii="Tahoma" w:hAnsi="Tahoma" w:cs="Tahoma"/>
          <w:b w:val="0"/>
          <w:sz w:val="18"/>
          <w:szCs w:val="18"/>
        </w:rPr>
        <w:t xml:space="preserve"> Gaviria de Quintero</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4603F1">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BE36DD">
        <w:rPr>
          <w:rFonts w:ascii="Tahoma" w:hAnsi="Tahoma" w:cs="Tahoma"/>
          <w:b w:val="0"/>
          <w:sz w:val="18"/>
          <w:szCs w:val="18"/>
        </w:rPr>
        <w:t>Primero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EA7593" w:rsidRPr="001C14EA" w:rsidRDefault="00DB62EF" w:rsidP="001C14EA">
      <w:pPr>
        <w:pStyle w:val="Textoindependiente"/>
        <w:spacing w:after="0"/>
        <w:ind w:left="2127" w:right="51"/>
        <w:jc w:val="both"/>
        <w:rPr>
          <w:rFonts w:ascii="Tahoma" w:hAnsi="Tahoma" w:cs="Tahoma"/>
          <w:b/>
          <w:sz w:val="18"/>
          <w:szCs w:val="18"/>
        </w:rPr>
      </w:pPr>
      <w:r w:rsidRPr="00064657">
        <w:rPr>
          <w:rFonts w:ascii="Tahoma" w:hAnsi="Tahoma" w:cs="Tahoma"/>
          <w:b/>
          <w:bCs/>
          <w:sz w:val="18"/>
          <w:szCs w:val="18"/>
        </w:rPr>
        <w:t xml:space="preserve">Pensión de </w:t>
      </w:r>
      <w:r w:rsidR="001C14EA">
        <w:rPr>
          <w:rFonts w:ascii="Tahoma" w:hAnsi="Tahoma" w:cs="Tahoma"/>
          <w:b/>
          <w:bCs/>
          <w:sz w:val="18"/>
          <w:szCs w:val="18"/>
        </w:rPr>
        <w:t>invalidez – reliquidación</w:t>
      </w:r>
      <w:r w:rsidRPr="00064657">
        <w:rPr>
          <w:rFonts w:ascii="Tahoma" w:hAnsi="Tahoma" w:cs="Tahoma"/>
          <w:b/>
          <w:bCs/>
          <w:sz w:val="18"/>
          <w:szCs w:val="18"/>
        </w:rPr>
        <w:t>:</w:t>
      </w:r>
      <w:r w:rsidR="001C14EA">
        <w:rPr>
          <w:rFonts w:ascii="Tahoma" w:hAnsi="Tahoma" w:cs="Tahoma"/>
          <w:b/>
          <w:bCs/>
          <w:sz w:val="18"/>
          <w:szCs w:val="18"/>
        </w:rPr>
        <w:t xml:space="preserve"> </w:t>
      </w:r>
      <w:r w:rsidR="001C14EA" w:rsidRPr="001C14EA">
        <w:rPr>
          <w:rFonts w:ascii="Tahoma" w:hAnsi="Tahoma" w:cs="Tahoma"/>
          <w:sz w:val="18"/>
          <w:szCs w:val="18"/>
        </w:rPr>
        <w:t>Para acudir al Acuerdo 049 de 1990 a efectos de conceder la pensión de invalidez, en virtud del principio de la condición más beneficiosa, era necesario, primero que todo, que la demandante no hubiera cumplido los requisitos de la norma que estaba vigente al momento en que se estructuró su invalidez, el 20 de marzo de 1999, que no era otra que la Ley 100 de 1993 en su redacción original y, segundo, que contara con los requisitos que jurisprudencialmente se han establecido para acceder a la prestación con base en dicho acuerdo, esto es, que se cuente con 300 semanas cotizadas con antelación a la entrada en vigencia de la Ley 100 de 1993, o con 150 en los 6 años anteriores al 1º de abril de 1994 y la misma cantidad en los 6 años siguientes.</w:t>
      </w:r>
    </w:p>
    <w:p w:rsidR="000A129C" w:rsidRDefault="000A129C" w:rsidP="00E41882">
      <w:pPr>
        <w:pStyle w:val="Puesto"/>
        <w:spacing w:line="240" w:lineRule="auto"/>
        <w:ind w:left="2127"/>
        <w:jc w:val="both"/>
        <w:rPr>
          <w:rFonts w:ascii="Tahoma" w:hAnsi="Tahoma" w:cs="Tahoma"/>
          <w:sz w:val="18"/>
          <w:szCs w:val="18"/>
        </w:rPr>
      </w:pPr>
    </w:p>
    <w:p w:rsidR="00815A7D" w:rsidRPr="00EA3EFB" w:rsidRDefault="00815A7D" w:rsidP="00E41882">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inespaciado"/>
        <w:rPr>
          <w:sz w:val="22"/>
          <w:szCs w:val="22"/>
        </w:rPr>
      </w:pPr>
    </w:p>
    <w:p w:rsidR="003A3BBB" w:rsidRPr="00EA3EFB" w:rsidRDefault="003A3BBB" w:rsidP="00E4188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107AB5">
        <w:rPr>
          <w:rFonts w:ascii="Tahoma" w:hAnsi="Tahoma" w:cs="Tahoma"/>
          <w:sz w:val="22"/>
          <w:szCs w:val="22"/>
          <w:lang w:val="es-ES_tradnl"/>
        </w:rPr>
        <w:t>9</w:t>
      </w:r>
      <w:r w:rsidR="004D5CA3" w:rsidRPr="00EA3EFB">
        <w:rPr>
          <w:rFonts w:ascii="Tahoma" w:hAnsi="Tahoma" w:cs="Tahoma"/>
          <w:sz w:val="22"/>
          <w:szCs w:val="22"/>
          <w:lang w:val="es-ES_tradnl"/>
        </w:rPr>
        <w:t>:</w:t>
      </w:r>
      <w:r w:rsidR="00107AB5">
        <w:rPr>
          <w:rFonts w:ascii="Tahoma" w:hAnsi="Tahoma" w:cs="Tahoma"/>
          <w:sz w:val="22"/>
          <w:szCs w:val="22"/>
          <w:lang w:val="es-ES_tradnl"/>
        </w:rPr>
        <w:t>0</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CA70EB">
        <w:rPr>
          <w:rFonts w:ascii="Tahoma" w:hAnsi="Tahoma" w:cs="Tahoma"/>
          <w:sz w:val="22"/>
          <w:szCs w:val="22"/>
          <w:lang w:val="es-ES_tradnl"/>
        </w:rPr>
        <w:t>2</w:t>
      </w:r>
      <w:r w:rsidR="00BE36DD">
        <w:rPr>
          <w:rFonts w:ascii="Tahoma" w:hAnsi="Tahoma" w:cs="Tahoma"/>
          <w:sz w:val="22"/>
          <w:szCs w:val="22"/>
          <w:lang w:val="es-ES_tradnl"/>
        </w:rPr>
        <w:t>0</w:t>
      </w:r>
      <w:r w:rsidR="00835297">
        <w:rPr>
          <w:rFonts w:ascii="Tahoma" w:hAnsi="Tahoma" w:cs="Tahoma"/>
          <w:sz w:val="22"/>
          <w:szCs w:val="22"/>
          <w:lang w:val="es-ES_tradnl"/>
        </w:rPr>
        <w:t xml:space="preserve">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BE36DD">
        <w:rPr>
          <w:rFonts w:ascii="Tahoma" w:hAnsi="Tahoma" w:cs="Tahoma"/>
          <w:b/>
          <w:sz w:val="22"/>
          <w:szCs w:val="22"/>
          <w:lang w:val="es-ES_tradnl"/>
        </w:rPr>
        <w:t>Luz</w:t>
      </w:r>
      <w:r w:rsidR="00107AB5">
        <w:rPr>
          <w:rFonts w:ascii="Tahoma" w:hAnsi="Tahoma" w:cs="Tahoma"/>
          <w:b/>
          <w:sz w:val="22"/>
          <w:szCs w:val="22"/>
          <w:lang w:val="es-ES_tradnl"/>
        </w:rPr>
        <w:t>celi</w:t>
      </w:r>
      <w:proofErr w:type="spellEnd"/>
      <w:r w:rsidR="00107AB5">
        <w:rPr>
          <w:rFonts w:ascii="Tahoma" w:hAnsi="Tahoma" w:cs="Tahoma"/>
          <w:b/>
          <w:sz w:val="22"/>
          <w:szCs w:val="22"/>
          <w:lang w:val="es-ES_tradnl"/>
        </w:rPr>
        <w:t xml:space="preserve"> Gaviria de Quintero</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BE36DD">
        <w:rPr>
          <w:rFonts w:ascii="Tahoma" w:hAnsi="Tahoma" w:cs="Tahoma"/>
          <w:sz w:val="22"/>
          <w:szCs w:val="22"/>
        </w:rPr>
        <w:t xml:space="preserve">Primero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107AB5">
        <w:rPr>
          <w:rFonts w:ascii="Tahoma" w:hAnsi="Tahoma" w:cs="Tahoma"/>
          <w:sz w:val="22"/>
          <w:szCs w:val="22"/>
        </w:rPr>
        <w:t>20</w:t>
      </w:r>
      <w:r w:rsidR="00D52F23">
        <w:rPr>
          <w:rFonts w:ascii="Tahoma" w:hAnsi="Tahoma" w:cs="Tahoma"/>
          <w:sz w:val="22"/>
          <w:szCs w:val="22"/>
        </w:rPr>
        <w:t xml:space="preserve"> de septiembre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DD4D98" w:rsidRPr="00782723" w:rsidRDefault="00DD4D98" w:rsidP="00E41882">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00AB2A28">
        <w:rPr>
          <w:rFonts w:ascii="Tahoma" w:hAnsi="Tahoma" w:cs="Tahoma"/>
          <w:sz w:val="22"/>
          <w:szCs w:val="22"/>
        </w:rPr>
        <w:t xml:space="preserve"> si a la demandante le asiste derecho a que su pensión de invalidez sea </w:t>
      </w:r>
      <w:proofErr w:type="spellStart"/>
      <w:r w:rsidR="00AB2A28">
        <w:rPr>
          <w:rFonts w:ascii="Tahoma" w:hAnsi="Tahoma" w:cs="Tahoma"/>
          <w:sz w:val="22"/>
          <w:szCs w:val="22"/>
        </w:rPr>
        <w:t>reliquidada</w:t>
      </w:r>
      <w:proofErr w:type="spellEnd"/>
      <w:r w:rsidR="00AB2A28">
        <w:rPr>
          <w:rFonts w:ascii="Tahoma" w:hAnsi="Tahoma" w:cs="Tahoma"/>
          <w:sz w:val="22"/>
          <w:szCs w:val="22"/>
        </w:rPr>
        <w:t xml:space="preserve"> con base en el Acuerdo 049 de 1990.</w:t>
      </w:r>
    </w:p>
    <w:p w:rsidR="000A129C" w:rsidRPr="00EA3EFB" w:rsidRDefault="000A129C" w:rsidP="00E41882">
      <w:pPr>
        <w:tabs>
          <w:tab w:val="left" w:pos="567"/>
        </w:tabs>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E41882">
      <w:pPr>
        <w:widowControl w:val="0"/>
        <w:tabs>
          <w:tab w:val="left" w:pos="374"/>
        </w:tabs>
        <w:autoSpaceDE w:val="0"/>
        <w:autoSpaceDN w:val="0"/>
        <w:adjustRightInd w:val="0"/>
        <w:jc w:val="center"/>
        <w:rPr>
          <w:rFonts w:ascii="Tahoma" w:hAnsi="Tahoma" w:cs="Tahoma"/>
          <w:b/>
          <w:sz w:val="22"/>
          <w:szCs w:val="22"/>
        </w:rPr>
      </w:pPr>
    </w:p>
    <w:p w:rsidR="00316687" w:rsidRDefault="00E36028"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1E34F9" w:rsidRPr="00E36028">
        <w:rPr>
          <w:rFonts w:ascii="Tahoma" w:hAnsi="Tahoma" w:cs="Tahoma"/>
          <w:sz w:val="22"/>
          <w:szCs w:val="22"/>
        </w:rPr>
        <w:t xml:space="preserve">se </w:t>
      </w:r>
      <w:r w:rsidR="0081073E">
        <w:rPr>
          <w:rFonts w:ascii="Tahoma" w:hAnsi="Tahoma" w:cs="Tahoma"/>
          <w:sz w:val="22"/>
          <w:szCs w:val="22"/>
        </w:rPr>
        <w:t>declare que es beneficiaria del régimen de transición establecido en el artículo 36 de la Ley 100 de 1993 y que tiene derecho a que su pensión de invalidez se liquide con base en el Acuerdo 049 de 1990</w:t>
      </w:r>
      <w:r w:rsidR="006A6626">
        <w:rPr>
          <w:rFonts w:ascii="Tahoma" w:hAnsi="Tahoma" w:cs="Tahoma"/>
          <w:sz w:val="22"/>
          <w:szCs w:val="22"/>
        </w:rPr>
        <w:t>;</w:t>
      </w:r>
      <w:r w:rsidR="0081073E">
        <w:rPr>
          <w:rFonts w:ascii="Tahoma" w:hAnsi="Tahoma" w:cs="Tahoma"/>
          <w:sz w:val="22"/>
          <w:szCs w:val="22"/>
        </w:rPr>
        <w:t xml:space="preserve"> con un IBL que al 20 de marzo de 1999 equivale a </w:t>
      </w:r>
      <w:r w:rsidR="0081073E">
        <w:rPr>
          <w:rFonts w:ascii="Tahoma" w:hAnsi="Tahoma" w:cs="Tahoma"/>
          <w:sz w:val="22"/>
          <w:szCs w:val="22"/>
        </w:rPr>
        <w:lastRenderedPageBreak/>
        <w:t>$635.700</w:t>
      </w:r>
      <w:r w:rsidR="006A6626">
        <w:rPr>
          <w:rFonts w:ascii="Tahoma" w:hAnsi="Tahoma" w:cs="Tahoma"/>
          <w:sz w:val="22"/>
          <w:szCs w:val="22"/>
        </w:rPr>
        <w:t xml:space="preserve">, al cual se le debe aplicar </w:t>
      </w:r>
      <w:r w:rsidR="0081073E">
        <w:rPr>
          <w:rFonts w:ascii="Tahoma" w:hAnsi="Tahoma" w:cs="Tahoma"/>
          <w:sz w:val="22"/>
          <w:szCs w:val="22"/>
        </w:rPr>
        <w:t>una tasa de reemplazo de 51%.</w:t>
      </w:r>
      <w:r w:rsidR="0023693B">
        <w:rPr>
          <w:rFonts w:ascii="Tahoma" w:hAnsi="Tahoma" w:cs="Tahoma"/>
          <w:sz w:val="22"/>
          <w:szCs w:val="22"/>
        </w:rPr>
        <w:t xml:space="preserve"> </w:t>
      </w:r>
      <w:r w:rsidR="0081073E">
        <w:rPr>
          <w:rFonts w:ascii="Tahoma" w:hAnsi="Tahoma" w:cs="Tahoma"/>
          <w:sz w:val="22"/>
          <w:szCs w:val="22"/>
        </w:rPr>
        <w:t>Asimismo, solicita que se declare que su pensión de invalidez se convirtió en una vitalicia de vejez a partir de la fecha en que cumplió los 55 años de edad</w:t>
      </w:r>
      <w:r w:rsidR="0023693B">
        <w:rPr>
          <w:rFonts w:ascii="Tahoma" w:hAnsi="Tahoma" w:cs="Tahoma"/>
          <w:sz w:val="22"/>
          <w:szCs w:val="22"/>
        </w:rPr>
        <w:t>,</w:t>
      </w:r>
      <w:r w:rsidR="0081073E">
        <w:rPr>
          <w:rFonts w:ascii="Tahoma" w:hAnsi="Tahoma" w:cs="Tahoma"/>
          <w:sz w:val="22"/>
          <w:szCs w:val="22"/>
        </w:rPr>
        <w:t xml:space="preserve"> y que tiene derecho a que se le reconozca y pague el mayor valor de las mesadas pensionales causada</w:t>
      </w:r>
      <w:r w:rsidR="00737335">
        <w:rPr>
          <w:rFonts w:ascii="Tahoma" w:hAnsi="Tahoma" w:cs="Tahoma"/>
          <w:sz w:val="22"/>
          <w:szCs w:val="22"/>
        </w:rPr>
        <w:t>s desde el 20 de marzo de 1999.</w:t>
      </w:r>
    </w:p>
    <w:p w:rsidR="00737335" w:rsidRDefault="00737335" w:rsidP="00E41882">
      <w:pPr>
        <w:widowControl w:val="0"/>
        <w:autoSpaceDE w:val="0"/>
        <w:autoSpaceDN w:val="0"/>
        <w:adjustRightInd w:val="0"/>
        <w:spacing w:line="276" w:lineRule="auto"/>
        <w:ind w:firstLine="708"/>
        <w:jc w:val="both"/>
        <w:rPr>
          <w:rFonts w:ascii="Tahoma" w:hAnsi="Tahoma" w:cs="Tahoma"/>
          <w:sz w:val="22"/>
          <w:szCs w:val="22"/>
        </w:rPr>
      </w:pPr>
    </w:p>
    <w:p w:rsidR="00737335" w:rsidRDefault="0073733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procura que se condene a la entidad demandada a reajustar su pensión de invalidez en la suma de $324.207 para el 20 de marzo de 1999, y a cancelar las diferencias dejadas de pagar desde esa fecha, debidamente indexada</w:t>
      </w:r>
      <w:r w:rsidR="0023693B">
        <w:rPr>
          <w:rFonts w:ascii="Tahoma" w:hAnsi="Tahoma" w:cs="Tahoma"/>
          <w:sz w:val="22"/>
          <w:szCs w:val="22"/>
        </w:rPr>
        <w:t>s,</w:t>
      </w:r>
      <w:r>
        <w:rPr>
          <w:rFonts w:ascii="Tahoma" w:hAnsi="Tahoma" w:cs="Tahoma"/>
          <w:sz w:val="22"/>
          <w:szCs w:val="22"/>
        </w:rPr>
        <w:t xml:space="preserve"> los intereses moratorios a</w:t>
      </w:r>
      <w:r w:rsidR="0023693B">
        <w:rPr>
          <w:rFonts w:ascii="Tahoma" w:hAnsi="Tahoma" w:cs="Tahoma"/>
          <w:sz w:val="22"/>
          <w:szCs w:val="22"/>
        </w:rPr>
        <w:t xml:space="preserve"> partir del 17 de abril de 2014</w:t>
      </w:r>
      <w:r>
        <w:rPr>
          <w:rFonts w:ascii="Tahoma" w:hAnsi="Tahoma" w:cs="Tahoma"/>
          <w:sz w:val="22"/>
          <w:szCs w:val="22"/>
        </w:rPr>
        <w:t xml:space="preserve"> y las costas procesales.</w:t>
      </w:r>
      <w:r w:rsidR="0023693B">
        <w:rPr>
          <w:rFonts w:ascii="Tahoma" w:hAnsi="Tahoma" w:cs="Tahoma"/>
          <w:sz w:val="22"/>
          <w:szCs w:val="22"/>
        </w:rPr>
        <w:t xml:space="preserve"> </w:t>
      </w:r>
      <w:r>
        <w:rPr>
          <w:rFonts w:ascii="Tahoma" w:hAnsi="Tahoma" w:cs="Tahoma"/>
          <w:sz w:val="22"/>
          <w:szCs w:val="22"/>
        </w:rPr>
        <w:t>Subsidiariamente, solicita que se hagan todas las declaraciones y condenas que resulten probadas en el transcurso del proceso.</w:t>
      </w:r>
    </w:p>
    <w:p w:rsidR="00107AB5" w:rsidRDefault="00107AB5" w:rsidP="00E41882">
      <w:pPr>
        <w:widowControl w:val="0"/>
        <w:autoSpaceDE w:val="0"/>
        <w:autoSpaceDN w:val="0"/>
        <w:adjustRightInd w:val="0"/>
        <w:spacing w:line="276" w:lineRule="auto"/>
        <w:ind w:firstLine="708"/>
        <w:jc w:val="both"/>
        <w:rPr>
          <w:rFonts w:ascii="Tahoma" w:hAnsi="Tahoma" w:cs="Tahoma"/>
          <w:sz w:val="22"/>
          <w:szCs w:val="22"/>
        </w:rPr>
      </w:pPr>
    </w:p>
    <w:p w:rsidR="00E573BF"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BE57B4">
        <w:rPr>
          <w:rFonts w:ascii="Tahoma" w:hAnsi="Tahoma" w:cs="Tahoma"/>
          <w:sz w:val="22"/>
          <w:szCs w:val="22"/>
        </w:rPr>
        <w:t xml:space="preserve">nació el </w:t>
      </w:r>
      <w:r w:rsidR="00737335">
        <w:rPr>
          <w:rFonts w:ascii="Tahoma" w:hAnsi="Tahoma" w:cs="Tahoma"/>
          <w:sz w:val="22"/>
          <w:szCs w:val="22"/>
        </w:rPr>
        <w:t>29 de noviembre de 1956; que durante toda su vida laboral cotizó un total de 512 semanas</w:t>
      </w:r>
      <w:r w:rsidR="00063FBC">
        <w:rPr>
          <w:rFonts w:ascii="Tahoma" w:hAnsi="Tahoma" w:cs="Tahoma"/>
          <w:sz w:val="22"/>
          <w:szCs w:val="22"/>
        </w:rPr>
        <w:t xml:space="preserve"> y</w:t>
      </w:r>
      <w:r w:rsidR="00E573BF">
        <w:rPr>
          <w:rFonts w:ascii="Tahoma" w:hAnsi="Tahoma" w:cs="Tahoma"/>
          <w:sz w:val="22"/>
          <w:szCs w:val="22"/>
        </w:rPr>
        <w:t xml:space="preserve"> que fue calificada con una pérdida de capacidad laboral de origen común del 57%, </w:t>
      </w:r>
      <w:r w:rsidR="00063FBC">
        <w:rPr>
          <w:rFonts w:ascii="Tahoma" w:hAnsi="Tahoma" w:cs="Tahoma"/>
          <w:sz w:val="22"/>
          <w:szCs w:val="22"/>
        </w:rPr>
        <w:t xml:space="preserve">estructurada </w:t>
      </w:r>
      <w:r w:rsidR="00E573BF">
        <w:rPr>
          <w:rFonts w:ascii="Tahoma" w:hAnsi="Tahoma" w:cs="Tahoma"/>
          <w:sz w:val="22"/>
          <w:szCs w:val="22"/>
        </w:rPr>
        <w:t>el 20 de marzo de 1999; sin que pudiera seguir realizando cualquier actividad remunerada</w:t>
      </w:r>
      <w:r w:rsidR="00063FBC">
        <w:rPr>
          <w:rFonts w:ascii="Tahoma" w:hAnsi="Tahoma" w:cs="Tahoma"/>
          <w:sz w:val="22"/>
          <w:szCs w:val="22"/>
        </w:rPr>
        <w:t xml:space="preserve"> desde esa </w:t>
      </w:r>
      <w:r w:rsidR="00E661B9">
        <w:rPr>
          <w:rFonts w:ascii="Tahoma" w:hAnsi="Tahoma" w:cs="Tahoma"/>
          <w:sz w:val="22"/>
          <w:szCs w:val="22"/>
        </w:rPr>
        <w:t>calenda.</w:t>
      </w:r>
    </w:p>
    <w:p w:rsidR="00E573BF" w:rsidRDefault="00E573BF" w:rsidP="00E41882">
      <w:pPr>
        <w:widowControl w:val="0"/>
        <w:autoSpaceDE w:val="0"/>
        <w:autoSpaceDN w:val="0"/>
        <w:adjustRightInd w:val="0"/>
        <w:spacing w:line="276" w:lineRule="auto"/>
        <w:ind w:firstLine="708"/>
        <w:jc w:val="both"/>
        <w:rPr>
          <w:rFonts w:ascii="Tahoma" w:hAnsi="Tahoma" w:cs="Tahoma"/>
          <w:sz w:val="22"/>
          <w:szCs w:val="22"/>
        </w:rPr>
      </w:pPr>
    </w:p>
    <w:p w:rsidR="00836F5B" w:rsidRDefault="00E573B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I.S.S. le reconoció la pensión de invalidez mediante la Resolución No. 00073 del 28 de enero de 2000</w:t>
      </w:r>
      <w:r w:rsidR="00836F5B">
        <w:rPr>
          <w:rFonts w:ascii="Tahoma" w:hAnsi="Tahoma" w:cs="Tahoma"/>
          <w:sz w:val="22"/>
          <w:szCs w:val="22"/>
        </w:rPr>
        <w:t>, a partir del 20 de marzo de 1999, con un IBL de $475.535 y una mesada de $236.460</w:t>
      </w:r>
      <w:r w:rsidR="00E661B9">
        <w:rPr>
          <w:rFonts w:ascii="Tahoma" w:hAnsi="Tahoma" w:cs="Tahoma"/>
          <w:sz w:val="22"/>
          <w:szCs w:val="22"/>
        </w:rPr>
        <w:t>;</w:t>
      </w:r>
      <w:r w:rsidR="002F36B3">
        <w:rPr>
          <w:rFonts w:ascii="Tahoma" w:hAnsi="Tahoma" w:cs="Tahoma"/>
          <w:sz w:val="22"/>
          <w:szCs w:val="22"/>
        </w:rPr>
        <w:t xml:space="preserve"> y r</w:t>
      </w:r>
      <w:r w:rsidR="00836F5B">
        <w:rPr>
          <w:rFonts w:ascii="Tahoma" w:hAnsi="Tahoma" w:cs="Tahoma"/>
          <w:sz w:val="22"/>
          <w:szCs w:val="22"/>
        </w:rPr>
        <w:t xml:space="preserve">efiere que el 22 de febrero </w:t>
      </w:r>
      <w:r w:rsidR="00E661B9">
        <w:rPr>
          <w:rFonts w:ascii="Tahoma" w:hAnsi="Tahoma" w:cs="Tahoma"/>
          <w:sz w:val="22"/>
          <w:szCs w:val="22"/>
        </w:rPr>
        <w:t xml:space="preserve">de 2012 </w:t>
      </w:r>
      <w:r w:rsidR="00836F5B">
        <w:rPr>
          <w:rFonts w:ascii="Tahoma" w:hAnsi="Tahoma" w:cs="Tahoma"/>
          <w:sz w:val="22"/>
          <w:szCs w:val="22"/>
        </w:rPr>
        <w:t xml:space="preserve">solicitó ante </w:t>
      </w:r>
      <w:r w:rsidR="00E661B9">
        <w:rPr>
          <w:rFonts w:ascii="Tahoma" w:hAnsi="Tahoma" w:cs="Tahoma"/>
          <w:sz w:val="22"/>
          <w:szCs w:val="22"/>
        </w:rPr>
        <w:t xml:space="preserve">aquella entidad </w:t>
      </w:r>
      <w:r w:rsidR="00836F5B">
        <w:rPr>
          <w:rFonts w:ascii="Tahoma" w:hAnsi="Tahoma" w:cs="Tahoma"/>
          <w:sz w:val="22"/>
          <w:szCs w:val="22"/>
        </w:rPr>
        <w:t>la conversión de la pensión de invalidez a una de vejez, a lo cual accedió Colpensiones a través de la Resolución GNR18596 del 17 de julio de 2013.</w:t>
      </w:r>
    </w:p>
    <w:p w:rsidR="00836F5B" w:rsidRDefault="00836F5B" w:rsidP="00E41882">
      <w:pPr>
        <w:widowControl w:val="0"/>
        <w:autoSpaceDE w:val="0"/>
        <w:autoSpaceDN w:val="0"/>
        <w:adjustRightInd w:val="0"/>
        <w:spacing w:line="276" w:lineRule="auto"/>
        <w:ind w:firstLine="708"/>
        <w:jc w:val="both"/>
        <w:rPr>
          <w:rFonts w:ascii="Tahoma" w:hAnsi="Tahoma" w:cs="Tahoma"/>
          <w:sz w:val="22"/>
          <w:szCs w:val="22"/>
        </w:rPr>
      </w:pPr>
    </w:p>
    <w:p w:rsidR="006936EA" w:rsidRDefault="00836F5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el 17 de diciembre de 2013 solicitó la reliquidación de la primera mesada de su pensión de invalidez, teniendo en cuenta para ello el IBL debidamente actualizado</w:t>
      </w:r>
      <w:r w:rsidR="006936EA">
        <w:rPr>
          <w:rFonts w:ascii="Tahoma" w:hAnsi="Tahoma" w:cs="Tahoma"/>
          <w:sz w:val="22"/>
          <w:szCs w:val="22"/>
        </w:rPr>
        <w:t xml:space="preserve"> a la fecha en que se estructuró la invalidez</w:t>
      </w:r>
      <w:r w:rsidR="00E661B9">
        <w:rPr>
          <w:rFonts w:ascii="Tahoma" w:hAnsi="Tahoma" w:cs="Tahoma"/>
          <w:sz w:val="22"/>
          <w:szCs w:val="22"/>
        </w:rPr>
        <w:t>,</w:t>
      </w:r>
      <w:r w:rsidR="006936EA">
        <w:rPr>
          <w:rFonts w:ascii="Tahoma" w:hAnsi="Tahoma" w:cs="Tahoma"/>
          <w:sz w:val="22"/>
          <w:szCs w:val="22"/>
        </w:rPr>
        <w:t xml:space="preserve"> sin que a la fecha de presentación de la demanda </w:t>
      </w:r>
      <w:r w:rsidR="00E661B9">
        <w:rPr>
          <w:rFonts w:ascii="Tahoma" w:hAnsi="Tahoma" w:cs="Tahoma"/>
          <w:sz w:val="22"/>
          <w:szCs w:val="22"/>
        </w:rPr>
        <w:t xml:space="preserve">Colpensiones </w:t>
      </w:r>
      <w:r w:rsidR="006936EA">
        <w:rPr>
          <w:rFonts w:ascii="Tahoma" w:hAnsi="Tahoma" w:cs="Tahoma"/>
          <w:sz w:val="22"/>
          <w:szCs w:val="22"/>
        </w:rPr>
        <w:t>hubiera dado respuesta, consolidándose el silencio administrativo negativo.</w:t>
      </w:r>
    </w:p>
    <w:p w:rsidR="006936EA" w:rsidRDefault="006936EA" w:rsidP="00E41882">
      <w:pPr>
        <w:widowControl w:val="0"/>
        <w:autoSpaceDE w:val="0"/>
        <w:autoSpaceDN w:val="0"/>
        <w:adjustRightInd w:val="0"/>
        <w:spacing w:line="276" w:lineRule="auto"/>
        <w:ind w:firstLine="708"/>
        <w:jc w:val="both"/>
        <w:rPr>
          <w:rFonts w:ascii="Tahoma" w:hAnsi="Tahoma" w:cs="Tahoma"/>
          <w:sz w:val="22"/>
          <w:szCs w:val="22"/>
        </w:rPr>
      </w:pPr>
    </w:p>
    <w:p w:rsidR="009D4A4E" w:rsidRDefault="00776A8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aceptó </w:t>
      </w:r>
      <w:r w:rsidR="009D4A4E">
        <w:rPr>
          <w:rFonts w:ascii="Tahoma" w:hAnsi="Tahoma" w:cs="Tahoma"/>
          <w:sz w:val="22"/>
          <w:szCs w:val="22"/>
        </w:rPr>
        <w:t xml:space="preserve">los hechos relacionados con </w:t>
      </w:r>
      <w:r w:rsidR="006936EA">
        <w:rPr>
          <w:rFonts w:ascii="Tahoma" w:hAnsi="Tahoma" w:cs="Tahoma"/>
          <w:sz w:val="22"/>
          <w:szCs w:val="22"/>
        </w:rPr>
        <w:t xml:space="preserve">el contenido de la Resolución No. 00073 del 28 de enero de 2000; la solicitud de la conversión de la pensión de invalidez a la de </w:t>
      </w:r>
      <w:r w:rsidR="005E562F">
        <w:rPr>
          <w:rFonts w:ascii="Tahoma" w:hAnsi="Tahoma" w:cs="Tahoma"/>
          <w:sz w:val="22"/>
          <w:szCs w:val="22"/>
        </w:rPr>
        <w:t>vejez;</w:t>
      </w:r>
      <w:r w:rsidR="00C97F7D">
        <w:rPr>
          <w:rFonts w:ascii="Tahoma" w:hAnsi="Tahoma" w:cs="Tahoma"/>
          <w:sz w:val="22"/>
          <w:szCs w:val="22"/>
        </w:rPr>
        <w:t xml:space="preserve"> el contenido de la Resolución GNR 18596 de 2013, por medio de la cual se accedió a ello y</w:t>
      </w:r>
      <w:r w:rsidR="005E562F">
        <w:rPr>
          <w:rFonts w:ascii="Tahoma" w:hAnsi="Tahoma" w:cs="Tahoma"/>
          <w:sz w:val="22"/>
          <w:szCs w:val="22"/>
        </w:rPr>
        <w:t>,</w:t>
      </w:r>
      <w:r w:rsidR="00C97F7D">
        <w:rPr>
          <w:rFonts w:ascii="Tahoma" w:hAnsi="Tahoma" w:cs="Tahoma"/>
          <w:sz w:val="22"/>
          <w:szCs w:val="22"/>
        </w:rPr>
        <w:t xml:space="preserve"> el agotamiento procedimiento administrativo. Frente a los demás hechos manifestó que no eran ciertos o que no le constaban.</w:t>
      </w:r>
    </w:p>
    <w:p w:rsidR="00C97F7D" w:rsidRDefault="00C97F7D" w:rsidP="00E41882">
      <w:pPr>
        <w:widowControl w:val="0"/>
        <w:autoSpaceDE w:val="0"/>
        <w:autoSpaceDN w:val="0"/>
        <w:adjustRightInd w:val="0"/>
        <w:spacing w:line="276" w:lineRule="auto"/>
        <w:ind w:firstLine="708"/>
        <w:jc w:val="both"/>
        <w:rPr>
          <w:rFonts w:ascii="Tahoma" w:hAnsi="Tahoma" w:cs="Tahoma"/>
          <w:sz w:val="22"/>
          <w:szCs w:val="22"/>
        </w:rPr>
      </w:pPr>
    </w:p>
    <w:p w:rsidR="004A0D39" w:rsidRDefault="004A0D39"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 la obligación demandada” y “Prescripción”.</w:t>
      </w:r>
    </w:p>
    <w:p w:rsidR="004C547B" w:rsidRDefault="004C547B"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6621E9"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declaró </w:t>
      </w:r>
      <w:r w:rsidR="009B1643">
        <w:rPr>
          <w:rFonts w:ascii="Tahoma" w:hAnsi="Tahoma" w:cs="Tahoma"/>
          <w:sz w:val="22"/>
          <w:szCs w:val="22"/>
        </w:rPr>
        <w:t>probada la excepci</w:t>
      </w:r>
      <w:r w:rsidR="006621E9">
        <w:rPr>
          <w:rFonts w:ascii="Tahoma" w:hAnsi="Tahoma" w:cs="Tahoma"/>
          <w:sz w:val="22"/>
          <w:szCs w:val="22"/>
        </w:rPr>
        <w:t>ón de “Inexistencia de la obligación” propuesta por la entidad deman</w:t>
      </w:r>
      <w:r w:rsidR="008967BE">
        <w:rPr>
          <w:rFonts w:ascii="Tahoma" w:hAnsi="Tahoma" w:cs="Tahoma"/>
          <w:sz w:val="22"/>
          <w:szCs w:val="22"/>
        </w:rPr>
        <w:t>d</w:t>
      </w:r>
      <w:r w:rsidR="006621E9">
        <w:rPr>
          <w:rFonts w:ascii="Tahoma" w:hAnsi="Tahoma" w:cs="Tahoma"/>
          <w:sz w:val="22"/>
          <w:szCs w:val="22"/>
        </w:rPr>
        <w:t xml:space="preserve">ada y, en consecuencia, la absolvió de todas las pretensiones </w:t>
      </w:r>
      <w:r w:rsidR="00056F1F">
        <w:rPr>
          <w:rFonts w:ascii="Tahoma" w:hAnsi="Tahoma" w:cs="Tahoma"/>
          <w:sz w:val="22"/>
          <w:szCs w:val="22"/>
        </w:rPr>
        <w:t xml:space="preserve">propuestas por </w:t>
      </w:r>
      <w:r w:rsidR="006621E9">
        <w:rPr>
          <w:rFonts w:ascii="Tahoma" w:hAnsi="Tahoma" w:cs="Tahoma"/>
          <w:sz w:val="22"/>
          <w:szCs w:val="22"/>
        </w:rPr>
        <w:t xml:space="preserve">la </w:t>
      </w:r>
      <w:r w:rsidR="005E562F">
        <w:rPr>
          <w:rFonts w:ascii="Tahoma" w:hAnsi="Tahoma" w:cs="Tahoma"/>
          <w:sz w:val="22"/>
          <w:szCs w:val="22"/>
        </w:rPr>
        <w:t xml:space="preserve">señora </w:t>
      </w:r>
      <w:proofErr w:type="spellStart"/>
      <w:r w:rsidR="006621E9">
        <w:rPr>
          <w:rFonts w:ascii="Tahoma" w:hAnsi="Tahoma" w:cs="Tahoma"/>
          <w:sz w:val="22"/>
          <w:szCs w:val="22"/>
        </w:rPr>
        <w:t>Luzceli</w:t>
      </w:r>
      <w:proofErr w:type="spellEnd"/>
      <w:r w:rsidR="006621E9">
        <w:rPr>
          <w:rFonts w:ascii="Tahoma" w:hAnsi="Tahoma" w:cs="Tahoma"/>
          <w:sz w:val="22"/>
          <w:szCs w:val="22"/>
        </w:rPr>
        <w:t xml:space="preserve"> </w:t>
      </w:r>
      <w:r w:rsidR="005E562F">
        <w:rPr>
          <w:rFonts w:ascii="Tahoma" w:hAnsi="Tahoma" w:cs="Tahoma"/>
          <w:sz w:val="22"/>
          <w:szCs w:val="22"/>
        </w:rPr>
        <w:t xml:space="preserve">Gaviria de </w:t>
      </w:r>
      <w:r w:rsidR="006621E9">
        <w:rPr>
          <w:rFonts w:ascii="Tahoma" w:hAnsi="Tahoma" w:cs="Tahoma"/>
          <w:sz w:val="22"/>
          <w:szCs w:val="22"/>
        </w:rPr>
        <w:t>Quintero, a quien condenó al pago de las cosas procesales.</w:t>
      </w:r>
    </w:p>
    <w:p w:rsidR="006621E9" w:rsidRDefault="006621E9" w:rsidP="00E41882">
      <w:pPr>
        <w:widowControl w:val="0"/>
        <w:autoSpaceDE w:val="0"/>
        <w:autoSpaceDN w:val="0"/>
        <w:adjustRightInd w:val="0"/>
        <w:spacing w:line="276" w:lineRule="auto"/>
        <w:ind w:firstLine="708"/>
        <w:jc w:val="both"/>
        <w:rPr>
          <w:rFonts w:ascii="Tahoma" w:hAnsi="Tahoma" w:cs="Tahoma"/>
          <w:sz w:val="22"/>
          <w:szCs w:val="22"/>
        </w:rPr>
      </w:pPr>
    </w:p>
    <w:p w:rsidR="000D4C36" w:rsidRDefault="008967BE"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que la pensión de invalidez de la demandante se liquidó correctamente, pues la normatividad </w:t>
      </w:r>
      <w:r w:rsidR="00056F1F">
        <w:rPr>
          <w:rFonts w:ascii="Tahoma" w:hAnsi="Tahoma" w:cs="Tahoma"/>
          <w:sz w:val="22"/>
          <w:szCs w:val="22"/>
        </w:rPr>
        <w:t xml:space="preserve">que se le aplicó </w:t>
      </w:r>
      <w:r>
        <w:rPr>
          <w:rFonts w:ascii="Tahoma" w:hAnsi="Tahoma" w:cs="Tahoma"/>
          <w:sz w:val="22"/>
          <w:szCs w:val="22"/>
        </w:rPr>
        <w:t>era la vigente al momento en que se estructuró la invalidez,</w:t>
      </w:r>
      <w:r w:rsidR="00FF280A">
        <w:rPr>
          <w:rFonts w:ascii="Tahoma" w:hAnsi="Tahoma" w:cs="Tahoma"/>
          <w:sz w:val="22"/>
          <w:szCs w:val="22"/>
        </w:rPr>
        <w:t xml:space="preserve"> </w:t>
      </w:r>
      <w:r>
        <w:rPr>
          <w:rFonts w:ascii="Tahoma" w:hAnsi="Tahoma" w:cs="Tahoma"/>
          <w:sz w:val="22"/>
          <w:szCs w:val="22"/>
        </w:rPr>
        <w:t>esto es, la Ley 100 de 1993 en su redacción original</w:t>
      </w:r>
      <w:r w:rsidR="00FF280A">
        <w:rPr>
          <w:rFonts w:ascii="Tahoma" w:hAnsi="Tahoma" w:cs="Tahoma"/>
          <w:sz w:val="22"/>
          <w:szCs w:val="22"/>
        </w:rPr>
        <w:t xml:space="preserve">, sin que fuera posible aplicar al Acuerdo 049 de 1990 en virtud del régimen de transición, pues ese </w:t>
      </w:r>
      <w:r w:rsidR="009A3047">
        <w:rPr>
          <w:rFonts w:ascii="Tahoma" w:hAnsi="Tahoma" w:cs="Tahoma"/>
          <w:sz w:val="22"/>
          <w:szCs w:val="22"/>
        </w:rPr>
        <w:t xml:space="preserve">beneficio </w:t>
      </w:r>
      <w:r w:rsidR="00FF280A">
        <w:rPr>
          <w:rFonts w:ascii="Tahoma" w:hAnsi="Tahoma" w:cs="Tahoma"/>
          <w:sz w:val="22"/>
          <w:szCs w:val="22"/>
        </w:rPr>
        <w:t xml:space="preserve">no fue consagrado para la pensión de invalidez; además, </w:t>
      </w:r>
      <w:r w:rsidR="009A3047">
        <w:rPr>
          <w:rFonts w:ascii="Tahoma" w:hAnsi="Tahoma" w:cs="Tahoma"/>
          <w:sz w:val="22"/>
          <w:szCs w:val="22"/>
        </w:rPr>
        <w:t xml:space="preserve">tampoco era </w:t>
      </w:r>
      <w:r w:rsidR="00F823F0">
        <w:rPr>
          <w:rFonts w:ascii="Tahoma" w:hAnsi="Tahoma" w:cs="Tahoma"/>
          <w:sz w:val="22"/>
          <w:szCs w:val="22"/>
        </w:rPr>
        <w:t xml:space="preserve">dable </w:t>
      </w:r>
      <w:r w:rsidR="009A3047">
        <w:rPr>
          <w:rFonts w:ascii="Tahoma" w:hAnsi="Tahoma" w:cs="Tahoma"/>
          <w:sz w:val="22"/>
          <w:szCs w:val="22"/>
        </w:rPr>
        <w:t xml:space="preserve">acudir </w:t>
      </w:r>
      <w:r w:rsidR="000D4C36">
        <w:rPr>
          <w:rFonts w:ascii="Tahoma" w:hAnsi="Tahoma" w:cs="Tahoma"/>
          <w:sz w:val="22"/>
          <w:szCs w:val="22"/>
        </w:rPr>
        <w:t>al aq</w:t>
      </w:r>
      <w:r w:rsidR="009A3047">
        <w:rPr>
          <w:rFonts w:ascii="Tahoma" w:hAnsi="Tahoma" w:cs="Tahoma"/>
          <w:sz w:val="22"/>
          <w:szCs w:val="22"/>
        </w:rPr>
        <w:t xml:space="preserve">uel acuerdo </w:t>
      </w:r>
      <w:r w:rsidR="000D4C36">
        <w:rPr>
          <w:rFonts w:ascii="Tahoma" w:hAnsi="Tahoma" w:cs="Tahoma"/>
          <w:sz w:val="22"/>
          <w:szCs w:val="22"/>
        </w:rPr>
        <w:t xml:space="preserve">en virtud del principio de la condición más beneficiosa, toda vez que la demandante cumplió a cabalidad los requisitos establecidos en la Ley 100 de 1993 para acceder a la pensión de invalidez, esto es, superaba el 50% del grado de discapacidad y tenía 26 semanas cotizadas en el año anterior a la estructuración. </w:t>
      </w:r>
    </w:p>
    <w:p w:rsidR="000D4C36" w:rsidRDefault="000D4C36" w:rsidP="00E41882">
      <w:pPr>
        <w:widowControl w:val="0"/>
        <w:autoSpaceDE w:val="0"/>
        <w:autoSpaceDN w:val="0"/>
        <w:adjustRightInd w:val="0"/>
        <w:spacing w:line="276" w:lineRule="auto"/>
        <w:ind w:firstLine="708"/>
        <w:jc w:val="both"/>
        <w:rPr>
          <w:rFonts w:ascii="Tahoma" w:hAnsi="Tahoma" w:cs="Tahoma"/>
          <w:sz w:val="22"/>
          <w:szCs w:val="22"/>
        </w:rPr>
      </w:pPr>
    </w:p>
    <w:p w:rsidR="004F2069" w:rsidRDefault="00F823F0"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Agregó que s</w:t>
      </w:r>
      <w:r w:rsidR="004F2069">
        <w:rPr>
          <w:rFonts w:ascii="Tahoma" w:hAnsi="Tahoma" w:cs="Tahoma"/>
          <w:sz w:val="22"/>
          <w:szCs w:val="22"/>
        </w:rPr>
        <w:t>i bien la demanda</w:t>
      </w:r>
      <w:r w:rsidR="00395D9F">
        <w:rPr>
          <w:rFonts w:ascii="Tahoma" w:hAnsi="Tahoma" w:cs="Tahoma"/>
          <w:sz w:val="22"/>
          <w:szCs w:val="22"/>
        </w:rPr>
        <w:t>da a</w:t>
      </w:r>
      <w:r w:rsidR="004F2069">
        <w:rPr>
          <w:rFonts w:ascii="Tahoma" w:hAnsi="Tahoma" w:cs="Tahoma"/>
          <w:sz w:val="22"/>
          <w:szCs w:val="22"/>
        </w:rPr>
        <w:t xml:space="preserve">ceptó que la demandante es beneficiaria del régimen de </w:t>
      </w:r>
      <w:r w:rsidR="004F2069">
        <w:rPr>
          <w:rFonts w:ascii="Tahoma" w:hAnsi="Tahoma" w:cs="Tahoma"/>
          <w:sz w:val="22"/>
          <w:szCs w:val="22"/>
        </w:rPr>
        <w:lastRenderedPageBreak/>
        <w:t xml:space="preserve">transición, ello se hizo con el fin de </w:t>
      </w:r>
      <w:r>
        <w:rPr>
          <w:rFonts w:ascii="Tahoma" w:hAnsi="Tahoma" w:cs="Tahoma"/>
          <w:sz w:val="22"/>
          <w:szCs w:val="22"/>
        </w:rPr>
        <w:t xml:space="preserve">transformar la pensión de invalidez en una </w:t>
      </w:r>
      <w:r w:rsidR="004F2069">
        <w:rPr>
          <w:rFonts w:ascii="Tahoma" w:hAnsi="Tahoma" w:cs="Tahoma"/>
          <w:sz w:val="22"/>
          <w:szCs w:val="22"/>
        </w:rPr>
        <w:t>de vejez, lo cual sí era viable, sin que con ello se afecte lo ya resuelto respecto de la pensión de invalidez, pues son prestaciones diferentes con requisitos completamente autónomos.</w:t>
      </w:r>
    </w:p>
    <w:p w:rsidR="004F2069" w:rsidRDefault="004F2069" w:rsidP="00E41882">
      <w:pPr>
        <w:widowControl w:val="0"/>
        <w:autoSpaceDE w:val="0"/>
        <w:autoSpaceDN w:val="0"/>
        <w:adjustRightInd w:val="0"/>
        <w:spacing w:line="276" w:lineRule="auto"/>
        <w:ind w:firstLine="708"/>
        <w:jc w:val="both"/>
        <w:rPr>
          <w:rFonts w:ascii="Tahoma" w:hAnsi="Tahoma" w:cs="Tahoma"/>
          <w:sz w:val="22"/>
          <w:szCs w:val="22"/>
        </w:rPr>
      </w:pPr>
    </w:p>
    <w:p w:rsidR="00C47DD1" w:rsidRDefault="00C47DD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procedió a calcular el IBL de la pensión de invalidez con base en la Ley 100 de 1993 original, encontrando que el obtenido </w:t>
      </w:r>
      <w:r w:rsidR="004F2069">
        <w:rPr>
          <w:rFonts w:ascii="Tahoma" w:hAnsi="Tahoma" w:cs="Tahoma"/>
          <w:sz w:val="22"/>
          <w:szCs w:val="22"/>
        </w:rPr>
        <w:t>por la I.S.S.</w:t>
      </w:r>
      <w:r>
        <w:rPr>
          <w:rFonts w:ascii="Tahoma" w:hAnsi="Tahoma" w:cs="Tahoma"/>
          <w:sz w:val="22"/>
          <w:szCs w:val="22"/>
        </w:rPr>
        <w:t xml:space="preserve"> era correcto.</w:t>
      </w:r>
    </w:p>
    <w:p w:rsidR="004F2069" w:rsidRDefault="004F2069" w:rsidP="00E41882">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924F0D" w:rsidRDefault="00924F0D"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primera instancia fue desfavorable para los intereses de </w:t>
      </w:r>
      <w:r w:rsidR="00250BE8">
        <w:rPr>
          <w:rFonts w:ascii="Tahoma" w:hAnsi="Tahoma" w:cs="Tahoma"/>
          <w:sz w:val="22"/>
          <w:szCs w:val="22"/>
        </w:rPr>
        <w:t>la demandante y no fue apelada</w:t>
      </w:r>
      <w:r>
        <w:rPr>
          <w:rFonts w:ascii="Tahoma" w:hAnsi="Tahoma" w:cs="Tahoma"/>
          <w:sz w:val="22"/>
          <w:szCs w:val="22"/>
        </w:rPr>
        <w:t>,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F01032" w:rsidRPr="00F81734" w:rsidRDefault="00F01032" w:rsidP="00E41882">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F81734">
        <w:rPr>
          <w:rFonts w:ascii="Tahoma" w:hAnsi="Tahoma" w:cs="Tahoma"/>
          <w:b/>
          <w:sz w:val="22"/>
          <w:szCs w:val="22"/>
        </w:rPr>
        <w:t>Caso concreto</w:t>
      </w:r>
    </w:p>
    <w:p w:rsidR="00F01032" w:rsidRPr="00F81734" w:rsidRDefault="00F01032" w:rsidP="00E41882">
      <w:pPr>
        <w:spacing w:line="276" w:lineRule="auto"/>
        <w:jc w:val="both"/>
        <w:rPr>
          <w:rFonts w:ascii="Tahoma" w:hAnsi="Tahoma" w:cs="Tahoma"/>
          <w:sz w:val="22"/>
          <w:szCs w:val="22"/>
        </w:rPr>
      </w:pPr>
      <w:r w:rsidRPr="00F81734">
        <w:rPr>
          <w:rFonts w:ascii="Tahoma" w:hAnsi="Tahoma" w:cs="Tahoma"/>
          <w:sz w:val="22"/>
          <w:szCs w:val="22"/>
        </w:rPr>
        <w:tab/>
      </w:r>
    </w:p>
    <w:p w:rsidR="00CD4263" w:rsidRDefault="00924F0D" w:rsidP="00CD4263">
      <w:pPr>
        <w:widowControl w:val="0"/>
        <w:autoSpaceDE w:val="0"/>
        <w:autoSpaceDN w:val="0"/>
        <w:adjustRightInd w:val="0"/>
        <w:spacing w:line="276" w:lineRule="auto"/>
        <w:ind w:firstLine="708"/>
        <w:jc w:val="both"/>
        <w:rPr>
          <w:rFonts w:ascii="Tahoma" w:hAnsi="Tahoma" w:cs="Tahoma"/>
          <w:sz w:val="22"/>
          <w:szCs w:val="22"/>
        </w:rPr>
      </w:pPr>
      <w:r w:rsidRPr="00EA6BEB">
        <w:rPr>
          <w:rFonts w:ascii="Tahoma" w:hAnsi="Tahoma" w:cs="Tahoma"/>
          <w:sz w:val="22"/>
          <w:szCs w:val="22"/>
        </w:rPr>
        <w:t>No es necesario un discernimiento profundo en el caso de marras para concluir que la decisión a la que arribó la Jueza de primer grado fue acertada, pues</w:t>
      </w:r>
      <w:r w:rsidR="003064FA">
        <w:rPr>
          <w:rFonts w:ascii="Tahoma" w:hAnsi="Tahoma" w:cs="Tahoma"/>
          <w:sz w:val="22"/>
          <w:szCs w:val="22"/>
        </w:rPr>
        <w:t xml:space="preserve"> para acudir al Acuerdo 049 de 1990 a efectos de conceder la pensión de invalidez, en virtud del principio de la condición más beneficiosa, era necesario, primero que todo</w:t>
      </w:r>
      <w:r w:rsidR="00CD4263">
        <w:rPr>
          <w:rFonts w:ascii="Tahoma" w:hAnsi="Tahoma" w:cs="Tahoma"/>
          <w:sz w:val="22"/>
          <w:szCs w:val="22"/>
        </w:rPr>
        <w:t>,</w:t>
      </w:r>
      <w:r w:rsidR="003064FA">
        <w:rPr>
          <w:rFonts w:ascii="Tahoma" w:hAnsi="Tahoma" w:cs="Tahoma"/>
          <w:sz w:val="22"/>
          <w:szCs w:val="22"/>
        </w:rPr>
        <w:t xml:space="preserve"> que la demandante no hubiera cumplido los requisitos de la norma </w:t>
      </w:r>
      <w:r w:rsidR="00CD4263">
        <w:rPr>
          <w:rFonts w:ascii="Tahoma" w:hAnsi="Tahoma" w:cs="Tahoma"/>
          <w:sz w:val="22"/>
          <w:szCs w:val="22"/>
        </w:rPr>
        <w:t>que estaba vigente al momento en que se estructuró su invalidez, el 20 de marzo de 1999, que no era otra que la Ley 100 de 1993 en su redacción original y, segundo, que contara con los requisitos que jurisprudencialmente se han establecido para acceder a la prestación con base en dicho acuerdo, esto es, que se cuente con 300 semanas cotizadas con antelación a la entrada en vigencia de la Ley 100 de 1993, o con 150 en los 6 años anteriores al 1º de abril de 1994 y la misma cantidad en los 6 años siguientes.</w:t>
      </w:r>
    </w:p>
    <w:p w:rsidR="00CD4263" w:rsidRDefault="00CD4263" w:rsidP="00CD4263">
      <w:pPr>
        <w:widowControl w:val="0"/>
        <w:autoSpaceDE w:val="0"/>
        <w:autoSpaceDN w:val="0"/>
        <w:adjustRightInd w:val="0"/>
        <w:spacing w:line="276" w:lineRule="auto"/>
        <w:ind w:firstLine="708"/>
        <w:jc w:val="both"/>
        <w:rPr>
          <w:rFonts w:ascii="Tahoma" w:hAnsi="Tahoma" w:cs="Tahoma"/>
          <w:sz w:val="22"/>
          <w:szCs w:val="22"/>
        </w:rPr>
      </w:pPr>
    </w:p>
    <w:p w:rsidR="00CD4263" w:rsidRDefault="00CD4263" w:rsidP="00CD42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el sub lite es evidente que </w:t>
      </w:r>
      <w:r w:rsidR="00683B91">
        <w:rPr>
          <w:rFonts w:ascii="Tahoma" w:hAnsi="Tahoma" w:cs="Tahoma"/>
          <w:sz w:val="22"/>
          <w:szCs w:val="22"/>
        </w:rPr>
        <w:t>n</w:t>
      </w:r>
      <w:r w:rsidR="00395D9F">
        <w:rPr>
          <w:rFonts w:ascii="Tahoma" w:hAnsi="Tahoma" w:cs="Tahoma"/>
          <w:sz w:val="22"/>
          <w:szCs w:val="22"/>
        </w:rPr>
        <w:t xml:space="preserve">o había lugar a acudir al principio de la condición más beneficiosa, toda vez que </w:t>
      </w:r>
      <w:r>
        <w:rPr>
          <w:rFonts w:ascii="Tahoma" w:hAnsi="Tahoma" w:cs="Tahoma"/>
          <w:sz w:val="22"/>
          <w:szCs w:val="22"/>
        </w:rPr>
        <w:t>l</w:t>
      </w:r>
      <w:r w:rsidR="00395D9F">
        <w:rPr>
          <w:rFonts w:ascii="Tahoma" w:hAnsi="Tahoma" w:cs="Tahoma"/>
          <w:sz w:val="22"/>
          <w:szCs w:val="22"/>
        </w:rPr>
        <w:t xml:space="preserve">a pensión de invalidez </w:t>
      </w:r>
      <w:r>
        <w:rPr>
          <w:rFonts w:ascii="Tahoma" w:hAnsi="Tahoma" w:cs="Tahoma"/>
          <w:sz w:val="22"/>
          <w:szCs w:val="22"/>
        </w:rPr>
        <w:t xml:space="preserve">fue reconocida </w:t>
      </w:r>
      <w:r w:rsidR="00395D9F">
        <w:rPr>
          <w:rFonts w:ascii="Tahoma" w:hAnsi="Tahoma" w:cs="Tahoma"/>
          <w:sz w:val="22"/>
          <w:szCs w:val="22"/>
        </w:rPr>
        <w:t xml:space="preserve">a la demandante </w:t>
      </w:r>
      <w:r>
        <w:rPr>
          <w:rFonts w:ascii="Tahoma" w:hAnsi="Tahoma" w:cs="Tahoma"/>
          <w:sz w:val="22"/>
          <w:szCs w:val="22"/>
        </w:rPr>
        <w:t>a través de la Resolución 00073 de 2000</w:t>
      </w:r>
      <w:r w:rsidR="00395D9F">
        <w:rPr>
          <w:rFonts w:ascii="Tahoma" w:hAnsi="Tahoma" w:cs="Tahoma"/>
          <w:sz w:val="22"/>
          <w:szCs w:val="22"/>
        </w:rPr>
        <w:t>,</w:t>
      </w:r>
      <w:r>
        <w:rPr>
          <w:rFonts w:ascii="Tahoma" w:hAnsi="Tahoma" w:cs="Tahoma"/>
          <w:sz w:val="22"/>
          <w:szCs w:val="22"/>
        </w:rPr>
        <w:t xml:space="preserve"> por cumplir a cabalidad con los presupuestos exigidos originalmente por la Ley 100 de 1993</w:t>
      </w:r>
      <w:r w:rsidR="00762382">
        <w:rPr>
          <w:rFonts w:ascii="Tahoma" w:hAnsi="Tahoma" w:cs="Tahoma"/>
          <w:sz w:val="22"/>
          <w:szCs w:val="22"/>
        </w:rPr>
        <w:t>. Por otra parte, en caso de que no</w:t>
      </w:r>
      <w:r w:rsidR="00395D9F">
        <w:rPr>
          <w:rFonts w:ascii="Tahoma" w:hAnsi="Tahoma" w:cs="Tahoma"/>
          <w:sz w:val="22"/>
          <w:szCs w:val="22"/>
        </w:rPr>
        <w:t xml:space="preserve"> se hubieran cumplido</w:t>
      </w:r>
      <w:r w:rsidR="00762382">
        <w:rPr>
          <w:rFonts w:ascii="Tahoma" w:hAnsi="Tahoma" w:cs="Tahoma"/>
          <w:sz w:val="22"/>
          <w:szCs w:val="22"/>
        </w:rPr>
        <w:t xml:space="preserve"> los requisitos establecidos en la aludida normativa, tampoco era dable aplicar el Acuerdo 049 de 1990 para conceder la pensión de invalidez, pues </w:t>
      </w:r>
      <w:r w:rsidR="006D5FD1">
        <w:rPr>
          <w:rFonts w:ascii="Tahoma" w:hAnsi="Tahoma" w:cs="Tahoma"/>
          <w:sz w:val="22"/>
          <w:szCs w:val="22"/>
        </w:rPr>
        <w:t xml:space="preserve">tan sólo cuenta con 239 semanas con antelación al 1º de abril de 1994 y 120 semanas en los </w:t>
      </w:r>
      <w:r w:rsidR="00F67785">
        <w:rPr>
          <w:rFonts w:ascii="Tahoma" w:hAnsi="Tahoma" w:cs="Tahoma"/>
          <w:sz w:val="22"/>
          <w:szCs w:val="22"/>
        </w:rPr>
        <w:t>6 años anteriores a esa misma calenda.</w:t>
      </w:r>
    </w:p>
    <w:p w:rsidR="00F67785" w:rsidRDefault="00F67785" w:rsidP="00CD4263">
      <w:pPr>
        <w:widowControl w:val="0"/>
        <w:autoSpaceDE w:val="0"/>
        <w:autoSpaceDN w:val="0"/>
        <w:adjustRightInd w:val="0"/>
        <w:spacing w:line="276" w:lineRule="auto"/>
        <w:ind w:firstLine="708"/>
        <w:jc w:val="both"/>
        <w:rPr>
          <w:rFonts w:ascii="Tahoma" w:hAnsi="Tahoma" w:cs="Tahoma"/>
          <w:sz w:val="22"/>
          <w:szCs w:val="22"/>
        </w:rPr>
      </w:pPr>
    </w:p>
    <w:p w:rsidR="00F67785" w:rsidRDefault="00F67785" w:rsidP="00CD42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revisada la liquidación efectuada por el de</w:t>
      </w:r>
      <w:r w:rsidR="001C14EA">
        <w:rPr>
          <w:rFonts w:ascii="Tahoma" w:hAnsi="Tahoma" w:cs="Tahoma"/>
          <w:sz w:val="22"/>
          <w:szCs w:val="22"/>
        </w:rPr>
        <w:t>spacho de origen, se observa que la misma atiende a cabalidad lo preceptuado en el artículo 40 de la Ley</w:t>
      </w:r>
      <w:r w:rsidR="00DE093D">
        <w:rPr>
          <w:rFonts w:ascii="Tahoma" w:hAnsi="Tahoma" w:cs="Tahoma"/>
          <w:sz w:val="22"/>
          <w:szCs w:val="22"/>
        </w:rPr>
        <w:t xml:space="preserve"> 100</w:t>
      </w:r>
      <w:r w:rsidR="001C14EA">
        <w:rPr>
          <w:rFonts w:ascii="Tahoma" w:hAnsi="Tahoma" w:cs="Tahoma"/>
          <w:sz w:val="22"/>
          <w:szCs w:val="22"/>
        </w:rPr>
        <w:t xml:space="preserve"> de 1993, por lo que aquella concedida por el entonces I.S.S. es incluso más favorable para los intereses de la demandante.</w:t>
      </w:r>
    </w:p>
    <w:p w:rsidR="00924F0D" w:rsidRPr="00EA6BEB" w:rsidRDefault="00924F0D" w:rsidP="00E41882">
      <w:pPr>
        <w:pStyle w:val="Sinespaciado"/>
        <w:spacing w:line="276" w:lineRule="auto"/>
        <w:rPr>
          <w:sz w:val="22"/>
          <w:szCs w:val="22"/>
        </w:rPr>
      </w:pPr>
    </w:p>
    <w:p w:rsidR="00924F0D" w:rsidRPr="00EA6BEB" w:rsidRDefault="00924F0D" w:rsidP="00E41882">
      <w:pPr>
        <w:tabs>
          <w:tab w:val="left" w:pos="748"/>
        </w:tabs>
        <w:spacing w:line="276" w:lineRule="auto"/>
        <w:ind w:firstLine="709"/>
        <w:jc w:val="both"/>
        <w:rPr>
          <w:rFonts w:ascii="Tahoma" w:hAnsi="Tahoma" w:cs="Tahoma"/>
          <w:bCs/>
          <w:sz w:val="22"/>
          <w:szCs w:val="22"/>
        </w:rPr>
      </w:pPr>
      <w:r w:rsidRPr="00EA6BEB">
        <w:rPr>
          <w:rFonts w:ascii="Tahoma" w:hAnsi="Tahoma" w:cs="Tahoma"/>
          <w:bCs/>
          <w:sz w:val="22"/>
          <w:szCs w:val="22"/>
        </w:rPr>
        <w:t xml:space="preserve">La condena en costas de primera instancia se mantendrá incólume. En esta sede </w:t>
      </w:r>
      <w:r>
        <w:rPr>
          <w:rFonts w:ascii="Tahoma" w:hAnsi="Tahoma" w:cs="Tahoma"/>
          <w:bCs/>
          <w:sz w:val="22"/>
          <w:szCs w:val="22"/>
        </w:rPr>
        <w:t>no se causaron por conocerse el asunto en virtud del grado jurisdiccional de consulta</w:t>
      </w:r>
      <w:r w:rsidRPr="00EA6BEB">
        <w:rPr>
          <w:rFonts w:ascii="Tahoma" w:hAnsi="Tahoma" w:cs="Tahoma"/>
          <w:bCs/>
          <w:sz w:val="22"/>
          <w:szCs w:val="22"/>
        </w:rPr>
        <w:t>.</w:t>
      </w:r>
    </w:p>
    <w:p w:rsidR="00924F0D" w:rsidRPr="00EA6BEB" w:rsidRDefault="00924F0D" w:rsidP="00E41882">
      <w:pPr>
        <w:tabs>
          <w:tab w:val="left" w:pos="748"/>
        </w:tabs>
        <w:spacing w:line="276" w:lineRule="auto"/>
        <w:ind w:firstLine="709"/>
        <w:jc w:val="both"/>
        <w:rPr>
          <w:rFonts w:ascii="Tahoma" w:hAnsi="Tahoma" w:cs="Tahoma"/>
          <w:bCs/>
          <w:sz w:val="22"/>
          <w:szCs w:val="22"/>
        </w:rPr>
      </w:pPr>
    </w:p>
    <w:p w:rsidR="00924F0D" w:rsidRPr="00EA6BEB" w:rsidRDefault="00924F0D" w:rsidP="00E41882">
      <w:pPr>
        <w:pStyle w:val="Sangradetextonormal"/>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924F0D" w:rsidRPr="00EA6BEB" w:rsidRDefault="00924F0D" w:rsidP="00E41882">
      <w:pPr>
        <w:pStyle w:val="Sangradetextonormal"/>
        <w:spacing w:line="276" w:lineRule="auto"/>
        <w:rPr>
          <w:sz w:val="22"/>
          <w:szCs w:val="22"/>
        </w:rPr>
      </w:pPr>
    </w:p>
    <w:p w:rsidR="00924F0D" w:rsidRPr="00EA6BEB" w:rsidRDefault="00924F0D" w:rsidP="00E41882">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924F0D" w:rsidRPr="00EA6BEB" w:rsidRDefault="00924F0D" w:rsidP="00E41882">
      <w:pPr>
        <w:widowControl w:val="0"/>
        <w:autoSpaceDE w:val="0"/>
        <w:autoSpaceDN w:val="0"/>
        <w:adjustRightInd w:val="0"/>
        <w:spacing w:line="276" w:lineRule="auto"/>
        <w:jc w:val="both"/>
        <w:rPr>
          <w:rFonts w:ascii="Tahoma" w:hAnsi="Tahoma" w:cs="Tahoma"/>
          <w:sz w:val="22"/>
          <w:szCs w:val="22"/>
        </w:rPr>
      </w:pPr>
    </w:p>
    <w:p w:rsidR="00924F0D" w:rsidRPr="00EA6BEB" w:rsidRDefault="00924F0D" w:rsidP="00E41882">
      <w:pPr>
        <w:spacing w:line="276" w:lineRule="auto"/>
        <w:ind w:firstLine="708"/>
        <w:jc w:val="both"/>
        <w:rPr>
          <w:rFonts w:ascii="Tahoma" w:hAnsi="Tahoma" w:cs="Tahoma"/>
          <w:b/>
          <w:sz w:val="22"/>
          <w:szCs w:val="22"/>
          <w:lang w:val="es-ES_tradnl"/>
        </w:rPr>
      </w:pPr>
      <w:r w:rsidRPr="00EA6BEB">
        <w:rPr>
          <w:rFonts w:ascii="Tahoma" w:hAnsi="Tahoma" w:cs="Tahoma"/>
          <w:b/>
          <w:sz w:val="22"/>
          <w:szCs w:val="22"/>
          <w:u w:val="single"/>
        </w:rPr>
        <w:t>PRIMERO</w:t>
      </w:r>
      <w:r w:rsidRPr="00EA6BEB">
        <w:rPr>
          <w:rFonts w:ascii="Tahoma" w:hAnsi="Tahoma" w:cs="Tahoma"/>
          <w:sz w:val="22"/>
          <w:szCs w:val="22"/>
        </w:rPr>
        <w:t xml:space="preserve">.- </w:t>
      </w:r>
      <w:r w:rsidR="001C14EA" w:rsidRPr="001C14EA">
        <w:rPr>
          <w:rFonts w:ascii="Tahoma" w:hAnsi="Tahoma" w:cs="Tahoma"/>
          <w:b/>
          <w:sz w:val="22"/>
          <w:szCs w:val="22"/>
        </w:rPr>
        <w:t>CONFIRMAR</w:t>
      </w:r>
      <w:r w:rsidR="001C14EA">
        <w:rPr>
          <w:rFonts w:ascii="Tahoma" w:hAnsi="Tahoma" w:cs="Tahoma"/>
          <w:sz w:val="22"/>
          <w:szCs w:val="22"/>
        </w:rPr>
        <w:t xml:space="preserve"> l</w:t>
      </w:r>
      <w:r w:rsidRPr="00EA6BEB">
        <w:rPr>
          <w:rFonts w:ascii="Tahoma" w:hAnsi="Tahoma" w:cs="Tahoma"/>
          <w:sz w:val="22"/>
          <w:szCs w:val="22"/>
        </w:rPr>
        <w:t xml:space="preserve">a sentencia proferida por el Juzgado </w:t>
      </w:r>
      <w:r w:rsidR="005B1C48">
        <w:rPr>
          <w:rFonts w:ascii="Tahoma" w:hAnsi="Tahoma" w:cs="Tahoma"/>
          <w:sz w:val="22"/>
          <w:szCs w:val="22"/>
        </w:rPr>
        <w:t>Primero</w:t>
      </w:r>
      <w:r>
        <w:rPr>
          <w:rFonts w:ascii="Tahoma" w:hAnsi="Tahoma" w:cs="Tahoma"/>
          <w:sz w:val="22"/>
          <w:szCs w:val="22"/>
        </w:rPr>
        <w:t xml:space="preserve"> </w:t>
      </w:r>
      <w:r w:rsidRPr="00EA6BEB">
        <w:rPr>
          <w:rFonts w:ascii="Tahoma" w:hAnsi="Tahoma" w:cs="Tahoma"/>
          <w:sz w:val="22"/>
          <w:szCs w:val="22"/>
        </w:rPr>
        <w:t>Laboral del Circuito de Pereira dentro del proceso laboral</w:t>
      </w:r>
      <w:r w:rsidRPr="00EA6BEB">
        <w:rPr>
          <w:rFonts w:ascii="Tahoma" w:hAnsi="Tahoma" w:cs="Tahoma"/>
          <w:sz w:val="22"/>
          <w:szCs w:val="22"/>
          <w:lang w:val="es-ES_tradnl"/>
        </w:rPr>
        <w:t xml:space="preserve"> instaurado por </w:t>
      </w:r>
      <w:proofErr w:type="spellStart"/>
      <w:r w:rsidR="005B1C48">
        <w:rPr>
          <w:rFonts w:ascii="Tahoma" w:hAnsi="Tahoma" w:cs="Tahoma"/>
          <w:sz w:val="22"/>
          <w:szCs w:val="22"/>
          <w:lang w:val="es-ES_tradnl"/>
        </w:rPr>
        <w:t>Luz</w:t>
      </w:r>
      <w:r w:rsidR="001C14EA">
        <w:rPr>
          <w:rFonts w:ascii="Tahoma" w:hAnsi="Tahoma" w:cs="Tahoma"/>
          <w:sz w:val="22"/>
          <w:szCs w:val="22"/>
          <w:lang w:val="es-ES_tradnl"/>
        </w:rPr>
        <w:t>celi</w:t>
      </w:r>
      <w:proofErr w:type="spellEnd"/>
      <w:r w:rsidR="001C14EA">
        <w:rPr>
          <w:rFonts w:ascii="Tahoma" w:hAnsi="Tahoma" w:cs="Tahoma"/>
          <w:sz w:val="22"/>
          <w:szCs w:val="22"/>
          <w:lang w:val="es-ES_tradnl"/>
        </w:rPr>
        <w:t xml:space="preserve"> Gaviria de Quintero</w:t>
      </w:r>
      <w:r>
        <w:rPr>
          <w:rFonts w:ascii="Tahoma" w:hAnsi="Tahoma" w:cs="Tahoma"/>
          <w:sz w:val="22"/>
          <w:szCs w:val="22"/>
          <w:lang w:val="es-ES_tradnl"/>
        </w:rPr>
        <w:t xml:space="preserve"> </w:t>
      </w:r>
      <w:r w:rsidRPr="00EA6BEB">
        <w:rPr>
          <w:rFonts w:ascii="Tahoma" w:hAnsi="Tahoma" w:cs="Tahoma"/>
          <w:sz w:val="22"/>
          <w:szCs w:val="22"/>
          <w:lang w:val="es-ES_tradnl"/>
        </w:rPr>
        <w:t>en contra de la Administradora Colombiana de Pensiones – Colpensiones</w:t>
      </w:r>
      <w:r>
        <w:rPr>
          <w:rFonts w:ascii="Tahoma" w:hAnsi="Tahoma" w:cs="Tahoma"/>
          <w:sz w:val="22"/>
          <w:szCs w:val="22"/>
          <w:lang w:val="es-ES_tradnl"/>
        </w:rPr>
        <w:t>.</w:t>
      </w: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 xml:space="preserve"> </w:t>
      </w:r>
      <w:r w:rsidRPr="00EA6BEB">
        <w:rPr>
          <w:rFonts w:ascii="Tahoma" w:hAnsi="Tahoma" w:cs="Tahoma"/>
          <w:sz w:val="22"/>
          <w:szCs w:val="22"/>
          <w:lang w:val="es-CO"/>
        </w:rPr>
        <w:t xml:space="preserve"> </w:t>
      </w:r>
      <w:r w:rsidRPr="00EA6BEB">
        <w:rPr>
          <w:rFonts w:ascii="Tahoma" w:hAnsi="Tahoma" w:cs="Tahoma"/>
          <w:sz w:val="22"/>
          <w:szCs w:val="22"/>
        </w:rPr>
        <w:t xml:space="preserve">  </w:t>
      </w:r>
    </w:p>
    <w:p w:rsidR="00924F0D" w:rsidRPr="00EA6BEB" w:rsidRDefault="00924F0D" w:rsidP="00E41882">
      <w:pPr>
        <w:spacing w:line="276" w:lineRule="auto"/>
        <w:ind w:firstLine="709"/>
        <w:jc w:val="both"/>
        <w:rPr>
          <w:rFonts w:ascii="Tahoma" w:hAnsi="Tahoma" w:cs="Tahoma"/>
          <w:b/>
          <w:sz w:val="22"/>
          <w:szCs w:val="22"/>
        </w:rPr>
      </w:pPr>
      <w:r w:rsidRPr="00EA6BEB">
        <w:rPr>
          <w:rFonts w:ascii="Tahoma" w:hAnsi="Tahoma" w:cs="Tahoma"/>
          <w:b/>
          <w:sz w:val="22"/>
          <w:szCs w:val="22"/>
          <w:u w:val="single"/>
        </w:rPr>
        <w:t>SEGUNDO</w:t>
      </w:r>
      <w:r w:rsidRPr="00EA6BEB">
        <w:rPr>
          <w:rFonts w:ascii="Tahoma" w:hAnsi="Tahoma" w:cs="Tahoma"/>
          <w:b/>
          <w:sz w:val="22"/>
          <w:szCs w:val="22"/>
        </w:rPr>
        <w:t xml:space="preserve">.- </w:t>
      </w:r>
      <w:r w:rsidRPr="005456F5">
        <w:rPr>
          <w:rFonts w:ascii="Tahoma" w:hAnsi="Tahoma" w:cs="Tahoma"/>
          <w:sz w:val="22"/>
          <w:szCs w:val="22"/>
        </w:rPr>
        <w:t>Sin condena en costas en este grado jurisdiccional.</w:t>
      </w:r>
    </w:p>
    <w:p w:rsidR="00924F0D" w:rsidRPr="00EA6BEB" w:rsidRDefault="00924F0D" w:rsidP="00E41882">
      <w:pPr>
        <w:pStyle w:val="Sinespaciado"/>
        <w:spacing w:line="276" w:lineRule="auto"/>
        <w:ind w:firstLine="709"/>
        <w:rPr>
          <w:sz w:val="22"/>
          <w:szCs w:val="22"/>
        </w:rPr>
      </w:pPr>
      <w:r w:rsidRPr="00EA6BEB">
        <w:rPr>
          <w:sz w:val="22"/>
          <w:szCs w:val="22"/>
        </w:rPr>
        <w:lastRenderedPageBreak/>
        <w:t xml:space="preserve"> </w:t>
      </w:r>
    </w:p>
    <w:p w:rsidR="00924F0D" w:rsidRPr="00EA6BEB" w:rsidRDefault="00924F0D" w:rsidP="00E41882">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w:t>
      </w:r>
      <w:bookmarkStart w:id="0" w:name="_GoBack"/>
      <w:bookmarkEnd w:id="0"/>
      <w:r w:rsidRPr="00EA6BEB">
        <w:rPr>
          <w:rFonts w:ascii="Tahoma" w:hAnsi="Tahoma" w:cs="Tahoma"/>
          <w:sz w:val="22"/>
          <w:szCs w:val="22"/>
        </w:rPr>
        <w:t>igen.</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924F0D" w:rsidRPr="00EA6BEB" w:rsidRDefault="00924F0D"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Los Magistrados,</w:t>
      </w:r>
    </w:p>
    <w:p w:rsidR="00924F0D" w:rsidRPr="00EA6BEB" w:rsidRDefault="00924F0D"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w:t>
      </w:r>
      <w:r w:rsidR="001C14EA">
        <w:rPr>
          <w:rFonts w:ascii="Tahoma" w:hAnsi="Tahoma" w:cs="Tahoma"/>
          <w:b/>
          <w:sz w:val="22"/>
          <w:szCs w:val="22"/>
        </w:rPr>
        <w:t xml:space="preserve">               </w:t>
      </w:r>
      <w:r w:rsidRPr="00EA6BEB">
        <w:rPr>
          <w:rFonts w:ascii="Tahoma" w:hAnsi="Tahoma" w:cs="Tahoma"/>
          <w:b/>
          <w:sz w:val="22"/>
          <w:szCs w:val="22"/>
        </w:rPr>
        <w:t xml:space="preserve"> FRANCISCO JAVIER TAMAYO TABARES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b/>
          <w:sz w:val="22"/>
          <w:szCs w:val="22"/>
        </w:rPr>
      </w:pPr>
    </w:p>
    <w:p w:rsidR="00924F0D" w:rsidRPr="00EA6BEB" w:rsidRDefault="00924F0D" w:rsidP="00E41882">
      <w:pPr>
        <w:pStyle w:val="Sinespaciado"/>
        <w:spacing w:line="276" w:lineRule="auto"/>
        <w:ind w:firstLine="709"/>
        <w:rPr>
          <w:b/>
          <w:sz w:val="22"/>
          <w:szCs w:val="22"/>
        </w:rPr>
      </w:pPr>
    </w:p>
    <w:p w:rsidR="00924F0D" w:rsidRPr="00EA6BEB" w:rsidRDefault="00924F0D" w:rsidP="00E41882">
      <w:pPr>
        <w:pStyle w:val="Sinespaciado"/>
        <w:spacing w:line="276" w:lineRule="auto"/>
        <w:ind w:firstLine="709"/>
        <w:rPr>
          <w:b/>
          <w:sz w:val="22"/>
          <w:szCs w:val="22"/>
        </w:rPr>
      </w:pPr>
    </w:p>
    <w:p w:rsidR="00924F0D" w:rsidRPr="00042881" w:rsidRDefault="00924F0D" w:rsidP="00E41882">
      <w:pPr>
        <w:pStyle w:val="Sinespaciado"/>
        <w:ind w:left="708"/>
        <w:rPr>
          <w:sz w:val="22"/>
          <w:szCs w:val="22"/>
        </w:rPr>
      </w:pPr>
    </w:p>
    <w:p w:rsidR="00924F0D" w:rsidRPr="00042881" w:rsidRDefault="00924F0D" w:rsidP="00E41882">
      <w:pPr>
        <w:pStyle w:val="Sinespaciado"/>
        <w:ind w:left="708"/>
        <w:rPr>
          <w:sz w:val="20"/>
          <w:szCs w:val="20"/>
        </w:rPr>
      </w:pPr>
    </w:p>
    <w:sectPr w:rsidR="00924F0D" w:rsidRPr="00042881"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E9" w:rsidRDefault="00193EE9">
      <w:r>
        <w:separator/>
      </w:r>
    </w:p>
  </w:endnote>
  <w:endnote w:type="continuationSeparator" w:id="0">
    <w:p w:rsidR="00193EE9" w:rsidRDefault="0019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85" w:rsidRDefault="00F67785">
    <w:pPr>
      <w:pStyle w:val="Piedepgina"/>
      <w:jc w:val="right"/>
    </w:pPr>
    <w:r>
      <w:fldChar w:fldCharType="begin"/>
    </w:r>
    <w:r>
      <w:instrText>PAGE   \* MERGEFORMAT</w:instrText>
    </w:r>
    <w:r>
      <w:fldChar w:fldCharType="separate"/>
    </w:r>
    <w:r w:rsidR="00DE093D">
      <w:rPr>
        <w:noProof/>
      </w:rPr>
      <w:t>4</w:t>
    </w:r>
    <w:r>
      <w:fldChar w:fldCharType="end"/>
    </w:r>
  </w:p>
  <w:p w:rsidR="00F67785" w:rsidRDefault="00F677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85" w:rsidRDefault="00F67785">
    <w:pPr>
      <w:pStyle w:val="Piedepgina"/>
      <w:jc w:val="right"/>
    </w:pPr>
    <w:r>
      <w:fldChar w:fldCharType="begin"/>
    </w:r>
    <w:r>
      <w:instrText>PAGE   \* MERGEFORMAT</w:instrText>
    </w:r>
    <w:r>
      <w:fldChar w:fldCharType="separate"/>
    </w:r>
    <w:r w:rsidR="00DE093D">
      <w:rPr>
        <w:noProof/>
      </w:rPr>
      <w:t>1</w:t>
    </w:r>
    <w:r>
      <w:fldChar w:fldCharType="end"/>
    </w:r>
  </w:p>
  <w:p w:rsidR="00F67785" w:rsidRDefault="00F67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E9" w:rsidRDefault="00193EE9">
      <w:r>
        <w:separator/>
      </w:r>
    </w:p>
  </w:footnote>
  <w:footnote w:type="continuationSeparator" w:id="0">
    <w:p w:rsidR="00193EE9" w:rsidRDefault="0019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85" w:rsidRDefault="00F6778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7785" w:rsidRDefault="00F677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85" w:rsidRPr="00107AB5" w:rsidRDefault="00F67785" w:rsidP="00107AB5">
    <w:pPr>
      <w:pStyle w:val="Puesto"/>
      <w:spacing w:line="240" w:lineRule="auto"/>
      <w:jc w:val="both"/>
      <w:rPr>
        <w:rFonts w:ascii="Times New Roman" w:hAnsi="Times New Roman" w:cs="Times New Roman"/>
        <w:b w:val="0"/>
        <w:sz w:val="16"/>
        <w:szCs w:val="16"/>
      </w:rPr>
    </w:pPr>
    <w:r w:rsidRPr="00107AB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07AB5">
      <w:rPr>
        <w:rFonts w:ascii="Times New Roman" w:hAnsi="Times New Roman" w:cs="Times New Roman"/>
        <w:b w:val="0"/>
        <w:sz w:val="16"/>
        <w:szCs w:val="16"/>
      </w:rPr>
      <w:t>66001-31-05-001-2015-00120-01</w:t>
    </w:r>
  </w:p>
  <w:p w:rsidR="00F67785" w:rsidRPr="00107AB5" w:rsidRDefault="00F67785" w:rsidP="00107AB5">
    <w:pPr>
      <w:pStyle w:val="Puesto"/>
      <w:spacing w:line="240" w:lineRule="auto"/>
      <w:jc w:val="both"/>
      <w:rPr>
        <w:rFonts w:ascii="Times New Roman" w:hAnsi="Times New Roman" w:cs="Times New Roman"/>
        <w:b w:val="0"/>
        <w:sz w:val="16"/>
        <w:szCs w:val="16"/>
      </w:rPr>
    </w:pPr>
    <w:r w:rsidRPr="00107AB5">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sidRPr="00107AB5">
      <w:rPr>
        <w:rFonts w:ascii="Times New Roman" w:hAnsi="Times New Roman" w:cs="Times New Roman"/>
        <w:b w:val="0"/>
        <w:sz w:val="16"/>
        <w:szCs w:val="16"/>
      </w:rPr>
      <w:t>Luzceli</w:t>
    </w:r>
    <w:proofErr w:type="spellEnd"/>
    <w:r w:rsidRPr="00107AB5">
      <w:rPr>
        <w:rFonts w:ascii="Times New Roman" w:hAnsi="Times New Roman" w:cs="Times New Roman"/>
        <w:b w:val="0"/>
        <w:sz w:val="16"/>
        <w:szCs w:val="16"/>
      </w:rPr>
      <w:t xml:space="preserve"> Gaviria de Quintero</w:t>
    </w:r>
  </w:p>
  <w:p w:rsidR="00F67785" w:rsidRPr="00107AB5" w:rsidRDefault="00F67785" w:rsidP="00107AB5">
    <w:pPr>
      <w:pStyle w:val="Puesto"/>
      <w:spacing w:line="240" w:lineRule="auto"/>
      <w:jc w:val="both"/>
      <w:rPr>
        <w:rFonts w:ascii="Times New Roman" w:hAnsi="Times New Roman" w:cs="Times New Roman"/>
        <w:b w:val="0"/>
        <w:sz w:val="16"/>
        <w:szCs w:val="16"/>
      </w:rPr>
    </w:pPr>
    <w:r w:rsidRPr="00107AB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07AB5">
      <w:rPr>
        <w:rFonts w:ascii="Times New Roman" w:hAnsi="Times New Roman" w:cs="Times New Roman"/>
        <w:b w:val="0"/>
        <w:sz w:val="16"/>
        <w:szCs w:val="16"/>
      </w:rPr>
      <w:t xml:space="preserve">Colpensiones  </w:t>
    </w:r>
  </w:p>
  <w:p w:rsidR="00F67785" w:rsidRDefault="00F67785"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3767"/>
    <w:rsid w:val="000539D9"/>
    <w:rsid w:val="00056F1F"/>
    <w:rsid w:val="00057644"/>
    <w:rsid w:val="00057E02"/>
    <w:rsid w:val="0006298A"/>
    <w:rsid w:val="00063FBC"/>
    <w:rsid w:val="00065677"/>
    <w:rsid w:val="00065765"/>
    <w:rsid w:val="00065E53"/>
    <w:rsid w:val="00067227"/>
    <w:rsid w:val="0007089E"/>
    <w:rsid w:val="00071C2C"/>
    <w:rsid w:val="00073CDD"/>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3DF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F15"/>
    <w:rsid w:val="00113705"/>
    <w:rsid w:val="00113870"/>
    <w:rsid w:val="001172A8"/>
    <w:rsid w:val="00120A35"/>
    <w:rsid w:val="00122140"/>
    <w:rsid w:val="00122521"/>
    <w:rsid w:val="00123412"/>
    <w:rsid w:val="00123767"/>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3EE9"/>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5D9F"/>
    <w:rsid w:val="0039610D"/>
    <w:rsid w:val="0039694A"/>
    <w:rsid w:val="003A22EF"/>
    <w:rsid w:val="003A2C58"/>
    <w:rsid w:val="003A388F"/>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34C6"/>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5F5"/>
    <w:rsid w:val="00545B55"/>
    <w:rsid w:val="00546BE0"/>
    <w:rsid w:val="00547C05"/>
    <w:rsid w:val="00550451"/>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441"/>
    <w:rsid w:val="005627E3"/>
    <w:rsid w:val="00563866"/>
    <w:rsid w:val="00563FC0"/>
    <w:rsid w:val="005649CC"/>
    <w:rsid w:val="005651AD"/>
    <w:rsid w:val="00566226"/>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663"/>
    <w:rsid w:val="005E3C0D"/>
    <w:rsid w:val="005E4725"/>
    <w:rsid w:val="005E4884"/>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3B91"/>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F66"/>
    <w:rsid w:val="006D435F"/>
    <w:rsid w:val="006D4CFE"/>
    <w:rsid w:val="006D5A43"/>
    <w:rsid w:val="006D5FD1"/>
    <w:rsid w:val="006D6152"/>
    <w:rsid w:val="006D6FA1"/>
    <w:rsid w:val="006D791C"/>
    <w:rsid w:val="006E057B"/>
    <w:rsid w:val="006E0CD7"/>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7F9"/>
    <w:rsid w:val="00802C6C"/>
    <w:rsid w:val="008038DC"/>
    <w:rsid w:val="008040B7"/>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DE7"/>
    <w:rsid w:val="00891F2A"/>
    <w:rsid w:val="00892D38"/>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2A37"/>
    <w:rsid w:val="009035E7"/>
    <w:rsid w:val="00903C8D"/>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406A"/>
    <w:rsid w:val="00955200"/>
    <w:rsid w:val="00955A0D"/>
    <w:rsid w:val="00955D06"/>
    <w:rsid w:val="00957838"/>
    <w:rsid w:val="00957889"/>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450E"/>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1C94"/>
    <w:rsid w:val="00AF2A41"/>
    <w:rsid w:val="00AF31B3"/>
    <w:rsid w:val="00AF327B"/>
    <w:rsid w:val="00AF411A"/>
    <w:rsid w:val="00AF6507"/>
    <w:rsid w:val="00AF6802"/>
    <w:rsid w:val="00AF702B"/>
    <w:rsid w:val="00B00484"/>
    <w:rsid w:val="00B00D85"/>
    <w:rsid w:val="00B02250"/>
    <w:rsid w:val="00B0358A"/>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22AD"/>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75BD"/>
    <w:rsid w:val="00B90554"/>
    <w:rsid w:val="00B929BA"/>
    <w:rsid w:val="00B931B7"/>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1B34"/>
    <w:rsid w:val="00BA2038"/>
    <w:rsid w:val="00BA280A"/>
    <w:rsid w:val="00BA35EF"/>
    <w:rsid w:val="00BA36D7"/>
    <w:rsid w:val="00BA3B10"/>
    <w:rsid w:val="00BA3D41"/>
    <w:rsid w:val="00BA4196"/>
    <w:rsid w:val="00BA5060"/>
    <w:rsid w:val="00BA62A0"/>
    <w:rsid w:val="00BA6DBA"/>
    <w:rsid w:val="00BA75E4"/>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7DF0"/>
    <w:rsid w:val="00D50D0C"/>
    <w:rsid w:val="00D5110D"/>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D98"/>
    <w:rsid w:val="00DE093D"/>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76A8"/>
    <w:rsid w:val="00E37778"/>
    <w:rsid w:val="00E40FBC"/>
    <w:rsid w:val="00E41882"/>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FB1"/>
    <w:rsid w:val="00E604E2"/>
    <w:rsid w:val="00E60A07"/>
    <w:rsid w:val="00E61120"/>
    <w:rsid w:val="00E61862"/>
    <w:rsid w:val="00E61E3D"/>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6E4"/>
    <w:rsid w:val="00EA3EDD"/>
    <w:rsid w:val="00EA3EFB"/>
    <w:rsid w:val="00EA47A3"/>
    <w:rsid w:val="00EA5395"/>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731"/>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8C9"/>
    <w:rsid w:val="00FE1B93"/>
    <w:rsid w:val="00FE2152"/>
    <w:rsid w:val="00FE2CCF"/>
    <w:rsid w:val="00FE3BA0"/>
    <w:rsid w:val="00FE49E5"/>
    <w:rsid w:val="00FE4A5D"/>
    <w:rsid w:val="00FE4AE7"/>
    <w:rsid w:val="00FE6CC2"/>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5212-85D9-4FCA-BD73-521FD867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5872</TotalTime>
  <Pages>4</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87</cp:revision>
  <cp:lastPrinted>2017-10-12T15:46:00Z</cp:lastPrinted>
  <dcterms:created xsi:type="dcterms:W3CDTF">2016-08-26T00:07:00Z</dcterms:created>
  <dcterms:modified xsi:type="dcterms:W3CDTF">2017-10-20T20:32:00Z</dcterms:modified>
  <cp:category>Sala Laboral Tribunal Superior de Periera</cp:category>
</cp:coreProperties>
</file>