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73BF7" w:rsidRDefault="00C73BF7" w:rsidP="00C73BF7">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C73BF7" w:rsidRPr="00E756E4" w:rsidRDefault="00C73BF7" w:rsidP="00C73BF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C73BF7" w:rsidRDefault="00C73BF7" w:rsidP="00095469">
      <w:pPr>
        <w:pStyle w:val="Titre"/>
        <w:spacing w:line="240" w:lineRule="auto"/>
        <w:jc w:val="both"/>
        <w:rPr>
          <w:rFonts w:ascii="Tahoma" w:hAnsi="Tahoma" w:cs="Tahoma"/>
          <w:sz w:val="18"/>
          <w:szCs w:val="18"/>
          <w:lang w:val="es-CO"/>
        </w:rPr>
      </w:pPr>
    </w:p>
    <w:p w:rsidR="00C73BF7" w:rsidRPr="00095469" w:rsidRDefault="00C73BF7" w:rsidP="00C73BF7">
      <w:pPr>
        <w:pStyle w:val="Titre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C73BF7" w:rsidRDefault="00C73BF7" w:rsidP="00095469">
      <w:pPr>
        <w:pStyle w:val="Titre"/>
        <w:spacing w:line="240" w:lineRule="auto"/>
        <w:jc w:val="both"/>
        <w:rPr>
          <w:rFonts w:ascii="Tahoma" w:hAnsi="Tahoma" w:cs="Tahoma"/>
          <w:sz w:val="18"/>
          <w:szCs w:val="18"/>
          <w:lang w:val="es-CO"/>
        </w:rPr>
      </w:pPr>
    </w:p>
    <w:p w:rsidR="00C73BF7" w:rsidRPr="00095469" w:rsidRDefault="00C73BF7" w:rsidP="00C73BF7">
      <w:pPr>
        <w:pStyle w:val="Titre"/>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C73BF7" w:rsidRDefault="00C73BF7" w:rsidP="00095469">
      <w:pPr>
        <w:pStyle w:val="Titre"/>
        <w:spacing w:line="240" w:lineRule="auto"/>
        <w:jc w:val="both"/>
        <w:rPr>
          <w:rFonts w:ascii="Tahoma" w:hAnsi="Tahoma" w:cs="Tahoma"/>
          <w:sz w:val="18"/>
          <w:szCs w:val="18"/>
        </w:rPr>
      </w:pP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E13A2">
        <w:rPr>
          <w:rFonts w:ascii="Tahoma" w:hAnsi="Tahoma" w:cs="Tahoma"/>
          <w:b w:val="0"/>
          <w:sz w:val="18"/>
          <w:szCs w:val="18"/>
        </w:rPr>
        <w:t>Auto</w:t>
      </w:r>
      <w:r w:rsidRPr="00095469">
        <w:rPr>
          <w:rFonts w:ascii="Tahoma" w:hAnsi="Tahoma" w:cs="Tahoma"/>
          <w:b w:val="0"/>
          <w:sz w:val="18"/>
          <w:szCs w:val="18"/>
        </w:rPr>
        <w:t xml:space="preserve"> del </w:t>
      </w:r>
      <w:r w:rsidR="00525C7B">
        <w:rPr>
          <w:rFonts w:ascii="Tahoma" w:hAnsi="Tahoma" w:cs="Tahoma"/>
          <w:b w:val="0"/>
          <w:sz w:val="18"/>
          <w:szCs w:val="18"/>
        </w:rPr>
        <w:t>14</w:t>
      </w:r>
      <w:r>
        <w:rPr>
          <w:rFonts w:ascii="Tahoma" w:hAnsi="Tahoma" w:cs="Tahoma"/>
          <w:b w:val="0"/>
          <w:sz w:val="18"/>
          <w:szCs w:val="18"/>
        </w:rPr>
        <w:t xml:space="preserve"> de </w:t>
      </w:r>
      <w:r w:rsidR="00525C7B">
        <w:rPr>
          <w:rFonts w:ascii="Tahoma" w:hAnsi="Tahoma" w:cs="Tahoma"/>
          <w:b w:val="0"/>
          <w:sz w:val="18"/>
          <w:szCs w:val="18"/>
        </w:rPr>
        <w:t xml:space="preserve">noviembre </w:t>
      </w:r>
      <w:r w:rsidRPr="00095469">
        <w:rPr>
          <w:rFonts w:ascii="Tahoma" w:hAnsi="Tahoma" w:cs="Tahoma"/>
          <w:b w:val="0"/>
          <w:sz w:val="18"/>
          <w:szCs w:val="18"/>
        </w:rPr>
        <w:t>de 2017</w:t>
      </w:r>
    </w:p>
    <w:p w:rsidR="00095469" w:rsidRPr="00095469" w:rsidRDefault="00095469" w:rsidP="00095469">
      <w:pPr>
        <w:pStyle w:val="Titre"/>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525C7B">
        <w:rPr>
          <w:rFonts w:ascii="Tahoma" w:hAnsi="Tahoma" w:cs="Tahoma"/>
          <w:b w:val="0"/>
          <w:sz w:val="18"/>
          <w:szCs w:val="18"/>
        </w:rPr>
        <w:t>5</w:t>
      </w:r>
      <w:r w:rsidRPr="00095469">
        <w:rPr>
          <w:rFonts w:ascii="Tahoma" w:hAnsi="Tahoma" w:cs="Tahoma"/>
          <w:b w:val="0"/>
          <w:sz w:val="18"/>
          <w:szCs w:val="18"/>
        </w:rPr>
        <w:t>-201</w:t>
      </w:r>
      <w:r w:rsidR="00525C7B">
        <w:rPr>
          <w:rFonts w:ascii="Tahoma" w:hAnsi="Tahoma" w:cs="Tahoma"/>
          <w:b w:val="0"/>
          <w:sz w:val="18"/>
          <w:szCs w:val="18"/>
        </w:rPr>
        <w:t>7</w:t>
      </w:r>
      <w:r w:rsidRPr="00095469">
        <w:rPr>
          <w:rFonts w:ascii="Tahoma" w:hAnsi="Tahoma" w:cs="Tahoma"/>
          <w:b w:val="0"/>
          <w:sz w:val="18"/>
          <w:szCs w:val="18"/>
        </w:rPr>
        <w:t>-00</w:t>
      </w:r>
      <w:r>
        <w:rPr>
          <w:rFonts w:ascii="Tahoma" w:hAnsi="Tahoma" w:cs="Tahoma"/>
          <w:b w:val="0"/>
          <w:sz w:val="18"/>
          <w:szCs w:val="18"/>
        </w:rPr>
        <w:t>0</w:t>
      </w:r>
      <w:r w:rsidR="00525C7B">
        <w:rPr>
          <w:rFonts w:ascii="Tahoma" w:hAnsi="Tahoma" w:cs="Tahoma"/>
          <w:b w:val="0"/>
          <w:sz w:val="18"/>
          <w:szCs w:val="18"/>
        </w:rPr>
        <w:t>90</w:t>
      </w:r>
      <w:r w:rsidRPr="00095469">
        <w:rPr>
          <w:rFonts w:ascii="Tahoma" w:hAnsi="Tahoma" w:cs="Tahoma"/>
          <w:b w:val="0"/>
          <w:sz w:val="18"/>
          <w:szCs w:val="18"/>
        </w:rPr>
        <w:t>-01</w:t>
      </w: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525C7B">
        <w:rPr>
          <w:rFonts w:ascii="Tahoma" w:hAnsi="Tahoma" w:cs="Tahoma"/>
          <w:b w:val="0"/>
          <w:sz w:val="18"/>
          <w:szCs w:val="18"/>
        </w:rPr>
        <w:t xml:space="preserve">Juvenal Pareja Gutiérrez </w:t>
      </w:r>
      <w:r w:rsidR="00F16032">
        <w:rPr>
          <w:rFonts w:ascii="Tahoma" w:hAnsi="Tahoma" w:cs="Tahoma"/>
          <w:b w:val="0"/>
          <w:sz w:val="18"/>
          <w:szCs w:val="18"/>
        </w:rPr>
        <w:t xml:space="preserve"> </w:t>
      </w:r>
    </w:p>
    <w:p w:rsidR="00095469" w:rsidRPr="00095469" w:rsidRDefault="00095469" w:rsidP="00095469">
      <w:pPr>
        <w:pStyle w:val="Titre"/>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Magistrad</w:t>
      </w:r>
      <w:r w:rsidR="00525C7B">
        <w:rPr>
          <w:rFonts w:ascii="Tahoma" w:hAnsi="Tahoma" w:cs="Tahoma"/>
          <w:sz w:val="18"/>
          <w:szCs w:val="18"/>
        </w:rPr>
        <w:t>a</w:t>
      </w:r>
      <w:r w:rsidRPr="00095469">
        <w:rPr>
          <w:rFonts w:ascii="Tahoma" w:hAnsi="Tahoma" w:cs="Tahoma"/>
          <w:sz w:val="18"/>
          <w:szCs w:val="18"/>
        </w:rPr>
        <w:t xml:space="preserve"> Ponente:</w:t>
      </w:r>
      <w:r w:rsidRPr="00095469">
        <w:rPr>
          <w:rFonts w:ascii="Tahoma" w:hAnsi="Tahoma" w:cs="Tahoma"/>
          <w:b w:val="0"/>
          <w:sz w:val="18"/>
          <w:szCs w:val="18"/>
        </w:rPr>
        <w:tab/>
      </w:r>
      <w:r w:rsidRPr="00095469">
        <w:rPr>
          <w:rFonts w:ascii="Tahoma" w:hAnsi="Tahoma" w:cs="Tahoma"/>
          <w:b w:val="0"/>
          <w:sz w:val="18"/>
          <w:szCs w:val="18"/>
        </w:rPr>
        <w:tab/>
        <w:t>Dr</w:t>
      </w:r>
      <w:r w:rsidR="00525C7B">
        <w:rPr>
          <w:rFonts w:ascii="Tahoma" w:hAnsi="Tahoma" w:cs="Tahoma"/>
          <w:b w:val="0"/>
          <w:sz w:val="18"/>
          <w:szCs w:val="18"/>
        </w:rPr>
        <w:t>a</w:t>
      </w:r>
      <w:r w:rsidRPr="00095469">
        <w:rPr>
          <w:rFonts w:ascii="Tahoma" w:hAnsi="Tahoma" w:cs="Tahoma"/>
          <w:b w:val="0"/>
          <w:sz w:val="18"/>
          <w:szCs w:val="18"/>
        </w:rPr>
        <w:t xml:space="preserve">. </w:t>
      </w:r>
      <w:r w:rsidR="00525C7B">
        <w:rPr>
          <w:rFonts w:ascii="Tahoma" w:hAnsi="Tahoma" w:cs="Tahoma"/>
          <w:b w:val="0"/>
          <w:sz w:val="18"/>
          <w:szCs w:val="18"/>
        </w:rPr>
        <w:t xml:space="preserve">Olga Lucía Hoyos Sepúlveda </w:t>
      </w:r>
    </w:p>
    <w:p w:rsidR="00095469" w:rsidRPr="00095469" w:rsidRDefault="00095469" w:rsidP="00095469">
      <w:pPr>
        <w:pStyle w:val="Titre"/>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095469" w:rsidRPr="00095469" w:rsidRDefault="00095469" w:rsidP="00095469">
      <w:pPr>
        <w:pStyle w:val="Titre"/>
        <w:spacing w:line="240" w:lineRule="auto"/>
        <w:ind w:left="2835"/>
        <w:jc w:val="both"/>
        <w:rPr>
          <w:rFonts w:ascii="Tahoma" w:hAnsi="Tahoma" w:cs="Tahoma"/>
          <w:b w:val="0"/>
          <w:sz w:val="18"/>
          <w:szCs w:val="18"/>
        </w:rPr>
      </w:pPr>
      <w:r w:rsidRPr="00095469">
        <w:rPr>
          <w:rFonts w:ascii="Tahoma" w:hAnsi="Tahoma" w:cs="Tahoma"/>
          <w:sz w:val="18"/>
          <w:szCs w:val="18"/>
          <w:u w:val="single"/>
        </w:rPr>
        <w:t>Imprescriptibilidad del derecho al incremento pensional</w:t>
      </w:r>
      <w:r w:rsidRPr="00095469">
        <w:rPr>
          <w:rFonts w:ascii="Tahoma" w:hAnsi="Tahoma" w:cs="Tahoma"/>
          <w:sz w:val="18"/>
          <w:szCs w:val="18"/>
        </w:rPr>
        <w:t xml:space="preserve">: </w:t>
      </w:r>
      <w:r w:rsidRPr="00095469">
        <w:rPr>
          <w:rFonts w:ascii="Tahoma" w:hAnsi="Tahoma" w:cs="Tahoma"/>
          <w:b w:val="0"/>
          <w:sz w:val="18"/>
          <w:szCs w:val="18"/>
        </w:rPr>
        <w:t>Esta</w:t>
      </w:r>
      <w:r w:rsidRPr="00095469">
        <w:rPr>
          <w:rFonts w:ascii="Tahoma" w:hAnsi="Tahoma" w:cs="Tahoma"/>
          <w:b w:val="0"/>
          <w:bCs/>
          <w:sz w:val="18"/>
          <w:szCs w:val="18"/>
        </w:rPr>
        <w:t xml:space="preserve"> Magistrada acoge el precedente sentado por la Corte Constitucional y, en adelante, tendrá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pStyle w:val="Titre"/>
        <w:spacing w:line="240" w:lineRule="auto"/>
        <w:ind w:left="2835"/>
        <w:jc w:val="both"/>
        <w:rPr>
          <w:rFonts w:ascii="Tahoma" w:hAnsi="Tahoma" w:cs="Tahoma"/>
          <w:sz w:val="18"/>
          <w:szCs w:val="18"/>
          <w:u w:val="single"/>
        </w:rPr>
      </w:pPr>
    </w:p>
    <w:p w:rsidR="00095469" w:rsidRPr="00095469" w:rsidRDefault="00095469" w:rsidP="00095469">
      <w:pPr>
        <w:pStyle w:val="Titre"/>
        <w:spacing w:line="240" w:lineRule="auto"/>
        <w:ind w:left="2835"/>
        <w:jc w:val="both"/>
        <w:rPr>
          <w:rFonts w:ascii="Tahoma" w:hAnsi="Tahoma" w:cs="Tahoma"/>
          <w:b w:val="0"/>
          <w:bCs/>
          <w:sz w:val="18"/>
          <w:szCs w:val="18"/>
        </w:rPr>
      </w:pPr>
      <w:r w:rsidRPr="00095469">
        <w:rPr>
          <w:rFonts w:ascii="Tahoma" w:hAnsi="Tahoma" w:cs="Tahoma"/>
          <w:sz w:val="18"/>
          <w:szCs w:val="18"/>
          <w:u w:val="single"/>
        </w:rPr>
        <w:t>Incremento pensional:</w:t>
      </w:r>
      <w:r w:rsidRPr="00095469">
        <w:rPr>
          <w:rFonts w:ascii="Tahoma" w:hAnsi="Tahoma" w:cs="Tahoma"/>
          <w:sz w:val="18"/>
          <w:szCs w:val="18"/>
        </w:rPr>
        <w:t xml:space="preserve"> </w:t>
      </w:r>
      <w:r w:rsidRPr="00095469">
        <w:rPr>
          <w:rFonts w:ascii="Tahoma" w:hAnsi="Tahoma" w:cs="Tahoma"/>
          <w:b w:val="0"/>
          <w:sz w:val="18"/>
          <w:szCs w:val="18"/>
        </w:rPr>
        <w:t xml:space="preserve">Por tanto, conforme lo establecido por el artículo 21 del Decreto 758 de 1990, para que surjan a la vida jurídica los incrementos adicionales por el o la cónyuge, es necesario que: i) la pensión de la cual se deriven surja de </w:t>
      </w:r>
      <w:r w:rsidRPr="00095469">
        <w:rPr>
          <w:rFonts w:ascii="Tahoma" w:hAnsi="Tahoma" w:cs="Tahoma"/>
          <w:b w:val="0"/>
          <w:sz w:val="18"/>
          <w:szCs w:val="18"/>
        </w:rPr>
        <w:tab/>
        <w:t>la aplicación del Decreto 758 de 1990; y, ii) que la o el cónyuge no tenga pensión propia y dependa económicamente del pensionado.</w:t>
      </w:r>
    </w:p>
    <w:p w:rsidR="00095469" w:rsidRPr="00095469" w:rsidRDefault="00095469" w:rsidP="00095469">
      <w:pPr>
        <w:pStyle w:val="Titre"/>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095469" w:rsidRDefault="00095469" w:rsidP="00095469">
      <w:pPr>
        <w:ind w:firstLine="851"/>
        <w:jc w:val="both"/>
        <w:rPr>
          <w:rFonts w:ascii="Tahoma" w:hAnsi="Tahoma" w:cs="Tahoma"/>
          <w:sz w:val="20"/>
          <w:szCs w:val="20"/>
        </w:rPr>
      </w:pPr>
      <w:r w:rsidRPr="00095469">
        <w:rPr>
          <w:rFonts w:ascii="Tahoma" w:hAnsi="Tahoma" w:cs="Tahoma"/>
          <w:sz w:val="20"/>
          <w:szCs w:val="20"/>
        </w:rPr>
        <w:t xml:space="preserve">Con mi acostumbrado respeto, manifiesto mi inconformidad frente a la </w:t>
      </w:r>
      <w:r w:rsidR="00525C7B">
        <w:rPr>
          <w:rFonts w:ascii="Tahoma" w:hAnsi="Tahoma" w:cs="Tahoma"/>
          <w:sz w:val="20"/>
          <w:szCs w:val="20"/>
        </w:rPr>
        <w:t>decisión</w:t>
      </w:r>
      <w:r w:rsidRPr="00095469">
        <w:rPr>
          <w:rFonts w:ascii="Tahoma" w:hAnsi="Tahoma" w:cs="Tahoma"/>
          <w:sz w:val="20"/>
          <w:szCs w:val="20"/>
        </w:rPr>
        <w:t xml:space="preserve"> mayoritaria, por cuanto considero que en el presente caso había lugar a reconocer el incremento pensional reclamado por las siguientes razones: </w:t>
      </w:r>
    </w:p>
    <w:p w:rsidR="00095469" w:rsidRPr="00095469" w:rsidRDefault="00095469" w:rsidP="00095469">
      <w:pPr>
        <w:ind w:firstLine="851"/>
        <w:jc w:val="both"/>
        <w:rPr>
          <w:rFonts w:ascii="Tahoma" w:hAnsi="Tahoma" w:cs="Tahoma"/>
          <w:sz w:val="20"/>
          <w:szCs w:val="20"/>
        </w:rPr>
      </w:pPr>
    </w:p>
    <w:p w:rsidR="00095469" w:rsidRPr="00095469" w:rsidRDefault="00095469" w:rsidP="00095469">
      <w:pPr>
        <w:pStyle w:val="Paragraphedeliste"/>
        <w:numPr>
          <w:ilvl w:val="0"/>
          <w:numId w:val="2"/>
        </w:numPr>
        <w:tabs>
          <w:tab w:val="left" w:pos="993"/>
        </w:tabs>
        <w:ind w:hanging="11"/>
        <w:jc w:val="both"/>
        <w:rPr>
          <w:rFonts w:ascii="Tahoma" w:hAnsi="Tahoma" w:cs="Tahoma"/>
          <w:b/>
          <w:sz w:val="20"/>
          <w:szCs w:val="20"/>
        </w:rPr>
      </w:pPr>
      <w:r w:rsidRPr="00095469">
        <w:rPr>
          <w:rFonts w:ascii="Tahoma" w:hAnsi="Tahoma" w:cs="Tahoma"/>
          <w:b/>
          <w:sz w:val="20"/>
          <w:szCs w:val="20"/>
        </w:rPr>
        <w:t>De los incrementos pensionales</w:t>
      </w:r>
    </w:p>
    <w:p w:rsidR="00095469" w:rsidRPr="00095469" w:rsidRDefault="00095469" w:rsidP="00095469">
      <w:pPr>
        <w:pStyle w:val="Sansinterligne"/>
        <w:ind w:firstLine="709"/>
        <w:rPr>
          <w:sz w:val="20"/>
          <w:szCs w:val="20"/>
        </w:rPr>
      </w:pPr>
    </w:p>
    <w:p w:rsidR="00095469" w:rsidRPr="00095469" w:rsidRDefault="00095469" w:rsidP="00095469">
      <w:pPr>
        <w:tabs>
          <w:tab w:val="left" w:pos="748"/>
        </w:tabs>
        <w:ind w:firstLine="709"/>
        <w:jc w:val="both"/>
        <w:rPr>
          <w:rFonts w:ascii="Tahoma" w:hAnsi="Tahoma" w:cs="Tahoma"/>
          <w:bCs/>
          <w:sz w:val="20"/>
          <w:szCs w:val="20"/>
        </w:rPr>
      </w:pPr>
      <w:r w:rsidRPr="00095469">
        <w:rPr>
          <w:rFonts w:ascii="Tahoma" w:hAnsi="Tahoma" w:cs="Tahoma"/>
          <w:bCs/>
          <w:sz w:val="20"/>
          <w:szCs w:val="20"/>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095469">
        <w:rPr>
          <w:rFonts w:ascii="Tahoma" w:hAnsi="Tahoma" w:cs="Tahoma"/>
          <w:bCs/>
          <w:sz w:val="20"/>
          <w:szCs w:val="20"/>
        </w:rPr>
        <w:t>Buelvas</w:t>
      </w:r>
      <w:proofErr w:type="spellEnd"/>
      <w:r w:rsidRPr="00095469">
        <w:rPr>
          <w:rFonts w:ascii="Tahoma" w:hAnsi="Tahoma" w:cs="Tahoma"/>
          <w:bCs/>
          <w:sz w:val="20"/>
          <w:szCs w:val="20"/>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095469" w:rsidRPr="00095469" w:rsidRDefault="00095469" w:rsidP="00095469">
      <w:pPr>
        <w:pStyle w:val="Sansinterligne"/>
        <w:rPr>
          <w:sz w:val="20"/>
          <w:szCs w:val="20"/>
        </w:rPr>
      </w:pPr>
    </w:p>
    <w:p w:rsidR="00095469" w:rsidRPr="00095469" w:rsidRDefault="00095469" w:rsidP="00095469">
      <w:pPr>
        <w:tabs>
          <w:tab w:val="left" w:pos="748"/>
        </w:tabs>
        <w:ind w:firstLine="709"/>
        <w:jc w:val="both"/>
        <w:rPr>
          <w:rFonts w:ascii="Tahoma" w:hAnsi="Tahoma" w:cs="Tahoma"/>
          <w:bCs/>
          <w:sz w:val="20"/>
          <w:szCs w:val="20"/>
        </w:rPr>
      </w:pPr>
      <w:r w:rsidRPr="00095469">
        <w:rPr>
          <w:rFonts w:ascii="Tahoma" w:hAnsi="Tahoma" w:cs="Tahoma"/>
          <w:bCs/>
          <w:sz w:val="20"/>
          <w:szCs w:val="20"/>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095469" w:rsidRPr="00095469" w:rsidRDefault="00095469" w:rsidP="00095469">
      <w:pPr>
        <w:pStyle w:val="Corpsdetexte"/>
        <w:ind w:left="1080" w:right="51"/>
        <w:rPr>
          <w:rFonts w:ascii="Tahoma" w:hAnsi="Tahoma" w:cs="Tahoma"/>
          <w:b/>
          <w:sz w:val="20"/>
          <w:szCs w:val="20"/>
        </w:rPr>
      </w:pPr>
    </w:p>
    <w:p w:rsidR="00095469" w:rsidRPr="00095469" w:rsidRDefault="00095469" w:rsidP="00095469">
      <w:pPr>
        <w:pStyle w:val="Corpsdetexte"/>
        <w:numPr>
          <w:ilvl w:val="1"/>
          <w:numId w:val="1"/>
        </w:numPr>
        <w:autoSpaceDE/>
        <w:autoSpaceDN/>
        <w:adjustRightInd/>
        <w:ind w:right="51" w:hanging="371"/>
        <w:rPr>
          <w:rFonts w:ascii="Tahoma" w:hAnsi="Tahoma" w:cs="Tahoma"/>
          <w:b/>
          <w:sz w:val="20"/>
          <w:szCs w:val="20"/>
        </w:rPr>
      </w:pPr>
      <w:r w:rsidRPr="00095469">
        <w:rPr>
          <w:rFonts w:ascii="Tahoma" w:hAnsi="Tahoma" w:cs="Tahoma"/>
          <w:b/>
          <w:sz w:val="20"/>
          <w:szCs w:val="20"/>
        </w:rPr>
        <w:t>De la imprescriptibilidad del derecho al incremento pensional</w:t>
      </w:r>
    </w:p>
    <w:p w:rsidR="00095469" w:rsidRPr="00095469" w:rsidRDefault="00095469" w:rsidP="00095469">
      <w:pPr>
        <w:pStyle w:val="Corpsdetexte"/>
        <w:ind w:left="1080" w:right="51"/>
        <w:rPr>
          <w:rFonts w:ascii="Tahoma" w:hAnsi="Tahoma" w:cs="Tahoma"/>
          <w:b/>
          <w:sz w:val="20"/>
          <w:szCs w:val="20"/>
        </w:rPr>
      </w:pPr>
    </w:p>
    <w:p w:rsidR="00095469" w:rsidRPr="00095469" w:rsidRDefault="00095469" w:rsidP="00095469">
      <w:pPr>
        <w:tabs>
          <w:tab w:val="left" w:pos="748"/>
        </w:tabs>
        <w:ind w:firstLine="709"/>
        <w:jc w:val="both"/>
        <w:rPr>
          <w:rFonts w:ascii="Tahoma" w:hAnsi="Tahoma" w:cs="Tahoma"/>
          <w:sz w:val="20"/>
          <w:szCs w:val="20"/>
        </w:rPr>
      </w:pPr>
      <w:r w:rsidRPr="00095469">
        <w:rPr>
          <w:rFonts w:ascii="Tahoma" w:hAnsi="Tahoma" w:cs="Tahoma"/>
          <w:sz w:val="20"/>
          <w:szCs w:val="20"/>
        </w:rPr>
        <w:t xml:space="preserve">Esta Sala </w:t>
      </w:r>
      <w:r w:rsidRPr="00095469">
        <w:rPr>
          <w:rFonts w:ascii="Tahoma" w:hAnsi="Tahoma" w:cs="Tahoma"/>
          <w:bCs/>
          <w:sz w:val="20"/>
          <w:szCs w:val="20"/>
        </w:rPr>
        <w:t>venía</w:t>
      </w:r>
      <w:r w:rsidRPr="00095469">
        <w:rPr>
          <w:rFonts w:ascii="Tahoma" w:hAnsi="Tahoma" w:cs="Tahoma"/>
          <w:sz w:val="20"/>
          <w:szCs w:val="20"/>
        </w:rPr>
        <w:t xml:space="preserve"> sosteniendo de tiempo atrás que la persona pensionada bajo los parámetros del Acuerdo 049 de 1990 contaba con tres años a partir del reconocimiento de la pensión para solicitar el incremento pensional por persona a cargo, so pena de que su derecho a percibirlo prescribiera.</w:t>
      </w:r>
    </w:p>
    <w:p w:rsidR="00095469" w:rsidRPr="00095469" w:rsidRDefault="00095469" w:rsidP="00095469">
      <w:pPr>
        <w:pStyle w:val="Sansinterligne"/>
        <w:rPr>
          <w:sz w:val="20"/>
          <w:szCs w:val="20"/>
        </w:rPr>
      </w:pPr>
    </w:p>
    <w:p w:rsidR="00095469" w:rsidRPr="00095469" w:rsidRDefault="00095469" w:rsidP="00095469">
      <w:pPr>
        <w:tabs>
          <w:tab w:val="left" w:pos="748"/>
        </w:tabs>
        <w:ind w:firstLine="709"/>
        <w:jc w:val="both"/>
        <w:rPr>
          <w:rFonts w:ascii="Tahoma" w:hAnsi="Tahoma" w:cs="Tahoma"/>
          <w:sz w:val="20"/>
          <w:szCs w:val="20"/>
        </w:rPr>
      </w:pPr>
      <w:r w:rsidRPr="00095469">
        <w:rPr>
          <w:rFonts w:ascii="Tahoma" w:hAnsi="Tahoma" w:cs="Tahoma"/>
          <w:sz w:val="20"/>
          <w:szCs w:val="20"/>
        </w:rPr>
        <w:t xml:space="preserve">No obstante, la Corte Constitucional en la sentencia T-369 de 2015, al estudiar la </w:t>
      </w:r>
      <w:proofErr w:type="spellStart"/>
      <w:r w:rsidRPr="00095469">
        <w:rPr>
          <w:rFonts w:ascii="Tahoma" w:hAnsi="Tahoma" w:cs="Tahoma"/>
          <w:sz w:val="20"/>
          <w:szCs w:val="20"/>
        </w:rPr>
        <w:t>prescriptibilidad</w:t>
      </w:r>
      <w:proofErr w:type="spellEnd"/>
      <w:r w:rsidRPr="00095469">
        <w:rPr>
          <w:rFonts w:ascii="Tahoma" w:hAnsi="Tahoma" w:cs="Tahoma"/>
          <w:sz w:val="20"/>
          <w:szCs w:val="20"/>
        </w:rPr>
        <w:t xml:space="preserve"> del incremento pensional, realizó un recuento de las posturas que sobre el reconocimiento del mismo se han mantenido por la jurisprudencia nacional, encontrando necesario armonizar ambas posturas de acuerdo al principio de favorabilidad, rector en materia laboral. De esta manera, se pronunció el Alto Tribunal:</w:t>
      </w:r>
    </w:p>
    <w:p w:rsidR="00095469" w:rsidRPr="00095469" w:rsidRDefault="00095469" w:rsidP="00095469">
      <w:pPr>
        <w:pStyle w:val="Sansinterligne"/>
        <w:rPr>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firstLine="709"/>
        <w:jc w:val="both"/>
        <w:rPr>
          <w:rFonts w:ascii="Tahoma" w:hAnsi="Tahoma" w:cs="Tahoma"/>
          <w:sz w:val="20"/>
          <w:szCs w:val="20"/>
        </w:rPr>
      </w:pPr>
      <w:r w:rsidRPr="00095469">
        <w:rPr>
          <w:rFonts w:ascii="Tahoma" w:hAnsi="Tahoma" w:cs="Tahoma"/>
          <w:sz w:val="20"/>
          <w:szCs w:val="20"/>
        </w:rPr>
        <w:lastRenderedPageBreak/>
        <w:t>Como sustento de su decisión de apartarse de la interpretación sostenida por el órgano de cierre de la jurisdicción ordinaria, y así tener por imprescriptible el derecho al incremento pensional, afirmó:</w:t>
      </w:r>
    </w:p>
    <w:p w:rsidR="00095469" w:rsidRPr="00095469" w:rsidRDefault="00095469" w:rsidP="00095469">
      <w:pPr>
        <w:tabs>
          <w:tab w:val="left" w:pos="748"/>
        </w:tabs>
        <w:ind w:firstLine="709"/>
        <w:jc w:val="both"/>
        <w:rPr>
          <w:rFonts w:ascii="Tahoma" w:hAnsi="Tahoma" w:cs="Tahoma"/>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left="709"/>
        <w:jc w:val="both"/>
        <w:rPr>
          <w:rFonts w:ascii="Arial Narrow" w:hAnsi="Arial Narrow" w:cs="Tahoma"/>
          <w:i/>
          <w:sz w:val="20"/>
          <w:szCs w:val="20"/>
        </w:rPr>
      </w:pPr>
      <w:r w:rsidRPr="00095469">
        <w:rPr>
          <w:rFonts w:ascii="Arial Narrow" w:hAnsi="Arial Narrow" w:cs="Tahoma"/>
          <w:i/>
          <w:sz w:val="20"/>
          <w:szCs w:val="20"/>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095469" w:rsidRPr="00095469" w:rsidRDefault="00095469" w:rsidP="00095469">
      <w:pPr>
        <w:tabs>
          <w:tab w:val="left" w:pos="748"/>
        </w:tabs>
        <w:ind w:left="709"/>
        <w:jc w:val="both"/>
        <w:rPr>
          <w:rFonts w:ascii="Arial Narrow" w:hAnsi="Arial Narrow" w:cs="Tahoma"/>
          <w:i/>
          <w:sz w:val="20"/>
          <w:szCs w:val="20"/>
        </w:rPr>
      </w:pPr>
    </w:p>
    <w:p w:rsidR="00095469" w:rsidRPr="00095469" w:rsidRDefault="00095469" w:rsidP="00095469">
      <w:pPr>
        <w:tabs>
          <w:tab w:val="left" w:pos="748"/>
        </w:tabs>
        <w:ind w:firstLine="709"/>
        <w:jc w:val="both"/>
        <w:rPr>
          <w:rFonts w:ascii="Tahoma" w:hAnsi="Tahoma" w:cs="Tahoma"/>
          <w:bCs/>
          <w:sz w:val="20"/>
          <w:szCs w:val="20"/>
        </w:rPr>
      </w:pPr>
      <w:r w:rsidRPr="00095469">
        <w:rPr>
          <w:rFonts w:ascii="Tahoma" w:hAnsi="Tahoma" w:cs="Tahoma"/>
          <w:bCs/>
          <w:sz w:val="20"/>
          <w:szCs w:val="20"/>
        </w:rPr>
        <w:t xml:space="preserve">La suscrita Magistrada acogió el precedente sentado por la Corte Constitucional y, consecuencialmente, tiene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tabs>
          <w:tab w:val="left" w:pos="748"/>
        </w:tabs>
        <w:ind w:firstLine="709"/>
        <w:jc w:val="both"/>
        <w:rPr>
          <w:rFonts w:ascii="Tahoma" w:hAnsi="Tahoma" w:cs="Tahoma"/>
          <w:sz w:val="20"/>
          <w:szCs w:val="20"/>
        </w:rPr>
      </w:pPr>
    </w:p>
    <w:p w:rsidR="00095469" w:rsidRPr="00095469" w:rsidRDefault="00095469" w:rsidP="00095469">
      <w:pPr>
        <w:pStyle w:val="Corpsdetexte"/>
        <w:autoSpaceDE/>
        <w:autoSpaceDN/>
        <w:adjustRightInd/>
        <w:ind w:left="709" w:right="51"/>
        <w:rPr>
          <w:rFonts w:ascii="Tahoma" w:hAnsi="Tahoma" w:cs="Tahoma"/>
          <w:b/>
          <w:sz w:val="20"/>
          <w:szCs w:val="20"/>
        </w:rPr>
      </w:pPr>
      <w:r w:rsidRPr="00095469">
        <w:rPr>
          <w:rFonts w:ascii="Tahoma" w:hAnsi="Tahoma" w:cs="Tahoma"/>
          <w:b/>
          <w:sz w:val="20"/>
          <w:szCs w:val="20"/>
        </w:rPr>
        <w:t>2. Caso concreto</w:t>
      </w:r>
    </w:p>
    <w:p w:rsidR="00095469" w:rsidRPr="00095469" w:rsidRDefault="00095469" w:rsidP="00095469">
      <w:pPr>
        <w:pStyle w:val="Sansinterligne"/>
        <w:rPr>
          <w:sz w:val="20"/>
          <w:szCs w:val="20"/>
        </w:rPr>
      </w:pPr>
    </w:p>
    <w:p w:rsidR="00095469" w:rsidRPr="00095469" w:rsidRDefault="00095469" w:rsidP="005F01A6">
      <w:pPr>
        <w:widowControl w:val="0"/>
        <w:autoSpaceDE w:val="0"/>
        <w:autoSpaceDN w:val="0"/>
        <w:adjustRightInd w:val="0"/>
        <w:ind w:firstLine="709"/>
        <w:jc w:val="both"/>
        <w:rPr>
          <w:rFonts w:ascii="Tahoma" w:hAnsi="Tahoma" w:cs="Tahoma"/>
          <w:sz w:val="20"/>
          <w:szCs w:val="20"/>
        </w:rPr>
      </w:pPr>
      <w:r w:rsidRPr="00095469">
        <w:rPr>
          <w:rFonts w:ascii="Tahoma" w:hAnsi="Tahoma" w:cs="Tahoma"/>
          <w:sz w:val="20"/>
          <w:szCs w:val="20"/>
        </w:rPr>
        <w:t xml:space="preserve">No siendo objeto de controversia en el caso de marras que a través de la Resolución </w:t>
      </w:r>
      <w:r w:rsidR="00BB7A4D">
        <w:rPr>
          <w:rFonts w:ascii="Tahoma" w:hAnsi="Tahoma" w:cs="Tahoma"/>
          <w:sz w:val="20"/>
          <w:szCs w:val="20"/>
        </w:rPr>
        <w:t>00258</w:t>
      </w:r>
      <w:r w:rsidR="00F16032">
        <w:rPr>
          <w:rFonts w:ascii="Tahoma" w:hAnsi="Tahoma" w:cs="Tahoma"/>
          <w:sz w:val="20"/>
          <w:szCs w:val="20"/>
        </w:rPr>
        <w:t xml:space="preserve"> de</w:t>
      </w:r>
      <w:r w:rsidR="00BB7A4D">
        <w:rPr>
          <w:rFonts w:ascii="Tahoma" w:hAnsi="Tahoma" w:cs="Tahoma"/>
          <w:sz w:val="20"/>
          <w:szCs w:val="20"/>
        </w:rPr>
        <w:t xml:space="preserve"> 2000</w:t>
      </w:r>
      <w:r w:rsidRPr="00095469">
        <w:rPr>
          <w:rFonts w:ascii="Tahoma" w:hAnsi="Tahoma" w:cs="Tahoma"/>
          <w:sz w:val="20"/>
          <w:szCs w:val="20"/>
        </w:rPr>
        <w:t xml:space="preserve"> el entonces I.S.S. concedió al señor </w:t>
      </w:r>
      <w:r w:rsidR="00BB7A4D">
        <w:rPr>
          <w:rFonts w:ascii="Tahoma" w:hAnsi="Tahoma" w:cs="Tahoma"/>
          <w:sz w:val="20"/>
          <w:szCs w:val="20"/>
        </w:rPr>
        <w:t xml:space="preserve">Juvenal Pareja </w:t>
      </w:r>
      <w:r w:rsidRPr="00095469">
        <w:rPr>
          <w:rFonts w:ascii="Tahoma" w:hAnsi="Tahoma" w:cs="Tahoma"/>
          <w:sz w:val="20"/>
          <w:szCs w:val="20"/>
        </w:rPr>
        <w:t xml:space="preserve">la pensión de vejez a partir del </w:t>
      </w:r>
      <w:r w:rsidR="00F16032">
        <w:rPr>
          <w:rFonts w:ascii="Tahoma" w:hAnsi="Tahoma" w:cs="Tahoma"/>
          <w:sz w:val="20"/>
          <w:szCs w:val="20"/>
        </w:rPr>
        <w:t xml:space="preserve">1º de </w:t>
      </w:r>
      <w:r w:rsidR="00242E3A">
        <w:rPr>
          <w:rFonts w:ascii="Tahoma" w:hAnsi="Tahoma" w:cs="Tahoma"/>
          <w:sz w:val="20"/>
          <w:szCs w:val="20"/>
        </w:rPr>
        <w:t>diciembre</w:t>
      </w:r>
      <w:r w:rsidR="00F16032">
        <w:rPr>
          <w:rFonts w:ascii="Tahoma" w:hAnsi="Tahoma" w:cs="Tahoma"/>
          <w:sz w:val="20"/>
          <w:szCs w:val="20"/>
        </w:rPr>
        <w:t xml:space="preserve"> del mismo año</w:t>
      </w:r>
      <w:r w:rsidRPr="00095469">
        <w:rPr>
          <w:rFonts w:ascii="Tahoma" w:hAnsi="Tahoma" w:cs="Tahoma"/>
          <w:sz w:val="20"/>
          <w:szCs w:val="20"/>
        </w:rPr>
        <w:t>, con fundamento en el Decreto 758 de 1990</w:t>
      </w:r>
      <w:r w:rsidR="00F16032">
        <w:rPr>
          <w:rFonts w:ascii="Tahoma" w:hAnsi="Tahoma" w:cs="Tahoma"/>
          <w:sz w:val="20"/>
          <w:szCs w:val="20"/>
        </w:rPr>
        <w:t>,</w:t>
      </w:r>
      <w:r w:rsidR="00F16032" w:rsidRPr="00F16032">
        <w:rPr>
          <w:rFonts w:ascii="Tahoma" w:hAnsi="Tahoma" w:cs="Tahoma"/>
          <w:bCs/>
          <w:sz w:val="20"/>
          <w:szCs w:val="20"/>
        </w:rPr>
        <w:t xml:space="preserve"> </w:t>
      </w:r>
      <w:r w:rsidR="00F16032" w:rsidRPr="00386451">
        <w:rPr>
          <w:rFonts w:ascii="Tahoma" w:hAnsi="Tahoma" w:cs="Tahoma"/>
          <w:bCs/>
          <w:sz w:val="20"/>
          <w:szCs w:val="20"/>
        </w:rPr>
        <w:t>normatividad que contempla en su artículo 21 literal b un incremento del 14% en la mesada pensional para aquellos beneficiarios que tienen a cargo a su cónyuge</w:t>
      </w:r>
      <w:r w:rsidR="005F01A6">
        <w:rPr>
          <w:rFonts w:ascii="Tahoma" w:hAnsi="Tahoma" w:cs="Tahoma"/>
          <w:bCs/>
          <w:sz w:val="20"/>
          <w:szCs w:val="20"/>
        </w:rPr>
        <w:t xml:space="preserve">. </w:t>
      </w:r>
    </w:p>
    <w:p w:rsidR="00095469" w:rsidRPr="00095469" w:rsidRDefault="00095469" w:rsidP="00095469">
      <w:pPr>
        <w:ind w:firstLine="708"/>
        <w:jc w:val="both"/>
        <w:rPr>
          <w:rFonts w:ascii="Tahoma" w:hAnsi="Tahoma" w:cs="Tahoma"/>
          <w:sz w:val="20"/>
          <w:szCs w:val="20"/>
        </w:rPr>
      </w:pPr>
    </w:p>
    <w:p w:rsidR="00095469" w:rsidRPr="00095469" w:rsidRDefault="00095469" w:rsidP="00095469">
      <w:pPr>
        <w:ind w:firstLine="708"/>
        <w:jc w:val="both"/>
        <w:rPr>
          <w:rFonts w:ascii="Tahoma" w:hAnsi="Tahoma" w:cs="Tahoma"/>
          <w:sz w:val="20"/>
          <w:szCs w:val="20"/>
        </w:rPr>
      </w:pPr>
      <w:r w:rsidRPr="00095469">
        <w:rPr>
          <w:rFonts w:ascii="Tahoma" w:hAnsi="Tahoma" w:cs="Tahoma"/>
          <w:sz w:val="20"/>
          <w:szCs w:val="20"/>
        </w:rPr>
        <w:t xml:space="preserve">Así las cosas, </w:t>
      </w:r>
      <w:r w:rsidR="00242E3A">
        <w:rPr>
          <w:rFonts w:ascii="Tahoma" w:hAnsi="Tahoma" w:cs="Tahoma"/>
          <w:sz w:val="20"/>
          <w:szCs w:val="20"/>
        </w:rPr>
        <w:t>a</w:t>
      </w:r>
      <w:r w:rsidRPr="00095469">
        <w:rPr>
          <w:rFonts w:ascii="Tahoma" w:hAnsi="Tahoma" w:cs="Tahoma"/>
          <w:sz w:val="20"/>
          <w:szCs w:val="20"/>
        </w:rPr>
        <w:t xml:space="preserve">l demandante </w:t>
      </w:r>
      <w:r w:rsidR="00242E3A">
        <w:rPr>
          <w:rFonts w:ascii="Tahoma" w:hAnsi="Tahoma" w:cs="Tahoma"/>
          <w:sz w:val="20"/>
          <w:szCs w:val="20"/>
        </w:rPr>
        <w:t xml:space="preserve">le restaba </w:t>
      </w:r>
      <w:r w:rsidRPr="00095469">
        <w:rPr>
          <w:rFonts w:ascii="Tahoma" w:hAnsi="Tahoma" w:cs="Tahoma"/>
          <w:sz w:val="20"/>
          <w:szCs w:val="20"/>
        </w:rPr>
        <w:t>acredit</w:t>
      </w:r>
      <w:r w:rsidR="00242E3A">
        <w:rPr>
          <w:rFonts w:ascii="Tahoma" w:hAnsi="Tahoma" w:cs="Tahoma"/>
          <w:sz w:val="20"/>
          <w:szCs w:val="20"/>
        </w:rPr>
        <w:t>ar dentro del proceso que su cónyuge, señora Aura Libia Aria Romero, dependía económicamente de él</w:t>
      </w:r>
      <w:r w:rsidRPr="00095469">
        <w:rPr>
          <w:rFonts w:ascii="Tahoma" w:hAnsi="Tahoma" w:cs="Tahoma"/>
          <w:sz w:val="20"/>
          <w:szCs w:val="20"/>
        </w:rPr>
        <w:t xml:space="preserve">, </w:t>
      </w:r>
      <w:r w:rsidR="00242E3A">
        <w:rPr>
          <w:rFonts w:ascii="Tahoma" w:hAnsi="Tahoma" w:cs="Tahoma"/>
          <w:sz w:val="20"/>
          <w:szCs w:val="20"/>
        </w:rPr>
        <w:t xml:space="preserve">a efectos de determinar si tenía el </w:t>
      </w:r>
      <w:r w:rsidRPr="00095469">
        <w:rPr>
          <w:rFonts w:ascii="Tahoma" w:hAnsi="Tahoma" w:cs="Tahoma"/>
          <w:sz w:val="20"/>
          <w:szCs w:val="20"/>
        </w:rPr>
        <w:t>derecho a que Colpensiones le pagara una suma mensual adicional a la mesada pensional equivalente al 14% del salario mínimo legal mensual vigente para cada anualidad</w:t>
      </w:r>
      <w:r w:rsidR="008E13A2">
        <w:rPr>
          <w:rFonts w:ascii="Tahoma" w:hAnsi="Tahoma" w:cs="Tahoma"/>
          <w:sz w:val="20"/>
          <w:szCs w:val="20"/>
        </w:rPr>
        <w:t>.</w:t>
      </w:r>
    </w:p>
    <w:p w:rsidR="00095469" w:rsidRPr="00095469" w:rsidRDefault="00095469" w:rsidP="00095469">
      <w:pPr>
        <w:ind w:firstLine="708"/>
        <w:jc w:val="both"/>
        <w:rPr>
          <w:rFonts w:ascii="Tahoma" w:hAnsi="Tahoma" w:cs="Tahoma"/>
          <w:sz w:val="20"/>
          <w:szCs w:val="20"/>
        </w:rPr>
      </w:pPr>
    </w:p>
    <w:p w:rsidR="00242E3A" w:rsidRPr="00095469" w:rsidRDefault="00095469" w:rsidP="00242E3A">
      <w:pPr>
        <w:jc w:val="both"/>
        <w:rPr>
          <w:rFonts w:ascii="Tahoma" w:hAnsi="Tahoma" w:cs="Tahoma"/>
          <w:sz w:val="20"/>
          <w:szCs w:val="20"/>
        </w:rPr>
      </w:pPr>
      <w:r w:rsidRPr="00095469">
        <w:rPr>
          <w:rFonts w:ascii="Tahoma" w:hAnsi="Tahoma" w:cs="Tahoma"/>
          <w:spacing w:val="-2"/>
          <w:sz w:val="20"/>
          <w:szCs w:val="20"/>
        </w:rPr>
        <w:tab/>
        <w:t xml:space="preserve">En virtud de lo anterior, debió revocarse la </w:t>
      </w:r>
      <w:r w:rsidR="00242E3A">
        <w:rPr>
          <w:rFonts w:ascii="Tahoma" w:hAnsi="Tahoma" w:cs="Tahoma"/>
          <w:spacing w:val="-2"/>
          <w:sz w:val="20"/>
          <w:szCs w:val="20"/>
        </w:rPr>
        <w:t xml:space="preserve">providencia </w:t>
      </w:r>
      <w:r w:rsidRPr="00095469">
        <w:rPr>
          <w:rFonts w:ascii="Tahoma" w:hAnsi="Tahoma" w:cs="Tahoma"/>
          <w:spacing w:val="-2"/>
          <w:sz w:val="20"/>
          <w:szCs w:val="20"/>
        </w:rPr>
        <w:t>de primera instancia y</w:t>
      </w:r>
      <w:r w:rsidR="00242E3A">
        <w:rPr>
          <w:rFonts w:ascii="Tahoma" w:hAnsi="Tahoma" w:cs="Tahoma"/>
          <w:spacing w:val="-2"/>
          <w:sz w:val="20"/>
          <w:szCs w:val="20"/>
        </w:rPr>
        <w:t>, en su lugar, declarar no probada la excepción de prescripción.</w:t>
      </w:r>
    </w:p>
    <w:p w:rsidR="00095469" w:rsidRPr="00095469" w:rsidRDefault="00095469" w:rsidP="00095469">
      <w:pPr>
        <w:ind w:firstLine="708"/>
        <w:jc w:val="both"/>
        <w:rPr>
          <w:rFonts w:ascii="Tahoma" w:hAnsi="Tahoma" w:cs="Tahoma"/>
          <w:sz w:val="20"/>
          <w:szCs w:val="20"/>
        </w:rPr>
      </w:pPr>
    </w:p>
    <w:p w:rsidR="00095469" w:rsidRPr="00095469" w:rsidRDefault="00095469" w:rsidP="00095469">
      <w:pPr>
        <w:pStyle w:val="Corpsdetexte"/>
        <w:rPr>
          <w:rFonts w:ascii="Tahoma" w:hAnsi="Tahoma" w:cs="Tahoma"/>
          <w:sz w:val="20"/>
          <w:szCs w:val="20"/>
          <w:lang w:val="es-ES"/>
        </w:rPr>
      </w:pPr>
      <w:r w:rsidRPr="00095469">
        <w:rPr>
          <w:rFonts w:ascii="Tahoma" w:hAnsi="Tahoma" w:cs="Tahoma"/>
          <w:sz w:val="20"/>
          <w:szCs w:val="20"/>
          <w:lang w:val="es-ES"/>
        </w:rPr>
        <w:tab/>
        <w:t>En estos términos sustento mi salvamento de voto.</w:t>
      </w:r>
    </w:p>
    <w:p w:rsidR="00095469" w:rsidRPr="00095469" w:rsidRDefault="00095469" w:rsidP="00095469">
      <w:pPr>
        <w:pStyle w:val="Corpsdetexte"/>
        <w:autoSpaceDE/>
        <w:autoSpaceDN/>
        <w:adjustRightInd/>
        <w:rPr>
          <w:rFonts w:ascii="Tahoma" w:hAnsi="Tahoma" w:cs="Tahoma"/>
          <w:sz w:val="20"/>
          <w:szCs w:val="20"/>
          <w:lang w:val="es-ES"/>
        </w:rPr>
      </w:pPr>
    </w:p>
    <w:p w:rsidR="00095469" w:rsidRDefault="00095469" w:rsidP="00095469">
      <w:pPr>
        <w:widowControl w:val="0"/>
        <w:autoSpaceDE w:val="0"/>
        <w:autoSpaceDN w:val="0"/>
        <w:adjustRightInd w:val="0"/>
        <w:jc w:val="both"/>
        <w:rPr>
          <w:rFonts w:ascii="Tahoma" w:hAnsi="Tahoma" w:cs="Tahoma"/>
          <w:sz w:val="20"/>
          <w:szCs w:val="20"/>
        </w:rPr>
      </w:pPr>
    </w:p>
    <w:p w:rsidR="008E13A2" w:rsidRDefault="008E13A2" w:rsidP="00095469">
      <w:pPr>
        <w:widowControl w:val="0"/>
        <w:autoSpaceDE w:val="0"/>
        <w:autoSpaceDN w:val="0"/>
        <w:adjustRightInd w:val="0"/>
        <w:jc w:val="both"/>
        <w:rPr>
          <w:rFonts w:ascii="Tahoma" w:hAnsi="Tahoma" w:cs="Tahoma"/>
          <w:sz w:val="20"/>
          <w:szCs w:val="20"/>
        </w:rPr>
      </w:pPr>
    </w:p>
    <w:p w:rsidR="008E13A2" w:rsidRDefault="008E13A2" w:rsidP="00095469">
      <w:pPr>
        <w:widowControl w:val="0"/>
        <w:autoSpaceDE w:val="0"/>
        <w:autoSpaceDN w:val="0"/>
        <w:adjustRightInd w:val="0"/>
        <w:jc w:val="both"/>
        <w:rPr>
          <w:rFonts w:ascii="Tahoma" w:hAnsi="Tahoma" w:cs="Tahoma"/>
          <w:sz w:val="20"/>
          <w:szCs w:val="20"/>
        </w:rPr>
      </w:pPr>
    </w:p>
    <w:p w:rsidR="008E13A2" w:rsidRDefault="008E13A2" w:rsidP="00095469">
      <w:pPr>
        <w:widowControl w:val="0"/>
        <w:autoSpaceDE w:val="0"/>
        <w:autoSpaceDN w:val="0"/>
        <w:adjustRightInd w:val="0"/>
        <w:jc w:val="both"/>
        <w:rPr>
          <w:rFonts w:ascii="Tahoma" w:hAnsi="Tahoma" w:cs="Tahoma"/>
          <w:sz w:val="20"/>
          <w:szCs w:val="20"/>
        </w:rPr>
      </w:pPr>
    </w:p>
    <w:p w:rsidR="00095469" w:rsidRPr="00095469" w:rsidRDefault="00095469" w:rsidP="00095469">
      <w:pPr>
        <w:widowControl w:val="0"/>
        <w:autoSpaceDE w:val="0"/>
        <w:autoSpaceDN w:val="0"/>
        <w:adjustRightInd w:val="0"/>
        <w:jc w:val="both"/>
        <w:rPr>
          <w:rFonts w:ascii="Tahoma" w:hAnsi="Tahoma" w:cs="Tahoma"/>
          <w:sz w:val="20"/>
          <w:szCs w:val="20"/>
        </w:rPr>
      </w:pPr>
    </w:p>
    <w:p w:rsidR="00095469" w:rsidRPr="00095469" w:rsidRDefault="00095469" w:rsidP="00095469">
      <w:pPr>
        <w:widowControl w:val="0"/>
        <w:autoSpaceDE w:val="0"/>
        <w:autoSpaceDN w:val="0"/>
        <w:adjustRightInd w:val="0"/>
        <w:jc w:val="both"/>
        <w:rPr>
          <w:rFonts w:ascii="Tahoma" w:hAnsi="Tahoma" w:cs="Tahoma"/>
          <w:sz w:val="20"/>
          <w:szCs w:val="20"/>
        </w:rPr>
      </w:pPr>
    </w:p>
    <w:p w:rsidR="00095469" w:rsidRPr="00095469" w:rsidRDefault="00095469" w:rsidP="00095469">
      <w:pPr>
        <w:pStyle w:val="Titre3"/>
        <w:spacing w:line="240" w:lineRule="auto"/>
        <w:rPr>
          <w:rFonts w:ascii="Tahoma" w:hAnsi="Tahoma" w:cs="Tahoma"/>
          <w:sz w:val="20"/>
          <w:szCs w:val="20"/>
        </w:rPr>
      </w:pPr>
      <w:r w:rsidRPr="00095469">
        <w:rPr>
          <w:rFonts w:ascii="Tahoma" w:hAnsi="Tahoma" w:cs="Tahoma"/>
          <w:sz w:val="20"/>
          <w:szCs w:val="20"/>
        </w:rPr>
        <w:t>ANA LUCÍA CAICEDO CALDERÓN</w:t>
      </w:r>
    </w:p>
    <w:p w:rsidR="00095469" w:rsidRPr="00095469" w:rsidRDefault="00095469" w:rsidP="00095469">
      <w:pPr>
        <w:pStyle w:val="Titre3"/>
        <w:spacing w:line="276" w:lineRule="auto"/>
        <w:rPr>
          <w:rFonts w:ascii="Tahoma" w:hAnsi="Tahoma" w:cs="Tahoma"/>
          <w:sz w:val="20"/>
          <w:szCs w:val="20"/>
        </w:rPr>
      </w:pPr>
    </w:p>
    <w:p w:rsidR="009F69A2" w:rsidRPr="00095469" w:rsidRDefault="009F69A2"/>
    <w:sectPr w:rsidR="009F69A2" w:rsidRPr="00095469" w:rsidSect="005F01A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F7" w:rsidRDefault="00A227F7">
      <w:r>
        <w:separator/>
      </w:r>
    </w:p>
  </w:endnote>
  <w:endnote w:type="continuationSeparator" w:id="0">
    <w:p w:rsidR="00A227F7" w:rsidRDefault="00A2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A227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73BF7">
      <w:rPr>
        <w:rStyle w:val="Numrodepage"/>
        <w:noProof/>
      </w:rPr>
      <w:t>2</w:t>
    </w:r>
    <w:r>
      <w:rPr>
        <w:rStyle w:val="Numrodepage"/>
      </w:rPr>
      <w:fldChar w:fldCharType="end"/>
    </w:r>
  </w:p>
  <w:p w:rsidR="00F0306B" w:rsidRDefault="00A22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F7" w:rsidRDefault="00A227F7">
      <w:r>
        <w:separator/>
      </w:r>
    </w:p>
  </w:footnote>
  <w:footnote w:type="continuationSeparator" w:id="0">
    <w:p w:rsidR="00A227F7" w:rsidRDefault="00A2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9"/>
    <w:rsid w:val="00056FC6"/>
    <w:rsid w:val="00095469"/>
    <w:rsid w:val="00135F8E"/>
    <w:rsid w:val="00242E3A"/>
    <w:rsid w:val="00525C7B"/>
    <w:rsid w:val="005F01A6"/>
    <w:rsid w:val="007D68A4"/>
    <w:rsid w:val="008579C3"/>
    <w:rsid w:val="008E13A2"/>
    <w:rsid w:val="009F69A2"/>
    <w:rsid w:val="00A227F7"/>
    <w:rsid w:val="00A75EEB"/>
    <w:rsid w:val="00BB7A4D"/>
    <w:rsid w:val="00C73BF7"/>
    <w:rsid w:val="00F053E2"/>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4</cp:revision>
  <cp:lastPrinted>2017-11-22T13:24:00Z</cp:lastPrinted>
  <dcterms:created xsi:type="dcterms:W3CDTF">2017-07-31T19:21:00Z</dcterms:created>
  <dcterms:modified xsi:type="dcterms:W3CDTF">2017-12-15T17:37:00Z</dcterms:modified>
</cp:coreProperties>
</file>