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EA5783" w:rsidRPr="00A817A6" w:rsidRDefault="00EA5783" w:rsidP="00EA5783">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w:t>
      </w:r>
      <w:r>
        <w:rPr>
          <w:rFonts w:cstheme="minorHAnsi"/>
          <w:color w:val="FF0000"/>
          <w:sz w:val="16"/>
          <w:szCs w:val="16"/>
          <w:lang w:val="es-CO" w:eastAsia="fr-FR"/>
        </w:rPr>
        <w:t xml:space="preserve">el salvamento en </w:t>
      </w:r>
      <w:r w:rsidRPr="00A817A6">
        <w:rPr>
          <w:rFonts w:cstheme="minorHAnsi"/>
          <w:color w:val="FF0000"/>
          <w:sz w:val="16"/>
          <w:szCs w:val="16"/>
          <w:lang w:val="es-CO" w:eastAsia="fr-FR"/>
        </w:rPr>
        <w:t>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EA5783" w:rsidRPr="009275F8" w:rsidRDefault="00EA5783" w:rsidP="00EA5783">
      <w:pPr>
        <w:pStyle w:val="Sinespaciado"/>
        <w:rPr>
          <w:sz w:val="18"/>
          <w:szCs w:val="18"/>
        </w:rPr>
      </w:pPr>
    </w:p>
    <w:p w:rsidR="00B64E2A" w:rsidRPr="00B74E4D" w:rsidRDefault="00B64E2A" w:rsidP="00B64E2A">
      <w:pPr>
        <w:pStyle w:val="Puesto"/>
        <w:spacing w:line="240" w:lineRule="auto"/>
        <w:jc w:val="both"/>
        <w:rPr>
          <w:rFonts w:ascii="Tahoma" w:hAnsi="Tahoma" w:cs="Tahoma"/>
          <w:b w:val="0"/>
          <w:sz w:val="18"/>
          <w:szCs w:val="18"/>
        </w:rPr>
      </w:pPr>
      <w:bookmarkStart w:id="0" w:name="_GoBack"/>
      <w:bookmarkEnd w:id="0"/>
      <w:r w:rsidRPr="00B74E4D">
        <w:rPr>
          <w:rFonts w:ascii="Tahoma" w:hAnsi="Tahoma" w:cs="Tahoma"/>
          <w:b w:val="0"/>
          <w:sz w:val="18"/>
          <w:szCs w:val="18"/>
        </w:rPr>
        <w:t xml:space="preserve">Providencia: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r>
      <w:r w:rsidR="00DC74B9" w:rsidRPr="00B74E4D">
        <w:rPr>
          <w:rFonts w:ascii="Tahoma" w:hAnsi="Tahoma" w:cs="Tahoma"/>
          <w:b w:val="0"/>
          <w:sz w:val="18"/>
          <w:szCs w:val="18"/>
        </w:rPr>
        <w:t xml:space="preserve">Sentencia del </w:t>
      </w:r>
      <w:r w:rsidR="0085230D">
        <w:rPr>
          <w:rFonts w:ascii="Tahoma" w:hAnsi="Tahoma" w:cs="Tahoma"/>
          <w:b w:val="0"/>
          <w:sz w:val="18"/>
          <w:szCs w:val="18"/>
        </w:rPr>
        <w:t xml:space="preserve">12 de diciembre </w:t>
      </w:r>
      <w:r w:rsidR="00D02A91" w:rsidRPr="00B74E4D">
        <w:rPr>
          <w:rFonts w:ascii="Tahoma" w:hAnsi="Tahoma" w:cs="Tahoma"/>
          <w:b w:val="0"/>
          <w:sz w:val="18"/>
          <w:szCs w:val="18"/>
        </w:rPr>
        <w:t>de 20</w:t>
      </w:r>
      <w:r w:rsidR="00AF3DD2">
        <w:rPr>
          <w:rFonts w:ascii="Tahoma" w:hAnsi="Tahoma" w:cs="Tahoma"/>
          <w:b w:val="0"/>
          <w:sz w:val="18"/>
          <w:szCs w:val="18"/>
        </w:rPr>
        <w:t>17</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w:t>
      </w:r>
      <w:r w:rsidR="0085230D">
        <w:rPr>
          <w:rFonts w:ascii="Tahoma" w:hAnsi="Tahoma" w:cs="Tahoma"/>
          <w:b w:val="0"/>
          <w:sz w:val="18"/>
          <w:szCs w:val="18"/>
        </w:rPr>
        <w:t>3</w:t>
      </w:r>
      <w:r>
        <w:rPr>
          <w:rFonts w:ascii="Tahoma" w:hAnsi="Tahoma" w:cs="Tahoma"/>
          <w:b w:val="0"/>
          <w:sz w:val="18"/>
          <w:szCs w:val="18"/>
        </w:rPr>
        <w:t>-201</w:t>
      </w:r>
      <w:r w:rsidR="0085230D">
        <w:rPr>
          <w:rFonts w:ascii="Tahoma" w:hAnsi="Tahoma" w:cs="Tahoma"/>
          <w:b w:val="0"/>
          <w:sz w:val="18"/>
          <w:szCs w:val="18"/>
        </w:rPr>
        <w:t>6</w:t>
      </w:r>
      <w:r>
        <w:rPr>
          <w:rFonts w:ascii="Tahoma" w:hAnsi="Tahoma" w:cs="Tahoma"/>
          <w:b w:val="0"/>
          <w:sz w:val="18"/>
          <w:szCs w:val="18"/>
        </w:rPr>
        <w:t>-00</w:t>
      </w:r>
      <w:r w:rsidR="0085230D">
        <w:rPr>
          <w:rFonts w:ascii="Tahoma" w:hAnsi="Tahoma" w:cs="Tahoma"/>
          <w:b w:val="0"/>
          <w:sz w:val="18"/>
          <w:szCs w:val="18"/>
        </w:rPr>
        <w:t>284</w:t>
      </w:r>
      <w:r>
        <w:rPr>
          <w:rFonts w:ascii="Tahoma" w:hAnsi="Tahoma" w:cs="Tahoma"/>
          <w:b w:val="0"/>
          <w:sz w:val="18"/>
          <w:szCs w:val="18"/>
        </w:rPr>
        <w:t>-01</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Ordinario laboral </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0085230D">
        <w:rPr>
          <w:rFonts w:ascii="Tahoma" w:hAnsi="Tahoma" w:cs="Tahoma"/>
          <w:b w:val="0"/>
          <w:sz w:val="18"/>
          <w:szCs w:val="18"/>
        </w:rPr>
        <w:t xml:space="preserve">Eliecer </w:t>
      </w:r>
      <w:proofErr w:type="spellStart"/>
      <w:r w:rsidR="0085230D">
        <w:rPr>
          <w:rFonts w:ascii="Tahoma" w:hAnsi="Tahoma" w:cs="Tahoma"/>
          <w:b w:val="0"/>
          <w:sz w:val="18"/>
          <w:szCs w:val="18"/>
        </w:rPr>
        <w:t>Bambagu</w:t>
      </w:r>
      <w:r w:rsidR="000471DC">
        <w:rPr>
          <w:rFonts w:ascii="Tahoma" w:hAnsi="Tahoma" w:cs="Tahoma"/>
          <w:b w:val="0"/>
          <w:sz w:val="18"/>
          <w:szCs w:val="18"/>
        </w:rPr>
        <w:t>e</w:t>
      </w:r>
      <w:proofErr w:type="spellEnd"/>
      <w:r w:rsidR="00AF3DD2">
        <w:rPr>
          <w:rFonts w:ascii="Tahoma" w:hAnsi="Tahoma" w:cs="Tahoma"/>
          <w:b w:val="0"/>
          <w:sz w:val="18"/>
          <w:szCs w:val="18"/>
        </w:rPr>
        <w:t xml:space="preserve"> </w:t>
      </w:r>
      <w:r w:rsidR="00675F6A">
        <w:rPr>
          <w:rFonts w:ascii="Tahoma" w:hAnsi="Tahoma" w:cs="Tahoma"/>
          <w:b w:val="0"/>
          <w:sz w:val="18"/>
          <w:szCs w:val="18"/>
        </w:rPr>
        <w:t xml:space="preserve"> </w:t>
      </w:r>
    </w:p>
    <w:p w:rsidR="00534531" w:rsidRDefault="00534531" w:rsidP="00534531">
      <w:pPr>
        <w:pStyle w:val="Puesto"/>
        <w:spacing w:line="240" w:lineRule="auto"/>
        <w:ind w:left="708" w:hanging="708"/>
        <w:jc w:val="both"/>
        <w:rPr>
          <w:rFonts w:ascii="Tahoma" w:hAnsi="Tahoma" w:cs="Tahoma"/>
          <w:b w:val="0"/>
          <w:sz w:val="18"/>
          <w:szCs w:val="18"/>
        </w:rPr>
      </w:pPr>
      <w:r w:rsidRPr="00534531">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A3902" w:rsidRDefault="008A3902" w:rsidP="008A3902">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DC74B9" w:rsidRPr="00B74E4D" w:rsidRDefault="00DC74B9" w:rsidP="001B1BBE">
      <w:pPr>
        <w:pStyle w:val="Puesto"/>
        <w:spacing w:line="240" w:lineRule="auto"/>
        <w:ind w:left="2805" w:hanging="2805"/>
        <w:jc w:val="both"/>
        <w:rPr>
          <w:rFonts w:ascii="Tahoma" w:hAnsi="Tahoma" w:cs="Tahoma"/>
          <w:b w:val="0"/>
          <w:sz w:val="18"/>
          <w:szCs w:val="18"/>
        </w:rPr>
      </w:pPr>
      <w:r w:rsidRPr="00B74E4D">
        <w:rPr>
          <w:rFonts w:ascii="Tahoma" w:hAnsi="Tahoma" w:cs="Tahoma"/>
          <w:b w:val="0"/>
          <w:sz w:val="18"/>
          <w:szCs w:val="18"/>
        </w:rPr>
        <w:t>Magistrada que salva voto:</w:t>
      </w:r>
      <w:r w:rsidRPr="00B74E4D">
        <w:rPr>
          <w:rFonts w:ascii="Tahoma" w:hAnsi="Tahoma" w:cs="Tahoma"/>
          <w:sz w:val="18"/>
          <w:szCs w:val="18"/>
        </w:rPr>
        <w:tab/>
      </w:r>
      <w:r w:rsidRPr="00B74E4D">
        <w:rPr>
          <w:rFonts w:ascii="Tahoma" w:hAnsi="Tahoma" w:cs="Tahoma"/>
          <w:b w:val="0"/>
          <w:sz w:val="18"/>
          <w:szCs w:val="18"/>
        </w:rPr>
        <w:t xml:space="preserve">Dra. </w:t>
      </w:r>
      <w:r w:rsidR="00DE0FDF" w:rsidRPr="00B74E4D">
        <w:rPr>
          <w:rFonts w:ascii="Tahoma" w:hAnsi="Tahoma" w:cs="Tahoma"/>
          <w:b w:val="0"/>
          <w:sz w:val="18"/>
          <w:szCs w:val="18"/>
        </w:rPr>
        <w:t>Ana Lucia Caicedo Calderón</w:t>
      </w:r>
    </w:p>
    <w:p w:rsidR="00DE0FDF" w:rsidRPr="00B74E4D" w:rsidRDefault="004C7FD6" w:rsidP="007145A4">
      <w:pPr>
        <w:pStyle w:val="Puesto"/>
        <w:spacing w:line="240" w:lineRule="auto"/>
        <w:ind w:left="2805" w:hanging="2805"/>
        <w:jc w:val="both"/>
        <w:rPr>
          <w:rFonts w:ascii="Tahoma" w:hAnsi="Tahoma" w:cs="Tahoma"/>
          <w:sz w:val="18"/>
          <w:szCs w:val="18"/>
        </w:rPr>
      </w:pPr>
      <w:r w:rsidRPr="00B74E4D">
        <w:rPr>
          <w:rFonts w:ascii="Tahoma" w:hAnsi="Tahoma" w:cs="Tahoma"/>
          <w:b w:val="0"/>
          <w:sz w:val="18"/>
          <w:szCs w:val="18"/>
        </w:rPr>
        <w:t>Tema</w:t>
      </w:r>
      <w:r w:rsidRPr="00B74E4D">
        <w:rPr>
          <w:rFonts w:ascii="Tahoma" w:hAnsi="Tahoma" w:cs="Tahoma"/>
          <w:sz w:val="18"/>
          <w:szCs w:val="18"/>
        </w:rPr>
        <w:t>:</w:t>
      </w:r>
      <w:r w:rsidR="0083123E" w:rsidRPr="00B74E4D">
        <w:rPr>
          <w:rFonts w:ascii="Tahoma" w:hAnsi="Tahoma" w:cs="Tahoma"/>
          <w:sz w:val="18"/>
          <w:szCs w:val="18"/>
        </w:rPr>
        <w:t xml:space="preserve"> </w:t>
      </w:r>
      <w:r w:rsidR="0083123E" w:rsidRPr="00B74E4D">
        <w:rPr>
          <w:rFonts w:ascii="Tahoma" w:hAnsi="Tahoma" w:cs="Tahoma"/>
          <w:sz w:val="18"/>
          <w:szCs w:val="18"/>
        </w:rPr>
        <w:tab/>
      </w:r>
    </w:p>
    <w:p w:rsidR="00E15C02" w:rsidRDefault="00471AC1" w:rsidP="00E15C02">
      <w:pPr>
        <w:ind w:left="2805"/>
        <w:jc w:val="both"/>
        <w:rPr>
          <w:lang w:val="es-CO" w:eastAsia="es-MX"/>
        </w:rPr>
      </w:pPr>
      <w:r w:rsidRPr="00471AC1">
        <w:rPr>
          <w:rFonts w:ascii="Tahoma" w:hAnsi="Tahoma" w:cs="Tahoma"/>
          <w:b/>
          <w:sz w:val="18"/>
          <w:szCs w:val="18"/>
        </w:rPr>
        <w:t>Pensión de vejez Acuerdo 049 de 1990 – Posibilidad de acumular cotizaciones en los sectores público y privado:</w:t>
      </w:r>
      <w:r>
        <w:rPr>
          <w:rFonts w:ascii="Tahoma" w:hAnsi="Tahoma" w:cs="Tahoma"/>
          <w:sz w:val="18"/>
          <w:szCs w:val="18"/>
        </w:rPr>
        <w:t xml:space="preserve"> </w:t>
      </w:r>
      <w:r w:rsidRPr="008075F0">
        <w:rPr>
          <w:rFonts w:ascii="Tahoma" w:hAnsi="Tahoma" w:cs="Tahoma"/>
          <w:bCs/>
          <w:sz w:val="18"/>
          <w:szCs w:val="18"/>
        </w:rPr>
        <w:t xml:space="preserve">La Corte Constitucional en la Sentencia SU-769 de 2014, con ponencia del Magistrado Jorge Iván Palacio </w:t>
      </w:r>
      <w:proofErr w:type="spellStart"/>
      <w:r w:rsidRPr="008075F0">
        <w:rPr>
          <w:rFonts w:ascii="Tahoma" w:hAnsi="Tahoma" w:cs="Tahoma"/>
          <w:bCs/>
          <w:sz w:val="18"/>
          <w:szCs w:val="18"/>
        </w:rPr>
        <w:t>Palacio</w:t>
      </w:r>
      <w:proofErr w:type="spellEnd"/>
      <w:r w:rsidRPr="008075F0">
        <w:rPr>
          <w:rFonts w:ascii="Tahoma" w:hAnsi="Tahoma" w:cs="Tahoma"/>
          <w:bCs/>
          <w:sz w:val="18"/>
          <w:szCs w:val="18"/>
        </w:rPr>
        <w:t xml:space="preserve">,  precisó </w:t>
      </w:r>
      <w:r w:rsidRPr="00206953">
        <w:rPr>
          <w:rFonts w:ascii="Tahoma" w:hAnsi="Tahoma" w:cs="Tahoma"/>
          <w:bCs/>
          <w:i/>
          <w:sz w:val="18"/>
          <w:szCs w:val="18"/>
        </w:rPr>
        <w:t>–en un asunto donde se buscaba la aplicación del Acuerdo 049 de 1990 en virtud del régimen de transición-</w:t>
      </w:r>
      <w:r w:rsidRPr="008075F0">
        <w:rPr>
          <w:rFonts w:ascii="Tahoma" w:hAnsi="Tahoma" w:cs="Tahoma"/>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Cs/>
          <w:sz w:val="18"/>
          <w:szCs w:val="18"/>
        </w:rPr>
        <w:t>requerida</w:t>
      </w:r>
      <w:r w:rsidRPr="008075F0">
        <w:rPr>
          <w:rFonts w:ascii="Tahoma" w:hAnsi="Tahoma" w:cs="Tahoma"/>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Cs/>
          <w:sz w:val="18"/>
          <w:szCs w:val="18"/>
        </w:rPr>
        <w:t xml:space="preserve">, y que esta </w:t>
      </w:r>
      <w:r w:rsidRPr="008075F0">
        <w:rPr>
          <w:rFonts w:ascii="Tahoma" w:hAnsi="Tahoma" w:cs="Tahoma"/>
          <w:bCs/>
          <w:sz w:val="18"/>
          <w:szCs w:val="18"/>
        </w:rPr>
        <w:t xml:space="preserve">Corporación </w:t>
      </w:r>
      <w:r>
        <w:rPr>
          <w:rFonts w:ascii="Tahoma" w:hAnsi="Tahoma" w:cs="Tahoma"/>
          <w:bCs/>
          <w:sz w:val="18"/>
          <w:szCs w:val="18"/>
        </w:rPr>
        <w:t xml:space="preserve">acogió </w:t>
      </w:r>
      <w:r w:rsidRPr="008075F0">
        <w:rPr>
          <w:rFonts w:ascii="Tahoma" w:hAnsi="Tahoma" w:cs="Tahoma"/>
          <w:bCs/>
          <w:sz w:val="18"/>
          <w:szCs w:val="18"/>
        </w:rPr>
        <w:t>en sentencia del 30 de octubre de 2015, proferida dentro del proceso radicado con el número 2013-00483</w:t>
      </w:r>
      <w:r w:rsidR="00D67870">
        <w:rPr>
          <w:rFonts w:ascii="Tahoma" w:hAnsi="Tahoma" w:cs="Tahoma"/>
          <w:bCs/>
          <w:sz w:val="18"/>
          <w:szCs w:val="18"/>
        </w:rPr>
        <w:t>.</w:t>
      </w:r>
    </w:p>
    <w:p w:rsidR="00D67870" w:rsidRDefault="00D67870" w:rsidP="00E15C02">
      <w:pPr>
        <w:ind w:left="2805"/>
        <w:jc w:val="both"/>
        <w:rPr>
          <w:lang w:val="es-CO" w:eastAsia="es-MX"/>
        </w:rPr>
      </w:pPr>
    </w:p>
    <w:p w:rsidR="00B92B26" w:rsidRPr="00C76801" w:rsidRDefault="00B92B26" w:rsidP="00E15C02">
      <w:pPr>
        <w:ind w:left="2805"/>
        <w:jc w:val="both"/>
        <w:rPr>
          <w:lang w:val="es-CO" w:eastAsia="es-MX"/>
        </w:rPr>
      </w:pPr>
    </w:p>
    <w:p w:rsidR="00AF3DD2" w:rsidRPr="00C76801" w:rsidRDefault="00AF3DD2" w:rsidP="00AF3DD2">
      <w:pPr>
        <w:pStyle w:val="Ttulo1"/>
        <w:widowControl/>
        <w:autoSpaceDE/>
        <w:autoSpaceDN/>
        <w:adjustRightInd/>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AF3DD2" w:rsidRPr="00C76801" w:rsidRDefault="00AF3DD2" w:rsidP="00AF3DD2">
      <w:pPr>
        <w:spacing w:line="276" w:lineRule="auto"/>
        <w:jc w:val="both"/>
        <w:rPr>
          <w:rFonts w:ascii="Tahoma" w:hAnsi="Tahoma" w:cs="Tahoma"/>
          <w:b/>
          <w:bCs/>
          <w:sz w:val="28"/>
        </w:rPr>
      </w:pPr>
    </w:p>
    <w:p w:rsidR="0012673F" w:rsidRDefault="00AF3DD2" w:rsidP="000471DC">
      <w:pPr>
        <w:ind w:firstLine="709"/>
        <w:jc w:val="both"/>
        <w:rPr>
          <w:rFonts w:ascii="Tahoma" w:hAnsi="Tahoma" w:cs="Tahoma"/>
          <w:sz w:val="22"/>
          <w:szCs w:val="22"/>
        </w:rPr>
      </w:pPr>
      <w:r w:rsidRPr="00E15C02">
        <w:rPr>
          <w:rFonts w:ascii="Tahoma" w:hAnsi="Tahoma" w:cs="Tahoma"/>
          <w:sz w:val="22"/>
          <w:szCs w:val="22"/>
        </w:rPr>
        <w:t xml:space="preserve">Con mi acostumbrado respeto, manifiesto mi inconformidad frente a la sentencia mayoritaria, por cuanto considero que en el presente caso había lugar a </w:t>
      </w:r>
      <w:r>
        <w:rPr>
          <w:rFonts w:ascii="Tahoma" w:hAnsi="Tahoma" w:cs="Tahoma"/>
          <w:sz w:val="22"/>
          <w:szCs w:val="22"/>
        </w:rPr>
        <w:t>reconocer la pensión de vejez reclamada</w:t>
      </w:r>
      <w:r w:rsidRPr="00E15C02">
        <w:rPr>
          <w:rFonts w:ascii="Tahoma" w:hAnsi="Tahoma" w:cs="Tahoma"/>
          <w:sz w:val="22"/>
          <w:szCs w:val="22"/>
        </w:rPr>
        <w:t xml:space="preserve"> por las siguientes razones</w:t>
      </w:r>
      <w:r>
        <w:rPr>
          <w:rFonts w:ascii="Tahoma" w:hAnsi="Tahoma" w:cs="Tahoma"/>
          <w:sz w:val="22"/>
          <w:szCs w:val="22"/>
        </w:rPr>
        <w:t>:</w:t>
      </w:r>
    </w:p>
    <w:p w:rsidR="00AF3DD2" w:rsidRPr="00E15C02" w:rsidRDefault="00AF3DD2" w:rsidP="00AF3DD2">
      <w:pPr>
        <w:spacing w:line="276" w:lineRule="auto"/>
        <w:ind w:firstLine="851"/>
        <w:jc w:val="both"/>
        <w:rPr>
          <w:rFonts w:ascii="Tahoma" w:hAnsi="Tahoma" w:cs="Tahoma"/>
          <w:sz w:val="22"/>
          <w:szCs w:val="22"/>
        </w:rPr>
      </w:pPr>
    </w:p>
    <w:p w:rsidR="00DE0FDF" w:rsidRDefault="00D67870" w:rsidP="006E0E51">
      <w:pPr>
        <w:pStyle w:val="Sinespaciado"/>
        <w:numPr>
          <w:ilvl w:val="0"/>
          <w:numId w:val="24"/>
        </w:numPr>
        <w:rPr>
          <w:rFonts w:ascii="Tahoma" w:eastAsia="Times New Roman" w:hAnsi="Tahoma" w:cs="Tahoma"/>
          <w:b/>
          <w:lang w:val="es-ES" w:eastAsia="es-ES"/>
        </w:rPr>
      </w:pPr>
      <w:r w:rsidRPr="00D67870">
        <w:rPr>
          <w:rFonts w:ascii="Tahoma" w:eastAsia="Times New Roman" w:hAnsi="Tahoma" w:cs="Tahoma"/>
          <w:b/>
          <w:lang w:val="es-ES" w:eastAsia="es-ES"/>
        </w:rPr>
        <w:t>Pensión de vejez Acuerdo 049 de 1990 – Posibilidad de acumular cotizaciones en los sectores público y privado:</w:t>
      </w:r>
    </w:p>
    <w:p w:rsidR="00D67870" w:rsidRPr="00E15C02" w:rsidRDefault="00D67870" w:rsidP="006E0E51">
      <w:pPr>
        <w:pStyle w:val="Sinespaciado"/>
        <w:ind w:firstLine="709"/>
      </w:pPr>
    </w:p>
    <w:p w:rsidR="00D67870" w:rsidRPr="00D67870" w:rsidRDefault="00D67870" w:rsidP="000471DC">
      <w:pPr>
        <w:ind w:firstLine="709"/>
        <w:jc w:val="both"/>
        <w:rPr>
          <w:rFonts w:ascii="Tahoma" w:hAnsi="Tahoma" w:cs="Tahoma"/>
          <w:sz w:val="22"/>
          <w:szCs w:val="22"/>
        </w:rPr>
      </w:pPr>
      <w:r w:rsidRPr="00D67870">
        <w:rPr>
          <w:rFonts w:ascii="Tahoma" w:hAnsi="Tahoma" w:cs="Tahoma"/>
          <w:sz w:val="22"/>
          <w:szCs w:val="22"/>
        </w:rPr>
        <w:t xml:space="preserve">La H. Corte Constitucional a través de la sentencia SU-769 de 2014, con ponencia del Magistrado Jorge Iván Palacio </w:t>
      </w:r>
      <w:proofErr w:type="spellStart"/>
      <w:r w:rsidRPr="00D67870">
        <w:rPr>
          <w:rFonts w:ascii="Tahoma" w:hAnsi="Tahoma" w:cs="Tahoma"/>
          <w:sz w:val="22"/>
          <w:szCs w:val="22"/>
        </w:rPr>
        <w:t>Palacio</w:t>
      </w:r>
      <w:proofErr w:type="spellEnd"/>
      <w:r w:rsidRPr="00D67870">
        <w:rPr>
          <w:rFonts w:ascii="Tahoma" w:hAnsi="Tahoma" w:cs="Tahoma"/>
          <w:sz w:val="22"/>
          <w:szCs w:val="22"/>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Justamente en aplicación de esta tesis, 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  </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Más adelante, plasmó un aparte de la sentencia  T-334 de 2011 en el siguiente sentido:</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Existiendo concurrentemente esas posibilidades de interpretación, el principio rector pro operario hace obligatorio asumir la opción favorable al trabajador, es decir, el ISS debe computar el período referido y, a su vez, permitir a la señora Martínez Escobar pensionarse bajo el régimen de transición”.</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Igualmente indicó el Alto Tribunal en la Sentencia SU-769 de 2014:</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lastRenderedPageBreak/>
        <w:t xml:space="preserve">“7.3.7. En jurisprudencia más reciente la Corte se pronunció sobre el caso de una señora de 77 años que laboró 405 semanas como servidor público y cotizó 596 semanas al Instituto de Seguros Sociales, para un total de 1001, a quien le fue negada la pensión de vejez por no ser posible, según esa entidad, acumular tiempos de servicio bajo el régimen contenido en el Acuerdo 049 de 1990. Así, mediante la sentencia T-100 de 2012, consideró: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“[L]a jurisprudencia de esta Corporación ha sido enfática al resaltar que esta interpretación de la normativa es errónea y atenta contra los derechos fundamentales de los beneficiarios del régimen de transición.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rsidR="00D67870" w:rsidRDefault="00D67870" w:rsidP="006E0E51">
      <w:pPr>
        <w:ind w:firstLine="851"/>
        <w:jc w:val="both"/>
        <w:rPr>
          <w:rFonts w:ascii="Tahoma" w:hAnsi="Tahoma" w:cs="Tahoma"/>
          <w:sz w:val="22"/>
          <w:szCs w:val="22"/>
        </w:rPr>
      </w:pPr>
    </w:p>
    <w:p w:rsidR="00D67870" w:rsidRPr="00D67870" w:rsidRDefault="00D67870" w:rsidP="00FD6262">
      <w:pPr>
        <w:spacing w:line="276" w:lineRule="auto"/>
        <w:ind w:firstLine="567"/>
        <w:jc w:val="both"/>
        <w:rPr>
          <w:rFonts w:ascii="Tahoma" w:hAnsi="Tahoma" w:cs="Tahoma"/>
          <w:sz w:val="22"/>
          <w:szCs w:val="22"/>
        </w:rPr>
      </w:pPr>
      <w:r>
        <w:rPr>
          <w:rFonts w:ascii="Tahoma" w:hAnsi="Tahoma" w:cs="Tahoma"/>
          <w:sz w:val="22"/>
          <w:szCs w:val="22"/>
        </w:rPr>
        <w:t xml:space="preserve">De lo anterior se colige que </w:t>
      </w:r>
      <w:r w:rsidRPr="00D67870">
        <w:rPr>
          <w:rFonts w:ascii="Tahoma" w:hAnsi="Tahoma" w:cs="Tahoma"/>
          <w:sz w:val="22"/>
          <w:szCs w:val="22"/>
        </w:rPr>
        <w:t>la Corte Constitucional –en un asunto donde se buscaba la aplicación del Acuerdo 049 de 1990 en vir</w:t>
      </w:r>
      <w:r>
        <w:rPr>
          <w:rFonts w:ascii="Tahoma" w:hAnsi="Tahoma" w:cs="Tahoma"/>
          <w:sz w:val="22"/>
          <w:szCs w:val="22"/>
        </w:rPr>
        <w:t xml:space="preserve">tud del régimen de transición- aclaró </w:t>
      </w:r>
      <w:r w:rsidRPr="00D67870">
        <w:rPr>
          <w:rFonts w:ascii="Tahoma" w:hAnsi="Tahoma" w:cs="Tahoma"/>
          <w:sz w:val="22"/>
          <w:szCs w:val="22"/>
        </w:rPr>
        <w:t xml:space="preserve">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D67870" w:rsidRDefault="00D67870" w:rsidP="00FD6262">
      <w:pPr>
        <w:spacing w:line="276" w:lineRule="auto"/>
        <w:ind w:firstLine="851"/>
        <w:jc w:val="both"/>
        <w:rPr>
          <w:rFonts w:ascii="Tahoma" w:hAnsi="Tahoma" w:cs="Tahoma"/>
          <w:sz w:val="22"/>
          <w:szCs w:val="22"/>
        </w:rPr>
      </w:pPr>
    </w:p>
    <w:p w:rsidR="00FD6262" w:rsidRPr="00E15C02" w:rsidRDefault="00FD6262" w:rsidP="00FD6262">
      <w:pPr>
        <w:spacing w:line="276" w:lineRule="auto"/>
        <w:ind w:firstLine="709"/>
        <w:jc w:val="both"/>
        <w:rPr>
          <w:rFonts w:ascii="Tahoma" w:hAnsi="Tahoma" w:cs="Tahoma"/>
          <w:sz w:val="22"/>
          <w:szCs w:val="22"/>
        </w:rPr>
      </w:pPr>
      <w:r>
        <w:rPr>
          <w:rFonts w:ascii="Tahoma" w:hAnsi="Tahoma" w:cs="Tahoma"/>
          <w:sz w:val="22"/>
          <w:szCs w:val="22"/>
        </w:rPr>
        <w:t>Los precedentes anteriores se venían aplicando por las mayorías de las Salas 1 y 3 hasta la creación del despacho número 4 en esta Corporación, a partir del cual, se varió el precedente, violándose el derecho a la igualdad de los usuarios, toda vez que el proyecto no contiene razones de peso que lleven a apartarse de las reglas jurisprudenciales dadas por la Corte Constitucional sobre este derecho fundamental tan caro para la Carta Política</w:t>
      </w:r>
      <w:r w:rsidRPr="00E15C02">
        <w:rPr>
          <w:rFonts w:ascii="Tahoma" w:hAnsi="Tahoma" w:cs="Tahoma"/>
          <w:sz w:val="22"/>
          <w:szCs w:val="22"/>
        </w:rPr>
        <w:t>.</w:t>
      </w:r>
    </w:p>
    <w:p w:rsidR="00FD6262" w:rsidRPr="00D67870" w:rsidRDefault="00FD6262" w:rsidP="00FD6262">
      <w:pPr>
        <w:spacing w:line="276" w:lineRule="auto"/>
        <w:ind w:firstLine="851"/>
        <w:jc w:val="both"/>
        <w:rPr>
          <w:rFonts w:ascii="Tahoma" w:hAnsi="Tahoma" w:cs="Tahoma"/>
          <w:sz w:val="22"/>
          <w:szCs w:val="22"/>
        </w:rPr>
      </w:pPr>
    </w:p>
    <w:p w:rsidR="00853607" w:rsidRDefault="00D67870" w:rsidP="00FD6262">
      <w:pPr>
        <w:spacing w:line="276" w:lineRule="auto"/>
        <w:ind w:firstLine="567"/>
        <w:jc w:val="both"/>
        <w:rPr>
          <w:rFonts w:ascii="Tahoma" w:hAnsi="Tahoma" w:cs="Tahoma"/>
          <w:sz w:val="22"/>
          <w:szCs w:val="22"/>
        </w:rPr>
      </w:pPr>
      <w:r>
        <w:rPr>
          <w:rFonts w:ascii="Tahoma" w:hAnsi="Tahoma" w:cs="Tahoma"/>
          <w:sz w:val="22"/>
          <w:szCs w:val="22"/>
        </w:rPr>
        <w:t>En consecuencia</w:t>
      </w:r>
      <w:r w:rsidRPr="00D67870">
        <w:rPr>
          <w:rFonts w:ascii="Tahoma" w:hAnsi="Tahoma" w:cs="Tahoma"/>
          <w:sz w:val="22"/>
          <w:szCs w:val="22"/>
        </w:rPr>
        <w:t>, es evidente que</w:t>
      </w:r>
      <w:r>
        <w:rPr>
          <w:rFonts w:ascii="Tahoma" w:hAnsi="Tahoma" w:cs="Tahoma"/>
          <w:sz w:val="22"/>
          <w:szCs w:val="22"/>
        </w:rPr>
        <w:t xml:space="preserve"> </w:t>
      </w:r>
      <w:r w:rsidR="007921DE">
        <w:rPr>
          <w:rFonts w:ascii="Tahoma" w:hAnsi="Tahoma" w:cs="Tahoma"/>
          <w:sz w:val="22"/>
          <w:szCs w:val="22"/>
        </w:rPr>
        <w:t xml:space="preserve">al contar el actor con más de </w:t>
      </w:r>
      <w:r w:rsidR="000471DC">
        <w:rPr>
          <w:rFonts w:ascii="Tahoma" w:hAnsi="Tahoma" w:cs="Tahoma"/>
          <w:sz w:val="22"/>
          <w:szCs w:val="22"/>
        </w:rPr>
        <w:t>1000</w:t>
      </w:r>
      <w:r w:rsidR="007921DE">
        <w:rPr>
          <w:rFonts w:ascii="Tahoma" w:hAnsi="Tahoma" w:cs="Tahoma"/>
          <w:sz w:val="22"/>
          <w:szCs w:val="22"/>
        </w:rPr>
        <w:t xml:space="preserve"> semanas cotizadas en los sectores público y privado</w:t>
      </w:r>
      <w:r w:rsidR="00FD6262">
        <w:rPr>
          <w:rFonts w:ascii="Tahoma" w:hAnsi="Tahoma" w:cs="Tahoma"/>
          <w:sz w:val="22"/>
          <w:szCs w:val="22"/>
        </w:rPr>
        <w:t xml:space="preserve"> en </w:t>
      </w:r>
      <w:r w:rsidR="000471DC">
        <w:rPr>
          <w:rFonts w:ascii="Tahoma" w:hAnsi="Tahoma" w:cs="Tahoma"/>
          <w:sz w:val="22"/>
          <w:szCs w:val="22"/>
        </w:rPr>
        <w:t>toda su vida laboral</w:t>
      </w:r>
      <w:r w:rsidR="00FD6262">
        <w:rPr>
          <w:rFonts w:ascii="Tahoma" w:hAnsi="Tahoma" w:cs="Tahoma"/>
          <w:sz w:val="22"/>
          <w:szCs w:val="22"/>
        </w:rPr>
        <w:t xml:space="preserve">, </w:t>
      </w:r>
      <w:r w:rsidR="007921DE">
        <w:rPr>
          <w:rFonts w:ascii="Tahoma" w:hAnsi="Tahoma" w:cs="Tahoma"/>
          <w:sz w:val="22"/>
          <w:szCs w:val="22"/>
        </w:rPr>
        <w:t xml:space="preserve">tenía derecho a </w:t>
      </w:r>
      <w:r w:rsidR="00FD6262">
        <w:rPr>
          <w:rFonts w:ascii="Tahoma" w:hAnsi="Tahoma" w:cs="Tahoma"/>
          <w:sz w:val="22"/>
          <w:szCs w:val="22"/>
        </w:rPr>
        <w:t>la pensión de vejez consagrada en el Acuerdo 049 de 1990</w:t>
      </w:r>
      <w:r w:rsidR="004B536C">
        <w:rPr>
          <w:rFonts w:ascii="Tahoma" w:hAnsi="Tahoma" w:cs="Tahoma"/>
          <w:sz w:val="22"/>
          <w:szCs w:val="22"/>
        </w:rPr>
        <w:t>, por lo que debió revocarse la sentencia de primera instancia.</w:t>
      </w:r>
    </w:p>
    <w:p w:rsidR="00B52E48" w:rsidRDefault="0084245B" w:rsidP="006E0E51">
      <w:pPr>
        <w:ind w:firstLine="851"/>
        <w:jc w:val="both"/>
        <w:rPr>
          <w:rFonts w:ascii="Tahoma" w:hAnsi="Tahoma" w:cs="Tahoma"/>
          <w:sz w:val="22"/>
          <w:szCs w:val="22"/>
        </w:rPr>
      </w:pPr>
      <w:r w:rsidRPr="00D67870">
        <w:rPr>
          <w:rFonts w:ascii="Tahoma" w:hAnsi="Tahoma" w:cs="Tahoma"/>
          <w:sz w:val="22"/>
          <w:szCs w:val="22"/>
        </w:rPr>
        <w:tab/>
      </w:r>
    </w:p>
    <w:p w:rsidR="00782D3A" w:rsidRPr="00E15C02" w:rsidRDefault="00782D3A" w:rsidP="006E0E51">
      <w:pPr>
        <w:widowControl w:val="0"/>
        <w:autoSpaceDE w:val="0"/>
        <w:autoSpaceDN w:val="0"/>
        <w:adjustRightInd w:val="0"/>
        <w:jc w:val="both"/>
        <w:rPr>
          <w:rFonts w:ascii="Tahoma" w:hAnsi="Tahoma" w:cs="Tahoma"/>
          <w:sz w:val="22"/>
          <w:szCs w:val="22"/>
        </w:rPr>
      </w:pPr>
    </w:p>
    <w:p w:rsidR="00534531" w:rsidRDefault="008508E3" w:rsidP="008508E3">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En esos términos sustento mi salvamento</w:t>
      </w:r>
      <w:r w:rsidR="007921DE">
        <w:rPr>
          <w:rFonts w:ascii="Tahoma" w:hAnsi="Tahoma" w:cs="Tahoma"/>
          <w:sz w:val="22"/>
          <w:szCs w:val="22"/>
        </w:rPr>
        <w:t xml:space="preserve"> </w:t>
      </w:r>
      <w:r>
        <w:rPr>
          <w:rFonts w:ascii="Tahoma" w:hAnsi="Tahoma" w:cs="Tahoma"/>
          <w:sz w:val="22"/>
          <w:szCs w:val="22"/>
        </w:rPr>
        <w:t>de voto.</w:t>
      </w:r>
    </w:p>
    <w:p w:rsidR="00F45DDF" w:rsidRPr="00E15C02" w:rsidRDefault="00F45DDF" w:rsidP="006E0E51">
      <w:pPr>
        <w:widowControl w:val="0"/>
        <w:autoSpaceDE w:val="0"/>
        <w:autoSpaceDN w:val="0"/>
        <w:adjustRightInd w:val="0"/>
        <w:jc w:val="both"/>
        <w:rPr>
          <w:rFonts w:ascii="Tahoma" w:hAnsi="Tahoma" w:cs="Tahoma"/>
          <w:sz w:val="22"/>
          <w:szCs w:val="22"/>
        </w:rPr>
      </w:pPr>
    </w:p>
    <w:p w:rsidR="00782D3A" w:rsidRDefault="00782D3A"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Pr="00E15C02" w:rsidRDefault="008508E3" w:rsidP="006E0E51">
      <w:pPr>
        <w:widowControl w:val="0"/>
        <w:autoSpaceDE w:val="0"/>
        <w:autoSpaceDN w:val="0"/>
        <w:adjustRightInd w:val="0"/>
        <w:jc w:val="both"/>
        <w:rPr>
          <w:rFonts w:ascii="Tahoma" w:hAnsi="Tahoma" w:cs="Tahoma"/>
          <w:sz w:val="22"/>
          <w:szCs w:val="22"/>
        </w:rPr>
      </w:pPr>
    </w:p>
    <w:p w:rsidR="00782D3A" w:rsidRPr="00E15C02" w:rsidRDefault="00782D3A" w:rsidP="006E0E51">
      <w:pPr>
        <w:pStyle w:val="Ttulo3"/>
        <w:spacing w:line="240" w:lineRule="auto"/>
        <w:rPr>
          <w:rFonts w:ascii="Tahoma" w:hAnsi="Tahoma" w:cs="Tahoma"/>
          <w:sz w:val="22"/>
          <w:szCs w:val="22"/>
        </w:rPr>
      </w:pPr>
      <w:r w:rsidRPr="00E15C02">
        <w:rPr>
          <w:rFonts w:ascii="Tahoma" w:hAnsi="Tahoma" w:cs="Tahoma"/>
          <w:sz w:val="22"/>
          <w:szCs w:val="22"/>
        </w:rPr>
        <w:t>ANA LUCÍA CAICEDO CALDERÓN</w:t>
      </w:r>
    </w:p>
    <w:sectPr w:rsidR="00782D3A" w:rsidRPr="00E15C02" w:rsidSect="004B536C">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CD" w:rsidRDefault="00F127CD">
      <w:r>
        <w:separator/>
      </w:r>
    </w:p>
  </w:endnote>
  <w:endnote w:type="continuationSeparator" w:id="0">
    <w:p w:rsidR="00F127CD" w:rsidRDefault="00F1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F03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5783">
      <w:rPr>
        <w:rStyle w:val="Nmerodepgina"/>
        <w:noProof/>
      </w:rPr>
      <w:t>2</w:t>
    </w:r>
    <w:r>
      <w:rPr>
        <w:rStyle w:val="Nmerodepgina"/>
      </w:rPr>
      <w:fldChar w:fldCharType="end"/>
    </w:r>
  </w:p>
  <w:p w:rsidR="00F0306B" w:rsidRDefault="00F03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CD" w:rsidRDefault="00F127CD">
      <w:r>
        <w:separator/>
      </w:r>
    </w:p>
  </w:footnote>
  <w:footnote w:type="continuationSeparator" w:id="0">
    <w:p w:rsidR="00F127CD" w:rsidRDefault="00F12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1663FE"/>
    <w:multiLevelType w:val="hybridMultilevel"/>
    <w:tmpl w:val="EA66C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543965FD"/>
    <w:multiLevelType w:val="hybridMultilevel"/>
    <w:tmpl w:val="B6C66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3"/>
  </w:num>
  <w:num w:numId="3">
    <w:abstractNumId w:val="8"/>
  </w:num>
  <w:num w:numId="4">
    <w:abstractNumId w:val="16"/>
  </w:num>
  <w:num w:numId="5">
    <w:abstractNumId w:val="9"/>
  </w:num>
  <w:num w:numId="6">
    <w:abstractNumId w:val="17"/>
  </w:num>
  <w:num w:numId="7">
    <w:abstractNumId w:val="11"/>
  </w:num>
  <w:num w:numId="8">
    <w:abstractNumId w:val="0"/>
  </w:num>
  <w:num w:numId="9">
    <w:abstractNumId w:val="19"/>
  </w:num>
  <w:num w:numId="10">
    <w:abstractNumId w:val="23"/>
  </w:num>
  <w:num w:numId="11">
    <w:abstractNumId w:val="21"/>
  </w:num>
  <w:num w:numId="12">
    <w:abstractNumId w:val="20"/>
  </w:num>
  <w:num w:numId="13">
    <w:abstractNumId w:val="12"/>
  </w:num>
  <w:num w:numId="14">
    <w:abstractNumId w:val="18"/>
  </w:num>
  <w:num w:numId="15">
    <w:abstractNumId w:val="2"/>
  </w:num>
  <w:num w:numId="16">
    <w:abstractNumId w:val="7"/>
  </w:num>
  <w:num w:numId="17">
    <w:abstractNumId w:val="3"/>
  </w:num>
  <w:num w:numId="18">
    <w:abstractNumId w:val="5"/>
  </w:num>
  <w:num w:numId="19">
    <w:abstractNumId w:val="15"/>
  </w:num>
  <w:num w:numId="20">
    <w:abstractNumId w:val="1"/>
  </w:num>
  <w:num w:numId="21">
    <w:abstractNumId w:val="6"/>
  </w:num>
  <w:num w:numId="22">
    <w:abstractNumId w:val="1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5FE7"/>
    <w:rsid w:val="00031AD6"/>
    <w:rsid w:val="0003459A"/>
    <w:rsid w:val="000471DC"/>
    <w:rsid w:val="00055D56"/>
    <w:rsid w:val="00080EDF"/>
    <w:rsid w:val="00085817"/>
    <w:rsid w:val="00087702"/>
    <w:rsid w:val="0009080D"/>
    <w:rsid w:val="0009221C"/>
    <w:rsid w:val="00095044"/>
    <w:rsid w:val="00095BCE"/>
    <w:rsid w:val="000A56AE"/>
    <w:rsid w:val="000A681C"/>
    <w:rsid w:val="000B2D41"/>
    <w:rsid w:val="000C6E42"/>
    <w:rsid w:val="00103495"/>
    <w:rsid w:val="00107A5B"/>
    <w:rsid w:val="001103D7"/>
    <w:rsid w:val="00115AFF"/>
    <w:rsid w:val="00121694"/>
    <w:rsid w:val="0012673F"/>
    <w:rsid w:val="00156484"/>
    <w:rsid w:val="00173C9C"/>
    <w:rsid w:val="001811C6"/>
    <w:rsid w:val="001A16A0"/>
    <w:rsid w:val="001A56E3"/>
    <w:rsid w:val="001A7ABE"/>
    <w:rsid w:val="001B051C"/>
    <w:rsid w:val="001B1BBE"/>
    <w:rsid w:val="001C0EBE"/>
    <w:rsid w:val="001C332E"/>
    <w:rsid w:val="001C3B62"/>
    <w:rsid w:val="001D0F0B"/>
    <w:rsid w:val="001D1D11"/>
    <w:rsid w:val="001D688D"/>
    <w:rsid w:val="001E6555"/>
    <w:rsid w:val="00201C0A"/>
    <w:rsid w:val="00210B65"/>
    <w:rsid w:val="00221E3E"/>
    <w:rsid w:val="002228D3"/>
    <w:rsid w:val="00222EC4"/>
    <w:rsid w:val="00231DFB"/>
    <w:rsid w:val="00233C49"/>
    <w:rsid w:val="00234FC1"/>
    <w:rsid w:val="00253F96"/>
    <w:rsid w:val="002551FF"/>
    <w:rsid w:val="0025601E"/>
    <w:rsid w:val="002643DF"/>
    <w:rsid w:val="0028043A"/>
    <w:rsid w:val="00283CAB"/>
    <w:rsid w:val="002C7A6B"/>
    <w:rsid w:val="002F2E49"/>
    <w:rsid w:val="003021B2"/>
    <w:rsid w:val="003224A8"/>
    <w:rsid w:val="003245A0"/>
    <w:rsid w:val="00326D68"/>
    <w:rsid w:val="003325AA"/>
    <w:rsid w:val="00363522"/>
    <w:rsid w:val="003720CF"/>
    <w:rsid w:val="003A53D9"/>
    <w:rsid w:val="003A6AB6"/>
    <w:rsid w:val="003B67F2"/>
    <w:rsid w:val="003D4F25"/>
    <w:rsid w:val="00411366"/>
    <w:rsid w:val="00421A82"/>
    <w:rsid w:val="00423330"/>
    <w:rsid w:val="00463148"/>
    <w:rsid w:val="00471AC1"/>
    <w:rsid w:val="00496E67"/>
    <w:rsid w:val="00497A9F"/>
    <w:rsid w:val="004A1075"/>
    <w:rsid w:val="004A5462"/>
    <w:rsid w:val="004A7232"/>
    <w:rsid w:val="004B536C"/>
    <w:rsid w:val="004C10F3"/>
    <w:rsid w:val="004C1DC8"/>
    <w:rsid w:val="004C4FC3"/>
    <w:rsid w:val="004C5D20"/>
    <w:rsid w:val="004C7FD6"/>
    <w:rsid w:val="004D1C41"/>
    <w:rsid w:val="004D24A4"/>
    <w:rsid w:val="004E24AF"/>
    <w:rsid w:val="004E5FAC"/>
    <w:rsid w:val="00503C57"/>
    <w:rsid w:val="00504CB1"/>
    <w:rsid w:val="00510B20"/>
    <w:rsid w:val="0051471B"/>
    <w:rsid w:val="00527AE4"/>
    <w:rsid w:val="00534531"/>
    <w:rsid w:val="00554071"/>
    <w:rsid w:val="00554F04"/>
    <w:rsid w:val="00562945"/>
    <w:rsid w:val="0056523C"/>
    <w:rsid w:val="0056685B"/>
    <w:rsid w:val="00571A61"/>
    <w:rsid w:val="00583F42"/>
    <w:rsid w:val="00593D49"/>
    <w:rsid w:val="00594BBA"/>
    <w:rsid w:val="005A6189"/>
    <w:rsid w:val="005B4CD3"/>
    <w:rsid w:val="005B6D57"/>
    <w:rsid w:val="005C432E"/>
    <w:rsid w:val="005D0315"/>
    <w:rsid w:val="005D6C17"/>
    <w:rsid w:val="005D73E1"/>
    <w:rsid w:val="005F1C18"/>
    <w:rsid w:val="005F3741"/>
    <w:rsid w:val="0060110F"/>
    <w:rsid w:val="00601BB9"/>
    <w:rsid w:val="006235BE"/>
    <w:rsid w:val="006532E4"/>
    <w:rsid w:val="00675F6A"/>
    <w:rsid w:val="00676EB0"/>
    <w:rsid w:val="00676FC1"/>
    <w:rsid w:val="006959D3"/>
    <w:rsid w:val="006A38A3"/>
    <w:rsid w:val="006D7882"/>
    <w:rsid w:val="006E0E51"/>
    <w:rsid w:val="00705E20"/>
    <w:rsid w:val="0070606F"/>
    <w:rsid w:val="007145A4"/>
    <w:rsid w:val="00757AFF"/>
    <w:rsid w:val="00760339"/>
    <w:rsid w:val="00762F4A"/>
    <w:rsid w:val="00777535"/>
    <w:rsid w:val="00777A28"/>
    <w:rsid w:val="00782D3A"/>
    <w:rsid w:val="007921DE"/>
    <w:rsid w:val="007A7DE2"/>
    <w:rsid w:val="007E7A37"/>
    <w:rsid w:val="007F721C"/>
    <w:rsid w:val="00800F64"/>
    <w:rsid w:val="00817723"/>
    <w:rsid w:val="008229C8"/>
    <w:rsid w:val="0083123E"/>
    <w:rsid w:val="00832A84"/>
    <w:rsid w:val="0083571A"/>
    <w:rsid w:val="0084245B"/>
    <w:rsid w:val="008508E3"/>
    <w:rsid w:val="0085230D"/>
    <w:rsid w:val="00853607"/>
    <w:rsid w:val="0086126A"/>
    <w:rsid w:val="00864105"/>
    <w:rsid w:val="0086564D"/>
    <w:rsid w:val="0086762A"/>
    <w:rsid w:val="00872948"/>
    <w:rsid w:val="008768A2"/>
    <w:rsid w:val="00880685"/>
    <w:rsid w:val="00891AF1"/>
    <w:rsid w:val="008A3902"/>
    <w:rsid w:val="008C09D3"/>
    <w:rsid w:val="008C29B3"/>
    <w:rsid w:val="008F0F3E"/>
    <w:rsid w:val="008F5548"/>
    <w:rsid w:val="009046D3"/>
    <w:rsid w:val="00905052"/>
    <w:rsid w:val="00916332"/>
    <w:rsid w:val="0092576C"/>
    <w:rsid w:val="0094648D"/>
    <w:rsid w:val="00974F0D"/>
    <w:rsid w:val="00993F8A"/>
    <w:rsid w:val="009A1FF7"/>
    <w:rsid w:val="009A54E6"/>
    <w:rsid w:val="009B280C"/>
    <w:rsid w:val="009D0461"/>
    <w:rsid w:val="009F40F9"/>
    <w:rsid w:val="00A01BB0"/>
    <w:rsid w:val="00A14181"/>
    <w:rsid w:val="00A22CC1"/>
    <w:rsid w:val="00A25CE2"/>
    <w:rsid w:val="00A33025"/>
    <w:rsid w:val="00A541A3"/>
    <w:rsid w:val="00A717A9"/>
    <w:rsid w:val="00A73491"/>
    <w:rsid w:val="00A7446C"/>
    <w:rsid w:val="00A7792B"/>
    <w:rsid w:val="00A90B60"/>
    <w:rsid w:val="00A92BAB"/>
    <w:rsid w:val="00A97FA1"/>
    <w:rsid w:val="00AC143D"/>
    <w:rsid w:val="00AC1565"/>
    <w:rsid w:val="00AC64F9"/>
    <w:rsid w:val="00AD141F"/>
    <w:rsid w:val="00AD4352"/>
    <w:rsid w:val="00AE4607"/>
    <w:rsid w:val="00AF3DD2"/>
    <w:rsid w:val="00AF5FA9"/>
    <w:rsid w:val="00B0436C"/>
    <w:rsid w:val="00B42A97"/>
    <w:rsid w:val="00B43BEF"/>
    <w:rsid w:val="00B517E1"/>
    <w:rsid w:val="00B52E48"/>
    <w:rsid w:val="00B629B3"/>
    <w:rsid w:val="00B64E2A"/>
    <w:rsid w:val="00B7056E"/>
    <w:rsid w:val="00B74E4D"/>
    <w:rsid w:val="00B92B26"/>
    <w:rsid w:val="00BD21AA"/>
    <w:rsid w:val="00C213B4"/>
    <w:rsid w:val="00C2296F"/>
    <w:rsid w:val="00C24428"/>
    <w:rsid w:val="00C4311E"/>
    <w:rsid w:val="00C5427A"/>
    <w:rsid w:val="00C64469"/>
    <w:rsid w:val="00C76801"/>
    <w:rsid w:val="00C83E77"/>
    <w:rsid w:val="00C842BE"/>
    <w:rsid w:val="00C86633"/>
    <w:rsid w:val="00C9423D"/>
    <w:rsid w:val="00CB739E"/>
    <w:rsid w:val="00CD2BBF"/>
    <w:rsid w:val="00CD59F2"/>
    <w:rsid w:val="00CF6C5C"/>
    <w:rsid w:val="00D02A91"/>
    <w:rsid w:val="00D03D70"/>
    <w:rsid w:val="00D14814"/>
    <w:rsid w:val="00D308BA"/>
    <w:rsid w:val="00D67870"/>
    <w:rsid w:val="00D75804"/>
    <w:rsid w:val="00D80C31"/>
    <w:rsid w:val="00D83073"/>
    <w:rsid w:val="00D84A29"/>
    <w:rsid w:val="00D935F4"/>
    <w:rsid w:val="00D93C01"/>
    <w:rsid w:val="00DB49AA"/>
    <w:rsid w:val="00DC0E7B"/>
    <w:rsid w:val="00DC1551"/>
    <w:rsid w:val="00DC74B9"/>
    <w:rsid w:val="00DE0FDF"/>
    <w:rsid w:val="00DF58E1"/>
    <w:rsid w:val="00E03CAC"/>
    <w:rsid w:val="00E068D8"/>
    <w:rsid w:val="00E148E0"/>
    <w:rsid w:val="00E15C02"/>
    <w:rsid w:val="00E178A4"/>
    <w:rsid w:val="00E25ADB"/>
    <w:rsid w:val="00E314D4"/>
    <w:rsid w:val="00E5059E"/>
    <w:rsid w:val="00E5165C"/>
    <w:rsid w:val="00E568CD"/>
    <w:rsid w:val="00E612B4"/>
    <w:rsid w:val="00E62799"/>
    <w:rsid w:val="00E63B7B"/>
    <w:rsid w:val="00E63E9B"/>
    <w:rsid w:val="00E71BA8"/>
    <w:rsid w:val="00E8735A"/>
    <w:rsid w:val="00E9440F"/>
    <w:rsid w:val="00EA5783"/>
    <w:rsid w:val="00EB3E16"/>
    <w:rsid w:val="00EB620B"/>
    <w:rsid w:val="00EC047D"/>
    <w:rsid w:val="00ED79BB"/>
    <w:rsid w:val="00F01155"/>
    <w:rsid w:val="00F02782"/>
    <w:rsid w:val="00F0306B"/>
    <w:rsid w:val="00F127CD"/>
    <w:rsid w:val="00F13218"/>
    <w:rsid w:val="00F17120"/>
    <w:rsid w:val="00F21178"/>
    <w:rsid w:val="00F233A1"/>
    <w:rsid w:val="00F308E1"/>
    <w:rsid w:val="00F43092"/>
    <w:rsid w:val="00F44F7C"/>
    <w:rsid w:val="00F45DDF"/>
    <w:rsid w:val="00F47ADB"/>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 w:val="00FD6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9C031C-9F58-433F-9AD9-4199A3D3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Ref. de nota al pie1,Texto de nota al pie,Footnote Text Char Char Char Char Char,Footnote Text Char Char Char Char,FA Fu,Footnote Text Char Char Char,referencia nota al pie,Footnote Text Char"/>
    <w:basedOn w:val="Normal"/>
    <w:link w:val="TextonotapieCar1"/>
    <w:uiPriority w:val="99"/>
    <w:rPr>
      <w:sz w:val="20"/>
      <w:szCs w:val="20"/>
    </w:rPr>
  </w:style>
  <w:style w:type="character" w:styleId="Refdenotaalpie">
    <w:name w:val="footnote reference"/>
    <w:uiPriority w:val="99"/>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Ref. de nota al pie1 Car1,Texto de nota al pie Car1,Footnote Text Char Char Char Char Char Car1,Footnote Text Char Char Char Char Car1,FA Fu Car1,Footnote Text Char Char Char Car1,referencia nota al pie Car1"/>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Fuentedeprrafopredeter"/>
    <w:rsid w:val="00503C57"/>
  </w:style>
  <w:style w:type="paragraph" w:styleId="Textodeglobo">
    <w:name w:val="Balloon Text"/>
    <w:basedOn w:val="Normal"/>
    <w:link w:val="TextodegloboCar"/>
    <w:rsid w:val="00C842BE"/>
    <w:rPr>
      <w:rFonts w:ascii="Segoe UI" w:hAnsi="Segoe UI" w:cs="Segoe UI"/>
      <w:sz w:val="18"/>
      <w:szCs w:val="18"/>
    </w:rPr>
  </w:style>
  <w:style w:type="character" w:customStyle="1" w:styleId="TextodegloboCar">
    <w:name w:val="Texto de globo Car"/>
    <w:basedOn w:val="Fuentedeprrafopredeter"/>
    <w:link w:val="Textodeglobo"/>
    <w:rsid w:val="00C842BE"/>
    <w:rPr>
      <w:rFonts w:ascii="Segoe UI" w:hAnsi="Segoe UI" w:cs="Segoe UI"/>
      <w:sz w:val="18"/>
      <w:szCs w:val="18"/>
    </w:rPr>
  </w:style>
  <w:style w:type="character" w:customStyle="1" w:styleId="PuestoCar">
    <w:name w:val="Puesto Car"/>
    <w:basedOn w:val="Fuentedeprrafopredeter"/>
    <w:link w:val="Puesto"/>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Fuentedeprrafopredeter"/>
    <w:uiPriority w:val="99"/>
    <w:rsid w:val="0012673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inespaciado">
    <w:name w:val="No Spacing"/>
    <w:link w:val="SinespaciadoCar"/>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 w:type="character" w:customStyle="1" w:styleId="SinespaciadoCar">
    <w:name w:val="Sin espaciado Car"/>
    <w:link w:val="Sinespaciado"/>
    <w:uiPriority w:val="1"/>
    <w:locked/>
    <w:rsid w:val="00EA5783"/>
    <w:rPr>
      <w:rFonts w:asciiTheme="minorHAnsi" w:eastAsiaTheme="minorHAnsi" w:hAnsi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18066">
      <w:bodyDiv w:val="1"/>
      <w:marLeft w:val="0"/>
      <w:marRight w:val="0"/>
      <w:marTop w:val="0"/>
      <w:marBottom w:val="0"/>
      <w:divBdr>
        <w:top w:val="none" w:sz="0" w:space="0" w:color="auto"/>
        <w:left w:val="none" w:sz="0" w:space="0" w:color="auto"/>
        <w:bottom w:val="none" w:sz="0" w:space="0" w:color="auto"/>
        <w:right w:val="none" w:sz="0" w:space="0" w:color="auto"/>
      </w:divBdr>
    </w:div>
    <w:div w:id="1634941078">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235B-4DE8-494C-84EA-EF3CB88C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1178</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12</cp:revision>
  <cp:lastPrinted>2017-12-18T19:28:00Z</cp:lastPrinted>
  <dcterms:created xsi:type="dcterms:W3CDTF">2016-09-19T18:41:00Z</dcterms:created>
  <dcterms:modified xsi:type="dcterms:W3CDTF">2018-01-24T13:39:00Z</dcterms:modified>
</cp:coreProperties>
</file>