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48" w:rsidRPr="00AA21A5" w:rsidRDefault="00ED7648" w:rsidP="00ED764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ED7648" w:rsidRPr="00AA21A5" w:rsidRDefault="00ED7648" w:rsidP="00ED764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ED7648" w:rsidRDefault="00ED7648" w:rsidP="00F017BF">
      <w:pPr>
        <w:spacing w:line="276" w:lineRule="auto"/>
        <w:ind w:left="1416" w:firstLine="708"/>
        <w:jc w:val="both"/>
        <w:rPr>
          <w:rFonts w:ascii="Arial" w:hAnsi="Arial" w:cs="Arial"/>
          <w:b/>
          <w:sz w:val="18"/>
          <w:szCs w:val="18"/>
        </w:rPr>
      </w:pPr>
    </w:p>
    <w:p w:rsidR="00226D5F" w:rsidRPr="007C5A02" w:rsidRDefault="00226D5F" w:rsidP="00ED7648">
      <w:pPr>
        <w:spacing w:line="276" w:lineRule="auto"/>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ED7648">
        <w:rPr>
          <w:rFonts w:ascii="Arial" w:hAnsi="Arial" w:cs="Arial"/>
          <w:sz w:val="18"/>
          <w:szCs w:val="18"/>
        </w:rPr>
        <w:tab/>
        <w:t>Sentencia – 2ª instancia – 18 de abril de 2017</w:t>
      </w:r>
    </w:p>
    <w:p w:rsidR="00ED7648" w:rsidRPr="00ED7648" w:rsidRDefault="00ED7648" w:rsidP="00ED7648">
      <w:pPr>
        <w:spacing w:line="276" w:lineRule="auto"/>
        <w:jc w:val="both"/>
        <w:rPr>
          <w:rFonts w:ascii="Arial" w:hAnsi="Arial" w:cs="Arial"/>
          <w:iCs/>
          <w:sz w:val="18"/>
          <w:szCs w:val="18"/>
          <w:lang w:val="es-CO"/>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 xml:space="preserve">Ordinario Laboral – Confirma sentencia que </w:t>
      </w:r>
      <w:proofErr w:type="spellStart"/>
      <w:r>
        <w:rPr>
          <w:rFonts w:ascii="Arial" w:hAnsi="Arial" w:cs="Arial"/>
          <w:iCs/>
          <w:sz w:val="18"/>
          <w:szCs w:val="18"/>
        </w:rPr>
        <w:t>accedi</w:t>
      </w:r>
      <w:proofErr w:type="spellEnd"/>
      <w:r w:rsidRPr="00ED7648">
        <w:rPr>
          <w:rFonts w:ascii="Arial" w:hAnsi="Arial" w:cs="Arial"/>
          <w:iCs/>
          <w:sz w:val="18"/>
          <w:szCs w:val="18"/>
          <w:lang w:val="es-CO"/>
        </w:rPr>
        <w:t>ó a las pretensiones</w:t>
      </w:r>
    </w:p>
    <w:p w:rsidR="00226D5F" w:rsidRPr="007C5A02" w:rsidRDefault="00226D5F" w:rsidP="00ED7648">
      <w:pPr>
        <w:spacing w:line="276" w:lineRule="auto"/>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3B2C80">
        <w:rPr>
          <w:rFonts w:ascii="Arial" w:hAnsi="Arial" w:cs="Arial"/>
          <w:bCs/>
          <w:sz w:val="18"/>
          <w:szCs w:val="18"/>
        </w:rPr>
        <w:t>0</w:t>
      </w:r>
      <w:r w:rsidR="00A46D15">
        <w:rPr>
          <w:rFonts w:ascii="Arial" w:hAnsi="Arial" w:cs="Arial"/>
          <w:bCs/>
          <w:sz w:val="18"/>
          <w:szCs w:val="18"/>
        </w:rPr>
        <w:t>3</w:t>
      </w:r>
      <w:r w:rsidR="00290C0B">
        <w:rPr>
          <w:rFonts w:ascii="Arial" w:hAnsi="Arial" w:cs="Arial"/>
          <w:bCs/>
          <w:sz w:val="18"/>
          <w:szCs w:val="18"/>
        </w:rPr>
        <w:t>-201</w:t>
      </w:r>
      <w:r w:rsidR="00A46D15">
        <w:rPr>
          <w:rFonts w:ascii="Arial" w:hAnsi="Arial" w:cs="Arial"/>
          <w:bCs/>
          <w:sz w:val="18"/>
          <w:szCs w:val="18"/>
        </w:rPr>
        <w:t>5</w:t>
      </w:r>
      <w:r w:rsidRPr="007C5A02">
        <w:rPr>
          <w:rFonts w:ascii="Arial" w:hAnsi="Arial" w:cs="Arial"/>
          <w:bCs/>
          <w:sz w:val="18"/>
          <w:szCs w:val="18"/>
        </w:rPr>
        <w:t>-00</w:t>
      </w:r>
      <w:r w:rsidR="00A46D15">
        <w:rPr>
          <w:rFonts w:ascii="Arial" w:hAnsi="Arial" w:cs="Arial"/>
          <w:bCs/>
          <w:sz w:val="18"/>
          <w:szCs w:val="18"/>
        </w:rPr>
        <w:t>438</w:t>
      </w:r>
      <w:r w:rsidRPr="007C5A02">
        <w:rPr>
          <w:rFonts w:ascii="Arial" w:hAnsi="Arial" w:cs="Arial"/>
          <w:bCs/>
          <w:sz w:val="18"/>
          <w:szCs w:val="18"/>
        </w:rPr>
        <w:t>-01</w:t>
      </w:r>
    </w:p>
    <w:p w:rsidR="00226D5F" w:rsidRPr="007C5A02" w:rsidRDefault="00226D5F" w:rsidP="00ED7648">
      <w:pPr>
        <w:spacing w:line="276" w:lineRule="auto"/>
        <w:ind w:left="2124" w:hanging="2124"/>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proofErr w:type="spellStart"/>
      <w:r w:rsidR="00A46D15">
        <w:rPr>
          <w:rFonts w:ascii="Arial" w:hAnsi="Arial" w:cs="Arial"/>
          <w:iCs/>
          <w:sz w:val="18"/>
          <w:szCs w:val="18"/>
        </w:rPr>
        <w:t>Marili</w:t>
      </w:r>
      <w:proofErr w:type="spellEnd"/>
      <w:r w:rsidR="00A46D15">
        <w:rPr>
          <w:rFonts w:ascii="Arial" w:hAnsi="Arial" w:cs="Arial"/>
          <w:iCs/>
          <w:sz w:val="18"/>
          <w:szCs w:val="18"/>
        </w:rPr>
        <w:t xml:space="preserve"> </w:t>
      </w:r>
      <w:proofErr w:type="spellStart"/>
      <w:r w:rsidR="00A46D15">
        <w:rPr>
          <w:rFonts w:ascii="Arial" w:hAnsi="Arial" w:cs="Arial"/>
          <w:iCs/>
          <w:sz w:val="18"/>
          <w:szCs w:val="18"/>
        </w:rPr>
        <w:t>Guasarave</w:t>
      </w:r>
      <w:proofErr w:type="spellEnd"/>
      <w:r w:rsidR="00A46D15">
        <w:rPr>
          <w:rFonts w:ascii="Arial" w:hAnsi="Arial" w:cs="Arial"/>
          <w:iCs/>
          <w:sz w:val="18"/>
          <w:szCs w:val="18"/>
        </w:rPr>
        <w:t xml:space="preserve"> </w:t>
      </w:r>
      <w:proofErr w:type="spellStart"/>
      <w:r w:rsidR="00A46D15">
        <w:rPr>
          <w:rFonts w:ascii="Arial" w:hAnsi="Arial" w:cs="Arial"/>
          <w:iCs/>
          <w:sz w:val="18"/>
          <w:szCs w:val="18"/>
        </w:rPr>
        <w:t>Guasarave</w:t>
      </w:r>
      <w:proofErr w:type="spellEnd"/>
      <w:r w:rsidR="004B1300">
        <w:rPr>
          <w:rFonts w:ascii="Arial" w:hAnsi="Arial" w:cs="Arial"/>
          <w:iCs/>
          <w:sz w:val="18"/>
          <w:szCs w:val="18"/>
        </w:rPr>
        <w:t xml:space="preserve"> (</w:t>
      </w:r>
      <w:r w:rsidR="00A46D15">
        <w:rPr>
          <w:rFonts w:ascii="Arial" w:hAnsi="Arial" w:cs="Arial"/>
          <w:iCs/>
          <w:sz w:val="18"/>
          <w:szCs w:val="18"/>
        </w:rPr>
        <w:t xml:space="preserve">Adrián Camilo Gutiérrez Guasarave y Gonzalo </w:t>
      </w:r>
      <w:r w:rsidR="00953536">
        <w:rPr>
          <w:rFonts w:ascii="Arial" w:hAnsi="Arial" w:cs="Arial"/>
          <w:iCs/>
          <w:sz w:val="18"/>
          <w:szCs w:val="18"/>
        </w:rPr>
        <w:t>Gutiérrez</w:t>
      </w:r>
      <w:r w:rsidR="00A46D15">
        <w:rPr>
          <w:rFonts w:ascii="Arial" w:hAnsi="Arial" w:cs="Arial"/>
          <w:iCs/>
          <w:sz w:val="18"/>
          <w:szCs w:val="18"/>
        </w:rPr>
        <w:t xml:space="preserve"> Guasarave</w:t>
      </w:r>
      <w:r w:rsidR="004B1300">
        <w:rPr>
          <w:rFonts w:ascii="Arial" w:hAnsi="Arial" w:cs="Arial"/>
          <w:iCs/>
          <w:sz w:val="18"/>
          <w:szCs w:val="18"/>
        </w:rPr>
        <w:t>)</w:t>
      </w:r>
    </w:p>
    <w:p w:rsidR="00226D5F" w:rsidRDefault="00226D5F" w:rsidP="00ED7648">
      <w:pPr>
        <w:spacing w:line="276" w:lineRule="auto"/>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A46D15">
        <w:rPr>
          <w:rFonts w:ascii="Arial" w:hAnsi="Arial" w:cs="Arial"/>
          <w:bCs/>
          <w:sz w:val="18"/>
          <w:szCs w:val="18"/>
        </w:rPr>
        <w:t>Ganadería y Central G</w:t>
      </w:r>
      <w:r w:rsidR="00953536">
        <w:rPr>
          <w:rFonts w:ascii="Arial" w:hAnsi="Arial" w:cs="Arial"/>
          <w:bCs/>
          <w:sz w:val="18"/>
          <w:szCs w:val="18"/>
        </w:rPr>
        <w:t>e</w:t>
      </w:r>
      <w:r w:rsidR="00A46D15">
        <w:rPr>
          <w:rFonts w:ascii="Arial" w:hAnsi="Arial" w:cs="Arial"/>
          <w:bCs/>
          <w:sz w:val="18"/>
          <w:szCs w:val="18"/>
        </w:rPr>
        <w:t>nética Boga S.A.S. – Porvenir</w:t>
      </w:r>
    </w:p>
    <w:p w:rsidR="00A46D15" w:rsidRPr="007C5A02" w:rsidRDefault="00A46D15" w:rsidP="00ED7648">
      <w:pPr>
        <w:spacing w:line="276" w:lineRule="auto"/>
        <w:jc w:val="both"/>
        <w:rPr>
          <w:rFonts w:ascii="Arial" w:hAnsi="Arial" w:cs="Arial"/>
          <w:bCs/>
          <w:sz w:val="18"/>
          <w:szCs w:val="18"/>
        </w:rPr>
      </w:pPr>
      <w:r>
        <w:rPr>
          <w:rFonts w:ascii="Arial" w:hAnsi="Arial" w:cs="Arial"/>
          <w:b/>
          <w:bCs/>
          <w:sz w:val="18"/>
          <w:szCs w:val="18"/>
        </w:rPr>
        <w:t>Llamado en garantía:</w:t>
      </w:r>
      <w:r>
        <w:rPr>
          <w:rFonts w:ascii="Arial" w:hAnsi="Arial" w:cs="Arial"/>
          <w:bCs/>
          <w:sz w:val="18"/>
          <w:szCs w:val="18"/>
        </w:rPr>
        <w:t xml:space="preserve"> </w:t>
      </w:r>
      <w:r>
        <w:rPr>
          <w:rFonts w:ascii="Arial" w:hAnsi="Arial" w:cs="Arial"/>
          <w:bCs/>
          <w:sz w:val="18"/>
          <w:szCs w:val="18"/>
        </w:rPr>
        <w:tab/>
        <w:t xml:space="preserve">Mapfre Colombia Seguros de Vida S.A. </w:t>
      </w:r>
    </w:p>
    <w:p w:rsidR="00226D5F" w:rsidRDefault="00226D5F" w:rsidP="00ED7648">
      <w:pPr>
        <w:spacing w:line="276" w:lineRule="auto"/>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46D15">
        <w:rPr>
          <w:rFonts w:ascii="Arial" w:hAnsi="Arial" w:cs="Arial"/>
          <w:sz w:val="18"/>
          <w:szCs w:val="18"/>
        </w:rPr>
        <w:t xml:space="preserve">Tercero </w:t>
      </w:r>
      <w:r w:rsidRPr="007C5A02">
        <w:rPr>
          <w:rFonts w:ascii="Arial" w:hAnsi="Arial" w:cs="Arial"/>
          <w:sz w:val="18"/>
          <w:szCs w:val="18"/>
        </w:rPr>
        <w:t>Laboral del Circuito de Pereira.</w:t>
      </w:r>
    </w:p>
    <w:p w:rsidR="00ED7648" w:rsidRPr="007C5A02" w:rsidRDefault="00ED7648" w:rsidP="00ED7648">
      <w:pPr>
        <w:spacing w:line="276" w:lineRule="auto"/>
        <w:jc w:val="both"/>
        <w:rPr>
          <w:rFonts w:ascii="Arial" w:hAnsi="Arial" w:cs="Arial"/>
          <w:sz w:val="18"/>
          <w:szCs w:val="18"/>
        </w:rPr>
      </w:pPr>
    </w:p>
    <w:p w:rsidR="00ED7648" w:rsidRPr="00ED7648" w:rsidRDefault="00226D5F" w:rsidP="00ED7648">
      <w:pPr>
        <w:spacing w:line="276" w:lineRule="auto"/>
        <w:jc w:val="both"/>
        <w:rPr>
          <w:rFonts w:ascii="Arial" w:hAnsi="Arial" w:cs="Arial"/>
          <w:b/>
          <w:iCs/>
          <w:sz w:val="18"/>
          <w:szCs w:val="18"/>
          <w:lang w:val="es-ES"/>
        </w:rPr>
      </w:pPr>
      <w:r w:rsidRPr="00296EFA">
        <w:rPr>
          <w:rFonts w:ascii="Arial" w:hAnsi="Arial" w:cs="Arial"/>
          <w:b/>
          <w:bCs/>
          <w:sz w:val="18"/>
          <w:szCs w:val="18"/>
        </w:rPr>
        <w:t>Tema:</w:t>
      </w:r>
      <w:r w:rsidR="00ED7648">
        <w:rPr>
          <w:rFonts w:ascii="Arial" w:hAnsi="Arial" w:cs="Arial"/>
          <w:b/>
          <w:bCs/>
          <w:sz w:val="18"/>
          <w:szCs w:val="18"/>
        </w:rPr>
        <w:tab/>
      </w:r>
      <w:r w:rsidR="00ED7648">
        <w:rPr>
          <w:rFonts w:ascii="Arial" w:hAnsi="Arial" w:cs="Arial"/>
          <w:b/>
          <w:bCs/>
          <w:sz w:val="18"/>
          <w:szCs w:val="18"/>
        </w:rPr>
        <w:tab/>
      </w:r>
      <w:r w:rsidR="00ED7648">
        <w:rPr>
          <w:rFonts w:ascii="Arial" w:hAnsi="Arial" w:cs="Arial"/>
          <w:b/>
          <w:bCs/>
          <w:sz w:val="18"/>
          <w:szCs w:val="18"/>
        </w:rPr>
        <w:tab/>
      </w:r>
      <w:r w:rsidR="00ED7648" w:rsidRPr="00F71145">
        <w:rPr>
          <w:rFonts w:ascii="Arial" w:hAnsi="Arial" w:cs="Arial"/>
          <w:b/>
          <w:bCs/>
          <w:sz w:val="18"/>
          <w:szCs w:val="18"/>
        </w:rPr>
        <w:t xml:space="preserve">PENSIÓN DE SOBREVIVIENTES – AFILIACIÓN TÁCITA AL SISTEMA PENSIONAL - </w:t>
      </w:r>
      <w:r w:rsidR="00ED7648" w:rsidRPr="00F71145">
        <w:rPr>
          <w:rFonts w:ascii="Arial" w:hAnsi="Arial" w:cs="Arial"/>
          <w:b/>
          <w:iCs/>
          <w:sz w:val="18"/>
          <w:szCs w:val="18"/>
        </w:rPr>
        <w:t>TEMPORALIDAD DEL DERECHO DEL CÓNYUGE SUPÉRSTITE A PERCIBIR LA PENSIÓN DE SOBREVIVIENTES – INTERESES MORATORIOS</w:t>
      </w:r>
      <w:r w:rsidR="00ED7648">
        <w:rPr>
          <w:rFonts w:ascii="Arial" w:hAnsi="Arial" w:cs="Arial"/>
          <w:b/>
          <w:iCs/>
          <w:sz w:val="18"/>
          <w:szCs w:val="18"/>
        </w:rPr>
        <w:t xml:space="preserve">. </w:t>
      </w:r>
      <w:r w:rsidR="00ED7648" w:rsidRPr="00ED7648">
        <w:rPr>
          <w:rFonts w:ascii="Arial" w:hAnsi="Arial" w:cs="Arial"/>
          <w:iCs/>
          <w:sz w:val="18"/>
          <w:szCs w:val="18"/>
        </w:rPr>
        <w:t>“</w:t>
      </w:r>
      <w:r w:rsidR="00ED7648" w:rsidRPr="00ED7648">
        <w:rPr>
          <w:rFonts w:ascii="Arial" w:hAnsi="Arial" w:cs="Arial"/>
          <w:iCs/>
          <w:sz w:val="18"/>
          <w:szCs w:val="18"/>
          <w:lang w:val="es-ES"/>
        </w:rPr>
        <w:t>Según el literal a) del artículo 47 de la Ley 100 de 1993, modificado por el 13 de la Ley 797 de 2003, tendrán derecho a la pensión de sobreviviente en forma vitalicia el cónyuge o la compañera o compañero permanente o supérstite, siempre y cuando dicho beneficiario, a la fecha del fallecimiento del causante, tenga 30 o más años de edad, por el contrario, según el literal b), lo será en forma temporal cuando tenga menos de esa edad y no haya procreado hijos con el causante y, aclara que si tiene hijos debe darse aplicación al literal a), es decir, que el derecho será vitalicio.”.</w:t>
      </w:r>
    </w:p>
    <w:p w:rsidR="000B2588" w:rsidRPr="00ED7648" w:rsidRDefault="000B2588" w:rsidP="00ED7648">
      <w:pPr>
        <w:spacing w:line="276" w:lineRule="auto"/>
        <w:jc w:val="both"/>
        <w:rPr>
          <w:rFonts w:ascii="Arial" w:hAnsi="Arial" w:cs="Arial"/>
          <w:b/>
          <w:bCs/>
          <w:sz w:val="18"/>
          <w:szCs w:val="18"/>
          <w:lang w:val="es-ES"/>
        </w:rPr>
      </w:pPr>
    </w:p>
    <w:p w:rsidR="00627977" w:rsidRDefault="00627977" w:rsidP="00F017BF">
      <w:pPr>
        <w:spacing w:line="276" w:lineRule="auto"/>
        <w:ind w:left="2127" w:hanging="1276"/>
        <w:jc w:val="center"/>
        <w:rPr>
          <w:rFonts w:ascii="Arial" w:hAnsi="Arial" w:cs="Arial"/>
          <w:iCs/>
          <w:sz w:val="18"/>
          <w:szCs w:val="18"/>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4B1300"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4B1300">
      <w:pPr>
        <w:spacing w:line="276" w:lineRule="auto"/>
        <w:jc w:val="both"/>
        <w:rPr>
          <w:rFonts w:ascii="Arial" w:hAnsi="Arial" w:cs="Arial"/>
          <w:bCs/>
          <w:iCs/>
          <w:szCs w:val="24"/>
        </w:rPr>
      </w:pPr>
      <w:r w:rsidRPr="00A46D15">
        <w:rPr>
          <w:rFonts w:ascii="Arial" w:eastAsia="Calibri" w:hAnsi="Arial" w:cs="Arial"/>
          <w:szCs w:val="24"/>
          <w:lang w:val="es-CO" w:eastAsia="en-US"/>
        </w:rPr>
        <w:t xml:space="preserve">En Pereira, a </w:t>
      </w:r>
      <w:r w:rsidRPr="004A0A0C">
        <w:rPr>
          <w:rFonts w:ascii="Arial" w:eastAsia="Calibri" w:hAnsi="Arial" w:cs="Arial"/>
          <w:szCs w:val="24"/>
          <w:lang w:val="es-CO" w:eastAsia="en-US"/>
        </w:rPr>
        <w:t xml:space="preserve">los </w:t>
      </w:r>
      <w:r w:rsidR="004A0A0C" w:rsidRPr="004A0A0C">
        <w:rPr>
          <w:rFonts w:ascii="Arial" w:eastAsia="Calibri" w:hAnsi="Arial" w:cs="Arial"/>
          <w:szCs w:val="24"/>
          <w:lang w:val="es-CO" w:eastAsia="en-US"/>
        </w:rPr>
        <w:t xml:space="preserve">dieciocho </w:t>
      </w:r>
      <w:r w:rsidRPr="004A0A0C">
        <w:rPr>
          <w:rFonts w:ascii="Arial" w:eastAsia="Calibri" w:hAnsi="Arial" w:cs="Arial"/>
          <w:szCs w:val="24"/>
          <w:lang w:val="es-CO" w:eastAsia="en-US"/>
        </w:rPr>
        <w:t>(</w:t>
      </w:r>
      <w:r w:rsidR="004A0A0C" w:rsidRPr="004A0A0C">
        <w:rPr>
          <w:rFonts w:ascii="Arial" w:eastAsia="Calibri" w:hAnsi="Arial" w:cs="Arial"/>
          <w:szCs w:val="24"/>
          <w:lang w:val="es-CO" w:eastAsia="en-US"/>
        </w:rPr>
        <w:t>18</w:t>
      </w:r>
      <w:r w:rsidRPr="004A0A0C">
        <w:rPr>
          <w:rFonts w:ascii="Arial" w:eastAsia="Calibri" w:hAnsi="Arial" w:cs="Arial"/>
          <w:szCs w:val="24"/>
          <w:lang w:val="es-CO" w:eastAsia="en-US"/>
        </w:rPr>
        <w:t xml:space="preserve">) días del mes de </w:t>
      </w:r>
      <w:r w:rsidR="00A46D15" w:rsidRPr="004A0A0C">
        <w:rPr>
          <w:rFonts w:ascii="Arial" w:eastAsia="Calibri" w:hAnsi="Arial" w:cs="Arial"/>
          <w:szCs w:val="24"/>
          <w:lang w:val="es-CO" w:eastAsia="en-US"/>
        </w:rPr>
        <w:t xml:space="preserve">abril </w:t>
      </w:r>
      <w:r w:rsidRPr="004A0A0C">
        <w:rPr>
          <w:rFonts w:ascii="Arial" w:eastAsia="Calibri" w:hAnsi="Arial" w:cs="Arial"/>
          <w:szCs w:val="24"/>
          <w:lang w:val="es-CO" w:eastAsia="en-US"/>
        </w:rPr>
        <w:t xml:space="preserve">de dos mil </w:t>
      </w:r>
      <w:r w:rsidR="007C5A02" w:rsidRPr="004A0A0C">
        <w:rPr>
          <w:rFonts w:ascii="Arial" w:eastAsia="Calibri" w:hAnsi="Arial" w:cs="Arial"/>
          <w:szCs w:val="24"/>
          <w:lang w:val="es-CO" w:eastAsia="en-US"/>
        </w:rPr>
        <w:t>diecis</w:t>
      </w:r>
      <w:r w:rsidR="00A46D15" w:rsidRPr="004A0A0C">
        <w:rPr>
          <w:rFonts w:ascii="Arial" w:eastAsia="Calibri" w:hAnsi="Arial" w:cs="Arial"/>
          <w:szCs w:val="24"/>
          <w:lang w:val="es-CO" w:eastAsia="en-US"/>
        </w:rPr>
        <w:t xml:space="preserve">iete </w:t>
      </w:r>
      <w:r w:rsidRPr="004A0A0C">
        <w:rPr>
          <w:rFonts w:ascii="Arial" w:eastAsia="Calibri" w:hAnsi="Arial" w:cs="Arial"/>
          <w:szCs w:val="24"/>
          <w:lang w:val="es-CO" w:eastAsia="en-US"/>
        </w:rPr>
        <w:t>(201</w:t>
      </w:r>
      <w:r w:rsidR="00A46D15" w:rsidRPr="004A0A0C">
        <w:rPr>
          <w:rFonts w:ascii="Arial" w:eastAsia="Calibri" w:hAnsi="Arial" w:cs="Arial"/>
          <w:szCs w:val="24"/>
          <w:lang w:val="es-CO" w:eastAsia="en-US"/>
        </w:rPr>
        <w:t>7</w:t>
      </w:r>
      <w:r w:rsidRPr="004A0A0C">
        <w:rPr>
          <w:rFonts w:ascii="Arial" w:eastAsia="Calibri" w:hAnsi="Arial" w:cs="Arial"/>
          <w:szCs w:val="24"/>
          <w:lang w:val="es-CO" w:eastAsia="en-US"/>
        </w:rPr>
        <w:t xml:space="preserve">), siendo las </w:t>
      </w:r>
      <w:r w:rsidR="004A0A0C" w:rsidRPr="004A0A0C">
        <w:rPr>
          <w:rFonts w:ascii="Arial" w:eastAsia="Calibri" w:hAnsi="Arial" w:cs="Arial"/>
          <w:szCs w:val="24"/>
          <w:lang w:val="es-CO" w:eastAsia="en-US"/>
        </w:rPr>
        <w:t xml:space="preserve">diez </w:t>
      </w:r>
      <w:r w:rsidR="00C1062A" w:rsidRPr="004A0A0C">
        <w:rPr>
          <w:rFonts w:ascii="Arial" w:eastAsia="Calibri" w:hAnsi="Arial" w:cs="Arial"/>
          <w:szCs w:val="24"/>
          <w:lang w:val="es-CO" w:eastAsia="en-US"/>
        </w:rPr>
        <w:t>de la mañana (</w:t>
      </w:r>
      <w:r w:rsidR="004A0A0C" w:rsidRPr="004A0A0C">
        <w:rPr>
          <w:rFonts w:ascii="Arial" w:eastAsia="Calibri" w:hAnsi="Arial" w:cs="Arial"/>
          <w:szCs w:val="24"/>
          <w:lang w:val="es-CO" w:eastAsia="en-US"/>
        </w:rPr>
        <w:t>10:00</w:t>
      </w:r>
      <w:r w:rsidR="002259BA" w:rsidRPr="004A0A0C">
        <w:rPr>
          <w:rFonts w:ascii="Arial" w:eastAsia="Calibri" w:hAnsi="Arial" w:cs="Arial"/>
          <w:szCs w:val="24"/>
          <w:lang w:val="es-CO" w:eastAsia="en-US"/>
        </w:rPr>
        <w:t xml:space="preserve"> </w:t>
      </w:r>
      <w:r w:rsidR="00C1062A" w:rsidRPr="004A0A0C">
        <w:rPr>
          <w:rFonts w:ascii="Arial" w:eastAsia="Calibri" w:hAnsi="Arial" w:cs="Arial"/>
          <w:szCs w:val="24"/>
          <w:lang w:val="es-CO" w:eastAsia="en-US"/>
        </w:rPr>
        <w:t>a.m.),</w:t>
      </w:r>
      <w:r w:rsidRPr="00A46D15">
        <w:rPr>
          <w:rFonts w:ascii="Arial" w:eastAsia="Calibri" w:hAnsi="Arial" w:cs="Arial"/>
          <w:szCs w:val="24"/>
          <w:lang w:val="es-CO" w:eastAsia="en-US"/>
        </w:rPr>
        <w:t xml:space="preserve"> </w:t>
      </w:r>
      <w:r w:rsidRPr="00A46D15">
        <w:rPr>
          <w:rFonts w:ascii="Arial" w:hAnsi="Arial" w:cs="Arial"/>
          <w:bCs/>
          <w:color w:val="000000"/>
          <w:szCs w:val="24"/>
          <w:lang w:eastAsia="es-CO"/>
        </w:rPr>
        <w:t>la Sala</w:t>
      </w:r>
      <w:r w:rsidR="007C5A02" w:rsidRPr="00A46D15">
        <w:rPr>
          <w:rFonts w:ascii="Arial" w:hAnsi="Arial" w:cs="Arial"/>
          <w:bCs/>
          <w:color w:val="000000"/>
          <w:szCs w:val="24"/>
          <w:lang w:eastAsia="es-CO"/>
        </w:rPr>
        <w:t xml:space="preserve"> Cuarta de Decisión Laboral del </w:t>
      </w:r>
      <w:r w:rsidRPr="00A46D15">
        <w:rPr>
          <w:rFonts w:ascii="Arial" w:hAnsi="Arial" w:cs="Arial"/>
          <w:bCs/>
          <w:color w:val="000000"/>
          <w:szCs w:val="24"/>
          <w:lang w:eastAsia="es-CO"/>
        </w:rPr>
        <w:t>Tribunal Superior de</w:t>
      </w:r>
      <w:r w:rsidR="007C5A02" w:rsidRPr="00A46D15">
        <w:rPr>
          <w:rFonts w:ascii="Arial" w:hAnsi="Arial" w:cs="Arial"/>
          <w:bCs/>
          <w:color w:val="000000"/>
          <w:szCs w:val="24"/>
          <w:lang w:eastAsia="es-CO"/>
        </w:rPr>
        <w:t>l Distrito Judicial de</w:t>
      </w:r>
      <w:r w:rsidRPr="00A46D15">
        <w:rPr>
          <w:rFonts w:ascii="Arial" w:hAnsi="Arial" w:cs="Arial"/>
          <w:bCs/>
          <w:color w:val="000000"/>
          <w:szCs w:val="24"/>
          <w:lang w:eastAsia="es-CO"/>
        </w:rPr>
        <w:t xml:space="preserve"> Pereira, </w:t>
      </w:r>
      <w:r w:rsidR="007C5A02" w:rsidRPr="00A46D15">
        <w:rPr>
          <w:rFonts w:ascii="Arial" w:hAnsi="Arial" w:cs="Arial"/>
          <w:bCs/>
          <w:color w:val="000000"/>
          <w:szCs w:val="24"/>
          <w:lang w:eastAsia="es-CO"/>
        </w:rPr>
        <w:t xml:space="preserve">se </w:t>
      </w:r>
      <w:r w:rsidRPr="00A46D15">
        <w:rPr>
          <w:rFonts w:ascii="Arial" w:hAnsi="Arial" w:cs="Arial"/>
          <w:bCs/>
          <w:color w:val="000000"/>
          <w:szCs w:val="24"/>
          <w:lang w:eastAsia="es-CO"/>
        </w:rPr>
        <w:t xml:space="preserve">declara </w:t>
      </w:r>
      <w:r w:rsidR="007C5A02" w:rsidRPr="00A46D15">
        <w:rPr>
          <w:rFonts w:ascii="Arial" w:hAnsi="Arial" w:cs="Arial"/>
          <w:bCs/>
          <w:color w:val="000000"/>
          <w:szCs w:val="24"/>
          <w:lang w:eastAsia="es-CO"/>
        </w:rPr>
        <w:t xml:space="preserve">en audiencia pública con el propósito de resolver </w:t>
      </w:r>
      <w:r w:rsidR="00A46D15" w:rsidRPr="00A46D15">
        <w:rPr>
          <w:rFonts w:ascii="Arial" w:hAnsi="Arial" w:cs="Arial"/>
          <w:bCs/>
          <w:color w:val="000000"/>
          <w:szCs w:val="24"/>
          <w:lang w:eastAsia="es-CO"/>
        </w:rPr>
        <w:t xml:space="preserve">los recursos de apelación </w:t>
      </w:r>
      <w:r w:rsidR="008261E9" w:rsidRPr="00A46D15">
        <w:rPr>
          <w:rFonts w:ascii="Arial" w:hAnsi="Arial" w:cs="Arial"/>
          <w:bCs/>
          <w:color w:val="000000"/>
          <w:szCs w:val="24"/>
          <w:lang w:eastAsia="es-CO"/>
        </w:rPr>
        <w:t xml:space="preserve">respecto de </w:t>
      </w:r>
      <w:r w:rsidRPr="00A46D15">
        <w:rPr>
          <w:rFonts w:ascii="Arial" w:hAnsi="Arial" w:cs="Arial"/>
          <w:bCs/>
          <w:color w:val="000000"/>
          <w:szCs w:val="24"/>
          <w:lang w:eastAsia="es-CO"/>
        </w:rPr>
        <w:t>la sentencia p</w:t>
      </w:r>
      <w:r w:rsidRPr="00A46D15">
        <w:rPr>
          <w:rFonts w:ascii="Arial" w:hAnsi="Arial" w:cs="Arial"/>
          <w:szCs w:val="24"/>
        </w:rPr>
        <w:t xml:space="preserve">roferida el </w:t>
      </w:r>
      <w:r w:rsidR="00A46D15" w:rsidRPr="00A46D15">
        <w:rPr>
          <w:rFonts w:ascii="Arial" w:hAnsi="Arial" w:cs="Arial"/>
          <w:szCs w:val="24"/>
        </w:rPr>
        <w:t xml:space="preserve">04 </w:t>
      </w:r>
      <w:r w:rsidRPr="00A46D15">
        <w:rPr>
          <w:rFonts w:ascii="Arial" w:hAnsi="Arial" w:cs="Arial"/>
          <w:szCs w:val="24"/>
        </w:rPr>
        <w:t xml:space="preserve">de </w:t>
      </w:r>
      <w:r w:rsidR="00A46D15" w:rsidRPr="00A46D15">
        <w:rPr>
          <w:rFonts w:ascii="Arial" w:hAnsi="Arial" w:cs="Arial"/>
          <w:szCs w:val="24"/>
        </w:rPr>
        <w:t xml:space="preserve">mayo </w:t>
      </w:r>
      <w:r w:rsidRPr="00A46D15">
        <w:rPr>
          <w:rFonts w:ascii="Arial" w:hAnsi="Arial" w:cs="Arial"/>
          <w:szCs w:val="24"/>
        </w:rPr>
        <w:t>de 201</w:t>
      </w:r>
      <w:r w:rsidR="00A46D15" w:rsidRPr="00A46D15">
        <w:rPr>
          <w:rFonts w:ascii="Arial" w:hAnsi="Arial" w:cs="Arial"/>
          <w:szCs w:val="24"/>
        </w:rPr>
        <w:t>6</w:t>
      </w:r>
      <w:r w:rsidRPr="00A46D15">
        <w:rPr>
          <w:rFonts w:ascii="Arial" w:hAnsi="Arial" w:cs="Arial"/>
          <w:szCs w:val="24"/>
        </w:rPr>
        <w:t xml:space="preserve"> por el Juzgado </w:t>
      </w:r>
      <w:r w:rsidR="00A46D15" w:rsidRPr="00A46D15">
        <w:rPr>
          <w:rFonts w:ascii="Arial" w:hAnsi="Arial" w:cs="Arial"/>
          <w:szCs w:val="24"/>
        </w:rPr>
        <w:t xml:space="preserve">Tercero </w:t>
      </w:r>
      <w:r w:rsidRPr="00A46D15">
        <w:rPr>
          <w:rFonts w:ascii="Arial" w:hAnsi="Arial" w:cs="Arial"/>
          <w:szCs w:val="24"/>
        </w:rPr>
        <w:t xml:space="preserve">Laboral del Circuito de Pereira, dentro del proceso </w:t>
      </w:r>
      <w:r w:rsidR="003440CA" w:rsidRPr="00A46D15">
        <w:rPr>
          <w:rFonts w:ascii="Arial" w:hAnsi="Arial" w:cs="Arial"/>
          <w:szCs w:val="24"/>
        </w:rPr>
        <w:t xml:space="preserve">que </w:t>
      </w:r>
      <w:r w:rsidRPr="00A46D15">
        <w:rPr>
          <w:rFonts w:ascii="Arial" w:hAnsi="Arial" w:cs="Arial"/>
          <w:szCs w:val="24"/>
        </w:rPr>
        <w:t>prom</w:t>
      </w:r>
      <w:r w:rsidR="003440CA" w:rsidRPr="00A46D15">
        <w:rPr>
          <w:rFonts w:ascii="Arial" w:hAnsi="Arial" w:cs="Arial"/>
          <w:szCs w:val="24"/>
        </w:rPr>
        <w:t xml:space="preserve">ueve la señora </w:t>
      </w:r>
      <w:proofErr w:type="spellStart"/>
      <w:r w:rsidR="00A46D15" w:rsidRPr="00A46D15">
        <w:rPr>
          <w:rFonts w:ascii="Arial" w:hAnsi="Arial" w:cs="Arial"/>
          <w:b/>
          <w:iCs/>
          <w:szCs w:val="24"/>
        </w:rPr>
        <w:t>Marili</w:t>
      </w:r>
      <w:proofErr w:type="spellEnd"/>
      <w:r w:rsidR="00A46D15" w:rsidRPr="00A46D15">
        <w:rPr>
          <w:rFonts w:ascii="Arial" w:hAnsi="Arial" w:cs="Arial"/>
          <w:b/>
          <w:iCs/>
          <w:szCs w:val="24"/>
        </w:rPr>
        <w:t xml:space="preserve"> </w:t>
      </w:r>
      <w:proofErr w:type="spellStart"/>
      <w:r w:rsidR="00A46D15" w:rsidRPr="00A46D15">
        <w:rPr>
          <w:rFonts w:ascii="Arial" w:hAnsi="Arial" w:cs="Arial"/>
          <w:b/>
          <w:iCs/>
          <w:szCs w:val="24"/>
        </w:rPr>
        <w:t>Guasarave</w:t>
      </w:r>
      <w:proofErr w:type="spellEnd"/>
      <w:r w:rsidR="00A46D15" w:rsidRPr="00A46D15">
        <w:rPr>
          <w:rFonts w:ascii="Arial" w:hAnsi="Arial" w:cs="Arial"/>
          <w:b/>
          <w:iCs/>
          <w:szCs w:val="24"/>
        </w:rPr>
        <w:t xml:space="preserve"> </w:t>
      </w:r>
      <w:proofErr w:type="spellStart"/>
      <w:r w:rsidR="00A46D15" w:rsidRPr="00A46D15">
        <w:rPr>
          <w:rFonts w:ascii="Arial" w:hAnsi="Arial" w:cs="Arial"/>
          <w:b/>
          <w:iCs/>
          <w:szCs w:val="24"/>
        </w:rPr>
        <w:t>Guasarave</w:t>
      </w:r>
      <w:proofErr w:type="spellEnd"/>
      <w:r w:rsidR="00A46D15" w:rsidRPr="00A46D15">
        <w:rPr>
          <w:rFonts w:ascii="Arial" w:hAnsi="Arial" w:cs="Arial"/>
          <w:b/>
          <w:iCs/>
          <w:szCs w:val="24"/>
        </w:rPr>
        <w:t xml:space="preserve"> </w:t>
      </w:r>
      <w:r w:rsidR="00A46D15" w:rsidRPr="00A46D15">
        <w:rPr>
          <w:rFonts w:ascii="Arial" w:hAnsi="Arial" w:cs="Arial"/>
          <w:szCs w:val="24"/>
        </w:rPr>
        <w:t>quien actúa en</w:t>
      </w:r>
      <w:r w:rsidR="005553FD">
        <w:rPr>
          <w:rFonts w:ascii="Arial" w:hAnsi="Arial" w:cs="Arial"/>
          <w:szCs w:val="24"/>
        </w:rPr>
        <w:t xml:space="preserve"> nombre propio y en</w:t>
      </w:r>
      <w:r w:rsidR="00A46D15" w:rsidRPr="00A46D15">
        <w:rPr>
          <w:rFonts w:ascii="Arial" w:hAnsi="Arial" w:cs="Arial"/>
          <w:szCs w:val="24"/>
        </w:rPr>
        <w:t xml:space="preserve"> representación de los </w:t>
      </w:r>
      <w:r w:rsidR="00A46D15" w:rsidRPr="000069BA">
        <w:rPr>
          <w:rFonts w:ascii="Arial" w:hAnsi="Arial" w:cs="Arial"/>
          <w:szCs w:val="24"/>
        </w:rPr>
        <w:t>menores</w:t>
      </w:r>
      <w:r w:rsidR="00A46D15" w:rsidRPr="00A46D15">
        <w:rPr>
          <w:rFonts w:ascii="Arial" w:hAnsi="Arial" w:cs="Arial"/>
          <w:b/>
          <w:szCs w:val="24"/>
        </w:rPr>
        <w:t xml:space="preserve"> </w:t>
      </w:r>
      <w:r w:rsidR="00A46D15" w:rsidRPr="00A46D15">
        <w:rPr>
          <w:rFonts w:ascii="Arial" w:hAnsi="Arial" w:cs="Arial"/>
          <w:b/>
          <w:iCs/>
          <w:szCs w:val="24"/>
        </w:rPr>
        <w:t xml:space="preserve">Adrián Camilo Gutiérrez Guasarave y Gonzalo </w:t>
      </w:r>
      <w:r w:rsidR="00953536" w:rsidRPr="00A46D15">
        <w:rPr>
          <w:rFonts w:ascii="Arial" w:hAnsi="Arial" w:cs="Arial"/>
          <w:b/>
          <w:iCs/>
          <w:szCs w:val="24"/>
        </w:rPr>
        <w:t>Gutiérrez</w:t>
      </w:r>
      <w:r w:rsidR="00A46D15" w:rsidRPr="00A46D15">
        <w:rPr>
          <w:rFonts w:ascii="Arial" w:hAnsi="Arial" w:cs="Arial"/>
          <w:b/>
          <w:iCs/>
          <w:szCs w:val="24"/>
        </w:rPr>
        <w:t xml:space="preserve"> Guasarave </w:t>
      </w:r>
      <w:r w:rsidR="00A46D15" w:rsidRPr="00A46D15">
        <w:rPr>
          <w:rFonts w:ascii="Arial" w:hAnsi="Arial" w:cs="Arial"/>
          <w:iCs/>
          <w:szCs w:val="24"/>
        </w:rPr>
        <w:t xml:space="preserve">en contra de </w:t>
      </w:r>
      <w:r w:rsidR="00A46D15" w:rsidRPr="00A46D15">
        <w:rPr>
          <w:rFonts w:ascii="Arial" w:hAnsi="Arial" w:cs="Arial"/>
          <w:b/>
          <w:bCs/>
          <w:szCs w:val="24"/>
        </w:rPr>
        <w:t xml:space="preserve">Ganadería y Central </w:t>
      </w:r>
      <w:r w:rsidR="00953536" w:rsidRPr="00A46D15">
        <w:rPr>
          <w:rFonts w:ascii="Arial" w:hAnsi="Arial" w:cs="Arial"/>
          <w:b/>
          <w:bCs/>
          <w:szCs w:val="24"/>
        </w:rPr>
        <w:t>Genética</w:t>
      </w:r>
      <w:r w:rsidR="00A46D15" w:rsidRPr="00A46D15">
        <w:rPr>
          <w:rFonts w:ascii="Arial" w:hAnsi="Arial" w:cs="Arial"/>
          <w:b/>
          <w:bCs/>
          <w:szCs w:val="24"/>
        </w:rPr>
        <w:t xml:space="preserve"> Boga S.A.S</w:t>
      </w:r>
      <w:r w:rsidR="00A46D15" w:rsidRPr="00A46D15">
        <w:rPr>
          <w:rFonts w:ascii="Arial" w:hAnsi="Arial" w:cs="Arial"/>
          <w:bCs/>
          <w:szCs w:val="24"/>
        </w:rPr>
        <w:t xml:space="preserve">. y la </w:t>
      </w:r>
      <w:r w:rsidR="00A46D15" w:rsidRPr="00A46D15">
        <w:rPr>
          <w:rFonts w:ascii="Arial" w:hAnsi="Arial" w:cs="Arial"/>
          <w:b/>
          <w:bCs/>
          <w:szCs w:val="24"/>
        </w:rPr>
        <w:t>Sociedad Administradora de Fondos de Pensiones y Cesantías Porvenir S.A</w:t>
      </w:r>
      <w:r w:rsidR="00A46D15" w:rsidRPr="00A46D15">
        <w:rPr>
          <w:rFonts w:ascii="Arial" w:hAnsi="Arial" w:cs="Arial"/>
          <w:bCs/>
          <w:szCs w:val="24"/>
        </w:rPr>
        <w:t xml:space="preserve">. y al que fue llamada en garantía </w:t>
      </w:r>
      <w:r w:rsidR="00A46D15" w:rsidRPr="00A46D15">
        <w:rPr>
          <w:rFonts w:ascii="Arial" w:hAnsi="Arial" w:cs="Arial"/>
          <w:b/>
          <w:bCs/>
          <w:szCs w:val="24"/>
        </w:rPr>
        <w:t>Mapfre Colombia Vida Seguros S.A.</w:t>
      </w:r>
      <w:r w:rsidR="004B1300">
        <w:rPr>
          <w:rFonts w:ascii="Arial" w:hAnsi="Arial" w:cs="Arial"/>
          <w:bCs/>
          <w:iCs/>
          <w:szCs w:val="24"/>
        </w:rPr>
        <w:t>, radicado bajo el N° 66001-31-</w:t>
      </w:r>
      <w:r w:rsidR="003B2C80">
        <w:rPr>
          <w:rFonts w:ascii="Arial" w:hAnsi="Arial" w:cs="Arial"/>
          <w:bCs/>
          <w:iCs/>
          <w:szCs w:val="24"/>
        </w:rPr>
        <w:t>05-00</w:t>
      </w:r>
      <w:r w:rsidR="00113078">
        <w:rPr>
          <w:rFonts w:ascii="Arial" w:hAnsi="Arial" w:cs="Arial"/>
          <w:bCs/>
          <w:iCs/>
          <w:szCs w:val="24"/>
        </w:rPr>
        <w:t>3-2015</w:t>
      </w:r>
      <w:r w:rsidR="003B2C80">
        <w:rPr>
          <w:rFonts w:ascii="Arial" w:hAnsi="Arial" w:cs="Arial"/>
          <w:bCs/>
          <w:iCs/>
          <w:szCs w:val="24"/>
        </w:rPr>
        <w:t>-00</w:t>
      </w:r>
      <w:r w:rsidR="00113078">
        <w:rPr>
          <w:rFonts w:ascii="Arial" w:hAnsi="Arial" w:cs="Arial"/>
          <w:bCs/>
          <w:iCs/>
          <w:szCs w:val="24"/>
        </w:rPr>
        <w:t>438</w:t>
      </w:r>
      <w:r w:rsidR="003B2C80">
        <w:rPr>
          <w:rFonts w:ascii="Arial" w:hAnsi="Arial" w:cs="Arial"/>
          <w:bCs/>
          <w:iCs/>
          <w:szCs w:val="24"/>
        </w:rPr>
        <w:t>-01</w:t>
      </w:r>
      <w:r w:rsidR="00C65FCA">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4B1300" w:rsidRPr="00502691" w:rsidRDefault="004B1300" w:rsidP="004B1300">
      <w:pPr>
        <w:spacing w:line="276" w:lineRule="auto"/>
        <w:rPr>
          <w:rFonts w:ascii="Arial" w:hAnsi="Arial" w:cs="Arial"/>
          <w:b/>
          <w:szCs w:val="24"/>
        </w:rPr>
      </w:pPr>
      <w:r w:rsidRPr="00502691">
        <w:rPr>
          <w:rFonts w:ascii="Arial" w:hAnsi="Arial" w:cs="Arial"/>
          <w:b/>
          <w:szCs w:val="24"/>
        </w:rPr>
        <w:t>Registro de asistencia:</w:t>
      </w:r>
    </w:p>
    <w:p w:rsidR="004B1300" w:rsidRDefault="004B1300" w:rsidP="004B1300">
      <w:pPr>
        <w:spacing w:line="276" w:lineRule="auto"/>
        <w:ind w:firstLine="851"/>
        <w:rPr>
          <w:rFonts w:ascii="Arial" w:hAnsi="Arial" w:cs="Arial"/>
          <w:szCs w:val="24"/>
        </w:rPr>
      </w:pPr>
    </w:p>
    <w:p w:rsidR="004B1300" w:rsidRDefault="004B1300" w:rsidP="004B1300">
      <w:pPr>
        <w:spacing w:line="276" w:lineRule="auto"/>
        <w:rPr>
          <w:rFonts w:ascii="Arial" w:hAnsi="Arial" w:cs="Arial"/>
          <w:szCs w:val="24"/>
        </w:rPr>
      </w:pPr>
      <w:r>
        <w:rPr>
          <w:rFonts w:ascii="Arial" w:hAnsi="Arial" w:cs="Arial"/>
          <w:szCs w:val="24"/>
        </w:rPr>
        <w:t xml:space="preserve">Demandante y su apoderada: </w:t>
      </w:r>
    </w:p>
    <w:p w:rsidR="004B1300" w:rsidRDefault="004B1300" w:rsidP="004B1300">
      <w:pPr>
        <w:spacing w:line="276" w:lineRule="auto"/>
        <w:rPr>
          <w:rFonts w:ascii="Arial" w:hAnsi="Arial" w:cs="Arial"/>
          <w:szCs w:val="24"/>
        </w:rPr>
      </w:pPr>
      <w:r>
        <w:rPr>
          <w:rFonts w:ascii="Arial" w:hAnsi="Arial" w:cs="Arial"/>
          <w:szCs w:val="24"/>
        </w:rPr>
        <w:t>Administradora Colombiana de Pensiones y su apoderada:</w:t>
      </w:r>
    </w:p>
    <w:p w:rsidR="004B1300" w:rsidRDefault="004B1300" w:rsidP="004B1300">
      <w:pPr>
        <w:spacing w:line="276" w:lineRule="auto"/>
        <w:ind w:firstLine="851"/>
        <w:rPr>
          <w:rFonts w:ascii="Arial" w:hAnsi="Arial" w:cs="Arial"/>
          <w:szCs w:val="24"/>
        </w:rPr>
      </w:pPr>
    </w:p>
    <w:p w:rsidR="004B1300" w:rsidRDefault="004B1300" w:rsidP="004B1300">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B1300" w:rsidRDefault="004B1300" w:rsidP="004B1300">
      <w:pPr>
        <w:spacing w:line="276" w:lineRule="auto"/>
        <w:jc w:val="both"/>
        <w:rPr>
          <w:rFonts w:ascii="Arial" w:hAnsi="Arial" w:cs="Arial"/>
          <w:b/>
          <w:szCs w:val="24"/>
        </w:rPr>
      </w:pPr>
    </w:p>
    <w:p w:rsidR="004B1300" w:rsidRDefault="004B1300" w:rsidP="004B1300">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B1300" w:rsidRDefault="004B1300" w:rsidP="004B1300">
      <w:pPr>
        <w:spacing w:line="276" w:lineRule="auto"/>
        <w:contextualSpacing/>
        <w:jc w:val="both"/>
        <w:rPr>
          <w:rFonts w:ascii="Arial" w:hAnsi="Arial" w:cs="Arial"/>
          <w:szCs w:val="24"/>
        </w:rPr>
      </w:pPr>
    </w:p>
    <w:p w:rsidR="004B1300" w:rsidRPr="00312238" w:rsidRDefault="004B1300" w:rsidP="004B1300">
      <w:pPr>
        <w:spacing w:line="276" w:lineRule="auto"/>
        <w:jc w:val="center"/>
        <w:rPr>
          <w:rFonts w:ascii="Arial" w:hAnsi="Arial" w:cs="Arial"/>
          <w:b/>
          <w:szCs w:val="24"/>
        </w:rPr>
      </w:pPr>
      <w:r>
        <w:rPr>
          <w:rFonts w:ascii="Arial" w:hAnsi="Arial" w:cs="Arial"/>
          <w:b/>
          <w:szCs w:val="24"/>
        </w:rPr>
        <w:lastRenderedPageBreak/>
        <w:t>ANTECEDENTES</w:t>
      </w:r>
    </w:p>
    <w:p w:rsidR="004B1300" w:rsidRDefault="004B1300" w:rsidP="004B1300">
      <w:pPr>
        <w:spacing w:line="276" w:lineRule="auto"/>
        <w:rPr>
          <w:rFonts w:ascii="Arial" w:hAnsi="Arial" w:cs="Arial"/>
          <w:b/>
          <w:szCs w:val="24"/>
        </w:rPr>
      </w:pPr>
    </w:p>
    <w:p w:rsidR="00953536" w:rsidRDefault="00953536" w:rsidP="004B1300">
      <w:pPr>
        <w:spacing w:line="276" w:lineRule="auto"/>
        <w:rPr>
          <w:rFonts w:ascii="Arial" w:hAnsi="Arial" w:cs="Arial"/>
          <w:b/>
          <w:szCs w:val="24"/>
        </w:rPr>
      </w:pPr>
      <w:r>
        <w:rPr>
          <w:rFonts w:ascii="Arial" w:hAnsi="Arial" w:cs="Arial"/>
          <w:b/>
          <w:szCs w:val="24"/>
        </w:rPr>
        <w:t xml:space="preserve">Cuestión Previa </w:t>
      </w:r>
    </w:p>
    <w:p w:rsidR="00953536" w:rsidRDefault="00953536" w:rsidP="004B1300">
      <w:pPr>
        <w:spacing w:line="276" w:lineRule="auto"/>
        <w:rPr>
          <w:rFonts w:ascii="Arial" w:hAnsi="Arial" w:cs="Arial"/>
          <w:b/>
          <w:szCs w:val="24"/>
        </w:rPr>
      </w:pPr>
    </w:p>
    <w:p w:rsidR="00953536" w:rsidRDefault="00953536" w:rsidP="00953536">
      <w:pPr>
        <w:spacing w:line="276" w:lineRule="auto"/>
        <w:jc w:val="both"/>
        <w:rPr>
          <w:rFonts w:ascii="Arial" w:hAnsi="Arial" w:cs="Arial"/>
          <w:iCs/>
          <w:szCs w:val="24"/>
        </w:rPr>
      </w:pPr>
      <w:r w:rsidRPr="00953536">
        <w:rPr>
          <w:rFonts w:ascii="Arial" w:hAnsi="Arial" w:cs="Arial"/>
          <w:szCs w:val="24"/>
        </w:rPr>
        <w:t xml:space="preserve">Dado que la competencia de esta Corporación se encuentra delimitada por los argumentos de las apelaciones presentadas respecto de la decisión adoptada por la a-quo en audiencia celebrada el 04/05/2016, </w:t>
      </w:r>
      <w:r>
        <w:rPr>
          <w:rFonts w:ascii="Arial" w:hAnsi="Arial" w:cs="Arial"/>
          <w:szCs w:val="24"/>
        </w:rPr>
        <w:t>los antecedentes que a continuación se presentarán solo harán alusión a los aspectos de inconformidad; por lo tanto, ning</w:t>
      </w:r>
      <w:r w:rsidR="00D45D08">
        <w:rPr>
          <w:rFonts w:ascii="Arial" w:hAnsi="Arial" w:cs="Arial"/>
          <w:szCs w:val="24"/>
        </w:rPr>
        <w:t xml:space="preserve">una referencia </w:t>
      </w:r>
      <w:r>
        <w:rPr>
          <w:rFonts w:ascii="Arial" w:hAnsi="Arial" w:cs="Arial"/>
          <w:szCs w:val="24"/>
        </w:rPr>
        <w:t>se efectuará en relación con que el señor Alfredo Gutiérrez</w:t>
      </w:r>
      <w:r w:rsidR="00CE1924">
        <w:rPr>
          <w:rFonts w:ascii="Arial" w:hAnsi="Arial" w:cs="Arial"/>
          <w:szCs w:val="24"/>
        </w:rPr>
        <w:t xml:space="preserve"> laboró en principio para el señor Giovanny Ulises Galindo y luego con la Sociedad BOGA S.A., que</w:t>
      </w:r>
      <w:r>
        <w:rPr>
          <w:rFonts w:ascii="Arial" w:hAnsi="Arial" w:cs="Arial"/>
          <w:szCs w:val="24"/>
        </w:rPr>
        <w:t xml:space="preserve"> dejó causado el derecho para que sus beneficiarios accedieran a la pensión de sobrevivientes, así como tampoco, que los actores acreditaron esa condición, la señora </w:t>
      </w:r>
      <w:proofErr w:type="spellStart"/>
      <w:r>
        <w:rPr>
          <w:rFonts w:ascii="Arial" w:hAnsi="Arial" w:cs="Arial"/>
          <w:szCs w:val="24"/>
        </w:rPr>
        <w:t>Marili</w:t>
      </w:r>
      <w:proofErr w:type="spellEnd"/>
      <w:r>
        <w:rPr>
          <w:rFonts w:ascii="Arial" w:hAnsi="Arial" w:cs="Arial"/>
          <w:szCs w:val="24"/>
        </w:rPr>
        <w:t xml:space="preserve"> </w:t>
      </w:r>
      <w:proofErr w:type="spellStart"/>
      <w:r>
        <w:rPr>
          <w:rFonts w:ascii="Arial" w:hAnsi="Arial" w:cs="Arial"/>
          <w:szCs w:val="24"/>
        </w:rPr>
        <w:t>Guasarave</w:t>
      </w:r>
      <w:proofErr w:type="spellEnd"/>
      <w:r>
        <w:rPr>
          <w:rFonts w:ascii="Arial" w:hAnsi="Arial" w:cs="Arial"/>
          <w:szCs w:val="24"/>
        </w:rPr>
        <w:t xml:space="preserve"> en calidad de cónyuge supérstite y los menores </w:t>
      </w:r>
      <w:r w:rsidRPr="000069BA">
        <w:rPr>
          <w:rFonts w:ascii="Arial" w:hAnsi="Arial" w:cs="Arial"/>
          <w:iCs/>
          <w:szCs w:val="24"/>
        </w:rPr>
        <w:t>Adrián Camilo Gutiérrez Guasarave y Gonzalo Gutiérrez Guasarave</w:t>
      </w:r>
      <w:r w:rsidR="00D45D08">
        <w:rPr>
          <w:rFonts w:ascii="Arial" w:hAnsi="Arial" w:cs="Arial"/>
          <w:iCs/>
          <w:szCs w:val="24"/>
        </w:rPr>
        <w:t xml:space="preserve"> en la de hijos de aquel.</w:t>
      </w:r>
    </w:p>
    <w:p w:rsidR="00953536" w:rsidRDefault="00953536" w:rsidP="00953536">
      <w:pPr>
        <w:spacing w:line="276" w:lineRule="auto"/>
        <w:jc w:val="both"/>
        <w:rPr>
          <w:rFonts w:ascii="Arial" w:hAnsi="Arial" w:cs="Arial"/>
          <w:b/>
          <w:szCs w:val="24"/>
        </w:rPr>
      </w:pPr>
    </w:p>
    <w:p w:rsidR="004B1300" w:rsidRPr="00312238" w:rsidRDefault="004B1300" w:rsidP="004B1300">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Pr="00AC486E" w:rsidRDefault="00226D5F" w:rsidP="00F017BF">
      <w:pPr>
        <w:pStyle w:val="Sansinterligne"/>
        <w:spacing w:line="276" w:lineRule="auto"/>
        <w:rPr>
          <w:rFonts w:ascii="Arial" w:hAnsi="Arial" w:cs="Arial"/>
          <w:sz w:val="24"/>
          <w:szCs w:val="24"/>
        </w:rPr>
      </w:pPr>
    </w:p>
    <w:p w:rsidR="00226D5F" w:rsidRDefault="00B76659" w:rsidP="003E3E3F">
      <w:pPr>
        <w:spacing w:line="276" w:lineRule="auto"/>
        <w:jc w:val="both"/>
        <w:rPr>
          <w:rFonts w:ascii="Arial" w:hAnsi="Arial" w:cs="Arial"/>
          <w:szCs w:val="24"/>
        </w:rPr>
      </w:pPr>
      <w:r>
        <w:rPr>
          <w:rFonts w:ascii="Arial" w:hAnsi="Arial" w:cs="Arial"/>
          <w:szCs w:val="24"/>
        </w:rPr>
        <w:t>Solicita la</w:t>
      </w:r>
      <w:r w:rsidR="00726CC1">
        <w:rPr>
          <w:rFonts w:ascii="Arial" w:hAnsi="Arial" w:cs="Arial"/>
          <w:szCs w:val="24"/>
        </w:rPr>
        <w:t xml:space="preserve"> </w:t>
      </w:r>
      <w:r w:rsidR="003E3E3F">
        <w:rPr>
          <w:rFonts w:ascii="Arial" w:hAnsi="Arial" w:cs="Arial"/>
          <w:szCs w:val="24"/>
        </w:rPr>
        <w:t xml:space="preserve">señora </w:t>
      </w:r>
      <w:proofErr w:type="spellStart"/>
      <w:r w:rsidR="00113078">
        <w:rPr>
          <w:rFonts w:ascii="Arial" w:hAnsi="Arial" w:cs="Arial"/>
          <w:szCs w:val="24"/>
        </w:rPr>
        <w:t>Marili</w:t>
      </w:r>
      <w:proofErr w:type="spellEnd"/>
      <w:r w:rsidR="00113078">
        <w:rPr>
          <w:rFonts w:ascii="Arial" w:hAnsi="Arial" w:cs="Arial"/>
          <w:szCs w:val="24"/>
        </w:rPr>
        <w:t xml:space="preserve"> </w:t>
      </w:r>
      <w:proofErr w:type="spellStart"/>
      <w:r w:rsidR="00113078">
        <w:rPr>
          <w:rFonts w:ascii="Arial" w:hAnsi="Arial" w:cs="Arial"/>
          <w:szCs w:val="24"/>
        </w:rPr>
        <w:t>Guasarave</w:t>
      </w:r>
      <w:proofErr w:type="spellEnd"/>
      <w:r w:rsidR="00113078">
        <w:rPr>
          <w:rFonts w:ascii="Arial" w:hAnsi="Arial" w:cs="Arial"/>
          <w:szCs w:val="24"/>
        </w:rPr>
        <w:t xml:space="preserve"> </w:t>
      </w:r>
      <w:proofErr w:type="spellStart"/>
      <w:r w:rsidR="00113078">
        <w:rPr>
          <w:rFonts w:ascii="Arial" w:hAnsi="Arial" w:cs="Arial"/>
          <w:szCs w:val="24"/>
        </w:rPr>
        <w:t>Guasarave</w:t>
      </w:r>
      <w:proofErr w:type="spellEnd"/>
      <w:r>
        <w:rPr>
          <w:rFonts w:ascii="Arial" w:hAnsi="Arial" w:cs="Arial"/>
          <w:szCs w:val="24"/>
        </w:rPr>
        <w:t>, actuando</w:t>
      </w:r>
      <w:r w:rsidR="000069BA">
        <w:rPr>
          <w:rFonts w:ascii="Arial" w:hAnsi="Arial" w:cs="Arial"/>
          <w:szCs w:val="24"/>
        </w:rPr>
        <w:t xml:space="preserve"> en nombre </w:t>
      </w:r>
      <w:r w:rsidR="005553FD">
        <w:rPr>
          <w:rFonts w:ascii="Arial" w:hAnsi="Arial" w:cs="Arial"/>
          <w:szCs w:val="24"/>
        </w:rPr>
        <w:t xml:space="preserve">propio </w:t>
      </w:r>
      <w:r w:rsidR="000069BA">
        <w:rPr>
          <w:rFonts w:ascii="Arial" w:hAnsi="Arial" w:cs="Arial"/>
          <w:szCs w:val="24"/>
        </w:rPr>
        <w:t xml:space="preserve">y </w:t>
      </w:r>
      <w:r w:rsidR="005553FD">
        <w:rPr>
          <w:rFonts w:ascii="Arial" w:hAnsi="Arial" w:cs="Arial"/>
          <w:szCs w:val="24"/>
        </w:rPr>
        <w:t xml:space="preserve">en </w:t>
      </w:r>
      <w:r w:rsidR="000069BA">
        <w:rPr>
          <w:rFonts w:ascii="Arial" w:hAnsi="Arial" w:cs="Arial"/>
          <w:szCs w:val="24"/>
        </w:rPr>
        <w:t xml:space="preserve">representación de sus hijos </w:t>
      </w:r>
      <w:r w:rsidR="000069BA" w:rsidRPr="000069BA">
        <w:rPr>
          <w:rFonts w:ascii="Arial" w:hAnsi="Arial" w:cs="Arial"/>
          <w:iCs/>
          <w:szCs w:val="24"/>
        </w:rPr>
        <w:t xml:space="preserve">Adrián Camilo Gutiérrez Guasarave y Gonzalo </w:t>
      </w:r>
      <w:r w:rsidR="00001BA9" w:rsidRPr="000069BA">
        <w:rPr>
          <w:rFonts w:ascii="Arial" w:hAnsi="Arial" w:cs="Arial"/>
          <w:iCs/>
          <w:szCs w:val="24"/>
        </w:rPr>
        <w:t>Gutiérrez</w:t>
      </w:r>
      <w:r w:rsidR="000069BA" w:rsidRPr="000069BA">
        <w:rPr>
          <w:rFonts w:ascii="Arial" w:hAnsi="Arial" w:cs="Arial"/>
          <w:iCs/>
          <w:szCs w:val="24"/>
        </w:rPr>
        <w:t xml:space="preserve"> Guasarave</w:t>
      </w:r>
      <w:r w:rsidR="00001BA9">
        <w:rPr>
          <w:rFonts w:ascii="Arial" w:hAnsi="Arial" w:cs="Arial"/>
          <w:szCs w:val="24"/>
        </w:rPr>
        <w:t xml:space="preserve"> que se declar</w:t>
      </w:r>
      <w:r w:rsidR="00CE1924">
        <w:rPr>
          <w:rFonts w:ascii="Arial" w:hAnsi="Arial" w:cs="Arial"/>
          <w:szCs w:val="24"/>
        </w:rPr>
        <w:t>e</w:t>
      </w:r>
      <w:r w:rsidR="00254584">
        <w:rPr>
          <w:rFonts w:ascii="Arial" w:hAnsi="Arial" w:cs="Arial"/>
          <w:szCs w:val="24"/>
        </w:rPr>
        <w:t xml:space="preserve"> que</w:t>
      </w:r>
      <w:r w:rsidR="00CE1924">
        <w:rPr>
          <w:rFonts w:ascii="Arial" w:hAnsi="Arial" w:cs="Arial"/>
          <w:szCs w:val="24"/>
        </w:rPr>
        <w:t xml:space="preserve">: (i) </w:t>
      </w:r>
      <w:r w:rsidR="00254584">
        <w:rPr>
          <w:rFonts w:ascii="Arial" w:hAnsi="Arial" w:cs="Arial"/>
          <w:szCs w:val="24"/>
        </w:rPr>
        <w:t>e</w:t>
      </w:r>
      <w:r w:rsidR="00CE1924">
        <w:rPr>
          <w:rFonts w:ascii="Arial" w:hAnsi="Arial" w:cs="Arial"/>
          <w:szCs w:val="24"/>
        </w:rPr>
        <w:t xml:space="preserve">l señor Alfredo Gutiérrez Ledesma durante toda su vida laboral realizó cotizaciones ante la AFP Horizonte S.A. –hoy Porvenir S.A.- con </w:t>
      </w:r>
      <w:r w:rsidR="00254584">
        <w:rPr>
          <w:rFonts w:ascii="Arial" w:hAnsi="Arial" w:cs="Arial"/>
          <w:szCs w:val="24"/>
        </w:rPr>
        <w:t xml:space="preserve">base en el SMLMV; (ii) </w:t>
      </w:r>
      <w:r w:rsidR="00CE1924">
        <w:rPr>
          <w:rFonts w:ascii="Arial" w:hAnsi="Arial" w:cs="Arial"/>
          <w:szCs w:val="24"/>
        </w:rPr>
        <w:t xml:space="preserve">los aportes realizados entre el 01/06/2008 y el 06/08/2012 pagados por el empleador </w:t>
      </w:r>
      <w:r w:rsidR="00F2265A">
        <w:rPr>
          <w:rFonts w:ascii="Arial" w:hAnsi="Arial" w:cs="Arial"/>
          <w:szCs w:val="24"/>
        </w:rPr>
        <w:t>del causante a la referida AFP s</w:t>
      </w:r>
      <w:r w:rsidR="00CE1924">
        <w:rPr>
          <w:rFonts w:ascii="Arial" w:hAnsi="Arial" w:cs="Arial"/>
          <w:szCs w:val="24"/>
        </w:rPr>
        <w:t>on válidos</w:t>
      </w:r>
      <w:r w:rsidR="00254584">
        <w:rPr>
          <w:rFonts w:ascii="Arial" w:hAnsi="Arial" w:cs="Arial"/>
          <w:szCs w:val="24"/>
        </w:rPr>
        <w:t xml:space="preserve">; (iii) en su calidad de afiliado tácito, cotizó 156,43 </w:t>
      </w:r>
      <w:r w:rsidR="00CE1924">
        <w:rPr>
          <w:rFonts w:ascii="Arial" w:hAnsi="Arial" w:cs="Arial"/>
          <w:szCs w:val="24"/>
        </w:rPr>
        <w:t xml:space="preserve"> </w:t>
      </w:r>
      <w:r w:rsidR="00254584">
        <w:rPr>
          <w:rFonts w:ascii="Arial" w:hAnsi="Arial" w:cs="Arial"/>
          <w:szCs w:val="24"/>
        </w:rPr>
        <w:t>semanas durante los 3 años anteriores a su fallecimiento; en consecuencia, (iv) se condene a la demandada a reconocerles la pensión de sobrevivientes desde el 7 de agosto de 2012, con el retroactivo a que haya lugar, los intereses moratorios y las costas del proceso</w:t>
      </w:r>
      <w:r w:rsidR="003E3E3F">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067D87" w:rsidRDefault="00A957FB" w:rsidP="003E3E3F">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 xml:space="preserve">en </w:t>
      </w:r>
      <w:r w:rsidR="003E3E3F">
        <w:rPr>
          <w:rFonts w:ascii="Arial" w:hAnsi="Arial" w:cs="Arial"/>
          <w:szCs w:val="24"/>
        </w:rPr>
        <w:t xml:space="preserve">que: (i) </w:t>
      </w:r>
      <w:r w:rsidR="006B23B0">
        <w:rPr>
          <w:rFonts w:ascii="Arial" w:hAnsi="Arial" w:cs="Arial"/>
          <w:szCs w:val="24"/>
        </w:rPr>
        <w:t xml:space="preserve">el señor </w:t>
      </w:r>
      <w:r w:rsidR="00C726DB">
        <w:rPr>
          <w:rFonts w:ascii="Arial" w:hAnsi="Arial" w:cs="Arial"/>
          <w:szCs w:val="24"/>
        </w:rPr>
        <w:t>Alfredo Gutiérrez Ledesma</w:t>
      </w:r>
      <w:r w:rsidR="006B23B0">
        <w:rPr>
          <w:rFonts w:ascii="Arial" w:hAnsi="Arial" w:cs="Arial"/>
          <w:szCs w:val="24"/>
        </w:rPr>
        <w:t xml:space="preserve"> </w:t>
      </w:r>
      <w:r w:rsidR="00C726DB">
        <w:rPr>
          <w:rFonts w:ascii="Arial" w:hAnsi="Arial" w:cs="Arial"/>
          <w:szCs w:val="24"/>
        </w:rPr>
        <w:t>inició a laborar con el señor Giovanny Ulises Galindo Tirado el 18/05/2007 y para efectos de su afiliación al sistema de seguridad social en pensión, eligió la AFP Horizonte; (ii) el empleador realizó las cotizaciones a partir del mes de junio de 2007 ante la referida AFP; (iii) el empleador constituyó dos sociedades en las que realizó sus labores el fallecido, continuando bajo la subordinación del señor Galindo Tirado y realizando las mismas funciones, hasta que el 01/08/2012 la sociedad Boga S.A.S. asumió el  pago de las obligaciones laborales</w:t>
      </w:r>
      <w:r w:rsidR="00002F78">
        <w:rPr>
          <w:rFonts w:ascii="Arial" w:hAnsi="Arial" w:cs="Arial"/>
          <w:szCs w:val="24"/>
        </w:rPr>
        <w:t xml:space="preserve">; (iv) </w:t>
      </w:r>
      <w:r w:rsidR="00C726DB">
        <w:rPr>
          <w:rFonts w:ascii="Arial" w:hAnsi="Arial" w:cs="Arial"/>
          <w:szCs w:val="24"/>
        </w:rPr>
        <w:t xml:space="preserve"> </w:t>
      </w:r>
      <w:r w:rsidR="00C82BF3">
        <w:rPr>
          <w:rFonts w:ascii="Arial" w:hAnsi="Arial" w:cs="Arial"/>
          <w:szCs w:val="24"/>
        </w:rPr>
        <w:t>el 06/08/2</w:t>
      </w:r>
      <w:r w:rsidR="00514783">
        <w:rPr>
          <w:rFonts w:ascii="Arial" w:hAnsi="Arial" w:cs="Arial"/>
          <w:szCs w:val="24"/>
        </w:rPr>
        <w:t>012</w:t>
      </w:r>
      <w:r w:rsidR="00C82BF3">
        <w:rPr>
          <w:rFonts w:ascii="Arial" w:hAnsi="Arial" w:cs="Arial"/>
          <w:szCs w:val="24"/>
        </w:rPr>
        <w:t xml:space="preserve"> falleció el señor Alfredo Gutiérrez Ledesma</w:t>
      </w:r>
      <w:r w:rsidR="00067D87">
        <w:rPr>
          <w:rFonts w:ascii="Arial" w:hAnsi="Arial" w:cs="Arial"/>
          <w:szCs w:val="24"/>
        </w:rPr>
        <w:t>.</w:t>
      </w:r>
    </w:p>
    <w:p w:rsidR="00067D87" w:rsidRDefault="00067D87" w:rsidP="003E3E3F">
      <w:pPr>
        <w:spacing w:line="276" w:lineRule="auto"/>
        <w:jc w:val="both"/>
        <w:rPr>
          <w:rFonts w:ascii="Arial" w:hAnsi="Arial" w:cs="Arial"/>
          <w:szCs w:val="24"/>
        </w:rPr>
      </w:pPr>
    </w:p>
    <w:p w:rsidR="003E3E3F" w:rsidRDefault="00067D87" w:rsidP="003E3E3F">
      <w:pPr>
        <w:spacing w:line="276" w:lineRule="auto"/>
        <w:jc w:val="both"/>
        <w:rPr>
          <w:rFonts w:ascii="Arial" w:hAnsi="Arial" w:cs="Arial"/>
          <w:szCs w:val="24"/>
        </w:rPr>
      </w:pPr>
      <w:r>
        <w:rPr>
          <w:rFonts w:ascii="Arial" w:hAnsi="Arial" w:cs="Arial"/>
          <w:szCs w:val="24"/>
        </w:rPr>
        <w:t xml:space="preserve">(v) Mediante oficio COM-REZ 402193 18397999 del 26/12/2011 la AFP Horizonte, informó al empleador que en la cotización de octubre de 2011, existía una inconsistencia en cuanto al número de identificación del señor Alfredo Gutiérrez, por lo que lo requirió para que allegara copia del documento de identidad, petición que fue atendida el 05/01/2012; (vi) el 01/02/2012 la AFP indicó que la situación del empleado iba a ser revisada con el ISS, sin recibir respuesta; (vii) los días 28/08/2012 y 29/11/2012 solicitó información del trámite; (viii) el 16/01/2013 se le </w:t>
      </w:r>
      <w:r>
        <w:rPr>
          <w:rFonts w:ascii="Arial" w:hAnsi="Arial" w:cs="Arial"/>
          <w:szCs w:val="24"/>
        </w:rPr>
        <w:lastRenderedPageBreak/>
        <w:t xml:space="preserve">comunicó que la situación había sido corregida y que debía dirigir las solicitudes ante Colpensiones; (ix) </w:t>
      </w:r>
      <w:r w:rsidR="00AC7B54">
        <w:rPr>
          <w:rFonts w:ascii="Arial" w:hAnsi="Arial" w:cs="Arial"/>
          <w:szCs w:val="24"/>
        </w:rPr>
        <w:t>el 22/04/2013 el empleador indicó a la AFP que los pagos siempre los había realizado ante esa entidad.</w:t>
      </w:r>
    </w:p>
    <w:p w:rsidR="00AC7B54" w:rsidRDefault="00AC7B54" w:rsidP="003E3E3F">
      <w:pPr>
        <w:spacing w:line="276" w:lineRule="auto"/>
        <w:jc w:val="both"/>
        <w:rPr>
          <w:rFonts w:ascii="Arial" w:hAnsi="Arial" w:cs="Arial"/>
          <w:szCs w:val="24"/>
        </w:rPr>
      </w:pPr>
    </w:p>
    <w:p w:rsidR="00AC7B54" w:rsidRDefault="00AC7B54" w:rsidP="003E3E3F">
      <w:pPr>
        <w:spacing w:line="276" w:lineRule="auto"/>
        <w:jc w:val="both"/>
        <w:rPr>
          <w:rFonts w:ascii="Arial" w:hAnsi="Arial" w:cs="Arial"/>
          <w:szCs w:val="24"/>
        </w:rPr>
      </w:pPr>
      <w:r>
        <w:rPr>
          <w:rFonts w:ascii="Arial" w:hAnsi="Arial" w:cs="Arial"/>
          <w:szCs w:val="24"/>
        </w:rPr>
        <w:t xml:space="preserve">(x) Ante el fallecimiento de su cónyuge, la señora </w:t>
      </w:r>
      <w:proofErr w:type="spellStart"/>
      <w:r>
        <w:rPr>
          <w:rFonts w:ascii="Arial" w:hAnsi="Arial" w:cs="Arial"/>
          <w:szCs w:val="24"/>
        </w:rPr>
        <w:t>Marili</w:t>
      </w:r>
      <w:proofErr w:type="spellEnd"/>
      <w:r>
        <w:rPr>
          <w:rFonts w:ascii="Arial" w:hAnsi="Arial" w:cs="Arial"/>
          <w:szCs w:val="24"/>
        </w:rPr>
        <w:t xml:space="preserve"> </w:t>
      </w:r>
      <w:proofErr w:type="spellStart"/>
      <w:r>
        <w:rPr>
          <w:rFonts w:ascii="Arial" w:hAnsi="Arial" w:cs="Arial"/>
          <w:szCs w:val="24"/>
        </w:rPr>
        <w:t>Guasarave</w:t>
      </w:r>
      <w:proofErr w:type="spellEnd"/>
      <w:r>
        <w:rPr>
          <w:rFonts w:ascii="Arial" w:hAnsi="Arial" w:cs="Arial"/>
          <w:szCs w:val="24"/>
        </w:rPr>
        <w:t xml:space="preserve"> a finales del año 2012, se dirigió en varias ocasiones ante la AFP para radicar la solicitud de reconocimiento pensional, pero no le fueron recibidas hasta que se verificara la afiliación del causante; (xi) la AFP Horizonte, fue fusionada por absorción a la AFP Porvenir S.A.; (xii) el 05/02/2014 la actora se acercó a esta última entidad para efectuar la petición de reconocimiento, pero tampoco le fue recibida, aduciendo que debía efectuarse el referido proceso de verificación de la afiliación, por lo que optó por enviarla por correo electrónico; (xiii) </w:t>
      </w:r>
      <w:r w:rsidR="00082EA9">
        <w:rPr>
          <w:rFonts w:ascii="Arial" w:hAnsi="Arial" w:cs="Arial"/>
          <w:szCs w:val="24"/>
        </w:rPr>
        <w:t xml:space="preserve">frente a esa petición Porvenir guardó silencio y en razón de ello, presentó acción de tutela para que le fuera amparado el derecho de petición, por lo que la entidad mediante oficio N° 104 del 05/05/ 2014 le expresó que el señor Gutiérrez Ledesma no se encontraba afiliado a ese fondo y por ende, no era posible resolver la solicitud pensional; </w:t>
      </w:r>
      <w:r w:rsidR="002C57E5">
        <w:rPr>
          <w:rFonts w:ascii="Arial" w:hAnsi="Arial" w:cs="Arial"/>
          <w:szCs w:val="24"/>
        </w:rPr>
        <w:t>(xiv) el 27/02/2015 la actora reclamó a Colpensiones para que le determinara si allí habían sido traslados los aportes de su cónyuge, obteniendo una respuesta negativa.</w:t>
      </w:r>
    </w:p>
    <w:p w:rsidR="00C82BF3" w:rsidRDefault="00C82BF3" w:rsidP="003E3E3F">
      <w:pPr>
        <w:spacing w:line="276" w:lineRule="auto"/>
        <w:jc w:val="both"/>
        <w:rPr>
          <w:rFonts w:ascii="Arial" w:hAnsi="Arial" w:cs="Arial"/>
          <w:szCs w:val="24"/>
        </w:rPr>
      </w:pPr>
    </w:p>
    <w:p w:rsidR="00B82E0F" w:rsidRDefault="00B82E0F" w:rsidP="00B82E0F">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w:t>
      </w:r>
      <w:r w:rsidR="00F3112A">
        <w:rPr>
          <w:rFonts w:ascii="Arial" w:hAnsi="Arial" w:cs="Arial"/>
          <w:b/>
          <w:szCs w:val="24"/>
        </w:rPr>
        <w:t xml:space="preserve">de Fondos de Pensiones y Cesantías Porvenir S.A., </w:t>
      </w:r>
      <w:r>
        <w:rPr>
          <w:rFonts w:ascii="Arial" w:hAnsi="Arial" w:cs="Arial"/>
          <w:szCs w:val="24"/>
        </w:rPr>
        <w:t>se opuso a todas las pretensiones de la demanda y</w:t>
      </w:r>
      <w:r w:rsidR="00F3112A">
        <w:rPr>
          <w:rFonts w:ascii="Arial" w:hAnsi="Arial" w:cs="Arial"/>
          <w:szCs w:val="24"/>
        </w:rPr>
        <w:t xml:space="preserve"> como razones de la defensa indicó que de conformidad con el artículo 13 de la Ley 100 de 1993, el </w:t>
      </w:r>
      <w:proofErr w:type="spellStart"/>
      <w:r w:rsidR="00F3112A">
        <w:rPr>
          <w:rFonts w:ascii="Arial" w:hAnsi="Arial" w:cs="Arial"/>
          <w:szCs w:val="24"/>
        </w:rPr>
        <w:t>o</w:t>
      </w:r>
      <w:r w:rsidR="0091480D">
        <w:rPr>
          <w:rFonts w:ascii="Arial" w:hAnsi="Arial" w:cs="Arial"/>
          <w:szCs w:val="24"/>
        </w:rPr>
        <w:t>b</w:t>
      </w:r>
      <w:r w:rsidR="00F3112A">
        <w:rPr>
          <w:rFonts w:ascii="Arial" w:hAnsi="Arial" w:cs="Arial"/>
          <w:szCs w:val="24"/>
        </w:rPr>
        <w:t>itado</w:t>
      </w:r>
      <w:proofErr w:type="spellEnd"/>
      <w:r w:rsidR="00F3112A">
        <w:rPr>
          <w:rFonts w:ascii="Arial" w:hAnsi="Arial" w:cs="Arial"/>
          <w:szCs w:val="24"/>
        </w:rPr>
        <w:t xml:space="preserve"> no ostentó el carácter de afiliado, porque no se diligenció el formulario con los requisitos determinados por el artículo 10 del Decreto 692 de 1994, de tal manera que ante unas cotizaciones realizadas de manera errónea, lo procedente es abonarlas a la cuenta especial de personas no vinculadas. </w:t>
      </w:r>
      <w:r w:rsidR="00837A99">
        <w:rPr>
          <w:rFonts w:ascii="Arial" w:hAnsi="Arial" w:cs="Arial"/>
          <w:szCs w:val="24"/>
        </w:rPr>
        <w:t xml:space="preserve">En ese orden de ideas, se trata de una acción equívoca del empleador, que le traslada la obligación de responder por la obligación pensional; </w:t>
      </w:r>
      <w:r w:rsidRPr="008E0CBF">
        <w:rPr>
          <w:rFonts w:ascii="Arial" w:hAnsi="Arial" w:cs="Arial"/>
          <w:szCs w:val="24"/>
        </w:rPr>
        <w:t xml:space="preserve">propuso como excepciones de mérito las que denominó </w:t>
      </w:r>
      <w:r>
        <w:rPr>
          <w:rFonts w:ascii="Arial" w:hAnsi="Arial" w:cs="Arial"/>
          <w:szCs w:val="24"/>
        </w:rPr>
        <w:t>“Genérica</w:t>
      </w:r>
      <w:r w:rsidR="00837A99">
        <w:rPr>
          <w:rFonts w:ascii="Arial" w:hAnsi="Arial" w:cs="Arial"/>
          <w:szCs w:val="24"/>
        </w:rPr>
        <w:t xml:space="preserve"> y/o innominada”, “Prescripción”, “Compensación”, “Buena fe”, “Conflicto jurídico excluyente”, “Falta de causa para pedir”, “Inexistencia de las obligaciones demandadas”, “Inexistencia de la causa”, “Falta de pruebas documentarias”, “Cumplimiento”, “Falta de legitimación en la causa por pasiva”, “Falta de personería sustantiva por pasiva” e “Inexistencia de la fuente de la obligación”</w:t>
      </w:r>
      <w:r>
        <w:rPr>
          <w:rFonts w:ascii="Arial" w:hAnsi="Arial" w:cs="Arial"/>
          <w:szCs w:val="24"/>
        </w:rPr>
        <w:t>.</w:t>
      </w:r>
      <w:r w:rsidR="00C20847">
        <w:rPr>
          <w:rFonts w:ascii="Arial" w:hAnsi="Arial" w:cs="Arial"/>
          <w:szCs w:val="24"/>
        </w:rPr>
        <w:t xml:space="preserve"> Llamó en garantía a la sociedad Mapfre Colombia Vida Seguros S.A.</w:t>
      </w:r>
    </w:p>
    <w:p w:rsidR="00906AC5" w:rsidRDefault="00906AC5" w:rsidP="00B82E0F">
      <w:pPr>
        <w:spacing w:line="276" w:lineRule="auto"/>
        <w:jc w:val="both"/>
        <w:rPr>
          <w:rFonts w:ascii="Arial" w:hAnsi="Arial" w:cs="Arial"/>
          <w:szCs w:val="24"/>
        </w:rPr>
      </w:pPr>
    </w:p>
    <w:p w:rsidR="00906AC5" w:rsidRPr="002154BA" w:rsidRDefault="00906AC5" w:rsidP="00B82E0F">
      <w:pPr>
        <w:spacing w:line="276" w:lineRule="auto"/>
        <w:jc w:val="both"/>
        <w:rPr>
          <w:rFonts w:ascii="Arial" w:hAnsi="Arial" w:cs="Arial"/>
          <w:szCs w:val="24"/>
        </w:rPr>
      </w:pPr>
      <w:r>
        <w:rPr>
          <w:rFonts w:ascii="Arial" w:hAnsi="Arial" w:cs="Arial"/>
          <w:szCs w:val="24"/>
        </w:rPr>
        <w:t xml:space="preserve">La sociedad </w:t>
      </w:r>
      <w:r w:rsidRPr="00906AC5">
        <w:rPr>
          <w:rFonts w:ascii="Arial" w:hAnsi="Arial" w:cs="Arial"/>
          <w:b/>
          <w:szCs w:val="24"/>
        </w:rPr>
        <w:t>Ganadería y Central Genética BOGA S.A.S.</w:t>
      </w:r>
      <w:r w:rsidR="002154BA">
        <w:rPr>
          <w:rFonts w:ascii="Arial" w:hAnsi="Arial" w:cs="Arial"/>
          <w:b/>
          <w:szCs w:val="24"/>
        </w:rPr>
        <w:t xml:space="preserve"> </w:t>
      </w:r>
      <w:r w:rsidR="002154BA">
        <w:rPr>
          <w:rFonts w:ascii="Arial" w:hAnsi="Arial" w:cs="Arial"/>
          <w:szCs w:val="24"/>
        </w:rPr>
        <w:t>indic</w:t>
      </w:r>
      <w:r w:rsidR="00A43C4D">
        <w:rPr>
          <w:rFonts w:ascii="Arial" w:hAnsi="Arial" w:cs="Arial"/>
          <w:szCs w:val="24"/>
        </w:rPr>
        <w:t xml:space="preserve">o </w:t>
      </w:r>
      <w:r w:rsidR="002154BA">
        <w:rPr>
          <w:rFonts w:ascii="Arial" w:hAnsi="Arial" w:cs="Arial"/>
          <w:szCs w:val="24"/>
        </w:rPr>
        <w:t>que cumplió debidamente con las obligaciones laborales respecto del causante y efectuó las cotizaciones pensionales a la entidad a la que estaba válidamente afiliado</w:t>
      </w:r>
      <w:r w:rsidR="00A43C4D">
        <w:rPr>
          <w:rFonts w:ascii="Arial" w:hAnsi="Arial" w:cs="Arial"/>
          <w:szCs w:val="24"/>
        </w:rPr>
        <w:t>. Propuso como excepciones de mérito de “Buena fe de mi mandante”, “Confianza Legítima”, “De la afiliación tácita al régimen de ahorro individual con solidaridad”, “Cobro de lo no debido”, “Falta de legitimación por pasiva frente a mi mandante”.</w:t>
      </w:r>
    </w:p>
    <w:p w:rsidR="00C20847" w:rsidRDefault="00C20847" w:rsidP="00B82E0F">
      <w:pPr>
        <w:spacing w:line="276" w:lineRule="auto"/>
        <w:jc w:val="both"/>
        <w:rPr>
          <w:rFonts w:ascii="Arial" w:hAnsi="Arial" w:cs="Arial"/>
          <w:szCs w:val="24"/>
        </w:rPr>
      </w:pPr>
    </w:p>
    <w:p w:rsidR="003B4EA7" w:rsidRPr="009E3844" w:rsidRDefault="009E3844" w:rsidP="00A43C4D">
      <w:pPr>
        <w:spacing w:line="276" w:lineRule="auto"/>
        <w:jc w:val="both"/>
        <w:rPr>
          <w:rFonts w:ascii="Arial" w:hAnsi="Arial" w:cs="Arial"/>
          <w:szCs w:val="24"/>
        </w:rPr>
      </w:pPr>
      <w:r>
        <w:rPr>
          <w:rFonts w:ascii="Arial" w:hAnsi="Arial" w:cs="Arial"/>
          <w:szCs w:val="24"/>
        </w:rPr>
        <w:t xml:space="preserve">La llamada en garantía, </w:t>
      </w:r>
      <w:r w:rsidRPr="009E3844">
        <w:rPr>
          <w:rFonts w:ascii="Arial" w:hAnsi="Arial" w:cs="Arial"/>
          <w:b/>
          <w:szCs w:val="24"/>
        </w:rPr>
        <w:t>MAPFRE Colombia Vida Seguros S.A.</w:t>
      </w:r>
      <w:r>
        <w:rPr>
          <w:rFonts w:ascii="Arial" w:hAnsi="Arial" w:cs="Arial"/>
          <w:b/>
          <w:szCs w:val="24"/>
        </w:rPr>
        <w:t xml:space="preserve">, </w:t>
      </w:r>
      <w:r>
        <w:rPr>
          <w:rFonts w:ascii="Arial" w:hAnsi="Arial" w:cs="Arial"/>
          <w:szCs w:val="24"/>
        </w:rPr>
        <w:t>presentó contestación a la demanda e indicó en términos generales que se trataba de hechos ajenos a esa entidad, po</w:t>
      </w:r>
      <w:r w:rsidR="00F2265A">
        <w:rPr>
          <w:rFonts w:ascii="Arial" w:hAnsi="Arial" w:cs="Arial"/>
          <w:szCs w:val="24"/>
        </w:rPr>
        <w:t>r lo que se atenía a lo probado;</w:t>
      </w:r>
      <w:r>
        <w:rPr>
          <w:rFonts w:ascii="Arial" w:hAnsi="Arial" w:cs="Arial"/>
          <w:szCs w:val="24"/>
        </w:rPr>
        <w:t xml:space="preserve">  se opuso a las pretensiones enlistadas respecto de Porvenir o de esa sociedad y propuso como excepciones las de “Inexistencia de obligación de reconocimiento y pago de prestación alguna por falta de requisitos legales”, “Ausencia de Cobertura”, </w:t>
      </w:r>
      <w:r>
        <w:rPr>
          <w:rFonts w:ascii="Arial" w:hAnsi="Arial" w:cs="Arial"/>
          <w:szCs w:val="24"/>
        </w:rPr>
        <w:lastRenderedPageBreak/>
        <w:t xml:space="preserve">“Excepción de límite de riesgo” y “La excepción genérica”. Respecto al llamamiento en garantía, </w:t>
      </w:r>
      <w:r w:rsidR="00A6414F">
        <w:rPr>
          <w:rFonts w:ascii="Arial" w:hAnsi="Arial" w:cs="Arial"/>
          <w:szCs w:val="24"/>
        </w:rPr>
        <w:t xml:space="preserve">se opuso a las pretensiones por no haber recibido ninguna reclamación para estudiar la procedencia de la misma e interpuso </w:t>
      </w:r>
      <w:r w:rsidR="00C50596">
        <w:rPr>
          <w:rFonts w:ascii="Arial" w:hAnsi="Arial" w:cs="Arial"/>
          <w:szCs w:val="24"/>
        </w:rPr>
        <w:t>las mismas excepciones presentadas a la demanda.</w:t>
      </w:r>
    </w:p>
    <w:p w:rsidR="00A43C4D" w:rsidRDefault="00A43C4D" w:rsidP="003B4EA7">
      <w:pPr>
        <w:spacing w:line="276" w:lineRule="auto"/>
        <w:ind w:firstLine="708"/>
        <w:jc w:val="both"/>
        <w:rPr>
          <w:rFonts w:ascii="Arial" w:hAnsi="Arial" w:cs="Arial"/>
          <w:szCs w:val="24"/>
        </w:rPr>
      </w:pPr>
    </w:p>
    <w:p w:rsidR="00B82E0F" w:rsidRPr="00312238" w:rsidRDefault="00B82E0F" w:rsidP="00B82E0F">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6B2809">
        <w:rPr>
          <w:rFonts w:ascii="Arial" w:hAnsi="Arial" w:cs="Arial"/>
          <w:b/>
          <w:sz w:val="24"/>
          <w:szCs w:val="24"/>
        </w:rPr>
        <w:t>apelada</w:t>
      </w:r>
      <w:r>
        <w:rPr>
          <w:rFonts w:ascii="Arial" w:hAnsi="Arial" w:cs="Arial"/>
          <w:b/>
          <w:sz w:val="24"/>
          <w:szCs w:val="24"/>
        </w:rPr>
        <w:t xml:space="preserve"> </w:t>
      </w:r>
    </w:p>
    <w:p w:rsidR="00B15FE7" w:rsidRDefault="00226D5F" w:rsidP="008A750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B82E0F">
        <w:rPr>
          <w:rFonts w:ascii="Arial" w:hAnsi="Arial" w:cs="Arial"/>
          <w:color w:val="000000"/>
          <w:szCs w:val="24"/>
          <w:lang w:eastAsia="es-CO"/>
        </w:rPr>
        <w:t xml:space="preserve"> </w:t>
      </w:r>
      <w:r w:rsidR="006B2809">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FA7795">
        <w:rPr>
          <w:rFonts w:ascii="Arial" w:hAnsi="Arial" w:cs="Arial"/>
          <w:color w:val="000000"/>
          <w:szCs w:val="24"/>
          <w:lang w:eastAsia="es-CO"/>
        </w:rPr>
        <w:t xml:space="preserve"> </w:t>
      </w:r>
      <w:r w:rsidR="00B95FE8">
        <w:rPr>
          <w:rFonts w:ascii="Arial" w:hAnsi="Arial" w:cs="Arial"/>
          <w:color w:val="000000"/>
          <w:szCs w:val="24"/>
          <w:lang w:eastAsia="es-CO"/>
        </w:rPr>
        <w:t xml:space="preserve">declaró </w:t>
      </w:r>
      <w:r w:rsidR="00426F8E">
        <w:rPr>
          <w:rFonts w:ascii="Arial" w:hAnsi="Arial" w:cs="Arial"/>
          <w:color w:val="000000"/>
          <w:szCs w:val="24"/>
          <w:lang w:eastAsia="es-CO"/>
        </w:rPr>
        <w:t xml:space="preserve">que el fallecido tenía una afiliación válida en la AFP Horizonte –hoy Porvenir S.A.-, por lo que los aportes cancelados por su empleador eran totalmente válidos y eficaces; en consecuencia, </w:t>
      </w:r>
      <w:r w:rsidR="00514783">
        <w:rPr>
          <w:rFonts w:ascii="Arial" w:hAnsi="Arial" w:cs="Arial"/>
          <w:color w:val="000000"/>
          <w:szCs w:val="24"/>
          <w:lang w:eastAsia="es-CO"/>
        </w:rPr>
        <w:t>declaró</w:t>
      </w:r>
      <w:r w:rsidR="00B15FE7">
        <w:rPr>
          <w:rFonts w:ascii="Arial" w:hAnsi="Arial" w:cs="Arial"/>
          <w:color w:val="000000"/>
          <w:szCs w:val="24"/>
          <w:lang w:eastAsia="es-CO"/>
        </w:rPr>
        <w:t xml:space="preserve"> probadas las excepciones planteadas por la sociedad BOGA S.A.S. y la exoneró de cualquier responsabilidad en este asunto.</w:t>
      </w:r>
    </w:p>
    <w:p w:rsidR="00B15FE7" w:rsidRDefault="00B15FE7" w:rsidP="008A7503">
      <w:pPr>
        <w:spacing w:line="276" w:lineRule="auto"/>
        <w:jc w:val="both"/>
        <w:rPr>
          <w:rFonts w:ascii="Arial" w:hAnsi="Arial" w:cs="Arial"/>
          <w:color w:val="000000"/>
          <w:szCs w:val="24"/>
          <w:lang w:eastAsia="es-CO"/>
        </w:rPr>
      </w:pPr>
    </w:p>
    <w:p w:rsidR="00B82E0F" w:rsidRDefault="00B15FE7" w:rsidP="008A7503">
      <w:pPr>
        <w:spacing w:line="276" w:lineRule="auto"/>
        <w:jc w:val="both"/>
        <w:rPr>
          <w:rFonts w:ascii="Arial" w:hAnsi="Arial" w:cs="Arial"/>
          <w:color w:val="000000"/>
          <w:szCs w:val="24"/>
          <w:lang w:eastAsia="es-CO"/>
        </w:rPr>
      </w:pPr>
      <w:r>
        <w:rPr>
          <w:rFonts w:ascii="Arial" w:hAnsi="Arial" w:cs="Arial"/>
          <w:color w:val="000000"/>
          <w:szCs w:val="24"/>
          <w:lang w:eastAsia="es-CO"/>
        </w:rPr>
        <w:t>D</w:t>
      </w:r>
      <w:r w:rsidR="00426F8E">
        <w:rPr>
          <w:rFonts w:ascii="Arial" w:hAnsi="Arial" w:cs="Arial"/>
          <w:color w:val="000000"/>
          <w:szCs w:val="24"/>
          <w:lang w:eastAsia="es-CO"/>
        </w:rPr>
        <w:t>eclaró que el señor Alfredo Gutiérrez Ledesma había dejado causado el derecho a la pensión de sobrevivientes y que los demandantes al acreditar la condición de beneficiarios tenían derecho a disfrutar de la misma</w:t>
      </w:r>
      <w:r w:rsidR="00AE1F9D">
        <w:rPr>
          <w:rStyle w:val="Appelnotedebasdep"/>
          <w:rFonts w:ascii="Arial" w:hAnsi="Arial" w:cs="Arial"/>
          <w:color w:val="000000"/>
          <w:szCs w:val="24"/>
          <w:lang w:eastAsia="es-CO"/>
        </w:rPr>
        <w:footnoteReference w:id="1"/>
      </w:r>
      <w:r w:rsidR="00426F8E">
        <w:rPr>
          <w:rFonts w:ascii="Arial" w:hAnsi="Arial" w:cs="Arial"/>
          <w:color w:val="000000"/>
          <w:szCs w:val="24"/>
          <w:lang w:eastAsia="es-CO"/>
        </w:rPr>
        <w:t>.</w:t>
      </w:r>
    </w:p>
    <w:p w:rsidR="00426F8E" w:rsidRDefault="00426F8E" w:rsidP="008A7503">
      <w:pPr>
        <w:spacing w:line="276" w:lineRule="auto"/>
        <w:jc w:val="both"/>
        <w:rPr>
          <w:rFonts w:ascii="Arial" w:hAnsi="Arial" w:cs="Arial"/>
          <w:color w:val="000000"/>
          <w:szCs w:val="24"/>
          <w:lang w:eastAsia="es-CO"/>
        </w:rPr>
      </w:pPr>
    </w:p>
    <w:p w:rsidR="00426F8E" w:rsidRDefault="00426F8E" w:rsidP="008A750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Consecuente con lo anterior, condenó a la AFP demanda al reconocimiento de la prestación de manera temporal a favor de la señora </w:t>
      </w:r>
      <w:proofErr w:type="spellStart"/>
      <w:r>
        <w:rPr>
          <w:rFonts w:ascii="Arial" w:hAnsi="Arial" w:cs="Arial"/>
          <w:color w:val="000000"/>
          <w:szCs w:val="24"/>
          <w:lang w:eastAsia="es-CO"/>
        </w:rPr>
        <w:t>Marili</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Guasarave</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Guasarave</w:t>
      </w:r>
      <w:proofErr w:type="spellEnd"/>
      <w:r>
        <w:rPr>
          <w:rFonts w:ascii="Arial" w:hAnsi="Arial" w:cs="Arial"/>
          <w:color w:val="000000"/>
          <w:szCs w:val="24"/>
          <w:lang w:eastAsia="es-CO"/>
        </w:rPr>
        <w:t xml:space="preserve"> porque a la fecha de la muerte de su cónyuge tenía menos de 30 años y, de sus hijos, hasta que cumplieran la mayoría de edad o hasta los 25 años de continuar estudiando.</w:t>
      </w:r>
      <w:r w:rsidR="00B15FE7">
        <w:rPr>
          <w:rFonts w:ascii="Arial" w:hAnsi="Arial" w:cs="Arial"/>
          <w:color w:val="000000"/>
          <w:szCs w:val="24"/>
          <w:lang w:eastAsia="es-CO"/>
        </w:rPr>
        <w:t xml:space="preserve"> Prestación respecto de la que MAPFRE debía responder por las sumas adicionales conforme a la póliza que suscribió con esa administradora.</w:t>
      </w:r>
    </w:p>
    <w:p w:rsidR="00F47217" w:rsidRDefault="00F47217" w:rsidP="008A7503">
      <w:pPr>
        <w:spacing w:line="276" w:lineRule="auto"/>
        <w:jc w:val="both"/>
        <w:rPr>
          <w:rFonts w:ascii="Arial" w:hAnsi="Arial" w:cs="Arial"/>
          <w:color w:val="000000"/>
          <w:szCs w:val="24"/>
          <w:lang w:eastAsia="es-CO"/>
        </w:rPr>
      </w:pPr>
    </w:p>
    <w:p w:rsidR="00F47217" w:rsidRDefault="00F47217" w:rsidP="008A7503">
      <w:pPr>
        <w:spacing w:line="276" w:lineRule="auto"/>
        <w:jc w:val="both"/>
        <w:rPr>
          <w:rFonts w:ascii="Arial" w:hAnsi="Arial" w:cs="Arial"/>
          <w:color w:val="000000"/>
          <w:szCs w:val="24"/>
          <w:lang w:eastAsia="es-CO"/>
        </w:rPr>
      </w:pPr>
      <w:r>
        <w:rPr>
          <w:rFonts w:ascii="Arial" w:hAnsi="Arial" w:cs="Arial"/>
          <w:color w:val="000000"/>
          <w:szCs w:val="24"/>
          <w:lang w:eastAsia="es-CO"/>
        </w:rPr>
        <w:t>Autorizó los intereses moratorios desde la ejecutoria de la sentencia y condenó en costas a la demandante en contra de BOGA S.A.S., a Porvenir a favor de la actora y se abstuvo de hacerlo en contra de la llamada en garantía.</w:t>
      </w:r>
    </w:p>
    <w:p w:rsidR="00375960" w:rsidRDefault="00375960" w:rsidP="008A7503">
      <w:pPr>
        <w:spacing w:line="276" w:lineRule="auto"/>
        <w:jc w:val="both"/>
        <w:rPr>
          <w:rFonts w:ascii="Arial" w:hAnsi="Arial" w:cs="Arial"/>
          <w:color w:val="000000"/>
          <w:szCs w:val="24"/>
          <w:lang w:eastAsia="es-CO"/>
        </w:rPr>
      </w:pPr>
    </w:p>
    <w:p w:rsidR="001B4C00" w:rsidRDefault="00375960" w:rsidP="008A750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expresó que </w:t>
      </w:r>
      <w:r w:rsidR="00D150D0">
        <w:rPr>
          <w:rFonts w:ascii="Arial" w:hAnsi="Arial" w:cs="Arial"/>
          <w:color w:val="000000"/>
          <w:szCs w:val="24"/>
          <w:lang w:eastAsia="es-CO"/>
        </w:rPr>
        <w:t xml:space="preserve">el documento visible a folio 54 </w:t>
      </w:r>
      <w:r w:rsidR="00A35EB6">
        <w:rPr>
          <w:rFonts w:ascii="Arial" w:hAnsi="Arial" w:cs="Arial"/>
          <w:color w:val="000000"/>
          <w:szCs w:val="24"/>
          <w:lang w:eastAsia="es-CO"/>
        </w:rPr>
        <w:t xml:space="preserve">expedido por el RUAF, </w:t>
      </w:r>
      <w:r w:rsidR="00D150D0">
        <w:rPr>
          <w:rFonts w:ascii="Arial" w:hAnsi="Arial" w:cs="Arial"/>
          <w:color w:val="000000"/>
          <w:szCs w:val="24"/>
          <w:lang w:eastAsia="es-CO"/>
        </w:rPr>
        <w:t>indicaba que el señor Alfredo Gutiérrez se en</w:t>
      </w:r>
      <w:r w:rsidR="00A35EB6">
        <w:rPr>
          <w:rFonts w:ascii="Arial" w:hAnsi="Arial" w:cs="Arial"/>
          <w:color w:val="000000"/>
          <w:szCs w:val="24"/>
          <w:lang w:eastAsia="es-CO"/>
        </w:rPr>
        <w:t>contraba vinculado a Horizonte</w:t>
      </w:r>
      <w:r w:rsidR="00F2265A">
        <w:rPr>
          <w:rFonts w:ascii="Arial" w:hAnsi="Arial" w:cs="Arial"/>
          <w:color w:val="000000"/>
          <w:szCs w:val="24"/>
          <w:lang w:eastAsia="es-CO"/>
        </w:rPr>
        <w:t xml:space="preserve">; </w:t>
      </w:r>
      <w:r w:rsidR="00A35EB6">
        <w:rPr>
          <w:rFonts w:ascii="Arial" w:hAnsi="Arial" w:cs="Arial"/>
          <w:color w:val="000000"/>
          <w:szCs w:val="24"/>
          <w:lang w:eastAsia="es-CO"/>
        </w:rPr>
        <w:t>por su parte, aquellos de los folios 73 a 124 daban cuenta de los pagos efectuados por el empleador a esa entidad y a Porvenir</w:t>
      </w:r>
      <w:r w:rsidR="00F2265A">
        <w:rPr>
          <w:rFonts w:ascii="Arial" w:hAnsi="Arial" w:cs="Arial"/>
          <w:color w:val="000000"/>
          <w:szCs w:val="24"/>
          <w:lang w:eastAsia="es-CO"/>
        </w:rPr>
        <w:t xml:space="preserve">; </w:t>
      </w:r>
      <w:r w:rsidR="00A35EB6">
        <w:rPr>
          <w:rFonts w:ascii="Arial" w:hAnsi="Arial" w:cs="Arial"/>
          <w:color w:val="000000"/>
          <w:szCs w:val="24"/>
          <w:lang w:eastAsia="es-CO"/>
        </w:rPr>
        <w:t>aunado a la certificación que reposa a folio 130 emitida por Horizonte donde requiere la copia de la cédula de ciudadanía del fallecido y las múltiples comunicaciones dirigidas entre ese fondo y el empleador para solucionar la inconsistencia del “afiliado”.</w:t>
      </w:r>
    </w:p>
    <w:p w:rsidR="001B4C00" w:rsidRDefault="001B4C00" w:rsidP="008A7503">
      <w:pPr>
        <w:spacing w:line="276" w:lineRule="auto"/>
        <w:jc w:val="both"/>
        <w:rPr>
          <w:rFonts w:ascii="Arial" w:hAnsi="Arial" w:cs="Arial"/>
          <w:color w:val="000000"/>
          <w:szCs w:val="24"/>
          <w:lang w:eastAsia="es-CO"/>
        </w:rPr>
      </w:pPr>
    </w:p>
    <w:p w:rsidR="00375960" w:rsidRDefault="00514783" w:rsidP="008A7503">
      <w:pPr>
        <w:spacing w:line="276" w:lineRule="auto"/>
        <w:jc w:val="both"/>
        <w:rPr>
          <w:rFonts w:ascii="Arial" w:hAnsi="Arial" w:cs="Arial"/>
          <w:color w:val="000000"/>
          <w:szCs w:val="24"/>
          <w:lang w:eastAsia="es-CO"/>
        </w:rPr>
      </w:pPr>
      <w:r>
        <w:rPr>
          <w:rFonts w:ascii="Arial" w:hAnsi="Arial" w:cs="Arial"/>
          <w:color w:val="000000"/>
          <w:szCs w:val="24"/>
          <w:lang w:eastAsia="es-CO"/>
        </w:rPr>
        <w:t>Agregó  que</w:t>
      </w:r>
      <w:r w:rsidR="001B4C00">
        <w:rPr>
          <w:rFonts w:ascii="Arial" w:hAnsi="Arial" w:cs="Arial"/>
          <w:color w:val="000000"/>
          <w:szCs w:val="24"/>
          <w:lang w:eastAsia="es-CO"/>
        </w:rPr>
        <w:t xml:space="preserve"> si bien ninguno de los intervinientes había allegado copia del formulario, </w:t>
      </w:r>
      <w:r>
        <w:rPr>
          <w:rFonts w:ascii="Arial" w:hAnsi="Arial" w:cs="Arial"/>
          <w:color w:val="000000"/>
          <w:szCs w:val="24"/>
          <w:lang w:eastAsia="es-CO"/>
        </w:rPr>
        <w:t>de la actuación surtida</w:t>
      </w:r>
      <w:r w:rsidR="001B4C00">
        <w:rPr>
          <w:rFonts w:ascii="Arial" w:hAnsi="Arial" w:cs="Arial"/>
          <w:color w:val="000000"/>
          <w:szCs w:val="24"/>
          <w:lang w:eastAsia="es-CO"/>
        </w:rPr>
        <w:t xml:space="preserve"> ante el </w:t>
      </w:r>
      <w:r w:rsidR="00A35EB6">
        <w:rPr>
          <w:rFonts w:ascii="Arial" w:hAnsi="Arial" w:cs="Arial"/>
          <w:color w:val="000000"/>
          <w:szCs w:val="24"/>
          <w:lang w:eastAsia="es-CO"/>
        </w:rPr>
        <w:t xml:space="preserve"> </w:t>
      </w:r>
      <w:r w:rsidR="001B4C00">
        <w:rPr>
          <w:rFonts w:ascii="Arial" w:hAnsi="Arial" w:cs="Arial"/>
          <w:color w:val="000000"/>
          <w:szCs w:val="24"/>
          <w:lang w:eastAsia="es-CO"/>
        </w:rPr>
        <w:t xml:space="preserve">juzgado que tramitó la tutela, podía concluirse que Horizonte sí lo tenía en su poder y que simplemente lo anuló por las inconsistencias presentadas entre el nombre y el documento de identidad del empleado. </w:t>
      </w:r>
    </w:p>
    <w:p w:rsidR="008A7503" w:rsidRDefault="008A7503" w:rsidP="008A7503">
      <w:pPr>
        <w:spacing w:line="276" w:lineRule="auto"/>
        <w:jc w:val="both"/>
        <w:rPr>
          <w:rFonts w:ascii="Arial" w:hAnsi="Arial" w:cs="Arial"/>
          <w:szCs w:val="24"/>
        </w:rPr>
      </w:pPr>
    </w:p>
    <w:p w:rsidR="002C313D" w:rsidRDefault="00B82E0F" w:rsidP="00B82E0F">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1.3. </w:t>
      </w:r>
      <w:r w:rsidR="008A7503">
        <w:rPr>
          <w:rFonts w:ascii="Arial" w:hAnsi="Arial" w:cs="Arial"/>
          <w:b/>
          <w:szCs w:val="24"/>
        </w:rPr>
        <w:t xml:space="preserve">Síntesis de los recursos de </w:t>
      </w:r>
      <w:r w:rsidR="00B15FE7">
        <w:rPr>
          <w:rFonts w:ascii="Arial" w:hAnsi="Arial" w:cs="Arial"/>
          <w:b/>
          <w:szCs w:val="24"/>
        </w:rPr>
        <w:t>apelación</w:t>
      </w:r>
    </w:p>
    <w:p w:rsidR="00B82E0F" w:rsidRPr="00B82E0F" w:rsidRDefault="00B82E0F" w:rsidP="00B82E0F">
      <w:pPr>
        <w:shd w:val="clear" w:color="auto" w:fill="FFFFFF"/>
        <w:tabs>
          <w:tab w:val="left" w:pos="5197"/>
        </w:tabs>
        <w:spacing w:line="276" w:lineRule="auto"/>
        <w:jc w:val="both"/>
        <w:rPr>
          <w:rFonts w:ascii="Arial" w:hAnsi="Arial" w:cs="Arial"/>
          <w:b/>
          <w:szCs w:val="24"/>
        </w:rPr>
      </w:pPr>
    </w:p>
    <w:p w:rsidR="00B82E0F" w:rsidRDefault="00287CC2" w:rsidP="00B82E0F">
      <w:pPr>
        <w:shd w:val="clear" w:color="auto" w:fill="FFFFFF"/>
        <w:spacing w:line="276" w:lineRule="auto"/>
        <w:jc w:val="both"/>
        <w:rPr>
          <w:rFonts w:ascii="Arial" w:hAnsi="Arial" w:cs="Arial"/>
          <w:szCs w:val="24"/>
        </w:rPr>
      </w:pPr>
      <w:r>
        <w:rPr>
          <w:rFonts w:ascii="Arial" w:hAnsi="Arial" w:cs="Arial"/>
          <w:szCs w:val="24"/>
        </w:rPr>
        <w:t xml:space="preserve">Contra la decisión de primer </w:t>
      </w:r>
      <w:r w:rsidR="002C313D">
        <w:rPr>
          <w:rFonts w:ascii="Arial" w:hAnsi="Arial" w:cs="Arial"/>
          <w:szCs w:val="24"/>
        </w:rPr>
        <w:t xml:space="preserve">grado </w:t>
      </w:r>
      <w:r w:rsidR="008A7503">
        <w:rPr>
          <w:rFonts w:ascii="Arial" w:hAnsi="Arial" w:cs="Arial"/>
          <w:szCs w:val="24"/>
        </w:rPr>
        <w:t xml:space="preserve">se presentaron recursos de apelación que a continuación se relacionan: </w:t>
      </w:r>
    </w:p>
    <w:p w:rsidR="00277238" w:rsidRDefault="00277238" w:rsidP="00B82E0F">
      <w:pPr>
        <w:shd w:val="clear" w:color="auto" w:fill="FFFFFF"/>
        <w:spacing w:line="276" w:lineRule="auto"/>
        <w:jc w:val="both"/>
        <w:rPr>
          <w:rFonts w:ascii="Arial" w:hAnsi="Arial" w:cs="Arial"/>
          <w:szCs w:val="24"/>
        </w:rPr>
      </w:pPr>
    </w:p>
    <w:p w:rsidR="00277238" w:rsidRPr="00726476" w:rsidRDefault="00277238" w:rsidP="00B82E0F">
      <w:pPr>
        <w:shd w:val="clear" w:color="auto" w:fill="FFFFFF"/>
        <w:spacing w:line="276" w:lineRule="auto"/>
        <w:jc w:val="both"/>
        <w:rPr>
          <w:rFonts w:ascii="Arial" w:hAnsi="Arial" w:cs="Arial"/>
          <w:szCs w:val="24"/>
        </w:rPr>
      </w:pPr>
      <w:r>
        <w:rPr>
          <w:rFonts w:ascii="Arial" w:hAnsi="Arial" w:cs="Arial"/>
          <w:szCs w:val="24"/>
        </w:rPr>
        <w:lastRenderedPageBreak/>
        <w:t xml:space="preserve">La </w:t>
      </w:r>
      <w:r w:rsidRPr="00277238">
        <w:rPr>
          <w:rFonts w:ascii="Arial" w:hAnsi="Arial" w:cs="Arial"/>
          <w:b/>
          <w:szCs w:val="24"/>
        </w:rPr>
        <w:t>parte actora</w:t>
      </w:r>
      <w:r>
        <w:rPr>
          <w:rFonts w:ascii="Arial" w:hAnsi="Arial" w:cs="Arial"/>
          <w:b/>
          <w:szCs w:val="24"/>
        </w:rPr>
        <w:t xml:space="preserve">, </w:t>
      </w:r>
      <w:r w:rsidR="00726476">
        <w:rPr>
          <w:rFonts w:ascii="Arial" w:hAnsi="Arial" w:cs="Arial"/>
          <w:szCs w:val="24"/>
        </w:rPr>
        <w:t xml:space="preserve">en lo que tiene que ver con la temporalidad del reconocimiento de la prestación a favor de la cónyuge, porque si bien es cierto que era menor de 30 años para la fecha del óbito </w:t>
      </w:r>
      <w:r w:rsidR="0091480D">
        <w:rPr>
          <w:rFonts w:ascii="Arial" w:hAnsi="Arial" w:cs="Arial"/>
          <w:szCs w:val="24"/>
        </w:rPr>
        <w:t>del afiliado, debe tenerse en cuenta que procreó dos hijos con él y en tal sentido, debe aplicarse el literal a) del artículo 47 que refiere que la pensión será vitalicia.</w:t>
      </w:r>
    </w:p>
    <w:p w:rsidR="008A7503" w:rsidRDefault="008A7503" w:rsidP="00B82E0F">
      <w:pPr>
        <w:shd w:val="clear" w:color="auto" w:fill="FFFFFF"/>
        <w:spacing w:line="276" w:lineRule="auto"/>
        <w:jc w:val="both"/>
        <w:rPr>
          <w:rFonts w:ascii="Arial" w:hAnsi="Arial" w:cs="Arial"/>
          <w:szCs w:val="24"/>
        </w:rPr>
      </w:pPr>
    </w:p>
    <w:p w:rsidR="008A7503" w:rsidRDefault="005B229B" w:rsidP="00B82E0F">
      <w:pPr>
        <w:shd w:val="clear" w:color="auto" w:fill="FFFFFF"/>
        <w:spacing w:line="276" w:lineRule="auto"/>
        <w:jc w:val="both"/>
        <w:rPr>
          <w:rFonts w:ascii="Arial" w:hAnsi="Arial" w:cs="Arial"/>
          <w:szCs w:val="24"/>
        </w:rPr>
      </w:pPr>
      <w:r>
        <w:rPr>
          <w:rFonts w:ascii="Arial" w:hAnsi="Arial" w:cs="Arial"/>
          <w:szCs w:val="24"/>
        </w:rPr>
        <w:t xml:space="preserve">Así mismo, respecto de los intereses moratorios, porque debe ser desde el vencimiento del plazo con que la entidad cuenta para efectuar el reconocimiento y pago de la prestación y no de la ejecutoria de la sentencia, más aun con la </w:t>
      </w:r>
      <w:r w:rsidR="0038396F">
        <w:rPr>
          <w:rFonts w:ascii="Arial" w:hAnsi="Arial" w:cs="Arial"/>
          <w:szCs w:val="24"/>
        </w:rPr>
        <w:t>multiplicidad</w:t>
      </w:r>
      <w:r>
        <w:rPr>
          <w:rFonts w:ascii="Arial" w:hAnsi="Arial" w:cs="Arial"/>
          <w:szCs w:val="24"/>
        </w:rPr>
        <w:t xml:space="preserve"> de trabas administrativas de que fue objeto.</w:t>
      </w:r>
    </w:p>
    <w:p w:rsidR="0038396F" w:rsidRDefault="0038396F" w:rsidP="00B82E0F">
      <w:pPr>
        <w:shd w:val="clear" w:color="auto" w:fill="FFFFFF"/>
        <w:spacing w:line="276" w:lineRule="auto"/>
        <w:jc w:val="both"/>
        <w:rPr>
          <w:rFonts w:ascii="Arial" w:hAnsi="Arial" w:cs="Arial"/>
          <w:szCs w:val="24"/>
        </w:rPr>
      </w:pPr>
    </w:p>
    <w:p w:rsidR="0038396F" w:rsidRPr="00004DB8" w:rsidRDefault="0038396F" w:rsidP="00B82E0F">
      <w:pPr>
        <w:shd w:val="clear" w:color="auto" w:fill="FFFFFF"/>
        <w:spacing w:line="276" w:lineRule="auto"/>
        <w:jc w:val="both"/>
        <w:rPr>
          <w:rFonts w:ascii="Arial" w:hAnsi="Arial" w:cs="Arial"/>
          <w:szCs w:val="24"/>
        </w:rPr>
      </w:pPr>
      <w:r>
        <w:rPr>
          <w:rFonts w:ascii="Arial" w:hAnsi="Arial" w:cs="Arial"/>
          <w:szCs w:val="24"/>
        </w:rPr>
        <w:t xml:space="preserve">La </w:t>
      </w:r>
      <w:r w:rsidRPr="0038396F">
        <w:rPr>
          <w:rFonts w:ascii="Arial" w:hAnsi="Arial" w:cs="Arial"/>
          <w:b/>
          <w:szCs w:val="24"/>
        </w:rPr>
        <w:t xml:space="preserve">AFP Porvenir S.A., </w:t>
      </w:r>
      <w:r w:rsidR="00004DB8">
        <w:rPr>
          <w:rFonts w:ascii="Arial" w:hAnsi="Arial" w:cs="Arial"/>
          <w:szCs w:val="24"/>
        </w:rPr>
        <w:t>hizo referencia a las mismas normas indicadas al contestar la demanda y adicionó que conforme al artículo 5 del Decreto 3995 de 2008, esa entidad debía trasladar los dineros a la entidad correcta,  por lo que debe ser exonerada en materia prestacional o en subsidio, que el empleador comparta esa responsabilidad con el pago de la suma adicional</w:t>
      </w:r>
      <w:r w:rsidR="005B7738">
        <w:rPr>
          <w:rFonts w:ascii="Arial" w:hAnsi="Arial" w:cs="Arial"/>
          <w:szCs w:val="24"/>
        </w:rPr>
        <w:t>.</w:t>
      </w:r>
    </w:p>
    <w:p w:rsidR="00184C1F" w:rsidRDefault="00184C1F" w:rsidP="00B82E0F">
      <w:pPr>
        <w:shd w:val="clear" w:color="auto" w:fill="FFFFFF"/>
        <w:spacing w:line="276" w:lineRule="auto"/>
        <w:jc w:val="both"/>
        <w:rPr>
          <w:rFonts w:ascii="Arial" w:hAnsi="Arial" w:cs="Arial"/>
          <w:b/>
          <w:szCs w:val="24"/>
        </w:rPr>
      </w:pPr>
    </w:p>
    <w:p w:rsidR="00184C1F" w:rsidRPr="00184C1F" w:rsidRDefault="00184C1F" w:rsidP="00B82E0F">
      <w:pPr>
        <w:shd w:val="clear" w:color="auto" w:fill="FFFFFF"/>
        <w:spacing w:line="276" w:lineRule="auto"/>
        <w:jc w:val="both"/>
        <w:rPr>
          <w:rFonts w:ascii="Arial" w:hAnsi="Arial" w:cs="Arial"/>
          <w:szCs w:val="24"/>
        </w:rPr>
      </w:pPr>
      <w:r>
        <w:rPr>
          <w:rFonts w:ascii="Arial" w:hAnsi="Arial" w:cs="Arial"/>
          <w:szCs w:val="24"/>
        </w:rPr>
        <w:t xml:space="preserve">La </w:t>
      </w:r>
      <w:r w:rsidRPr="008E2429">
        <w:rPr>
          <w:rFonts w:ascii="Arial" w:hAnsi="Arial" w:cs="Arial"/>
          <w:b/>
          <w:szCs w:val="24"/>
        </w:rPr>
        <w:t>aseguradora MAPFRE</w:t>
      </w:r>
      <w:r>
        <w:rPr>
          <w:rFonts w:ascii="Arial" w:hAnsi="Arial" w:cs="Arial"/>
          <w:szCs w:val="24"/>
        </w:rPr>
        <w:t>, arguyó que siguiendo las inconformidades de la AFP, si el señor Alfredo Gutiérrez no estaba afiliado a esa entidad, tampoco lo estaba con esa compañía, por lo que el “riesgo asegurable”, por lo que se trata de la muerte de una persona que no fue incluida en el contrato de seguros.</w:t>
      </w:r>
    </w:p>
    <w:p w:rsidR="00E51D8E" w:rsidRDefault="00E51D8E" w:rsidP="00B82E0F">
      <w:pPr>
        <w:shd w:val="clear" w:color="auto" w:fill="FFFFFF"/>
        <w:spacing w:line="276" w:lineRule="auto"/>
        <w:jc w:val="both"/>
        <w:rPr>
          <w:rFonts w:ascii="Arial" w:hAnsi="Arial" w:cs="Arial"/>
          <w:szCs w:val="24"/>
        </w:rPr>
      </w:pPr>
    </w:p>
    <w:p w:rsidR="00B82E0F" w:rsidRPr="00C84DAD" w:rsidRDefault="00B82E0F" w:rsidP="00E51D8E">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B82E0F" w:rsidRPr="00312238" w:rsidRDefault="00B82E0F" w:rsidP="00B82E0F">
      <w:pPr>
        <w:pStyle w:val="Paragraphedeliste"/>
        <w:shd w:val="clear" w:color="auto" w:fill="FFFFFF"/>
        <w:tabs>
          <w:tab w:val="left" w:pos="5197"/>
        </w:tabs>
        <w:spacing w:line="276" w:lineRule="auto"/>
        <w:ind w:left="1800"/>
        <w:jc w:val="both"/>
        <w:rPr>
          <w:rFonts w:ascii="Arial" w:hAnsi="Arial" w:cs="Arial"/>
          <w:b/>
          <w:sz w:val="24"/>
          <w:szCs w:val="24"/>
        </w:rPr>
      </w:pPr>
    </w:p>
    <w:p w:rsidR="00B82E0F" w:rsidRPr="00982149" w:rsidRDefault="00B82E0F" w:rsidP="00B82E0F">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B82E0F" w:rsidRDefault="00B82E0F" w:rsidP="00B82E0F">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p>
    <w:p w:rsidR="00B82E0F" w:rsidRDefault="00B82E0F" w:rsidP="00B82E0F">
      <w:pPr>
        <w:shd w:val="clear" w:color="auto" w:fill="FFFFFF"/>
        <w:tabs>
          <w:tab w:val="left" w:pos="5197"/>
        </w:tabs>
        <w:spacing w:line="276" w:lineRule="auto"/>
        <w:contextualSpacing/>
        <w:jc w:val="both"/>
        <w:rPr>
          <w:rFonts w:ascii="Arial" w:hAnsi="Arial" w:cs="Arial"/>
          <w:color w:val="000000"/>
          <w:szCs w:val="24"/>
          <w:lang w:eastAsia="es-CO"/>
        </w:rPr>
      </w:pPr>
    </w:p>
    <w:p w:rsidR="008460CC" w:rsidRDefault="00B95FE8" w:rsidP="00DA32F7">
      <w:pPr>
        <w:spacing w:line="276" w:lineRule="auto"/>
        <w:jc w:val="both"/>
        <w:rPr>
          <w:rFonts w:ascii="Arial" w:hAnsi="Arial" w:cs="Arial"/>
          <w:szCs w:val="24"/>
        </w:rPr>
      </w:pPr>
      <w:r>
        <w:rPr>
          <w:rFonts w:ascii="Arial" w:hAnsi="Arial" w:cs="Arial"/>
          <w:szCs w:val="24"/>
        </w:rPr>
        <w:t xml:space="preserve">1.1. </w:t>
      </w:r>
      <w:r w:rsidR="008460CC" w:rsidRPr="00DA32F7">
        <w:rPr>
          <w:rFonts w:ascii="Arial" w:hAnsi="Arial" w:cs="Arial"/>
          <w:szCs w:val="24"/>
        </w:rPr>
        <w:t xml:space="preserve"> </w:t>
      </w:r>
      <w:r>
        <w:rPr>
          <w:rFonts w:ascii="Arial" w:hAnsi="Arial" w:cs="Arial"/>
          <w:szCs w:val="24"/>
        </w:rPr>
        <w:t>¿</w:t>
      </w:r>
      <w:r w:rsidR="006253E7">
        <w:rPr>
          <w:rFonts w:ascii="Arial" w:hAnsi="Arial" w:cs="Arial"/>
          <w:szCs w:val="24"/>
        </w:rPr>
        <w:t xml:space="preserve">Existió </w:t>
      </w:r>
      <w:r w:rsidR="00AD6966">
        <w:rPr>
          <w:rFonts w:ascii="Arial" w:hAnsi="Arial" w:cs="Arial"/>
          <w:szCs w:val="24"/>
        </w:rPr>
        <w:t>la afiliación del señor Alfredo Gutiérrez Ledesma a la AFP Hor</w:t>
      </w:r>
      <w:r w:rsidR="001F59AE">
        <w:rPr>
          <w:rFonts w:ascii="Arial" w:hAnsi="Arial" w:cs="Arial"/>
          <w:szCs w:val="24"/>
        </w:rPr>
        <w:t>i</w:t>
      </w:r>
      <w:r w:rsidR="00AD6966">
        <w:rPr>
          <w:rFonts w:ascii="Arial" w:hAnsi="Arial" w:cs="Arial"/>
          <w:szCs w:val="24"/>
        </w:rPr>
        <w:t>zonte S.A. –hoy Porvenir S.A.</w:t>
      </w:r>
      <w:r w:rsidR="00F2265A">
        <w:rPr>
          <w:rFonts w:ascii="Arial" w:hAnsi="Arial" w:cs="Arial"/>
          <w:szCs w:val="24"/>
        </w:rPr>
        <w:t>;</w:t>
      </w:r>
      <w:r w:rsidR="006253E7">
        <w:rPr>
          <w:rFonts w:ascii="Arial" w:hAnsi="Arial" w:cs="Arial"/>
          <w:szCs w:val="24"/>
        </w:rPr>
        <w:t xml:space="preserve"> en caso positivo, la misma puede ser considerada válida</w:t>
      </w:r>
      <w:r w:rsidR="00220428" w:rsidRPr="00DA32F7">
        <w:rPr>
          <w:rFonts w:ascii="Arial" w:hAnsi="Arial" w:cs="Arial"/>
          <w:szCs w:val="24"/>
        </w:rPr>
        <w:t>?</w:t>
      </w:r>
    </w:p>
    <w:p w:rsidR="00B95FE8" w:rsidRDefault="00B95FE8" w:rsidP="00DA32F7">
      <w:pPr>
        <w:spacing w:line="276" w:lineRule="auto"/>
        <w:jc w:val="both"/>
        <w:rPr>
          <w:rFonts w:ascii="Arial" w:hAnsi="Arial" w:cs="Arial"/>
          <w:szCs w:val="24"/>
        </w:rPr>
      </w:pPr>
    </w:p>
    <w:p w:rsidR="00514783" w:rsidRDefault="00AD6966" w:rsidP="00DA32F7">
      <w:pPr>
        <w:spacing w:line="276" w:lineRule="auto"/>
        <w:jc w:val="both"/>
        <w:rPr>
          <w:rFonts w:ascii="Arial" w:hAnsi="Arial" w:cs="Arial"/>
          <w:szCs w:val="24"/>
        </w:rPr>
      </w:pPr>
      <w:r>
        <w:rPr>
          <w:rFonts w:ascii="Arial" w:hAnsi="Arial" w:cs="Arial"/>
          <w:szCs w:val="24"/>
        </w:rPr>
        <w:t xml:space="preserve">1.2. </w:t>
      </w:r>
      <w:r w:rsidR="00514783">
        <w:rPr>
          <w:rFonts w:ascii="Arial" w:hAnsi="Arial" w:cs="Arial"/>
          <w:szCs w:val="24"/>
        </w:rPr>
        <w:t xml:space="preserve">¿El derecho que le asiste a la señora </w:t>
      </w:r>
      <w:proofErr w:type="spellStart"/>
      <w:r w:rsidR="00514783">
        <w:rPr>
          <w:rFonts w:ascii="Arial" w:hAnsi="Arial" w:cs="Arial"/>
          <w:szCs w:val="24"/>
        </w:rPr>
        <w:t>Marili</w:t>
      </w:r>
      <w:proofErr w:type="spellEnd"/>
      <w:r w:rsidR="00514783">
        <w:rPr>
          <w:rFonts w:ascii="Arial" w:hAnsi="Arial" w:cs="Arial"/>
          <w:szCs w:val="24"/>
        </w:rPr>
        <w:t xml:space="preserve"> </w:t>
      </w:r>
      <w:proofErr w:type="spellStart"/>
      <w:r w:rsidR="00514783">
        <w:rPr>
          <w:rFonts w:ascii="Arial" w:hAnsi="Arial" w:cs="Arial"/>
          <w:szCs w:val="24"/>
        </w:rPr>
        <w:t>Guasarave</w:t>
      </w:r>
      <w:proofErr w:type="spellEnd"/>
      <w:r w:rsidR="00514783">
        <w:rPr>
          <w:rFonts w:ascii="Arial" w:hAnsi="Arial" w:cs="Arial"/>
          <w:szCs w:val="24"/>
        </w:rPr>
        <w:t xml:space="preserve"> </w:t>
      </w:r>
      <w:proofErr w:type="spellStart"/>
      <w:r w:rsidR="00514783">
        <w:rPr>
          <w:rFonts w:ascii="Arial" w:hAnsi="Arial" w:cs="Arial"/>
          <w:szCs w:val="24"/>
        </w:rPr>
        <w:t>Guasarave</w:t>
      </w:r>
      <w:proofErr w:type="spellEnd"/>
      <w:r w:rsidR="00514783">
        <w:rPr>
          <w:rFonts w:ascii="Arial" w:hAnsi="Arial" w:cs="Arial"/>
          <w:szCs w:val="24"/>
        </w:rPr>
        <w:t>, respecto a la pensión de sobrevivientes causada por el deceso de su cónyuge, tiene el carácter de temporal o por el contrario debe ser vitalicio?</w:t>
      </w:r>
    </w:p>
    <w:p w:rsidR="00514783" w:rsidRDefault="00514783" w:rsidP="00DA32F7">
      <w:pPr>
        <w:spacing w:line="276" w:lineRule="auto"/>
        <w:jc w:val="both"/>
        <w:rPr>
          <w:rFonts w:ascii="Arial" w:hAnsi="Arial" w:cs="Arial"/>
          <w:szCs w:val="24"/>
        </w:rPr>
      </w:pPr>
    </w:p>
    <w:p w:rsidR="00B95FE8" w:rsidRDefault="00291179" w:rsidP="00DA32F7">
      <w:pPr>
        <w:spacing w:line="276" w:lineRule="auto"/>
        <w:jc w:val="both"/>
        <w:rPr>
          <w:rFonts w:ascii="Arial" w:hAnsi="Arial" w:cs="Arial"/>
          <w:szCs w:val="24"/>
        </w:rPr>
      </w:pPr>
      <w:r>
        <w:rPr>
          <w:rFonts w:ascii="Arial" w:hAnsi="Arial" w:cs="Arial"/>
          <w:szCs w:val="24"/>
        </w:rPr>
        <w:t xml:space="preserve">1.3. </w:t>
      </w:r>
      <w:r w:rsidR="00AD6966">
        <w:rPr>
          <w:rFonts w:ascii="Arial" w:hAnsi="Arial" w:cs="Arial"/>
          <w:szCs w:val="24"/>
        </w:rPr>
        <w:t>¿Desde cuándo proceden los intereses moratorios previstos en el artículo 141 de la Ley 100 de 1993, en tratándose de pensiones de sobrevivientes</w:t>
      </w:r>
      <w:r w:rsidR="00B95FE8">
        <w:rPr>
          <w:rFonts w:ascii="Arial" w:hAnsi="Arial" w:cs="Arial"/>
          <w:szCs w:val="24"/>
        </w:rPr>
        <w:t>?</w:t>
      </w:r>
    </w:p>
    <w:p w:rsidR="00533D84" w:rsidRDefault="00533D84" w:rsidP="00DA32F7">
      <w:pPr>
        <w:spacing w:line="276" w:lineRule="auto"/>
        <w:jc w:val="both"/>
        <w:rPr>
          <w:rFonts w:ascii="Arial" w:hAnsi="Arial" w:cs="Arial"/>
          <w:szCs w:val="24"/>
        </w:rPr>
      </w:pPr>
    </w:p>
    <w:p w:rsidR="00533D84" w:rsidRPr="00DA32F7" w:rsidRDefault="00533D84" w:rsidP="00DA32F7">
      <w:pPr>
        <w:spacing w:line="276" w:lineRule="auto"/>
        <w:jc w:val="both"/>
        <w:rPr>
          <w:rFonts w:ascii="Arial" w:hAnsi="Arial" w:cs="Arial"/>
          <w:szCs w:val="24"/>
        </w:rPr>
      </w:pPr>
      <w:r>
        <w:rPr>
          <w:rFonts w:ascii="Arial" w:hAnsi="Arial" w:cs="Arial"/>
          <w:szCs w:val="24"/>
        </w:rPr>
        <w:t xml:space="preserve">1.4. ¿Debe responder la llamada en garantía por el pago de las sumas adicionales contratadas con BBVA Horizonte Pensiones y Cesantías S.A. –hoy Porvenir, a través de la póliza de seguro previsional N° </w:t>
      </w:r>
      <w:r w:rsidR="00F2265A">
        <w:rPr>
          <w:rFonts w:ascii="Arial" w:hAnsi="Arial" w:cs="Arial"/>
          <w:szCs w:val="24"/>
        </w:rPr>
        <w:t xml:space="preserve">9201410004634? </w:t>
      </w:r>
    </w:p>
    <w:p w:rsidR="008460CC" w:rsidRPr="00DA32F7" w:rsidRDefault="008460CC" w:rsidP="00DA32F7">
      <w:pPr>
        <w:spacing w:line="276" w:lineRule="auto"/>
        <w:jc w:val="both"/>
        <w:rPr>
          <w:rFonts w:ascii="Arial" w:hAnsi="Arial" w:cs="Arial"/>
          <w:szCs w:val="24"/>
        </w:rPr>
      </w:pPr>
    </w:p>
    <w:p w:rsidR="00DA32F7" w:rsidRDefault="00DA32F7" w:rsidP="00DA32F7">
      <w:pPr>
        <w:pStyle w:val="Corpsdetex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DA32F7" w:rsidRDefault="00DA32F7" w:rsidP="00DA32F7">
      <w:pPr>
        <w:pStyle w:val="Corpsdetexte"/>
        <w:spacing w:line="276" w:lineRule="auto"/>
        <w:ind w:left="390"/>
        <w:contextualSpacing/>
        <w:rPr>
          <w:b/>
          <w:iCs/>
          <w:szCs w:val="24"/>
        </w:rPr>
      </w:pPr>
    </w:p>
    <w:p w:rsidR="00DA32F7" w:rsidRDefault="00DA32F7" w:rsidP="00DA32F7">
      <w:pPr>
        <w:pStyle w:val="Corpsdetexte"/>
        <w:spacing w:line="276" w:lineRule="auto"/>
        <w:contextualSpacing/>
        <w:rPr>
          <w:iCs/>
          <w:szCs w:val="24"/>
        </w:rPr>
      </w:pPr>
      <w:r w:rsidRPr="008E0CBF">
        <w:rPr>
          <w:iCs/>
          <w:szCs w:val="24"/>
        </w:rPr>
        <w:t>Con</w:t>
      </w:r>
      <w:r>
        <w:rPr>
          <w:iCs/>
          <w:szCs w:val="24"/>
        </w:rPr>
        <w:t xml:space="preserve"> el propósito de dar solución a los anteriores</w:t>
      </w:r>
      <w:r w:rsidR="00D40A0C">
        <w:rPr>
          <w:iCs/>
          <w:szCs w:val="24"/>
        </w:rPr>
        <w:t xml:space="preserve"> cuestionamiento</w:t>
      </w:r>
      <w:r w:rsidR="00946E93">
        <w:rPr>
          <w:iCs/>
          <w:szCs w:val="24"/>
        </w:rPr>
        <w:t>s</w:t>
      </w:r>
      <w:r w:rsidRPr="008E0CBF">
        <w:rPr>
          <w:iCs/>
          <w:szCs w:val="24"/>
        </w:rPr>
        <w:t>, se considera necesario precisar</w:t>
      </w:r>
      <w:r w:rsidR="00D40A0C">
        <w:rPr>
          <w:iCs/>
          <w:szCs w:val="24"/>
        </w:rPr>
        <w:t xml:space="preserve"> </w:t>
      </w:r>
      <w:r w:rsidRPr="008E0CBF">
        <w:rPr>
          <w:iCs/>
          <w:szCs w:val="24"/>
        </w:rPr>
        <w:t xml:space="preserve"> lo siguiente:</w:t>
      </w:r>
    </w:p>
    <w:p w:rsidR="00DA32F7" w:rsidRDefault="00DA32F7" w:rsidP="00DA32F7">
      <w:pPr>
        <w:pStyle w:val="Corpsdetexte"/>
        <w:spacing w:line="276" w:lineRule="auto"/>
        <w:contextualSpacing/>
        <w:rPr>
          <w:iCs/>
          <w:szCs w:val="24"/>
        </w:rPr>
      </w:pPr>
    </w:p>
    <w:p w:rsidR="00ED7648" w:rsidRDefault="00ED7648" w:rsidP="00DA32F7">
      <w:pPr>
        <w:pStyle w:val="Corpsdetexte"/>
        <w:spacing w:line="276" w:lineRule="auto"/>
        <w:contextualSpacing/>
        <w:rPr>
          <w:iCs/>
          <w:szCs w:val="24"/>
        </w:rPr>
      </w:pPr>
    </w:p>
    <w:p w:rsidR="00DA32F7" w:rsidRDefault="00DA32F7" w:rsidP="00DA32F7">
      <w:pPr>
        <w:pStyle w:val="Corpsdetexte"/>
        <w:spacing w:line="276" w:lineRule="auto"/>
        <w:contextualSpacing/>
        <w:rPr>
          <w:b/>
          <w:iCs/>
          <w:szCs w:val="24"/>
        </w:rPr>
      </w:pPr>
      <w:r>
        <w:rPr>
          <w:b/>
          <w:iCs/>
          <w:szCs w:val="24"/>
        </w:rPr>
        <w:lastRenderedPageBreak/>
        <w:t xml:space="preserve">2.1. </w:t>
      </w:r>
      <w:r w:rsidR="00C87765">
        <w:rPr>
          <w:b/>
          <w:iCs/>
          <w:szCs w:val="24"/>
        </w:rPr>
        <w:t xml:space="preserve">Validez de la afiliación al sistema pensional </w:t>
      </w:r>
      <w:r w:rsidR="00B90EF9">
        <w:rPr>
          <w:b/>
          <w:iCs/>
          <w:szCs w:val="24"/>
        </w:rPr>
        <w:t>– Afiliación tácita</w:t>
      </w:r>
    </w:p>
    <w:p w:rsidR="00C87765" w:rsidRDefault="00C87765" w:rsidP="00DA32F7">
      <w:pPr>
        <w:pStyle w:val="Corpsdetexte"/>
        <w:spacing w:line="276" w:lineRule="auto"/>
        <w:contextualSpacing/>
        <w:rPr>
          <w:b/>
          <w:iCs/>
          <w:szCs w:val="24"/>
        </w:rPr>
      </w:pPr>
    </w:p>
    <w:p w:rsidR="00C87765" w:rsidRPr="00644528" w:rsidRDefault="00C87765" w:rsidP="00DA32F7">
      <w:pPr>
        <w:pStyle w:val="Corpsdetexte"/>
        <w:spacing w:line="276" w:lineRule="auto"/>
        <w:contextualSpacing/>
        <w:rPr>
          <w:b/>
          <w:iCs/>
          <w:szCs w:val="24"/>
        </w:rPr>
      </w:pPr>
      <w:r>
        <w:rPr>
          <w:b/>
          <w:iCs/>
          <w:szCs w:val="24"/>
        </w:rPr>
        <w:t>2.1.1. Fundamento jurídico</w:t>
      </w:r>
    </w:p>
    <w:p w:rsidR="005201C4" w:rsidRDefault="005201C4" w:rsidP="005201C4">
      <w:pPr>
        <w:spacing w:line="276" w:lineRule="auto"/>
        <w:ind w:left="360"/>
        <w:rPr>
          <w:rFonts w:ascii="Arial" w:hAnsi="Arial" w:cs="Arial"/>
          <w:b/>
          <w:szCs w:val="24"/>
        </w:rPr>
      </w:pPr>
    </w:p>
    <w:p w:rsidR="001322E9" w:rsidRPr="001322E9" w:rsidRDefault="00C434C0" w:rsidP="001322E9">
      <w:pPr>
        <w:pStyle w:val="CM203"/>
        <w:spacing w:line="276" w:lineRule="auto"/>
        <w:jc w:val="both"/>
        <w:rPr>
          <w:rFonts w:ascii="Arial" w:hAnsi="Arial" w:cs="Arial"/>
        </w:rPr>
      </w:pPr>
      <w:r w:rsidRPr="001322E9">
        <w:rPr>
          <w:rFonts w:ascii="Arial" w:hAnsi="Arial" w:cs="Arial"/>
        </w:rPr>
        <w:t xml:space="preserve">De conformidad con </w:t>
      </w:r>
      <w:r w:rsidRPr="001322E9">
        <w:rPr>
          <w:rFonts w:ascii="Arial" w:hAnsi="Arial" w:cs="Arial"/>
          <w:bCs/>
        </w:rPr>
        <w:t>lo</w:t>
      </w:r>
      <w:r w:rsidRPr="001322E9">
        <w:rPr>
          <w:rFonts w:ascii="Arial" w:hAnsi="Arial" w:cs="Arial"/>
          <w:b/>
          <w:bCs/>
        </w:rPr>
        <w:t xml:space="preserve"> </w:t>
      </w:r>
      <w:r w:rsidRPr="001322E9">
        <w:rPr>
          <w:rFonts w:ascii="Arial" w:hAnsi="Arial" w:cs="Arial"/>
        </w:rPr>
        <w:t xml:space="preserve">establecido en el 15 de la Ley 100 de 1993, </w:t>
      </w:r>
      <w:r w:rsidR="001322E9" w:rsidRPr="001322E9">
        <w:rPr>
          <w:rFonts w:ascii="Arial" w:hAnsi="Arial" w:cs="Arial"/>
        </w:rPr>
        <w:t xml:space="preserve">modificado por el artículo 3° de la Ley 797 de 2003, </w:t>
      </w:r>
      <w:r w:rsidRPr="001322E9">
        <w:rPr>
          <w:rFonts w:ascii="Arial" w:hAnsi="Arial" w:cs="Arial"/>
        </w:rPr>
        <w:t xml:space="preserve">son afiliados al sistema general de </w:t>
      </w:r>
      <w:r w:rsidR="001322E9" w:rsidRPr="001322E9">
        <w:rPr>
          <w:rFonts w:ascii="Arial" w:hAnsi="Arial" w:cs="Arial"/>
        </w:rPr>
        <w:t xml:space="preserve">pensiones en forma obligatoria, entre otros, las </w:t>
      </w:r>
      <w:r w:rsidRPr="001322E9">
        <w:rPr>
          <w:rFonts w:ascii="Arial" w:hAnsi="Arial" w:cs="Arial"/>
        </w:rPr>
        <w:t>personas vinculad</w:t>
      </w:r>
      <w:r w:rsidR="001322E9">
        <w:rPr>
          <w:rFonts w:ascii="Arial" w:hAnsi="Arial" w:cs="Arial"/>
        </w:rPr>
        <w:t>as mediante contrato de trabajo.</w:t>
      </w:r>
    </w:p>
    <w:p w:rsidR="001322E9" w:rsidRPr="00766C8A" w:rsidRDefault="001322E9" w:rsidP="00766C8A">
      <w:pPr>
        <w:pStyle w:val="CM203"/>
        <w:spacing w:line="276" w:lineRule="auto"/>
        <w:jc w:val="both"/>
        <w:rPr>
          <w:rFonts w:ascii="Arial" w:hAnsi="Arial" w:cs="Arial"/>
        </w:rPr>
      </w:pPr>
    </w:p>
    <w:p w:rsidR="001322E9" w:rsidRPr="00766C8A" w:rsidRDefault="001322E9" w:rsidP="00766C8A">
      <w:pPr>
        <w:spacing w:line="276" w:lineRule="auto"/>
        <w:jc w:val="both"/>
        <w:rPr>
          <w:rFonts w:ascii="Arial" w:hAnsi="Arial" w:cs="Arial"/>
          <w:szCs w:val="24"/>
          <w:lang w:val="es-ES"/>
        </w:rPr>
      </w:pPr>
      <w:r w:rsidRPr="00766C8A">
        <w:rPr>
          <w:rFonts w:ascii="Arial" w:hAnsi="Arial" w:cs="Arial"/>
          <w:szCs w:val="24"/>
          <w:lang w:val="es-ES"/>
        </w:rPr>
        <w:t xml:space="preserve">Por su parte, el Decreto 692 de 1994, reglamentario de la Ley de seguridad social, recoge esa misma regulación en el artículo 9° y, en el artículo 10, establece que la </w:t>
      </w:r>
      <w:r w:rsidRPr="00766C8A">
        <w:rPr>
          <w:rFonts w:ascii="Arial" w:hAnsi="Arial" w:cs="Arial"/>
          <w:color w:val="000000"/>
          <w:szCs w:val="24"/>
          <w:shd w:val="clear" w:color="auto" w:fill="FFFFFF"/>
        </w:rPr>
        <w:t>vinculación co</w:t>
      </w:r>
      <w:r w:rsidR="00766C8A" w:rsidRPr="00766C8A">
        <w:rPr>
          <w:rFonts w:ascii="Arial" w:hAnsi="Arial" w:cs="Arial"/>
          <w:color w:val="000000"/>
          <w:szCs w:val="24"/>
          <w:shd w:val="clear" w:color="auto" w:fill="FFFFFF"/>
        </w:rPr>
        <w:t xml:space="preserve">n la respectiva administradora de fondos de pensiones, bien en el RPM o en el RAIS, debe realizarse </w:t>
      </w:r>
      <w:r w:rsidRPr="00766C8A">
        <w:rPr>
          <w:rFonts w:ascii="Arial" w:hAnsi="Arial" w:cs="Arial"/>
          <w:color w:val="000000"/>
          <w:szCs w:val="24"/>
          <w:shd w:val="clear" w:color="auto" w:fill="FFFFFF"/>
        </w:rPr>
        <w:t>mediante el diligenciamiento de un formulario previsto para el efecto por la Superintendencia Bancaria</w:t>
      </w:r>
      <w:r w:rsidR="00766C8A" w:rsidRPr="00766C8A">
        <w:rPr>
          <w:rFonts w:ascii="Arial" w:hAnsi="Arial" w:cs="Arial"/>
          <w:color w:val="000000"/>
          <w:szCs w:val="24"/>
          <w:shd w:val="clear" w:color="auto" w:fill="FFFFFF"/>
        </w:rPr>
        <w:t xml:space="preserve"> –hoy financiera-</w:t>
      </w:r>
      <w:r w:rsidRPr="00766C8A">
        <w:rPr>
          <w:rFonts w:ascii="Arial" w:hAnsi="Arial" w:cs="Arial"/>
          <w:color w:val="000000"/>
          <w:szCs w:val="24"/>
          <w:shd w:val="clear" w:color="auto" w:fill="FFFFFF"/>
        </w:rPr>
        <w:t xml:space="preserve">, que deberá contener </w:t>
      </w:r>
      <w:r w:rsidR="00766C8A" w:rsidRPr="00766C8A">
        <w:rPr>
          <w:rFonts w:ascii="Arial" w:hAnsi="Arial" w:cs="Arial"/>
          <w:color w:val="000000"/>
          <w:szCs w:val="24"/>
          <w:shd w:val="clear" w:color="auto" w:fill="FFFFFF"/>
        </w:rPr>
        <w:t xml:space="preserve">unos </w:t>
      </w:r>
      <w:r w:rsidRPr="00766C8A">
        <w:rPr>
          <w:rFonts w:ascii="Arial" w:hAnsi="Arial" w:cs="Arial"/>
          <w:color w:val="000000"/>
          <w:szCs w:val="24"/>
          <w:shd w:val="clear" w:color="auto" w:fill="FFFFFF"/>
        </w:rPr>
        <w:t>datos</w:t>
      </w:r>
      <w:r w:rsidR="00766C8A" w:rsidRPr="00766C8A">
        <w:rPr>
          <w:rFonts w:ascii="Arial" w:hAnsi="Arial" w:cs="Arial"/>
          <w:color w:val="000000"/>
          <w:szCs w:val="24"/>
          <w:shd w:val="clear" w:color="auto" w:fill="FFFFFF"/>
        </w:rPr>
        <w:t xml:space="preserve"> mínimos.</w:t>
      </w:r>
    </w:p>
    <w:p w:rsidR="001322E9" w:rsidRDefault="001322E9" w:rsidP="001322E9">
      <w:pPr>
        <w:rPr>
          <w:lang w:val="es-ES"/>
        </w:rPr>
      </w:pPr>
    </w:p>
    <w:p w:rsidR="00742E63" w:rsidRDefault="00742E63" w:rsidP="00742E63">
      <w:pPr>
        <w:spacing w:line="276" w:lineRule="auto"/>
        <w:jc w:val="both"/>
        <w:rPr>
          <w:rFonts w:ascii="Arial" w:hAnsi="Arial" w:cs="Arial"/>
          <w:lang w:val="es-ES"/>
        </w:rPr>
      </w:pPr>
      <w:r w:rsidRPr="00742E63">
        <w:rPr>
          <w:rFonts w:ascii="Arial" w:hAnsi="Arial" w:cs="Arial"/>
          <w:lang w:val="es-ES"/>
        </w:rPr>
        <w:t xml:space="preserve">No obstante, la falta de diligenciamiento del referido formulario no puede enervar el reconocimiento de una pensión, cuando la AFP ha consentido el pago de los aportes por un periodo significativo, sin </w:t>
      </w:r>
      <w:r>
        <w:rPr>
          <w:rFonts w:ascii="Arial" w:hAnsi="Arial" w:cs="Arial"/>
          <w:lang w:val="es-ES"/>
        </w:rPr>
        <w:t>hacer referencia a las posibles deficiencias de la afiliación, tal y como se extrae del siguiente aparte:</w:t>
      </w:r>
    </w:p>
    <w:p w:rsidR="00742E63" w:rsidRDefault="00742E63" w:rsidP="00742E63">
      <w:pPr>
        <w:spacing w:line="276" w:lineRule="auto"/>
        <w:jc w:val="both"/>
        <w:rPr>
          <w:rFonts w:ascii="Arial" w:hAnsi="Arial" w:cs="Arial"/>
          <w:lang w:val="es-ES"/>
        </w:rPr>
      </w:pPr>
    </w:p>
    <w:p w:rsidR="008F6A5D" w:rsidRPr="008F6A5D" w:rsidRDefault="0068345F" w:rsidP="007737AC">
      <w:pPr>
        <w:ind w:left="567" w:right="567"/>
        <w:jc w:val="both"/>
        <w:rPr>
          <w:rFonts w:ascii="Arial" w:hAnsi="Arial" w:cs="Arial"/>
          <w:i/>
          <w:color w:val="000000"/>
          <w:sz w:val="20"/>
          <w:lang w:val="es-ES"/>
        </w:rPr>
      </w:pPr>
      <w:r w:rsidRPr="00452822">
        <w:rPr>
          <w:rFonts w:ascii="Arial" w:hAnsi="Arial" w:cs="Arial"/>
          <w:i/>
          <w:color w:val="000000"/>
          <w:sz w:val="22"/>
          <w:szCs w:val="22"/>
          <w:lang w:val="es-ES"/>
        </w:rPr>
        <w:t>“</w:t>
      </w:r>
      <w:r w:rsidR="008F6A5D" w:rsidRPr="008F6A5D">
        <w:rPr>
          <w:rFonts w:ascii="Arial" w:hAnsi="Arial" w:cs="Arial"/>
          <w:i/>
          <w:color w:val="000000"/>
          <w:sz w:val="22"/>
          <w:szCs w:val="22"/>
          <w:lang w:val="es-ES"/>
        </w:rPr>
        <w:t>Esta Sala ha delineado el concepto de</w:t>
      </w:r>
      <w:r w:rsidR="008F6A5D" w:rsidRPr="00452822">
        <w:rPr>
          <w:rFonts w:ascii="Arial" w:hAnsi="Arial" w:cs="Arial"/>
          <w:i/>
          <w:color w:val="000000"/>
          <w:sz w:val="22"/>
          <w:szCs w:val="22"/>
          <w:lang w:val="es-ES"/>
        </w:rPr>
        <w:t> </w:t>
      </w:r>
      <w:r w:rsidR="008F6A5D" w:rsidRPr="008F6A5D">
        <w:rPr>
          <w:rFonts w:ascii="Arial" w:hAnsi="Arial" w:cs="Arial"/>
          <w:i/>
          <w:iCs/>
          <w:color w:val="000000"/>
          <w:sz w:val="22"/>
          <w:szCs w:val="22"/>
          <w:lang w:val="es-ES"/>
        </w:rPr>
        <w:t>«aceptación tácita de la afiliación»</w:t>
      </w:r>
      <w:r w:rsidR="008F6A5D" w:rsidRPr="008F6A5D">
        <w:rPr>
          <w:rFonts w:ascii="Arial" w:hAnsi="Arial" w:cs="Arial"/>
          <w:i/>
          <w:color w:val="000000"/>
          <w:sz w:val="22"/>
          <w:szCs w:val="22"/>
          <w:lang w:val="es-ES"/>
        </w:rPr>
        <w:t>,</w:t>
      </w:r>
      <w:r w:rsidR="008F6A5D" w:rsidRPr="00452822">
        <w:rPr>
          <w:rFonts w:ascii="Arial" w:hAnsi="Arial" w:cs="Arial"/>
          <w:i/>
          <w:color w:val="000000"/>
          <w:sz w:val="22"/>
          <w:szCs w:val="22"/>
          <w:lang w:val="es-ES"/>
        </w:rPr>
        <w:t> </w:t>
      </w:r>
      <w:r w:rsidR="008F6A5D" w:rsidRPr="008F6A5D">
        <w:rPr>
          <w:rFonts w:ascii="Arial" w:hAnsi="Arial" w:cs="Arial"/>
          <w:i/>
          <w:color w:val="000000"/>
          <w:sz w:val="22"/>
          <w:szCs w:val="22"/>
          <w:lang w:val="es-ES"/>
        </w:rPr>
        <w:t>consistente en que, cuando hay silencio de la administradora de pensiones con relación a las posibles deficiencias de la afiliación o vinculación, y al tiempo ésta recibe el pago de aportes por un período significativo, se da una manifestación implícita de voluntad del afiliado, aceptada por la administradora, que lleva a que no pueda perderse el derecho a la pensión, a pesar de la falta de diligenciamiento del formulario. En torno al tema, esta Sala en sentencia CSJ SL, 19 jul. 2011, rad. 40531, expresó:</w:t>
      </w:r>
    </w:p>
    <w:p w:rsidR="008F6A5D" w:rsidRPr="008F6A5D" w:rsidRDefault="008F6A5D" w:rsidP="007737AC">
      <w:pPr>
        <w:ind w:left="567" w:right="567" w:firstLine="709"/>
        <w:jc w:val="both"/>
        <w:rPr>
          <w:rFonts w:ascii="Arial" w:hAnsi="Arial" w:cs="Arial"/>
          <w:i/>
          <w:color w:val="000000"/>
          <w:sz w:val="20"/>
          <w:lang w:val="es-ES"/>
        </w:rPr>
      </w:pPr>
      <w:r w:rsidRPr="008F6A5D">
        <w:rPr>
          <w:rFonts w:ascii="Arial" w:hAnsi="Arial" w:cs="Arial"/>
          <w:i/>
          <w:color w:val="363435"/>
          <w:sz w:val="22"/>
          <w:szCs w:val="22"/>
          <w:lang w:val="es-ES"/>
        </w:rPr>
        <w:t> </w:t>
      </w:r>
    </w:p>
    <w:p w:rsidR="008F6A5D" w:rsidRPr="008F6A5D" w:rsidRDefault="008F6A5D" w:rsidP="007737AC">
      <w:pPr>
        <w:ind w:left="567" w:right="567"/>
        <w:jc w:val="both"/>
        <w:rPr>
          <w:rFonts w:ascii="Arial" w:hAnsi="Arial" w:cs="Arial"/>
          <w:i/>
          <w:color w:val="000000"/>
          <w:sz w:val="18"/>
          <w:szCs w:val="18"/>
          <w:lang w:val="es-ES"/>
        </w:rPr>
      </w:pPr>
      <w:r w:rsidRPr="00452822">
        <w:rPr>
          <w:rFonts w:ascii="Arial" w:hAnsi="Arial" w:cs="Arial"/>
          <w:i/>
          <w:iCs/>
          <w:color w:val="000000"/>
          <w:sz w:val="22"/>
          <w:szCs w:val="22"/>
          <w:lang w:val="es-ES"/>
        </w:rPr>
        <w:t>[…] para el tribunal el hecho que el fondo hubiere recibido aportes por parte del empleador del actor durante 10 meses, sin haber hecho manifestación alguna, durante este lapso, sobre la falta de diligenciamiento del formulario de afiliación del trabajador, lo llevó a deducir una “</w:t>
      </w:r>
      <w:r w:rsidRPr="00452822">
        <w:rPr>
          <w:rFonts w:ascii="Arial" w:hAnsi="Arial" w:cs="Arial"/>
          <w:b/>
          <w:bCs/>
          <w:i/>
          <w:iCs/>
          <w:color w:val="000000"/>
          <w:sz w:val="22"/>
          <w:szCs w:val="22"/>
          <w:lang w:val="es-ES"/>
        </w:rPr>
        <w:t>afiliación tácita</w:t>
      </w:r>
      <w:r w:rsidRPr="00452822">
        <w:rPr>
          <w:rFonts w:ascii="Arial" w:hAnsi="Arial" w:cs="Arial"/>
          <w:i/>
          <w:iCs/>
          <w:color w:val="000000"/>
          <w:sz w:val="22"/>
          <w:szCs w:val="22"/>
          <w:lang w:val="es-ES"/>
        </w:rPr>
        <w:t>” […].</w:t>
      </w:r>
    </w:p>
    <w:p w:rsidR="008F6A5D" w:rsidRPr="008F6A5D" w:rsidRDefault="008F6A5D" w:rsidP="007737AC">
      <w:pPr>
        <w:ind w:left="567" w:right="567"/>
        <w:jc w:val="both"/>
        <w:rPr>
          <w:rFonts w:ascii="Arial" w:hAnsi="Arial" w:cs="Arial"/>
          <w:i/>
          <w:color w:val="000000"/>
          <w:sz w:val="18"/>
          <w:szCs w:val="18"/>
          <w:lang w:val="es-ES"/>
        </w:rPr>
      </w:pPr>
      <w:r w:rsidRPr="008F6A5D">
        <w:rPr>
          <w:rFonts w:ascii="Arial" w:hAnsi="Arial" w:cs="Arial"/>
          <w:i/>
          <w:color w:val="000000"/>
          <w:sz w:val="22"/>
          <w:szCs w:val="22"/>
          <w:lang w:val="es-ES"/>
        </w:rPr>
        <w:t> </w:t>
      </w:r>
    </w:p>
    <w:p w:rsidR="008F6A5D" w:rsidRPr="008F6A5D" w:rsidRDefault="008F6A5D" w:rsidP="007737AC">
      <w:pPr>
        <w:ind w:left="567" w:right="567"/>
        <w:jc w:val="both"/>
        <w:rPr>
          <w:rFonts w:ascii="Arial" w:hAnsi="Arial" w:cs="Arial"/>
          <w:i/>
          <w:color w:val="000000"/>
          <w:sz w:val="18"/>
          <w:szCs w:val="18"/>
          <w:lang w:val="es-ES"/>
        </w:rPr>
      </w:pPr>
      <w:r w:rsidRPr="00452822">
        <w:rPr>
          <w:rFonts w:ascii="Arial" w:hAnsi="Arial" w:cs="Arial"/>
          <w:i/>
          <w:iCs/>
          <w:color w:val="000000"/>
          <w:sz w:val="22"/>
          <w:szCs w:val="22"/>
          <w:lang w:val="es-ES"/>
        </w:rPr>
        <w:t>[…] Se tiene, conforme a la parte motiva de la sentencia recurrida, que el Tribunal consideró que si bien era cierto que el diligenciamiento del formulario de la afiliación es un requisito indispensable dispuesto en el </w:t>
      </w:r>
      <w:r w:rsidRPr="00452822">
        <w:rPr>
          <w:rFonts w:ascii="Arial" w:hAnsi="Arial" w:cs="Arial"/>
          <w:b/>
          <w:bCs/>
          <w:i/>
          <w:iCs/>
          <w:color w:val="000000"/>
          <w:sz w:val="22"/>
          <w:szCs w:val="22"/>
          <w:lang w:val="es-ES"/>
        </w:rPr>
        <w:t>artículo 11 del D. 692 de 1994 (…)</w:t>
      </w:r>
      <w:r w:rsidRPr="00452822">
        <w:rPr>
          <w:rFonts w:ascii="Arial" w:hAnsi="Arial" w:cs="Arial"/>
          <w:i/>
          <w:iCs/>
          <w:color w:val="000000"/>
          <w:sz w:val="22"/>
          <w:szCs w:val="22"/>
          <w:lang w:val="es-ES"/>
        </w:rPr>
        <w:t>, también lo era, en su concepto, que la falta de este “formalismo” no podía ser la talanquera para el reconocimiento del derecho, y el trabajador que haya efectuado los correspondientes aportes, o sus derechohabientes, se vean desprotegidos una vez se presente una contingencia.</w:t>
      </w:r>
    </w:p>
    <w:p w:rsidR="008F6A5D" w:rsidRPr="00452822" w:rsidRDefault="008F6A5D" w:rsidP="007737AC">
      <w:pPr>
        <w:ind w:left="567" w:right="567"/>
        <w:jc w:val="both"/>
        <w:rPr>
          <w:rFonts w:ascii="Arial" w:hAnsi="Arial" w:cs="Arial"/>
          <w:i/>
          <w:iCs/>
          <w:color w:val="000000"/>
          <w:sz w:val="22"/>
          <w:szCs w:val="22"/>
          <w:lang w:val="es-ES"/>
        </w:rPr>
      </w:pPr>
      <w:r w:rsidRPr="00452822">
        <w:rPr>
          <w:rFonts w:ascii="Arial" w:hAnsi="Arial" w:cs="Arial"/>
          <w:i/>
          <w:iCs/>
          <w:color w:val="000000"/>
          <w:sz w:val="22"/>
          <w:szCs w:val="22"/>
          <w:lang w:val="es-ES"/>
        </w:rPr>
        <w:t xml:space="preserve">[…] Para el ad </w:t>
      </w:r>
      <w:proofErr w:type="spellStart"/>
      <w:r w:rsidRPr="00452822">
        <w:rPr>
          <w:rFonts w:ascii="Arial" w:hAnsi="Arial" w:cs="Arial"/>
          <w:i/>
          <w:iCs/>
          <w:color w:val="000000"/>
          <w:sz w:val="22"/>
          <w:szCs w:val="22"/>
          <w:lang w:val="es-ES"/>
        </w:rPr>
        <w:t>quem</w:t>
      </w:r>
      <w:proofErr w:type="spellEnd"/>
      <w:r w:rsidRPr="00452822">
        <w:rPr>
          <w:rFonts w:ascii="Arial" w:hAnsi="Arial" w:cs="Arial"/>
          <w:i/>
          <w:iCs/>
          <w:color w:val="000000"/>
          <w:sz w:val="22"/>
          <w:szCs w:val="22"/>
          <w:lang w:val="es-ES"/>
        </w:rPr>
        <w:t>, dado el caso particular del causante, donde no hubo afiliación al fondo demandado (ni a ningún otro), pero sí se cotizó durante 10 meses sin que la entidad administradora de seguridad social hubiese comunicado la falta de afiliación, la omisión del diligenciamiento del formulario respectivo no podía conducir a la exoneración de la administradora en el reconocimiento de la pensión si se daban los demás requisitos exigidos por la ley; por tal razón, asentó la premisa de la ocurrencia de la </w:t>
      </w:r>
      <w:r w:rsidRPr="00452822">
        <w:rPr>
          <w:rFonts w:ascii="Arial" w:hAnsi="Arial" w:cs="Arial"/>
          <w:b/>
          <w:bCs/>
          <w:i/>
          <w:iCs/>
          <w:color w:val="000000"/>
          <w:sz w:val="22"/>
          <w:szCs w:val="22"/>
          <w:lang w:val="es-ES"/>
        </w:rPr>
        <w:t>aceptación tácita de la afiliación</w:t>
      </w:r>
      <w:r w:rsidRPr="00452822">
        <w:rPr>
          <w:rFonts w:ascii="Arial" w:hAnsi="Arial" w:cs="Arial"/>
          <w:i/>
          <w:iCs/>
          <w:color w:val="000000"/>
          <w:sz w:val="22"/>
          <w:szCs w:val="22"/>
          <w:lang w:val="es-ES"/>
        </w:rPr>
        <w:t> ante el silencio del fondo…”</w:t>
      </w:r>
      <w:r w:rsidR="0068345F" w:rsidRPr="00452822">
        <w:rPr>
          <w:rStyle w:val="Appelnotedebasdep"/>
          <w:rFonts w:ascii="Arial" w:hAnsi="Arial" w:cs="Arial"/>
          <w:i/>
          <w:iCs/>
          <w:color w:val="000000"/>
          <w:sz w:val="22"/>
          <w:szCs w:val="22"/>
          <w:lang w:val="es-ES"/>
        </w:rPr>
        <w:footnoteReference w:id="2"/>
      </w:r>
    </w:p>
    <w:p w:rsidR="00375BC9" w:rsidRPr="008F6A5D" w:rsidRDefault="00375BC9" w:rsidP="00CF3B60">
      <w:pPr>
        <w:spacing w:line="276" w:lineRule="auto"/>
        <w:ind w:left="567" w:right="567"/>
        <w:jc w:val="both"/>
        <w:rPr>
          <w:rFonts w:ascii="Arial" w:hAnsi="Arial" w:cs="Arial"/>
          <w:i/>
          <w:color w:val="000000"/>
          <w:sz w:val="18"/>
          <w:szCs w:val="18"/>
          <w:lang w:val="es-ES"/>
        </w:rPr>
      </w:pPr>
    </w:p>
    <w:p w:rsidR="00742E63" w:rsidRPr="00CF3B60" w:rsidRDefault="00375BC9" w:rsidP="00CF3B60">
      <w:pPr>
        <w:spacing w:line="276" w:lineRule="auto"/>
        <w:rPr>
          <w:rFonts w:ascii="Arial" w:hAnsi="Arial" w:cs="Arial"/>
          <w:b/>
          <w:lang w:val="es-ES"/>
        </w:rPr>
      </w:pPr>
      <w:r w:rsidRPr="00CF3B60">
        <w:rPr>
          <w:rFonts w:ascii="Arial" w:hAnsi="Arial" w:cs="Arial"/>
          <w:b/>
          <w:lang w:val="es-ES"/>
        </w:rPr>
        <w:lastRenderedPageBreak/>
        <w:t>2.1.2. Fundamento fáctico</w:t>
      </w:r>
    </w:p>
    <w:p w:rsidR="00742E63" w:rsidRPr="00CF3B60" w:rsidRDefault="00742E63" w:rsidP="00CF3B60">
      <w:pPr>
        <w:spacing w:line="276" w:lineRule="auto"/>
        <w:rPr>
          <w:rFonts w:ascii="Arial" w:hAnsi="Arial" w:cs="Arial"/>
          <w:lang w:val="es-ES"/>
        </w:rPr>
      </w:pPr>
    </w:p>
    <w:p w:rsidR="00CF3B60" w:rsidRDefault="002C0E13" w:rsidP="00C35FEF">
      <w:pPr>
        <w:spacing w:line="276" w:lineRule="auto"/>
        <w:jc w:val="both"/>
        <w:rPr>
          <w:rFonts w:ascii="Arial" w:hAnsi="Arial" w:cs="Arial"/>
          <w:szCs w:val="24"/>
          <w:lang w:val="es-ES"/>
        </w:rPr>
      </w:pPr>
      <w:r>
        <w:rPr>
          <w:rFonts w:ascii="Arial" w:hAnsi="Arial" w:cs="Arial"/>
          <w:lang w:val="es-ES"/>
        </w:rPr>
        <w:t xml:space="preserve">A lo primero que debe hacerse referencia, es al oficio N° 2410 suscrito por el representante legal judicial de Porvenir, visible a folio 140 del cd. 1, en respuesta a la acción de tutela interpuesta por la señora </w:t>
      </w:r>
      <w:proofErr w:type="spellStart"/>
      <w:r>
        <w:rPr>
          <w:rFonts w:ascii="Arial" w:hAnsi="Arial" w:cs="Arial"/>
          <w:lang w:val="es-ES"/>
        </w:rPr>
        <w:t>Marili</w:t>
      </w:r>
      <w:proofErr w:type="spellEnd"/>
      <w:r>
        <w:rPr>
          <w:rFonts w:ascii="Arial" w:hAnsi="Arial" w:cs="Arial"/>
          <w:lang w:val="es-ES"/>
        </w:rPr>
        <w:t xml:space="preserve"> </w:t>
      </w:r>
      <w:proofErr w:type="spellStart"/>
      <w:r>
        <w:rPr>
          <w:rFonts w:ascii="Arial" w:hAnsi="Arial" w:cs="Arial"/>
          <w:lang w:val="es-ES"/>
        </w:rPr>
        <w:t>Guasarave</w:t>
      </w:r>
      <w:proofErr w:type="spellEnd"/>
      <w:r>
        <w:rPr>
          <w:rFonts w:ascii="Arial" w:hAnsi="Arial" w:cs="Arial"/>
          <w:lang w:val="es-ES"/>
        </w:rPr>
        <w:t xml:space="preserve"> </w:t>
      </w:r>
      <w:proofErr w:type="spellStart"/>
      <w:r>
        <w:rPr>
          <w:rFonts w:ascii="Arial" w:hAnsi="Arial" w:cs="Arial"/>
          <w:lang w:val="es-ES"/>
        </w:rPr>
        <w:t>Guasarave</w:t>
      </w:r>
      <w:proofErr w:type="spellEnd"/>
      <w:r>
        <w:rPr>
          <w:rFonts w:ascii="Arial" w:hAnsi="Arial" w:cs="Arial"/>
          <w:lang w:val="es-ES"/>
        </w:rPr>
        <w:t>, ante el Juzgado Segundo Penal Municipal de Adolescentes con función de control de Garantías de esta ciudad, en el que expresamente se señala que “</w:t>
      </w:r>
      <w:r w:rsidRPr="00C35FEF">
        <w:rPr>
          <w:rFonts w:ascii="Arial" w:hAnsi="Arial" w:cs="Arial"/>
          <w:i/>
          <w:sz w:val="22"/>
          <w:szCs w:val="22"/>
          <w:lang w:val="es-ES"/>
        </w:rPr>
        <w:t xml:space="preserve">cabe señalar que la afiliación que supuestamente presento –sic- el señor ALFREDO GUTIÉRREZ LEDESMA (Q.E.P.D.) a HORIZONTE PENSIONES Y </w:t>
      </w:r>
      <w:r w:rsidR="00C35FEF" w:rsidRPr="00C35FEF">
        <w:rPr>
          <w:rFonts w:ascii="Arial" w:hAnsi="Arial" w:cs="Arial"/>
          <w:i/>
          <w:sz w:val="22"/>
          <w:szCs w:val="22"/>
          <w:lang w:val="es-ES"/>
        </w:rPr>
        <w:t>CESANTÍAS S.A. fue anulada debido a que el formulario diligenciado tiene el número de cédula del señor ALFREDO GUTIÉRREZ LEDESMA (Q.E.P.D.), no obstante, no corresponde con los nombres y apel</w:t>
      </w:r>
      <w:r w:rsidR="00C706F0">
        <w:rPr>
          <w:rFonts w:ascii="Arial" w:hAnsi="Arial" w:cs="Arial"/>
          <w:i/>
          <w:sz w:val="22"/>
          <w:szCs w:val="22"/>
          <w:lang w:val="es-ES"/>
        </w:rPr>
        <w:t xml:space="preserve">lidos diligenciados en el mismo”, </w:t>
      </w:r>
      <w:r w:rsidR="00C706F0">
        <w:rPr>
          <w:rFonts w:ascii="Arial" w:hAnsi="Arial" w:cs="Arial"/>
          <w:sz w:val="22"/>
          <w:szCs w:val="22"/>
          <w:lang w:val="es-ES"/>
        </w:rPr>
        <w:t xml:space="preserve"> </w:t>
      </w:r>
      <w:r w:rsidR="00C706F0">
        <w:rPr>
          <w:rFonts w:ascii="Arial" w:hAnsi="Arial" w:cs="Arial"/>
          <w:szCs w:val="24"/>
          <w:lang w:val="es-ES"/>
        </w:rPr>
        <w:t>de lo cual se infiere, como lo hizo la a-quo, que efectivamente hubo un formulario de afiliación del citado señor a ese fondo de pensiones</w:t>
      </w:r>
      <w:r w:rsidR="00F2265A">
        <w:rPr>
          <w:rFonts w:ascii="Arial" w:hAnsi="Arial" w:cs="Arial"/>
          <w:szCs w:val="24"/>
          <w:lang w:val="es-ES"/>
        </w:rPr>
        <w:t>, por lo que hizo ejercicio de su derecho de elección</w:t>
      </w:r>
      <w:r w:rsidR="00C706F0">
        <w:rPr>
          <w:rFonts w:ascii="Arial" w:hAnsi="Arial" w:cs="Arial"/>
          <w:szCs w:val="24"/>
          <w:lang w:val="es-ES"/>
        </w:rPr>
        <w:t xml:space="preserve">, pero que el mismo, a través de un acto inconsulto y arbitrario lo anuló, en desconocimiento del derecho al debido </w:t>
      </w:r>
      <w:r w:rsidR="00723B94">
        <w:rPr>
          <w:rFonts w:ascii="Arial" w:hAnsi="Arial" w:cs="Arial"/>
          <w:szCs w:val="24"/>
          <w:lang w:val="es-ES"/>
        </w:rPr>
        <w:t>proceso del interesado.</w:t>
      </w:r>
    </w:p>
    <w:p w:rsidR="00723B94" w:rsidRDefault="00723B94" w:rsidP="00C35FEF">
      <w:pPr>
        <w:spacing w:line="276" w:lineRule="auto"/>
        <w:jc w:val="both"/>
        <w:rPr>
          <w:rFonts w:ascii="Arial" w:hAnsi="Arial" w:cs="Arial"/>
          <w:szCs w:val="24"/>
          <w:lang w:val="es-ES"/>
        </w:rPr>
      </w:pPr>
    </w:p>
    <w:p w:rsidR="00723B94" w:rsidRDefault="0037769A" w:rsidP="00C35FEF">
      <w:pPr>
        <w:spacing w:line="276" w:lineRule="auto"/>
        <w:jc w:val="both"/>
        <w:rPr>
          <w:rFonts w:ascii="Arial" w:hAnsi="Arial" w:cs="Arial"/>
          <w:szCs w:val="24"/>
          <w:lang w:val="es-ES"/>
        </w:rPr>
      </w:pPr>
      <w:r>
        <w:rPr>
          <w:rFonts w:ascii="Arial" w:hAnsi="Arial" w:cs="Arial"/>
          <w:szCs w:val="24"/>
          <w:lang w:val="es-ES"/>
        </w:rPr>
        <w:t>De tal manera que no son de recibo las alegaciones de la defensa, en el sentido de no haberse diligenciado el aludido formulario de afiliación, máxime cuando del Registro Único de Afiliados a la Protección Social –RUAF- se extrae que el señor Alfredo Gutiérrez Ledesma, lo estaba al régimen de Ahorro Individual con la Administradora BBVA Horizonte desde el 30/11/1995.</w:t>
      </w:r>
    </w:p>
    <w:p w:rsidR="0037769A" w:rsidRDefault="0037769A" w:rsidP="00C35FEF">
      <w:pPr>
        <w:spacing w:line="276" w:lineRule="auto"/>
        <w:jc w:val="both"/>
        <w:rPr>
          <w:rFonts w:ascii="Arial" w:hAnsi="Arial" w:cs="Arial"/>
          <w:szCs w:val="24"/>
          <w:lang w:val="es-ES"/>
        </w:rPr>
      </w:pPr>
    </w:p>
    <w:p w:rsidR="0037769A" w:rsidRDefault="0037769A" w:rsidP="00C35FEF">
      <w:pPr>
        <w:spacing w:line="276" w:lineRule="auto"/>
        <w:jc w:val="both"/>
        <w:rPr>
          <w:rFonts w:ascii="Arial" w:hAnsi="Arial" w:cs="Arial"/>
          <w:szCs w:val="24"/>
          <w:lang w:val="es-ES"/>
        </w:rPr>
      </w:pPr>
      <w:r>
        <w:rPr>
          <w:rFonts w:ascii="Arial" w:hAnsi="Arial" w:cs="Arial"/>
          <w:szCs w:val="24"/>
          <w:lang w:val="es-ES"/>
        </w:rPr>
        <w:t xml:space="preserve">Ahora, de acuerdo a la fecha de afiliación al RAIS, puede colegirse que el empleador Giovanny Ulises Galindo </w:t>
      </w:r>
      <w:proofErr w:type="spellStart"/>
      <w:r>
        <w:rPr>
          <w:rFonts w:ascii="Arial" w:hAnsi="Arial" w:cs="Arial"/>
          <w:szCs w:val="24"/>
          <w:lang w:val="es-ES"/>
        </w:rPr>
        <w:t>Tijaro</w:t>
      </w:r>
      <w:proofErr w:type="spellEnd"/>
      <w:r>
        <w:rPr>
          <w:rFonts w:ascii="Arial" w:hAnsi="Arial" w:cs="Arial"/>
          <w:szCs w:val="24"/>
          <w:lang w:val="es-ES"/>
        </w:rPr>
        <w:t xml:space="preserve"> y/o la sociedad Ganadería y Central Gen</w:t>
      </w:r>
      <w:r w:rsidR="002B4D8A">
        <w:rPr>
          <w:rFonts w:ascii="Arial" w:hAnsi="Arial" w:cs="Arial"/>
          <w:szCs w:val="24"/>
          <w:lang w:val="es-ES"/>
        </w:rPr>
        <w:t>ética BOGA S.A.S., en realidad no efect</w:t>
      </w:r>
      <w:r w:rsidR="00213523">
        <w:rPr>
          <w:rFonts w:ascii="Arial" w:hAnsi="Arial" w:cs="Arial"/>
          <w:szCs w:val="24"/>
          <w:lang w:val="es-ES"/>
        </w:rPr>
        <w:t>uó la afiliación de su empleado</w:t>
      </w:r>
      <w:r w:rsidR="002B4D8A">
        <w:rPr>
          <w:rFonts w:ascii="Arial" w:hAnsi="Arial" w:cs="Arial"/>
          <w:szCs w:val="24"/>
          <w:lang w:val="es-ES"/>
        </w:rPr>
        <w:t xml:space="preserve"> porque este ya ostentada esa calidad desde mucho años atrás, sino que lo que pudo </w:t>
      </w:r>
      <w:r w:rsidR="008349C1">
        <w:rPr>
          <w:rFonts w:ascii="Arial" w:hAnsi="Arial" w:cs="Arial"/>
          <w:szCs w:val="24"/>
          <w:lang w:val="es-ES"/>
        </w:rPr>
        <w:t>haber diligenciado fue el reporte de la novedad relacionada con el cambio de empleador o patronal.</w:t>
      </w:r>
    </w:p>
    <w:p w:rsidR="00A377BB" w:rsidRDefault="00A377BB" w:rsidP="00C35FEF">
      <w:pPr>
        <w:spacing w:line="276" w:lineRule="auto"/>
        <w:jc w:val="both"/>
        <w:rPr>
          <w:rFonts w:ascii="Arial" w:hAnsi="Arial" w:cs="Arial"/>
          <w:szCs w:val="24"/>
          <w:lang w:val="es-ES"/>
        </w:rPr>
      </w:pPr>
    </w:p>
    <w:p w:rsidR="007A2F8B" w:rsidRDefault="00A377BB" w:rsidP="00C35FEF">
      <w:pPr>
        <w:spacing w:line="276" w:lineRule="auto"/>
        <w:jc w:val="both"/>
        <w:rPr>
          <w:rFonts w:ascii="Arial" w:hAnsi="Arial" w:cs="Arial"/>
          <w:szCs w:val="24"/>
          <w:lang w:val="es-ES"/>
        </w:rPr>
      </w:pPr>
      <w:r>
        <w:rPr>
          <w:rFonts w:ascii="Arial" w:hAnsi="Arial" w:cs="Arial"/>
          <w:szCs w:val="24"/>
          <w:lang w:val="es-ES"/>
        </w:rPr>
        <w:t xml:space="preserve">No obstante, si en gracia de discusión se admitirá </w:t>
      </w:r>
      <w:r w:rsidR="000F3B11">
        <w:rPr>
          <w:rFonts w:ascii="Arial" w:hAnsi="Arial" w:cs="Arial"/>
          <w:szCs w:val="24"/>
          <w:lang w:val="es-ES"/>
        </w:rPr>
        <w:t>la omisión del diligenciamiento del formulario previsto en el art</w:t>
      </w:r>
      <w:r w:rsidR="00CD7F64">
        <w:rPr>
          <w:rFonts w:ascii="Arial" w:hAnsi="Arial" w:cs="Arial"/>
          <w:szCs w:val="24"/>
          <w:lang w:val="es-ES"/>
        </w:rPr>
        <w:t>ículo 11 del Decreto 692/94</w:t>
      </w:r>
      <w:r w:rsidR="007A2F8B">
        <w:rPr>
          <w:rFonts w:ascii="Arial" w:hAnsi="Arial" w:cs="Arial"/>
          <w:szCs w:val="24"/>
          <w:lang w:val="es-ES"/>
        </w:rPr>
        <w:t>, ha de entenderse surtida la afiliación tácita al sistema pensional, conforme los términos indicados en la jurisprudencia antes citada</w:t>
      </w:r>
      <w:r w:rsidR="00F2265A">
        <w:rPr>
          <w:rFonts w:ascii="Arial" w:hAnsi="Arial" w:cs="Arial"/>
          <w:szCs w:val="24"/>
          <w:lang w:val="es-ES"/>
        </w:rPr>
        <w:t xml:space="preserve"> – que se comparte-</w:t>
      </w:r>
      <w:r w:rsidR="007A2F8B">
        <w:rPr>
          <w:rFonts w:ascii="Arial" w:hAnsi="Arial" w:cs="Arial"/>
          <w:szCs w:val="24"/>
          <w:lang w:val="es-ES"/>
        </w:rPr>
        <w:t>, por las siguientes razones:</w:t>
      </w:r>
    </w:p>
    <w:p w:rsidR="007A2F8B" w:rsidRDefault="007A2F8B" w:rsidP="00C35FEF">
      <w:pPr>
        <w:spacing w:line="276" w:lineRule="auto"/>
        <w:jc w:val="both"/>
        <w:rPr>
          <w:rFonts w:ascii="Arial" w:hAnsi="Arial" w:cs="Arial"/>
          <w:szCs w:val="24"/>
          <w:lang w:val="es-ES"/>
        </w:rPr>
      </w:pPr>
    </w:p>
    <w:p w:rsidR="00322D82" w:rsidRDefault="007A2F8B" w:rsidP="00C35FEF">
      <w:pPr>
        <w:spacing w:line="276" w:lineRule="auto"/>
        <w:jc w:val="both"/>
        <w:rPr>
          <w:rFonts w:ascii="Arial" w:hAnsi="Arial" w:cs="Arial"/>
          <w:szCs w:val="24"/>
          <w:lang w:val="es-ES"/>
        </w:rPr>
      </w:pPr>
      <w:r>
        <w:rPr>
          <w:rFonts w:ascii="Arial" w:hAnsi="Arial" w:cs="Arial"/>
          <w:szCs w:val="24"/>
          <w:lang w:val="es-ES"/>
        </w:rPr>
        <w:t>(i) Q</w:t>
      </w:r>
      <w:r w:rsidR="00394C64">
        <w:rPr>
          <w:rFonts w:ascii="Arial" w:hAnsi="Arial" w:cs="Arial"/>
          <w:szCs w:val="24"/>
          <w:lang w:val="es-ES"/>
        </w:rPr>
        <w:t xml:space="preserve">uedó debidamente acreditado al interior de este proceso que el empleador realizó </w:t>
      </w:r>
      <w:r w:rsidR="001F471D">
        <w:rPr>
          <w:rFonts w:ascii="Arial" w:hAnsi="Arial" w:cs="Arial"/>
          <w:szCs w:val="24"/>
          <w:lang w:val="es-ES"/>
        </w:rPr>
        <w:t xml:space="preserve">de manera ininterrumpida </w:t>
      </w:r>
      <w:r w:rsidR="00394C64">
        <w:rPr>
          <w:rFonts w:ascii="Arial" w:hAnsi="Arial" w:cs="Arial"/>
          <w:szCs w:val="24"/>
          <w:lang w:val="es-ES"/>
        </w:rPr>
        <w:t xml:space="preserve">el pago de aportes a la AFP Horizonte </w:t>
      </w:r>
      <w:r w:rsidR="001F471D">
        <w:rPr>
          <w:rFonts w:ascii="Arial" w:hAnsi="Arial" w:cs="Arial"/>
          <w:szCs w:val="24"/>
          <w:lang w:val="es-ES"/>
        </w:rPr>
        <w:t>desde el mes de abril de 2008 a julio de 2012</w:t>
      </w:r>
      <w:r w:rsidR="006E2A3F">
        <w:rPr>
          <w:rFonts w:ascii="Arial" w:hAnsi="Arial" w:cs="Arial"/>
          <w:szCs w:val="24"/>
          <w:lang w:val="es-ES"/>
        </w:rPr>
        <w:t xml:space="preserve"> -4 años-</w:t>
      </w:r>
      <w:r w:rsidR="001F471D">
        <w:rPr>
          <w:rFonts w:ascii="Arial" w:hAnsi="Arial" w:cs="Arial"/>
          <w:szCs w:val="24"/>
          <w:lang w:val="es-ES"/>
        </w:rPr>
        <w:t xml:space="preserve"> a favor del señor Alfredo </w:t>
      </w:r>
      <w:r w:rsidR="00CD7F64">
        <w:rPr>
          <w:rFonts w:ascii="Arial" w:hAnsi="Arial" w:cs="Arial"/>
          <w:szCs w:val="24"/>
          <w:lang w:val="es-ES"/>
        </w:rPr>
        <w:t>Gutiérrez</w:t>
      </w:r>
      <w:r w:rsidR="001F471D">
        <w:rPr>
          <w:rFonts w:ascii="Arial" w:hAnsi="Arial" w:cs="Arial"/>
          <w:szCs w:val="24"/>
          <w:lang w:val="es-ES"/>
        </w:rPr>
        <w:t xml:space="preserve"> Ledesma</w:t>
      </w:r>
      <w:r>
        <w:rPr>
          <w:rFonts w:ascii="Arial" w:hAnsi="Arial" w:cs="Arial"/>
          <w:szCs w:val="24"/>
          <w:lang w:val="es-ES"/>
        </w:rPr>
        <w:t xml:space="preserve"> –</w:t>
      </w:r>
      <w:r w:rsidRPr="007A2F8B">
        <w:rPr>
          <w:rFonts w:ascii="Arial" w:hAnsi="Arial" w:cs="Arial"/>
          <w:i/>
          <w:szCs w:val="24"/>
          <w:lang w:val="es-ES"/>
        </w:rPr>
        <w:t>fls.73 a 124 y 285 a 336 del cd. 1-</w:t>
      </w:r>
      <w:r w:rsidR="00322D82">
        <w:rPr>
          <w:rFonts w:ascii="Arial" w:hAnsi="Arial" w:cs="Arial"/>
          <w:szCs w:val="24"/>
          <w:lang w:val="es-ES"/>
        </w:rPr>
        <w:t>.</w:t>
      </w:r>
    </w:p>
    <w:p w:rsidR="00322D82" w:rsidRDefault="00322D82" w:rsidP="00C35FEF">
      <w:pPr>
        <w:spacing w:line="276" w:lineRule="auto"/>
        <w:jc w:val="both"/>
        <w:rPr>
          <w:rFonts w:ascii="Arial" w:hAnsi="Arial" w:cs="Arial"/>
          <w:szCs w:val="24"/>
          <w:lang w:val="es-ES"/>
        </w:rPr>
      </w:pPr>
    </w:p>
    <w:p w:rsidR="00844298" w:rsidRDefault="007A2F8B" w:rsidP="00C35FEF">
      <w:pPr>
        <w:spacing w:line="276" w:lineRule="auto"/>
        <w:jc w:val="both"/>
        <w:rPr>
          <w:rFonts w:ascii="Arial" w:hAnsi="Arial" w:cs="Arial"/>
          <w:szCs w:val="24"/>
          <w:lang w:val="es-ES"/>
        </w:rPr>
      </w:pPr>
      <w:r>
        <w:rPr>
          <w:rFonts w:ascii="Arial" w:hAnsi="Arial" w:cs="Arial"/>
          <w:szCs w:val="24"/>
          <w:lang w:val="es-ES"/>
        </w:rPr>
        <w:t xml:space="preserve">(ii) </w:t>
      </w:r>
      <w:r w:rsidR="00322D82">
        <w:rPr>
          <w:rFonts w:ascii="Arial" w:hAnsi="Arial" w:cs="Arial"/>
          <w:szCs w:val="24"/>
          <w:lang w:val="es-ES"/>
        </w:rPr>
        <w:t>S</w:t>
      </w:r>
      <w:r w:rsidR="00CD7F64">
        <w:rPr>
          <w:rFonts w:ascii="Arial" w:hAnsi="Arial" w:cs="Arial"/>
          <w:szCs w:val="24"/>
          <w:lang w:val="es-ES"/>
        </w:rPr>
        <w:t xml:space="preserve">olo </w:t>
      </w:r>
      <w:r w:rsidR="006E2A3F">
        <w:rPr>
          <w:rFonts w:ascii="Arial" w:hAnsi="Arial" w:cs="Arial"/>
          <w:szCs w:val="24"/>
          <w:lang w:val="es-ES"/>
        </w:rPr>
        <w:t xml:space="preserve">tres años después de la afiliación </w:t>
      </w:r>
      <w:r>
        <w:rPr>
          <w:rFonts w:ascii="Arial" w:hAnsi="Arial" w:cs="Arial"/>
          <w:szCs w:val="24"/>
          <w:lang w:val="es-ES"/>
        </w:rPr>
        <w:t>a través del oficio N° COM-REZ – 402193 18397999 del 26/12/2011 –</w:t>
      </w:r>
      <w:proofErr w:type="spellStart"/>
      <w:r>
        <w:rPr>
          <w:rFonts w:ascii="Arial" w:hAnsi="Arial" w:cs="Arial"/>
          <w:szCs w:val="24"/>
          <w:lang w:val="es-ES"/>
        </w:rPr>
        <w:t>fls</w:t>
      </w:r>
      <w:proofErr w:type="spellEnd"/>
      <w:r>
        <w:rPr>
          <w:rFonts w:ascii="Arial" w:hAnsi="Arial" w:cs="Arial"/>
          <w:szCs w:val="24"/>
          <w:lang w:val="es-ES"/>
        </w:rPr>
        <w:t xml:space="preserve">. 282 y 283- , la AFP BBVA Horizonte Pensiones y Cesantías le informa al señor Giovanny Ulises Galindo de la inconsistencia descrita como </w:t>
      </w:r>
      <w:r w:rsidRPr="00322D82">
        <w:rPr>
          <w:rFonts w:ascii="Arial" w:hAnsi="Arial" w:cs="Arial"/>
          <w:i/>
          <w:szCs w:val="24"/>
          <w:lang w:val="es-ES"/>
        </w:rPr>
        <w:t>“no coincide identificación con nombre”</w:t>
      </w:r>
      <w:r>
        <w:rPr>
          <w:rFonts w:ascii="Arial" w:hAnsi="Arial" w:cs="Arial"/>
          <w:szCs w:val="24"/>
          <w:lang w:val="es-ES"/>
        </w:rPr>
        <w:t xml:space="preserve">, la cual debe ser considerada por simple lógica, como diferente a que el empleado no ostente la calidad de vinculado, máxime cuando en el mismo formato esta inconsistencia </w:t>
      </w:r>
      <w:r w:rsidR="00322D82">
        <w:rPr>
          <w:rFonts w:ascii="Arial" w:hAnsi="Arial" w:cs="Arial"/>
          <w:szCs w:val="24"/>
          <w:lang w:val="es-ES"/>
        </w:rPr>
        <w:t>se encuentra relacionada separadamente.</w:t>
      </w:r>
    </w:p>
    <w:p w:rsidR="00844298" w:rsidRDefault="00844298" w:rsidP="00C35FEF">
      <w:pPr>
        <w:spacing w:line="276" w:lineRule="auto"/>
        <w:jc w:val="both"/>
        <w:rPr>
          <w:rFonts w:ascii="Arial" w:hAnsi="Arial" w:cs="Arial"/>
          <w:szCs w:val="24"/>
          <w:lang w:val="es-ES"/>
        </w:rPr>
      </w:pPr>
    </w:p>
    <w:p w:rsidR="007A2F8B" w:rsidRDefault="00844298" w:rsidP="00C35FEF">
      <w:pPr>
        <w:spacing w:line="276" w:lineRule="auto"/>
        <w:jc w:val="both"/>
        <w:rPr>
          <w:rFonts w:ascii="Arial" w:hAnsi="Arial" w:cs="Arial"/>
          <w:szCs w:val="24"/>
          <w:lang w:val="es-ES"/>
        </w:rPr>
      </w:pPr>
      <w:r>
        <w:rPr>
          <w:rFonts w:ascii="Arial" w:hAnsi="Arial" w:cs="Arial"/>
          <w:szCs w:val="24"/>
          <w:lang w:val="es-ES"/>
        </w:rPr>
        <w:lastRenderedPageBreak/>
        <w:t xml:space="preserve">Significa lo anterior, que la AFP demandada en ningún momento cuestionó la </w:t>
      </w:r>
      <w:r w:rsidR="006E2A3F">
        <w:rPr>
          <w:rFonts w:ascii="Arial" w:hAnsi="Arial" w:cs="Arial"/>
          <w:szCs w:val="24"/>
          <w:lang w:val="es-ES"/>
        </w:rPr>
        <w:t>existencia</w:t>
      </w:r>
      <w:r>
        <w:rPr>
          <w:rFonts w:ascii="Arial" w:hAnsi="Arial" w:cs="Arial"/>
          <w:szCs w:val="24"/>
          <w:lang w:val="es-ES"/>
        </w:rPr>
        <w:t xml:space="preserve"> de la afiliación del señor Alfredo Gutiérrez Ledesma</w:t>
      </w:r>
      <w:r w:rsidR="007737AC">
        <w:rPr>
          <w:rFonts w:ascii="Arial" w:hAnsi="Arial" w:cs="Arial"/>
          <w:szCs w:val="24"/>
          <w:lang w:val="es-ES"/>
        </w:rPr>
        <w:t xml:space="preserve">, toda vez que la única advertencia realizada era relacionada con el número de identificación; pero si la misma se admitiera como </w:t>
      </w:r>
      <w:r w:rsidR="00E43255">
        <w:rPr>
          <w:rFonts w:ascii="Arial" w:hAnsi="Arial" w:cs="Arial"/>
          <w:szCs w:val="24"/>
          <w:lang w:val="es-ES"/>
        </w:rPr>
        <w:t xml:space="preserve">una deficiencia en la afiliación, nótese que se efectuó el 26/12/2011, esto es, después de haber recaudado 44 meses de aportes, teniendo en cuenta que el primero </w:t>
      </w:r>
      <w:r w:rsidR="00036E3F">
        <w:rPr>
          <w:rFonts w:ascii="Arial" w:hAnsi="Arial" w:cs="Arial"/>
          <w:szCs w:val="24"/>
          <w:lang w:val="es-ES"/>
        </w:rPr>
        <w:t>lo fue para abril de 2008.</w:t>
      </w:r>
    </w:p>
    <w:p w:rsidR="00036E3F" w:rsidRPr="00ED7648" w:rsidRDefault="00036E3F" w:rsidP="00C35FEF">
      <w:pPr>
        <w:spacing w:line="276" w:lineRule="auto"/>
        <w:jc w:val="both"/>
        <w:rPr>
          <w:rFonts w:ascii="Arial" w:hAnsi="Arial" w:cs="Arial"/>
          <w:sz w:val="16"/>
          <w:szCs w:val="16"/>
          <w:lang w:val="es-ES"/>
        </w:rPr>
      </w:pPr>
    </w:p>
    <w:p w:rsidR="00036E3F" w:rsidRDefault="00036E3F" w:rsidP="00C35FEF">
      <w:pPr>
        <w:spacing w:line="276" w:lineRule="auto"/>
        <w:jc w:val="both"/>
        <w:rPr>
          <w:rFonts w:ascii="Arial" w:hAnsi="Arial" w:cs="Arial"/>
          <w:szCs w:val="24"/>
          <w:lang w:val="es-ES"/>
        </w:rPr>
      </w:pPr>
      <w:r>
        <w:rPr>
          <w:rFonts w:ascii="Arial" w:hAnsi="Arial" w:cs="Arial"/>
          <w:szCs w:val="24"/>
          <w:lang w:val="es-ES"/>
        </w:rPr>
        <w:t>Por lo visto, la afiliación del señor Alfredo Gutiérrez Ledesma a la AFP BBVA Horizonte Pensiones y Cesantías –hoy Porvenir S.A.- no solo debe ser considerada como existente, sino válida y eficaz; por lo que se torna innecesario analizar los artículos 10 del Decreto 1161 de 1994, que regula lo relacionado con las consignaciones de personas no vinculadas</w:t>
      </w:r>
      <w:r w:rsidR="00854E12">
        <w:rPr>
          <w:rFonts w:ascii="Arial" w:hAnsi="Arial" w:cs="Arial"/>
          <w:szCs w:val="24"/>
          <w:lang w:val="es-ES"/>
        </w:rPr>
        <w:t xml:space="preserve"> y, el 5° del Decreto 3995 de 2008, acerca de las cotizaciones erróneas, aportes sin vinculación o afiliaciones simultáneas, referidos por el vocero judicial al recurrir la decisión de primer grado, porque no nos encontramos en ninguna de esas circunstancias. </w:t>
      </w:r>
    </w:p>
    <w:p w:rsidR="00CB187D" w:rsidRPr="00ED7648" w:rsidRDefault="00CB187D" w:rsidP="00C35FEF">
      <w:pPr>
        <w:spacing w:line="276" w:lineRule="auto"/>
        <w:jc w:val="both"/>
        <w:rPr>
          <w:rFonts w:ascii="Arial" w:hAnsi="Arial" w:cs="Arial"/>
          <w:sz w:val="16"/>
          <w:szCs w:val="16"/>
          <w:lang w:val="es-ES"/>
        </w:rPr>
      </w:pPr>
    </w:p>
    <w:p w:rsidR="00EA1FED" w:rsidRDefault="00CB187D" w:rsidP="00C35FEF">
      <w:pPr>
        <w:spacing w:line="276" w:lineRule="auto"/>
        <w:jc w:val="both"/>
        <w:rPr>
          <w:rFonts w:ascii="Arial" w:hAnsi="Arial" w:cs="Arial"/>
          <w:szCs w:val="24"/>
          <w:lang w:val="es-ES"/>
        </w:rPr>
      </w:pPr>
      <w:r>
        <w:rPr>
          <w:rFonts w:ascii="Arial" w:hAnsi="Arial" w:cs="Arial"/>
          <w:szCs w:val="24"/>
          <w:lang w:val="es-ES"/>
        </w:rPr>
        <w:t>Al determinarse la existencia, validez y eficacia de la afiliación del señor Alfredo Gutiérrez Ledesma a la AFP demandada, quedan sin sustento las argumentaciones planteadas en el recurso de apelación interpuesto por la llamada en garantía</w:t>
      </w:r>
      <w:r w:rsidR="00EA1FED">
        <w:rPr>
          <w:rFonts w:ascii="Arial" w:hAnsi="Arial" w:cs="Arial"/>
          <w:szCs w:val="24"/>
          <w:lang w:val="es-ES"/>
        </w:rPr>
        <w:t xml:space="preserve">. </w:t>
      </w:r>
    </w:p>
    <w:p w:rsidR="00EA1FED" w:rsidRPr="00ED7648" w:rsidRDefault="00EA1FED" w:rsidP="00C35FEF">
      <w:pPr>
        <w:spacing w:line="276" w:lineRule="auto"/>
        <w:jc w:val="both"/>
        <w:rPr>
          <w:rFonts w:ascii="Arial" w:hAnsi="Arial" w:cs="Arial"/>
          <w:sz w:val="16"/>
          <w:szCs w:val="16"/>
          <w:lang w:val="es-ES"/>
        </w:rPr>
      </w:pPr>
    </w:p>
    <w:p w:rsidR="00CB187D" w:rsidRDefault="00EA1FED" w:rsidP="00C35FEF">
      <w:pPr>
        <w:spacing w:line="276" w:lineRule="auto"/>
        <w:jc w:val="both"/>
        <w:rPr>
          <w:rFonts w:ascii="Arial" w:hAnsi="Arial" w:cs="Arial"/>
          <w:szCs w:val="24"/>
          <w:lang w:val="es-ES"/>
        </w:rPr>
      </w:pPr>
      <w:r>
        <w:rPr>
          <w:rFonts w:ascii="Arial" w:hAnsi="Arial" w:cs="Arial"/>
          <w:szCs w:val="24"/>
          <w:lang w:val="es-ES"/>
        </w:rPr>
        <w:t xml:space="preserve">Ahora bien, </w:t>
      </w:r>
      <w:r w:rsidR="00505E90">
        <w:rPr>
          <w:rFonts w:ascii="Arial" w:hAnsi="Arial" w:cs="Arial"/>
          <w:szCs w:val="24"/>
          <w:lang w:val="es-ES"/>
        </w:rPr>
        <w:t xml:space="preserve">teniendo en cuenta que </w:t>
      </w:r>
      <w:r w:rsidR="00463136">
        <w:rPr>
          <w:rFonts w:ascii="Arial" w:hAnsi="Arial" w:cs="Arial"/>
          <w:szCs w:val="24"/>
          <w:lang w:val="es-ES"/>
        </w:rPr>
        <w:t xml:space="preserve">conforme a la póliza </w:t>
      </w:r>
      <w:r w:rsidR="00A8673A">
        <w:rPr>
          <w:rFonts w:ascii="Arial" w:hAnsi="Arial" w:cs="Arial"/>
          <w:szCs w:val="24"/>
          <w:lang w:val="es-ES"/>
        </w:rPr>
        <w:t xml:space="preserve">colectiva de </w:t>
      </w:r>
      <w:r w:rsidR="00463136">
        <w:rPr>
          <w:rFonts w:ascii="Arial" w:hAnsi="Arial" w:cs="Arial"/>
          <w:szCs w:val="24"/>
          <w:lang w:val="es-ES"/>
        </w:rPr>
        <w:t xml:space="preserve">seguro previsional de invalidez y sobrevivientes </w:t>
      </w:r>
      <w:r w:rsidR="00533D84">
        <w:rPr>
          <w:rFonts w:ascii="Arial" w:hAnsi="Arial" w:cs="Arial"/>
          <w:szCs w:val="24"/>
        </w:rPr>
        <w:t xml:space="preserve">N° 9201410004634, </w:t>
      </w:r>
      <w:r w:rsidR="00463136">
        <w:rPr>
          <w:rFonts w:ascii="Arial" w:hAnsi="Arial" w:cs="Arial"/>
          <w:szCs w:val="24"/>
          <w:lang w:val="es-ES"/>
        </w:rPr>
        <w:t>contratad</w:t>
      </w:r>
      <w:r w:rsidR="00533D84">
        <w:rPr>
          <w:rFonts w:ascii="Arial" w:hAnsi="Arial" w:cs="Arial"/>
          <w:szCs w:val="24"/>
          <w:lang w:val="es-ES"/>
        </w:rPr>
        <w:t>a</w:t>
      </w:r>
      <w:r w:rsidR="00463136">
        <w:rPr>
          <w:rFonts w:ascii="Arial" w:hAnsi="Arial" w:cs="Arial"/>
          <w:szCs w:val="24"/>
          <w:lang w:val="es-ES"/>
        </w:rPr>
        <w:t xml:space="preserve"> por BBVA Horizonte Pensiones y Cesantías S.A. con MA</w:t>
      </w:r>
      <w:r w:rsidR="00A8673A">
        <w:rPr>
          <w:rFonts w:ascii="Arial" w:hAnsi="Arial" w:cs="Arial"/>
          <w:szCs w:val="24"/>
          <w:lang w:val="es-ES"/>
        </w:rPr>
        <w:t xml:space="preserve">PFRE Colombia Vida Seguros S.A., visible a folio 249 y s.s. del cd. 1, </w:t>
      </w:r>
      <w:r w:rsidR="00DA646B">
        <w:rPr>
          <w:rFonts w:ascii="Arial" w:hAnsi="Arial" w:cs="Arial"/>
          <w:szCs w:val="24"/>
          <w:lang w:val="es-ES"/>
        </w:rPr>
        <w:t xml:space="preserve">se observa que la vigencia de la misma estaba comprendida entre el 01/01/2010 al 01/01/2014, de tal manera que si el fallecimiento del señor Alfredo Gutiérrez Ledesma </w:t>
      </w:r>
      <w:r w:rsidR="00BE387A">
        <w:rPr>
          <w:rFonts w:ascii="Arial" w:hAnsi="Arial" w:cs="Arial"/>
          <w:szCs w:val="24"/>
          <w:lang w:val="es-ES"/>
        </w:rPr>
        <w:t xml:space="preserve">se presentó el 06/08/2012, significa que lo fue dentro de la referida vigencia, </w:t>
      </w:r>
      <w:r w:rsidR="003B5123">
        <w:rPr>
          <w:rFonts w:ascii="Arial" w:hAnsi="Arial" w:cs="Arial"/>
          <w:szCs w:val="24"/>
          <w:lang w:val="es-ES"/>
        </w:rPr>
        <w:t>por lo que conforme lo determinó la primera instancia, debe dicha aseguradora, responder por la suma adicional requerida para financiar el capital necesario para el pago de la pensión de sobrevivientes al que fue condenada la AFP.</w:t>
      </w:r>
    </w:p>
    <w:p w:rsidR="00036E3F" w:rsidRDefault="00036E3F" w:rsidP="00C35FEF">
      <w:pPr>
        <w:spacing w:line="276" w:lineRule="auto"/>
        <w:jc w:val="both"/>
        <w:rPr>
          <w:rFonts w:ascii="Arial" w:hAnsi="Arial" w:cs="Arial"/>
          <w:szCs w:val="24"/>
          <w:lang w:val="es-ES"/>
        </w:rPr>
      </w:pPr>
    </w:p>
    <w:p w:rsidR="00D55748" w:rsidRDefault="00D55748" w:rsidP="00D55748">
      <w:pPr>
        <w:pStyle w:val="Corpsdetexte"/>
        <w:spacing w:line="276" w:lineRule="auto"/>
        <w:contextualSpacing/>
        <w:rPr>
          <w:b/>
          <w:iCs/>
          <w:szCs w:val="24"/>
        </w:rPr>
      </w:pPr>
      <w:r>
        <w:rPr>
          <w:b/>
          <w:iCs/>
          <w:szCs w:val="24"/>
        </w:rPr>
        <w:t xml:space="preserve">2.2. Temporalidad del derecho </w:t>
      </w:r>
      <w:r w:rsidR="00542DC9">
        <w:rPr>
          <w:b/>
          <w:iCs/>
          <w:szCs w:val="24"/>
        </w:rPr>
        <w:t>del</w:t>
      </w:r>
      <w:r>
        <w:rPr>
          <w:b/>
          <w:iCs/>
          <w:szCs w:val="24"/>
        </w:rPr>
        <w:t xml:space="preserve"> cónyuge supérstite a percibir la pensión de sobrevivientes </w:t>
      </w:r>
    </w:p>
    <w:p w:rsidR="00D55748" w:rsidRPr="00ED7648" w:rsidRDefault="00D55748" w:rsidP="00D55748">
      <w:pPr>
        <w:pStyle w:val="Corpsdetexte"/>
        <w:spacing w:line="276" w:lineRule="auto"/>
        <w:contextualSpacing/>
        <w:rPr>
          <w:b/>
          <w:iCs/>
          <w:sz w:val="16"/>
          <w:szCs w:val="16"/>
        </w:rPr>
      </w:pPr>
    </w:p>
    <w:p w:rsidR="00D55748" w:rsidRDefault="002E278F" w:rsidP="00D55748">
      <w:pPr>
        <w:pStyle w:val="Corpsdetexte"/>
        <w:spacing w:line="276" w:lineRule="auto"/>
        <w:contextualSpacing/>
        <w:rPr>
          <w:b/>
          <w:iCs/>
          <w:szCs w:val="24"/>
        </w:rPr>
      </w:pPr>
      <w:r>
        <w:rPr>
          <w:b/>
          <w:iCs/>
          <w:szCs w:val="24"/>
        </w:rPr>
        <w:t>2.2</w:t>
      </w:r>
      <w:r w:rsidR="00D55748">
        <w:rPr>
          <w:b/>
          <w:iCs/>
          <w:szCs w:val="24"/>
        </w:rPr>
        <w:t>.1. Fundamento jurídico</w:t>
      </w:r>
    </w:p>
    <w:p w:rsidR="002F750E" w:rsidRPr="00ED7648" w:rsidRDefault="002F750E" w:rsidP="00D55748">
      <w:pPr>
        <w:pStyle w:val="Corpsdetexte"/>
        <w:spacing w:line="276" w:lineRule="auto"/>
        <w:contextualSpacing/>
        <w:rPr>
          <w:b/>
          <w:iCs/>
          <w:sz w:val="16"/>
          <w:szCs w:val="16"/>
        </w:rPr>
      </w:pPr>
    </w:p>
    <w:p w:rsidR="00036E3F" w:rsidRDefault="002F750E" w:rsidP="00C35FEF">
      <w:pPr>
        <w:spacing w:line="276" w:lineRule="auto"/>
        <w:jc w:val="both"/>
        <w:rPr>
          <w:rFonts w:ascii="Arial" w:hAnsi="Arial" w:cs="Arial"/>
          <w:szCs w:val="24"/>
          <w:lang w:val="es-ES"/>
        </w:rPr>
      </w:pPr>
      <w:r>
        <w:rPr>
          <w:rFonts w:ascii="Arial" w:hAnsi="Arial" w:cs="Arial"/>
          <w:szCs w:val="24"/>
          <w:lang w:val="es-ES"/>
        </w:rPr>
        <w:t>Según el</w:t>
      </w:r>
      <w:r w:rsidR="00542DC9">
        <w:rPr>
          <w:rFonts w:ascii="Arial" w:hAnsi="Arial" w:cs="Arial"/>
          <w:szCs w:val="24"/>
          <w:lang w:val="es-ES"/>
        </w:rPr>
        <w:t xml:space="preserve"> </w:t>
      </w:r>
      <w:r w:rsidR="006D46A6">
        <w:rPr>
          <w:rFonts w:ascii="Arial" w:hAnsi="Arial" w:cs="Arial"/>
          <w:szCs w:val="24"/>
          <w:lang w:val="es-ES"/>
        </w:rPr>
        <w:t xml:space="preserve">literal a) </w:t>
      </w:r>
      <w:r w:rsidR="00542DC9">
        <w:rPr>
          <w:rFonts w:ascii="Arial" w:hAnsi="Arial" w:cs="Arial"/>
          <w:szCs w:val="24"/>
          <w:lang w:val="es-ES"/>
        </w:rPr>
        <w:t>del</w:t>
      </w:r>
      <w:r>
        <w:rPr>
          <w:rFonts w:ascii="Arial" w:hAnsi="Arial" w:cs="Arial"/>
          <w:szCs w:val="24"/>
          <w:lang w:val="es-ES"/>
        </w:rPr>
        <w:t xml:space="preserve"> artículo 47 de la Ley 100 de 1993, modificado po</w:t>
      </w:r>
      <w:r w:rsidR="00542DC9">
        <w:rPr>
          <w:rFonts w:ascii="Arial" w:hAnsi="Arial" w:cs="Arial"/>
          <w:szCs w:val="24"/>
          <w:lang w:val="es-ES"/>
        </w:rPr>
        <w:t xml:space="preserve">r el 13 de la </w:t>
      </w:r>
      <w:r w:rsidR="00542DC9" w:rsidRPr="006D46A6">
        <w:rPr>
          <w:rFonts w:ascii="Arial" w:hAnsi="Arial" w:cs="Arial"/>
          <w:szCs w:val="24"/>
          <w:lang w:val="es-ES"/>
        </w:rPr>
        <w:t>Ley 797 de 2003, tendrán derecho a la pensión de sobrev</w:t>
      </w:r>
      <w:r w:rsidR="006D46A6" w:rsidRPr="006D46A6">
        <w:rPr>
          <w:rFonts w:ascii="Arial" w:hAnsi="Arial" w:cs="Arial"/>
          <w:szCs w:val="24"/>
          <w:lang w:val="es-ES"/>
        </w:rPr>
        <w:t xml:space="preserve">iviente en forma vitalicia </w:t>
      </w:r>
      <w:r w:rsidR="00542DC9" w:rsidRPr="006D46A6">
        <w:rPr>
          <w:rFonts w:ascii="Arial" w:hAnsi="Arial" w:cs="Arial"/>
          <w:szCs w:val="24"/>
          <w:lang w:val="es-ES"/>
        </w:rPr>
        <w:t>el</w:t>
      </w:r>
      <w:r w:rsidRPr="006D46A6">
        <w:rPr>
          <w:rFonts w:ascii="Arial" w:hAnsi="Arial" w:cs="Arial"/>
          <w:szCs w:val="24"/>
          <w:lang w:val="es-ES"/>
        </w:rPr>
        <w:t xml:space="preserve"> cónyuge </w:t>
      </w:r>
      <w:r w:rsidR="006D46A6" w:rsidRPr="002F750E">
        <w:rPr>
          <w:rFonts w:ascii="Arial" w:hAnsi="Arial" w:cs="Arial"/>
          <w:szCs w:val="24"/>
          <w:lang w:val="es-ES"/>
        </w:rPr>
        <w:t>o </w:t>
      </w:r>
      <w:r w:rsidR="006D46A6" w:rsidRPr="002F750E">
        <w:rPr>
          <w:rFonts w:ascii="Arial" w:hAnsi="Arial" w:cs="Arial"/>
          <w:iCs/>
          <w:szCs w:val="24"/>
          <w:lang w:val="es-ES"/>
        </w:rPr>
        <w:t>la compañera o compañero permanente</w:t>
      </w:r>
      <w:r w:rsidR="006D46A6" w:rsidRPr="002F750E">
        <w:rPr>
          <w:rFonts w:ascii="Arial" w:hAnsi="Arial" w:cs="Arial"/>
          <w:szCs w:val="24"/>
          <w:lang w:val="es-ES"/>
        </w:rPr>
        <w:t> o supérstite, siempre y cuando dicho beneficiario, a la fecha del fallecimiento del causante, tenga 30 o más años de edad</w:t>
      </w:r>
      <w:r w:rsidR="006D46A6" w:rsidRPr="006D46A6">
        <w:rPr>
          <w:rFonts w:ascii="Arial" w:hAnsi="Arial" w:cs="Arial"/>
          <w:szCs w:val="24"/>
          <w:lang w:val="es-ES"/>
        </w:rPr>
        <w:t xml:space="preserve">, por el contrario, según el literal b), lo será en forma temporal cuando tenga menos de esa edad y no haya procreado hijos con el causante y, aclara que si tiene hijos debe darse aplicación al literal </w:t>
      </w:r>
      <w:r w:rsidR="00BA05B4">
        <w:rPr>
          <w:rFonts w:ascii="Arial" w:hAnsi="Arial" w:cs="Arial"/>
          <w:szCs w:val="24"/>
          <w:lang w:val="es-ES"/>
        </w:rPr>
        <w:t>a), es decir, que el derecho será vitalicio.</w:t>
      </w:r>
    </w:p>
    <w:p w:rsidR="006856A0" w:rsidRPr="00ED7648" w:rsidRDefault="006856A0" w:rsidP="00C35FEF">
      <w:pPr>
        <w:spacing w:line="276" w:lineRule="auto"/>
        <w:jc w:val="both"/>
        <w:rPr>
          <w:rFonts w:ascii="Arial" w:hAnsi="Arial" w:cs="Arial"/>
          <w:sz w:val="16"/>
          <w:szCs w:val="16"/>
          <w:lang w:val="es-ES"/>
        </w:rPr>
      </w:pPr>
    </w:p>
    <w:p w:rsidR="006856A0" w:rsidRDefault="002E278F" w:rsidP="00C35FEF">
      <w:pPr>
        <w:spacing w:line="276" w:lineRule="auto"/>
        <w:jc w:val="both"/>
        <w:rPr>
          <w:rFonts w:ascii="Arial" w:hAnsi="Arial" w:cs="Arial"/>
          <w:b/>
          <w:szCs w:val="24"/>
          <w:lang w:val="es-ES"/>
        </w:rPr>
      </w:pPr>
      <w:r>
        <w:rPr>
          <w:rFonts w:ascii="Arial" w:hAnsi="Arial" w:cs="Arial"/>
          <w:b/>
          <w:szCs w:val="24"/>
          <w:lang w:val="es-ES"/>
        </w:rPr>
        <w:t>2.2</w:t>
      </w:r>
      <w:r w:rsidR="001C0D38">
        <w:rPr>
          <w:rFonts w:ascii="Arial" w:hAnsi="Arial" w:cs="Arial"/>
          <w:b/>
          <w:szCs w:val="24"/>
          <w:lang w:val="es-ES"/>
        </w:rPr>
        <w:t xml:space="preserve">.2. Fundamento fáctico </w:t>
      </w:r>
    </w:p>
    <w:p w:rsidR="00BA05B4" w:rsidRPr="00ED7648" w:rsidRDefault="00BA05B4" w:rsidP="00C35FEF">
      <w:pPr>
        <w:spacing w:line="276" w:lineRule="auto"/>
        <w:jc w:val="both"/>
        <w:rPr>
          <w:rFonts w:ascii="Arial" w:hAnsi="Arial" w:cs="Arial"/>
          <w:b/>
          <w:sz w:val="16"/>
          <w:szCs w:val="16"/>
          <w:lang w:val="es-ES"/>
        </w:rPr>
      </w:pPr>
    </w:p>
    <w:p w:rsidR="00BA05B4" w:rsidRPr="00DE2CA0" w:rsidRDefault="00DE2CA0" w:rsidP="00C35FEF">
      <w:pPr>
        <w:spacing w:line="276" w:lineRule="auto"/>
        <w:jc w:val="both"/>
        <w:rPr>
          <w:rFonts w:ascii="Arial" w:hAnsi="Arial" w:cs="Arial"/>
          <w:szCs w:val="24"/>
          <w:lang w:val="es-ES"/>
        </w:rPr>
      </w:pPr>
      <w:r>
        <w:rPr>
          <w:rFonts w:ascii="Arial" w:hAnsi="Arial" w:cs="Arial"/>
          <w:szCs w:val="24"/>
          <w:lang w:val="es-ES"/>
        </w:rPr>
        <w:t>El óbito del señor Alfredo Gutiérrez Ledesma se presentó el 06/08/2012 –</w:t>
      </w:r>
      <w:proofErr w:type="spellStart"/>
      <w:r>
        <w:rPr>
          <w:rFonts w:ascii="Arial" w:hAnsi="Arial" w:cs="Arial"/>
          <w:szCs w:val="24"/>
          <w:lang w:val="es-ES"/>
        </w:rPr>
        <w:t>fl</w:t>
      </w:r>
      <w:proofErr w:type="spellEnd"/>
      <w:r>
        <w:rPr>
          <w:rFonts w:ascii="Arial" w:hAnsi="Arial" w:cs="Arial"/>
          <w:szCs w:val="24"/>
          <w:lang w:val="es-ES"/>
        </w:rPr>
        <w:t xml:space="preserve">. 41 cd. 1-, por su parte, según el registro civil de nacimiento de la actora, visible a folio 35 </w:t>
      </w:r>
      <w:r>
        <w:rPr>
          <w:rFonts w:ascii="Arial" w:hAnsi="Arial" w:cs="Arial"/>
          <w:szCs w:val="24"/>
          <w:lang w:val="es-ES"/>
        </w:rPr>
        <w:lastRenderedPageBreak/>
        <w:t xml:space="preserve">del mismo cuaderno, su natalicio ocurrió el 20/10/1985, de donde es fácil determinar que a la fecha del deceso de su cónyuge contaba con 26 años y 9 meses de edad, lo que en principio le otorgaría el derecho a disfrutar de la subvención de manera </w:t>
      </w:r>
      <w:r w:rsidR="00C427A8">
        <w:rPr>
          <w:rFonts w:ascii="Arial" w:hAnsi="Arial" w:cs="Arial"/>
          <w:szCs w:val="24"/>
          <w:lang w:val="es-ES"/>
        </w:rPr>
        <w:t>transitoria</w:t>
      </w:r>
      <w:r>
        <w:rPr>
          <w:rFonts w:ascii="Arial" w:hAnsi="Arial" w:cs="Arial"/>
          <w:szCs w:val="24"/>
          <w:lang w:val="es-ES"/>
        </w:rPr>
        <w:t xml:space="preserve">. </w:t>
      </w:r>
    </w:p>
    <w:p w:rsidR="00CF3B60" w:rsidRPr="006D46A6" w:rsidRDefault="00CF3B60" w:rsidP="00CF3B60">
      <w:pPr>
        <w:spacing w:line="276" w:lineRule="auto"/>
        <w:rPr>
          <w:rFonts w:ascii="Arial" w:hAnsi="Arial" w:cs="Arial"/>
          <w:szCs w:val="24"/>
          <w:lang w:val="es-ES"/>
        </w:rPr>
      </w:pPr>
    </w:p>
    <w:p w:rsidR="006D46A6" w:rsidRPr="00CF3B60" w:rsidRDefault="00C427A8" w:rsidP="00C427A8">
      <w:pPr>
        <w:spacing w:line="276" w:lineRule="auto"/>
        <w:jc w:val="both"/>
        <w:rPr>
          <w:rFonts w:ascii="Arial" w:hAnsi="Arial" w:cs="Arial"/>
          <w:lang w:val="es-ES"/>
        </w:rPr>
      </w:pPr>
      <w:r>
        <w:rPr>
          <w:rFonts w:ascii="Arial" w:hAnsi="Arial" w:cs="Arial"/>
          <w:lang w:val="es-ES"/>
        </w:rPr>
        <w:t xml:space="preserve">Sin embargo, dado que no hay dubitación en cuanto a que la referida pareja procreó dos hijos, Adrián Camilo y Gonzalo, quienes nacieron en su orden el 12/09/2003 y el 01/02/2007, según los documentos visibles a folios 38 y 37 respectivamente, </w:t>
      </w:r>
      <w:r w:rsidR="002E278F">
        <w:rPr>
          <w:rFonts w:ascii="Arial" w:hAnsi="Arial" w:cs="Arial"/>
          <w:lang w:val="es-ES"/>
        </w:rPr>
        <w:t xml:space="preserve">se cumple el requisito determinado por la norma invocada, para que su derecho temporal se transforme a uno vitalicio; por lo que se acogen los argumentos de la apelación incoada por la parte actora en este aspecto y, consecuente con ello, se modificará la decisión revisada en ese sentido. </w:t>
      </w:r>
    </w:p>
    <w:p w:rsidR="001322E9" w:rsidRPr="00CF3B60" w:rsidRDefault="001322E9" w:rsidP="00C427A8">
      <w:pPr>
        <w:pStyle w:val="CM203"/>
        <w:spacing w:line="276" w:lineRule="auto"/>
        <w:jc w:val="both"/>
        <w:rPr>
          <w:rFonts w:ascii="Arial" w:hAnsi="Arial" w:cs="Arial"/>
        </w:rPr>
      </w:pPr>
    </w:p>
    <w:p w:rsidR="00C159FE" w:rsidRDefault="00C159FE" w:rsidP="00CF3B60">
      <w:pPr>
        <w:pStyle w:val="Corpsdetexte"/>
        <w:spacing w:line="276" w:lineRule="auto"/>
        <w:rPr>
          <w:b/>
          <w:szCs w:val="24"/>
        </w:rPr>
      </w:pPr>
      <w:r>
        <w:rPr>
          <w:b/>
          <w:szCs w:val="24"/>
        </w:rPr>
        <w:t xml:space="preserve">2.3. </w:t>
      </w:r>
      <w:r w:rsidRPr="00EB4D35">
        <w:rPr>
          <w:b/>
          <w:szCs w:val="24"/>
        </w:rPr>
        <w:t>Intereses moratorios</w:t>
      </w:r>
    </w:p>
    <w:p w:rsidR="00C159FE" w:rsidRDefault="00C159FE" w:rsidP="00CF3B60">
      <w:pPr>
        <w:pStyle w:val="Corpsdetexte"/>
        <w:spacing w:line="276" w:lineRule="auto"/>
        <w:rPr>
          <w:b/>
          <w:szCs w:val="24"/>
        </w:rPr>
      </w:pPr>
    </w:p>
    <w:p w:rsidR="00C159FE" w:rsidRDefault="00C159FE" w:rsidP="00C159FE">
      <w:pPr>
        <w:pStyle w:val="Corpsdetexte"/>
        <w:spacing w:line="276" w:lineRule="auto"/>
        <w:rPr>
          <w:b/>
          <w:szCs w:val="24"/>
        </w:rPr>
      </w:pPr>
      <w:r>
        <w:rPr>
          <w:b/>
          <w:szCs w:val="24"/>
        </w:rPr>
        <w:t>2.3.1. Fundamento jurídico</w:t>
      </w:r>
    </w:p>
    <w:p w:rsidR="00C159FE" w:rsidRPr="00EB4D35" w:rsidRDefault="00C159FE" w:rsidP="00C159FE">
      <w:pPr>
        <w:pStyle w:val="Corpsdetexte"/>
        <w:spacing w:line="276" w:lineRule="auto"/>
        <w:rPr>
          <w:b/>
          <w:szCs w:val="24"/>
        </w:rPr>
      </w:pPr>
    </w:p>
    <w:p w:rsidR="008E6F00" w:rsidRPr="008E6711" w:rsidRDefault="008E6F00" w:rsidP="008E6F00">
      <w:pPr>
        <w:pStyle w:val="Corpsdetexte"/>
        <w:spacing w:line="276" w:lineRule="auto"/>
        <w:rPr>
          <w:szCs w:val="24"/>
        </w:rPr>
      </w:pPr>
      <w:r w:rsidRPr="008E6711">
        <w:rPr>
          <w:szCs w:val="24"/>
        </w:rPr>
        <w:t xml:space="preserve">En lo que tiene que ver con la fecha a partir de la cual proceden los intereses moratorios, de conformidad con lo dispuesto por el artículo 1° de la Ley 717 de 2001, el término con que cuentan las administradoras de pensiones para proceder con el reconocimiento de las pensiones de sobrevivientes no puede sobrepasar los dos meses contados a partir del momento en que se radique la solicitud de reconocimiento pensional con el lleno de todos los requisitos legales, diferente a lo que ocurre en tratándose de las pensiones de vejez, cuyo </w:t>
      </w:r>
      <w:r>
        <w:rPr>
          <w:szCs w:val="24"/>
        </w:rPr>
        <w:t xml:space="preserve">plazo </w:t>
      </w:r>
      <w:r w:rsidRPr="008E6711">
        <w:rPr>
          <w:szCs w:val="24"/>
        </w:rPr>
        <w:t>según lo determina el artículo 33 de la Ley 100 de 1993, es de 4 meses.</w:t>
      </w:r>
    </w:p>
    <w:p w:rsidR="008E6F00" w:rsidRPr="008E6711" w:rsidRDefault="008E6F00" w:rsidP="008E6F00">
      <w:pPr>
        <w:pStyle w:val="Corpsdetexte"/>
        <w:spacing w:line="276" w:lineRule="auto"/>
        <w:rPr>
          <w:szCs w:val="24"/>
        </w:rPr>
      </w:pPr>
    </w:p>
    <w:p w:rsidR="008E6F00" w:rsidRDefault="008E6F00" w:rsidP="008E6F00">
      <w:pPr>
        <w:pStyle w:val="Corpsdetexte"/>
        <w:spacing w:line="276" w:lineRule="auto"/>
        <w:rPr>
          <w:szCs w:val="24"/>
        </w:rPr>
      </w:pPr>
      <w:r w:rsidRPr="008E6711">
        <w:rPr>
          <w:szCs w:val="24"/>
        </w:rPr>
        <w:t>Ahora, como el artículo 4 de la Ley 700 de 2001, norma anterior a la que regula el reconocimiento de la pensión de sobrevivientes, de manera general consagra como l</w:t>
      </w:r>
      <w:r>
        <w:rPr>
          <w:szCs w:val="24"/>
        </w:rPr>
        <w:t xml:space="preserve">apso </w:t>
      </w:r>
      <w:r w:rsidRPr="008E6711">
        <w:rPr>
          <w:szCs w:val="24"/>
        </w:rPr>
        <w:t>para proceder con el pago de las pensiones el de 6 meses, debe entenderse entonces que respecto a la prestación de sobrevivencia, como la Ley 717 de 2001, prevé un  término para el reconocimiento de dos meses, solo le restan a la AFP dos meses más para proceder con el pago, lo que permite colegir que los intereses moratorios para esta clase de prestación corren a</w:t>
      </w:r>
      <w:r>
        <w:rPr>
          <w:szCs w:val="24"/>
        </w:rPr>
        <w:t xml:space="preserve"> partir de los 4 meses de radicada la solici</w:t>
      </w:r>
      <w:r w:rsidR="006E2A3F">
        <w:rPr>
          <w:szCs w:val="24"/>
        </w:rPr>
        <w:t>tud de reconocimiento pensional, tesis que últimamente ha adoptado esta Sala</w:t>
      </w:r>
      <w:r w:rsidR="00256A7E">
        <w:rPr>
          <w:rStyle w:val="Appelnotedebasdep"/>
          <w:szCs w:val="24"/>
        </w:rPr>
        <w:footnoteReference w:id="3"/>
      </w:r>
      <w:r w:rsidR="006E2A3F">
        <w:rPr>
          <w:szCs w:val="24"/>
        </w:rPr>
        <w:t>.</w:t>
      </w:r>
    </w:p>
    <w:p w:rsidR="008E6F00" w:rsidRDefault="008E6F00" w:rsidP="008E6F00">
      <w:pPr>
        <w:pStyle w:val="Corpsdetexte"/>
        <w:spacing w:line="276" w:lineRule="auto"/>
        <w:rPr>
          <w:szCs w:val="24"/>
        </w:rPr>
      </w:pPr>
    </w:p>
    <w:p w:rsidR="008E6F00" w:rsidRDefault="008E6F00" w:rsidP="008E6F00">
      <w:pPr>
        <w:pStyle w:val="Corpsdetexte"/>
        <w:spacing w:line="276" w:lineRule="auto"/>
        <w:rPr>
          <w:b/>
          <w:szCs w:val="24"/>
        </w:rPr>
      </w:pPr>
      <w:r w:rsidRPr="008E6F00">
        <w:rPr>
          <w:b/>
          <w:szCs w:val="24"/>
        </w:rPr>
        <w:t>2.3.2. Fundamento fáctico</w:t>
      </w:r>
    </w:p>
    <w:p w:rsidR="008E6F00" w:rsidRPr="008E6F00" w:rsidRDefault="008E6F00" w:rsidP="008E6F00">
      <w:pPr>
        <w:pStyle w:val="Corpsdetexte"/>
        <w:spacing w:line="276" w:lineRule="auto"/>
        <w:rPr>
          <w:b/>
          <w:szCs w:val="24"/>
        </w:rPr>
      </w:pPr>
    </w:p>
    <w:p w:rsidR="008E6F00" w:rsidRDefault="008E6F00" w:rsidP="008E6F00">
      <w:pPr>
        <w:pStyle w:val="Corpsdetexte"/>
        <w:spacing w:line="276" w:lineRule="auto"/>
        <w:rPr>
          <w:szCs w:val="24"/>
        </w:rPr>
      </w:pPr>
      <w:r>
        <w:rPr>
          <w:szCs w:val="24"/>
        </w:rPr>
        <w:t>Así las cosas</w:t>
      </w:r>
      <w:r w:rsidRPr="00B22A2D">
        <w:rPr>
          <w:szCs w:val="24"/>
        </w:rPr>
        <w:t xml:space="preserve">, teniendo en cuenta que la solicitud de reconocimiento pensional fue presentada por </w:t>
      </w:r>
      <w:r>
        <w:rPr>
          <w:szCs w:val="24"/>
        </w:rPr>
        <w:t xml:space="preserve">la </w:t>
      </w:r>
      <w:r w:rsidRPr="00B22A2D">
        <w:rPr>
          <w:szCs w:val="24"/>
        </w:rPr>
        <w:t xml:space="preserve">demandante el día </w:t>
      </w:r>
      <w:r w:rsidR="0029502C">
        <w:rPr>
          <w:szCs w:val="24"/>
        </w:rPr>
        <w:t>05/02/2014 –por correo certificado (</w:t>
      </w:r>
      <w:proofErr w:type="spellStart"/>
      <w:r w:rsidR="0029502C">
        <w:rPr>
          <w:szCs w:val="24"/>
        </w:rPr>
        <w:t>fl</w:t>
      </w:r>
      <w:proofErr w:type="spellEnd"/>
      <w:r w:rsidR="0029502C">
        <w:rPr>
          <w:szCs w:val="24"/>
        </w:rPr>
        <w:t>. 29)-</w:t>
      </w:r>
      <w:r w:rsidRPr="00B22A2D">
        <w:rPr>
          <w:szCs w:val="24"/>
        </w:rPr>
        <w:t xml:space="preserve">, </w:t>
      </w:r>
      <w:r>
        <w:rPr>
          <w:szCs w:val="24"/>
        </w:rPr>
        <w:t xml:space="preserve">que </w:t>
      </w:r>
      <w:r w:rsidRPr="00B22A2D">
        <w:rPr>
          <w:szCs w:val="24"/>
        </w:rPr>
        <w:t xml:space="preserve">la entidad contaba hasta el </w:t>
      </w:r>
      <w:r>
        <w:rPr>
          <w:szCs w:val="24"/>
        </w:rPr>
        <w:t xml:space="preserve">4 </w:t>
      </w:r>
      <w:r w:rsidRPr="00B22A2D">
        <w:rPr>
          <w:szCs w:val="24"/>
        </w:rPr>
        <w:t xml:space="preserve">de </w:t>
      </w:r>
      <w:r w:rsidR="0029502C">
        <w:rPr>
          <w:szCs w:val="24"/>
        </w:rPr>
        <w:t xml:space="preserve">junio </w:t>
      </w:r>
      <w:r w:rsidRPr="00B22A2D">
        <w:rPr>
          <w:szCs w:val="24"/>
        </w:rPr>
        <w:t xml:space="preserve">de </w:t>
      </w:r>
      <w:r w:rsidR="0029502C">
        <w:rPr>
          <w:szCs w:val="24"/>
        </w:rPr>
        <w:t xml:space="preserve">ese mismo año </w:t>
      </w:r>
      <w:r w:rsidRPr="00B22A2D">
        <w:rPr>
          <w:szCs w:val="24"/>
        </w:rPr>
        <w:t xml:space="preserve">para efectuar el reconocimiento y pago de las mesadas </w:t>
      </w:r>
      <w:r>
        <w:rPr>
          <w:szCs w:val="24"/>
        </w:rPr>
        <w:t xml:space="preserve">pensionales respectivas; sin embargo, ello no ocurrió, conforme se ha expuesto a lo largo de esta providencia, de tal manera que los intereses deben correr a partir del día siguiente a la última calenda </w:t>
      </w:r>
      <w:r>
        <w:rPr>
          <w:szCs w:val="24"/>
        </w:rPr>
        <w:lastRenderedPageBreak/>
        <w:t>anunciada</w:t>
      </w:r>
      <w:r w:rsidR="0029502C">
        <w:rPr>
          <w:szCs w:val="24"/>
        </w:rPr>
        <w:t xml:space="preserve">, esto es, del 5 </w:t>
      </w:r>
      <w:r>
        <w:rPr>
          <w:szCs w:val="24"/>
        </w:rPr>
        <w:t xml:space="preserve">de </w:t>
      </w:r>
      <w:r w:rsidR="0029502C">
        <w:rPr>
          <w:szCs w:val="24"/>
        </w:rPr>
        <w:t xml:space="preserve">junio </w:t>
      </w:r>
      <w:r>
        <w:rPr>
          <w:szCs w:val="24"/>
        </w:rPr>
        <w:t>de 201</w:t>
      </w:r>
      <w:r w:rsidR="0029502C">
        <w:rPr>
          <w:szCs w:val="24"/>
        </w:rPr>
        <w:t>4</w:t>
      </w:r>
      <w:r>
        <w:rPr>
          <w:szCs w:val="24"/>
        </w:rPr>
        <w:t xml:space="preserve"> y hasta el pago efectivo de la obligación.</w:t>
      </w:r>
    </w:p>
    <w:p w:rsidR="00C31390" w:rsidRDefault="00C31390" w:rsidP="008E6F00">
      <w:pPr>
        <w:pStyle w:val="Corpsdetexte"/>
        <w:spacing w:line="276" w:lineRule="auto"/>
        <w:rPr>
          <w:szCs w:val="24"/>
        </w:rPr>
      </w:pPr>
    </w:p>
    <w:p w:rsidR="00C31390" w:rsidRDefault="00C31390" w:rsidP="008E6F00">
      <w:pPr>
        <w:pStyle w:val="Corpsdetexte"/>
        <w:spacing w:line="276" w:lineRule="auto"/>
        <w:rPr>
          <w:szCs w:val="24"/>
        </w:rPr>
      </w:pPr>
      <w:r>
        <w:rPr>
          <w:szCs w:val="24"/>
        </w:rPr>
        <w:t xml:space="preserve">Sin que sea de recibo la argumentación de la a-quo en el sentido que solo a través de este proceso </w:t>
      </w:r>
      <w:r w:rsidR="00232B15">
        <w:rPr>
          <w:szCs w:val="24"/>
        </w:rPr>
        <w:t xml:space="preserve">quedó resuelto el derecho, toda vez que las actuaciones de la entidad demandada para desconocer el derecho de la parte actora no tuvo ningún respaldo jurídico como se definió en precedencia y por el contrario, </w:t>
      </w:r>
      <w:r w:rsidR="00F82F5A">
        <w:rPr>
          <w:szCs w:val="24"/>
        </w:rPr>
        <w:t>apostó</w:t>
      </w:r>
      <w:r w:rsidR="00232B15">
        <w:rPr>
          <w:szCs w:val="24"/>
        </w:rPr>
        <w:t xml:space="preserve"> </w:t>
      </w:r>
      <w:r w:rsidR="00F82F5A">
        <w:rPr>
          <w:szCs w:val="24"/>
        </w:rPr>
        <w:t>por reincidir en trabas administrativas para enervar el derecho causado por el señor Alfredo Guti</w:t>
      </w:r>
      <w:r w:rsidR="005F29AE">
        <w:rPr>
          <w:szCs w:val="24"/>
        </w:rPr>
        <w:t>érrez Ledesma; por lo que se modificará la sentencia recurrida en este punto.</w:t>
      </w:r>
    </w:p>
    <w:p w:rsidR="0029502C" w:rsidRDefault="0029502C" w:rsidP="008E6F00">
      <w:pPr>
        <w:pStyle w:val="Corpsdetexte"/>
        <w:spacing w:line="276" w:lineRule="auto"/>
        <w:rPr>
          <w:szCs w:val="24"/>
        </w:rPr>
      </w:pPr>
    </w:p>
    <w:p w:rsidR="00674745" w:rsidRPr="00313EBE" w:rsidRDefault="00674745" w:rsidP="00674745">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674745" w:rsidRDefault="00674745" w:rsidP="00674745">
      <w:pPr>
        <w:shd w:val="clear" w:color="auto" w:fill="FFFFFF"/>
        <w:tabs>
          <w:tab w:val="left" w:pos="5197"/>
        </w:tabs>
        <w:spacing w:line="276" w:lineRule="auto"/>
        <w:jc w:val="both"/>
        <w:rPr>
          <w:rFonts w:ascii="Arial" w:hAnsi="Arial" w:cs="Arial"/>
          <w:color w:val="000000"/>
          <w:szCs w:val="24"/>
          <w:lang w:eastAsia="es-CO"/>
        </w:rPr>
      </w:pPr>
    </w:p>
    <w:p w:rsidR="00674745" w:rsidRDefault="00674745" w:rsidP="0067474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confirmada, salvo </w:t>
      </w:r>
      <w:r w:rsidR="00D10D95">
        <w:rPr>
          <w:rFonts w:ascii="Arial" w:hAnsi="Arial" w:cs="Arial"/>
          <w:color w:val="000000"/>
          <w:szCs w:val="24"/>
          <w:lang w:eastAsia="es-CO"/>
        </w:rPr>
        <w:t xml:space="preserve">los </w:t>
      </w:r>
      <w:r>
        <w:rPr>
          <w:rFonts w:ascii="Arial" w:hAnsi="Arial" w:cs="Arial"/>
          <w:color w:val="000000"/>
          <w:szCs w:val="24"/>
          <w:lang w:eastAsia="es-CO"/>
        </w:rPr>
        <w:t>numeral</w:t>
      </w:r>
      <w:r w:rsidR="00D10D95">
        <w:rPr>
          <w:rFonts w:ascii="Arial" w:hAnsi="Arial" w:cs="Arial"/>
          <w:color w:val="000000"/>
          <w:szCs w:val="24"/>
          <w:lang w:eastAsia="es-CO"/>
        </w:rPr>
        <w:t>es</w:t>
      </w:r>
      <w:r>
        <w:rPr>
          <w:rFonts w:ascii="Arial" w:hAnsi="Arial" w:cs="Arial"/>
          <w:color w:val="000000"/>
          <w:szCs w:val="24"/>
          <w:lang w:eastAsia="es-CO"/>
        </w:rPr>
        <w:t xml:space="preserve"> </w:t>
      </w:r>
      <w:r w:rsidR="00D10D95">
        <w:rPr>
          <w:rFonts w:ascii="Arial" w:hAnsi="Arial" w:cs="Arial"/>
          <w:color w:val="000000"/>
          <w:szCs w:val="24"/>
          <w:lang w:eastAsia="es-CO"/>
        </w:rPr>
        <w:t>se</w:t>
      </w:r>
      <w:r w:rsidR="00B90EF9">
        <w:rPr>
          <w:rFonts w:ascii="Arial" w:hAnsi="Arial" w:cs="Arial"/>
          <w:color w:val="000000"/>
          <w:szCs w:val="24"/>
          <w:lang w:eastAsia="es-CO"/>
        </w:rPr>
        <w:t xml:space="preserve">xto y octavo </w:t>
      </w:r>
      <w:r>
        <w:rPr>
          <w:rFonts w:ascii="Arial" w:hAnsi="Arial" w:cs="Arial"/>
          <w:color w:val="000000"/>
          <w:szCs w:val="24"/>
          <w:lang w:eastAsia="es-CO"/>
        </w:rPr>
        <w:t>de la misma, que se modificará</w:t>
      </w:r>
      <w:r w:rsidR="00D10D95">
        <w:rPr>
          <w:rFonts w:ascii="Arial" w:hAnsi="Arial" w:cs="Arial"/>
          <w:color w:val="000000"/>
          <w:szCs w:val="24"/>
          <w:lang w:eastAsia="es-CO"/>
        </w:rPr>
        <w:t>n</w:t>
      </w:r>
      <w:r>
        <w:rPr>
          <w:rFonts w:ascii="Arial" w:hAnsi="Arial" w:cs="Arial"/>
          <w:color w:val="000000"/>
          <w:szCs w:val="24"/>
          <w:lang w:eastAsia="es-CO"/>
        </w:rPr>
        <w:t xml:space="preserve"> con el objeto de </w:t>
      </w:r>
      <w:r w:rsidR="00D10D95">
        <w:rPr>
          <w:rFonts w:ascii="Arial" w:hAnsi="Arial" w:cs="Arial"/>
          <w:color w:val="000000"/>
          <w:szCs w:val="24"/>
          <w:lang w:eastAsia="es-CO"/>
        </w:rPr>
        <w:t xml:space="preserve">indicar que </w:t>
      </w:r>
      <w:r w:rsidR="00B90EF9">
        <w:rPr>
          <w:rFonts w:ascii="Arial" w:hAnsi="Arial" w:cs="Arial"/>
          <w:color w:val="000000"/>
          <w:szCs w:val="24"/>
          <w:lang w:eastAsia="es-CO"/>
        </w:rPr>
        <w:t xml:space="preserve">el derecho que le asiste a la señora </w:t>
      </w:r>
      <w:proofErr w:type="spellStart"/>
      <w:r w:rsidR="00B90EF9">
        <w:rPr>
          <w:rFonts w:ascii="Arial" w:hAnsi="Arial" w:cs="Arial"/>
          <w:color w:val="000000"/>
          <w:szCs w:val="24"/>
          <w:lang w:eastAsia="es-CO"/>
        </w:rPr>
        <w:t>Marili</w:t>
      </w:r>
      <w:proofErr w:type="spellEnd"/>
      <w:r w:rsidR="00B90EF9">
        <w:rPr>
          <w:rFonts w:ascii="Arial" w:hAnsi="Arial" w:cs="Arial"/>
          <w:color w:val="000000"/>
          <w:szCs w:val="24"/>
          <w:lang w:eastAsia="es-CO"/>
        </w:rPr>
        <w:t xml:space="preserve"> </w:t>
      </w:r>
      <w:proofErr w:type="spellStart"/>
      <w:r w:rsidR="00B90EF9">
        <w:rPr>
          <w:rFonts w:ascii="Arial" w:hAnsi="Arial" w:cs="Arial"/>
          <w:color w:val="000000"/>
          <w:szCs w:val="24"/>
          <w:lang w:eastAsia="es-CO"/>
        </w:rPr>
        <w:t>Guasarave</w:t>
      </w:r>
      <w:proofErr w:type="spellEnd"/>
      <w:r w:rsidR="00B90EF9">
        <w:rPr>
          <w:rFonts w:ascii="Arial" w:hAnsi="Arial" w:cs="Arial"/>
          <w:color w:val="000000"/>
          <w:szCs w:val="24"/>
          <w:lang w:eastAsia="es-CO"/>
        </w:rPr>
        <w:t xml:space="preserve"> </w:t>
      </w:r>
      <w:proofErr w:type="spellStart"/>
      <w:r w:rsidR="00B90EF9">
        <w:rPr>
          <w:rFonts w:ascii="Arial" w:hAnsi="Arial" w:cs="Arial"/>
          <w:color w:val="000000"/>
          <w:szCs w:val="24"/>
          <w:lang w:eastAsia="es-CO"/>
        </w:rPr>
        <w:t>Guasarave</w:t>
      </w:r>
      <w:proofErr w:type="spellEnd"/>
      <w:r w:rsidR="00B90EF9">
        <w:rPr>
          <w:rFonts w:ascii="Arial" w:hAnsi="Arial" w:cs="Arial"/>
          <w:color w:val="000000"/>
          <w:szCs w:val="24"/>
          <w:lang w:eastAsia="es-CO"/>
        </w:rPr>
        <w:t xml:space="preserve"> es vitalicio y que los intereses moratorios proceden a partir del 05/06/2014 y hasta el pago efectivo de la prestación</w:t>
      </w:r>
      <w:r>
        <w:rPr>
          <w:rFonts w:ascii="Arial" w:hAnsi="Arial" w:cs="Arial"/>
          <w:color w:val="000000"/>
          <w:szCs w:val="24"/>
          <w:lang w:eastAsia="es-CO"/>
        </w:rPr>
        <w:t>.</w:t>
      </w:r>
    </w:p>
    <w:p w:rsidR="00674745" w:rsidRDefault="00674745" w:rsidP="00674745">
      <w:pPr>
        <w:shd w:val="clear" w:color="auto" w:fill="FFFFFF"/>
        <w:tabs>
          <w:tab w:val="left" w:pos="5197"/>
        </w:tabs>
        <w:spacing w:line="276" w:lineRule="auto"/>
        <w:jc w:val="both"/>
        <w:rPr>
          <w:rFonts w:ascii="Arial" w:hAnsi="Arial" w:cs="Arial"/>
          <w:szCs w:val="24"/>
        </w:rPr>
      </w:pPr>
    </w:p>
    <w:p w:rsidR="00674745" w:rsidRDefault="00674745" w:rsidP="00674745">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w:t>
      </w:r>
      <w:r w:rsidR="00B90EF9">
        <w:rPr>
          <w:rFonts w:ascii="Arial" w:hAnsi="Arial" w:cs="Arial"/>
          <w:szCs w:val="24"/>
        </w:rPr>
        <w:t xml:space="preserve"> a cargo de la AFP y la llamada en garantía y a favor de la parte actora por la </w:t>
      </w:r>
      <w:proofErr w:type="spellStart"/>
      <w:r w:rsidR="00B90EF9">
        <w:rPr>
          <w:rFonts w:ascii="Arial" w:hAnsi="Arial" w:cs="Arial"/>
          <w:szCs w:val="24"/>
        </w:rPr>
        <w:t>improsperidad</w:t>
      </w:r>
      <w:proofErr w:type="spellEnd"/>
      <w:r w:rsidR="00B90EF9">
        <w:rPr>
          <w:rFonts w:ascii="Arial" w:hAnsi="Arial" w:cs="Arial"/>
          <w:szCs w:val="24"/>
        </w:rPr>
        <w:t xml:space="preserve"> del recurso; en contra de esta no </w:t>
      </w:r>
      <w:r>
        <w:rPr>
          <w:rFonts w:ascii="Arial" w:hAnsi="Arial" w:cs="Arial"/>
          <w:szCs w:val="24"/>
        </w:rPr>
        <w:t xml:space="preserve">se causaron por </w:t>
      </w:r>
      <w:r w:rsidR="00B90EF9">
        <w:rPr>
          <w:rFonts w:ascii="Arial" w:hAnsi="Arial" w:cs="Arial"/>
          <w:szCs w:val="24"/>
        </w:rPr>
        <w:t>lo contrario</w:t>
      </w:r>
    </w:p>
    <w:p w:rsidR="00674745" w:rsidRPr="00313DC2" w:rsidRDefault="00674745" w:rsidP="00674745">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674745" w:rsidRPr="00C8021C" w:rsidRDefault="00674745" w:rsidP="00C159FE">
      <w:pPr>
        <w:pStyle w:val="Corpsdetexte"/>
        <w:spacing w:line="276" w:lineRule="auto"/>
        <w:rPr>
          <w:szCs w:val="24"/>
        </w:rPr>
      </w:pPr>
    </w:p>
    <w:p w:rsidR="00226D5F" w:rsidRPr="00D578CB" w:rsidRDefault="00226D5F" w:rsidP="00D10D9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E51D8E">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ansinterligne"/>
        <w:spacing w:line="276" w:lineRule="auto"/>
        <w:rPr>
          <w:rFonts w:ascii="Arial" w:hAnsi="Arial" w:cs="Arial"/>
          <w:sz w:val="24"/>
          <w:szCs w:val="24"/>
        </w:rPr>
      </w:pPr>
    </w:p>
    <w:p w:rsidR="0013552D" w:rsidRDefault="00572BE9" w:rsidP="00291179">
      <w:pPr>
        <w:spacing w:line="276" w:lineRule="auto"/>
        <w:jc w:val="both"/>
        <w:rPr>
          <w:rFonts w:ascii="Arial" w:hAnsi="Arial" w:cs="Arial"/>
          <w:bCs/>
          <w:szCs w:val="24"/>
        </w:rPr>
      </w:pPr>
      <w:r w:rsidRPr="00D578CB">
        <w:rPr>
          <w:rFonts w:ascii="Arial" w:hAnsi="Arial" w:cs="Arial"/>
          <w:b/>
          <w:spacing w:val="-2"/>
          <w:szCs w:val="24"/>
        </w:rPr>
        <w:t xml:space="preserve">PRIMERO: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291179">
        <w:rPr>
          <w:rFonts w:ascii="Arial" w:hAnsi="Arial" w:cs="Arial"/>
          <w:szCs w:val="24"/>
        </w:rPr>
        <w:t>04</w:t>
      </w:r>
      <w:r w:rsidR="00D33344">
        <w:rPr>
          <w:rFonts w:ascii="Arial" w:hAnsi="Arial" w:cs="Arial"/>
          <w:szCs w:val="24"/>
        </w:rPr>
        <w:t xml:space="preserve"> </w:t>
      </w:r>
      <w:r w:rsidR="00134C86" w:rsidRPr="00D578CB">
        <w:rPr>
          <w:rFonts w:ascii="Arial" w:hAnsi="Arial" w:cs="Arial"/>
          <w:szCs w:val="24"/>
        </w:rPr>
        <w:t xml:space="preserve">de </w:t>
      </w:r>
      <w:r w:rsidR="00291179">
        <w:rPr>
          <w:rFonts w:ascii="Arial" w:hAnsi="Arial" w:cs="Arial"/>
          <w:szCs w:val="24"/>
        </w:rPr>
        <w:t xml:space="preserve">mayo </w:t>
      </w:r>
      <w:r w:rsidR="00134C86" w:rsidRPr="00D578CB">
        <w:rPr>
          <w:rFonts w:ascii="Arial" w:hAnsi="Arial" w:cs="Arial"/>
          <w:szCs w:val="24"/>
        </w:rPr>
        <w:t>de 201</w:t>
      </w:r>
      <w:r w:rsidR="00291179">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291179">
        <w:rPr>
          <w:rFonts w:ascii="Arial" w:hAnsi="Arial" w:cs="Arial"/>
          <w:szCs w:val="24"/>
        </w:rPr>
        <w:t xml:space="preserve">Tercero Laboral </w:t>
      </w:r>
      <w:r w:rsidR="00134C86" w:rsidRPr="00D578CB">
        <w:rPr>
          <w:rFonts w:ascii="Arial" w:hAnsi="Arial" w:cs="Arial"/>
          <w:szCs w:val="24"/>
        </w:rPr>
        <w:t xml:space="preserve">del Circuito de Pereira, dentro del proceso ordinario laboral </w:t>
      </w:r>
      <w:r w:rsidR="001667FB" w:rsidRPr="00D578CB">
        <w:rPr>
          <w:rFonts w:ascii="Arial" w:hAnsi="Arial" w:cs="Arial"/>
          <w:szCs w:val="24"/>
        </w:rPr>
        <w:t xml:space="preserve">propuesto por la señora </w:t>
      </w:r>
      <w:proofErr w:type="spellStart"/>
      <w:r w:rsidR="00291179" w:rsidRPr="00A46D15">
        <w:rPr>
          <w:rFonts w:ascii="Arial" w:hAnsi="Arial" w:cs="Arial"/>
          <w:b/>
          <w:iCs/>
          <w:szCs w:val="24"/>
        </w:rPr>
        <w:t>Marili</w:t>
      </w:r>
      <w:proofErr w:type="spellEnd"/>
      <w:r w:rsidR="00291179" w:rsidRPr="00A46D15">
        <w:rPr>
          <w:rFonts w:ascii="Arial" w:hAnsi="Arial" w:cs="Arial"/>
          <w:b/>
          <w:iCs/>
          <w:szCs w:val="24"/>
        </w:rPr>
        <w:t xml:space="preserve"> </w:t>
      </w:r>
      <w:proofErr w:type="spellStart"/>
      <w:r w:rsidR="00291179" w:rsidRPr="00A46D15">
        <w:rPr>
          <w:rFonts w:ascii="Arial" w:hAnsi="Arial" w:cs="Arial"/>
          <w:b/>
          <w:iCs/>
          <w:szCs w:val="24"/>
        </w:rPr>
        <w:t>Guasarave</w:t>
      </w:r>
      <w:proofErr w:type="spellEnd"/>
      <w:r w:rsidR="00291179" w:rsidRPr="00A46D15">
        <w:rPr>
          <w:rFonts w:ascii="Arial" w:hAnsi="Arial" w:cs="Arial"/>
          <w:b/>
          <w:iCs/>
          <w:szCs w:val="24"/>
        </w:rPr>
        <w:t xml:space="preserve"> </w:t>
      </w:r>
      <w:proofErr w:type="spellStart"/>
      <w:r w:rsidR="00291179" w:rsidRPr="00A46D15">
        <w:rPr>
          <w:rFonts w:ascii="Arial" w:hAnsi="Arial" w:cs="Arial"/>
          <w:b/>
          <w:iCs/>
          <w:szCs w:val="24"/>
        </w:rPr>
        <w:t>Guasarave</w:t>
      </w:r>
      <w:proofErr w:type="spellEnd"/>
      <w:r w:rsidR="00291179" w:rsidRPr="00A46D15">
        <w:rPr>
          <w:rFonts w:ascii="Arial" w:hAnsi="Arial" w:cs="Arial"/>
          <w:b/>
          <w:iCs/>
          <w:szCs w:val="24"/>
        </w:rPr>
        <w:t xml:space="preserve"> </w:t>
      </w:r>
      <w:r w:rsidR="00291179" w:rsidRPr="00A46D15">
        <w:rPr>
          <w:rFonts w:ascii="Arial" w:hAnsi="Arial" w:cs="Arial"/>
          <w:szCs w:val="24"/>
        </w:rPr>
        <w:t>quien actúa en</w:t>
      </w:r>
      <w:r w:rsidR="00291179">
        <w:rPr>
          <w:rFonts w:ascii="Arial" w:hAnsi="Arial" w:cs="Arial"/>
          <w:szCs w:val="24"/>
        </w:rPr>
        <w:t xml:space="preserve"> nombre propio y en</w:t>
      </w:r>
      <w:r w:rsidR="00291179" w:rsidRPr="00A46D15">
        <w:rPr>
          <w:rFonts w:ascii="Arial" w:hAnsi="Arial" w:cs="Arial"/>
          <w:szCs w:val="24"/>
        </w:rPr>
        <w:t xml:space="preserve"> representación de los </w:t>
      </w:r>
      <w:r w:rsidR="00291179" w:rsidRPr="000069BA">
        <w:rPr>
          <w:rFonts w:ascii="Arial" w:hAnsi="Arial" w:cs="Arial"/>
          <w:szCs w:val="24"/>
        </w:rPr>
        <w:t>menores</w:t>
      </w:r>
      <w:r w:rsidR="00291179" w:rsidRPr="00A46D15">
        <w:rPr>
          <w:rFonts w:ascii="Arial" w:hAnsi="Arial" w:cs="Arial"/>
          <w:b/>
          <w:szCs w:val="24"/>
        </w:rPr>
        <w:t xml:space="preserve"> </w:t>
      </w:r>
      <w:r w:rsidR="00291179" w:rsidRPr="00A46D15">
        <w:rPr>
          <w:rFonts w:ascii="Arial" w:hAnsi="Arial" w:cs="Arial"/>
          <w:b/>
          <w:iCs/>
          <w:szCs w:val="24"/>
        </w:rPr>
        <w:t xml:space="preserve">Adrián Camilo Gutiérrez Guasarave y Gonzalo Gutiérrez Guasarave </w:t>
      </w:r>
      <w:r w:rsidR="00291179" w:rsidRPr="00A46D15">
        <w:rPr>
          <w:rFonts w:ascii="Arial" w:hAnsi="Arial" w:cs="Arial"/>
          <w:iCs/>
          <w:szCs w:val="24"/>
        </w:rPr>
        <w:t xml:space="preserve">en contra de </w:t>
      </w:r>
      <w:r w:rsidR="00291179" w:rsidRPr="00A46D15">
        <w:rPr>
          <w:rFonts w:ascii="Arial" w:hAnsi="Arial" w:cs="Arial"/>
          <w:b/>
          <w:bCs/>
          <w:szCs w:val="24"/>
        </w:rPr>
        <w:t>Ganadería y Central Genética Boga S.A.S</w:t>
      </w:r>
      <w:r w:rsidR="00291179" w:rsidRPr="00A46D15">
        <w:rPr>
          <w:rFonts w:ascii="Arial" w:hAnsi="Arial" w:cs="Arial"/>
          <w:bCs/>
          <w:szCs w:val="24"/>
        </w:rPr>
        <w:t xml:space="preserve">. y la </w:t>
      </w:r>
      <w:r w:rsidR="00291179" w:rsidRPr="00A46D15">
        <w:rPr>
          <w:rFonts w:ascii="Arial" w:hAnsi="Arial" w:cs="Arial"/>
          <w:b/>
          <w:bCs/>
          <w:szCs w:val="24"/>
        </w:rPr>
        <w:t>Sociedad Administradora de Fondos de Pensiones y Cesantías Porvenir S.A</w:t>
      </w:r>
      <w:r w:rsidR="00291179" w:rsidRPr="00A46D15">
        <w:rPr>
          <w:rFonts w:ascii="Arial" w:hAnsi="Arial" w:cs="Arial"/>
          <w:bCs/>
          <w:szCs w:val="24"/>
        </w:rPr>
        <w:t xml:space="preserve">. y al que fue llamada en garantía </w:t>
      </w:r>
      <w:r w:rsidR="00291179" w:rsidRPr="00A46D15">
        <w:rPr>
          <w:rFonts w:ascii="Arial" w:hAnsi="Arial" w:cs="Arial"/>
          <w:b/>
          <w:bCs/>
          <w:szCs w:val="24"/>
        </w:rPr>
        <w:t>Mapfre Colombia Vida Seguros S.A.</w:t>
      </w:r>
      <w:r w:rsidR="005D1886">
        <w:rPr>
          <w:rFonts w:ascii="Arial" w:hAnsi="Arial" w:cs="Arial"/>
          <w:b/>
          <w:bCs/>
          <w:szCs w:val="24"/>
        </w:rPr>
        <w:t xml:space="preserve">, </w:t>
      </w:r>
      <w:r w:rsidR="005D1886">
        <w:rPr>
          <w:rFonts w:ascii="Arial" w:hAnsi="Arial" w:cs="Arial"/>
          <w:bCs/>
          <w:szCs w:val="24"/>
        </w:rPr>
        <w:t xml:space="preserve">salvo los numerales sexto y octavo que quedarán así: </w:t>
      </w:r>
    </w:p>
    <w:p w:rsidR="005D1886" w:rsidRDefault="005D1886" w:rsidP="00291179">
      <w:pPr>
        <w:spacing w:line="276" w:lineRule="auto"/>
        <w:jc w:val="both"/>
        <w:rPr>
          <w:rFonts w:ascii="Arial" w:hAnsi="Arial" w:cs="Arial"/>
          <w:bCs/>
          <w:szCs w:val="24"/>
        </w:rPr>
      </w:pPr>
    </w:p>
    <w:p w:rsidR="005D1886" w:rsidRPr="00D83C48" w:rsidRDefault="00D83C48" w:rsidP="00D83C48">
      <w:pPr>
        <w:spacing w:line="276" w:lineRule="auto"/>
        <w:ind w:left="567" w:right="567"/>
        <w:jc w:val="both"/>
        <w:rPr>
          <w:rFonts w:ascii="Arial" w:hAnsi="Arial" w:cs="Arial"/>
          <w:bCs/>
          <w:i/>
          <w:sz w:val="22"/>
          <w:szCs w:val="22"/>
        </w:rPr>
      </w:pPr>
      <w:r w:rsidRPr="00D83C48">
        <w:rPr>
          <w:rFonts w:ascii="Arial" w:hAnsi="Arial" w:cs="Arial"/>
          <w:bCs/>
          <w:i/>
          <w:sz w:val="22"/>
          <w:szCs w:val="22"/>
        </w:rPr>
        <w:t xml:space="preserve">SEXTO: PRECISAR que la pensión de sobrevivientes es reconocida de forma vitalicia a favor de la señora </w:t>
      </w:r>
      <w:proofErr w:type="spellStart"/>
      <w:r w:rsidRPr="00D83C48">
        <w:rPr>
          <w:rFonts w:ascii="Arial" w:hAnsi="Arial" w:cs="Arial"/>
          <w:bCs/>
          <w:i/>
          <w:sz w:val="22"/>
          <w:szCs w:val="22"/>
        </w:rPr>
        <w:t>Marili</w:t>
      </w:r>
      <w:proofErr w:type="spellEnd"/>
      <w:r w:rsidRPr="00D83C48">
        <w:rPr>
          <w:rFonts w:ascii="Arial" w:hAnsi="Arial" w:cs="Arial"/>
          <w:bCs/>
          <w:i/>
          <w:sz w:val="22"/>
          <w:szCs w:val="22"/>
        </w:rPr>
        <w:t xml:space="preserve"> </w:t>
      </w:r>
      <w:proofErr w:type="spellStart"/>
      <w:r w:rsidRPr="00D83C48">
        <w:rPr>
          <w:rFonts w:ascii="Arial" w:hAnsi="Arial" w:cs="Arial"/>
          <w:bCs/>
          <w:i/>
          <w:sz w:val="22"/>
          <w:szCs w:val="22"/>
        </w:rPr>
        <w:t>Guasarave</w:t>
      </w:r>
      <w:proofErr w:type="spellEnd"/>
      <w:r w:rsidRPr="00D83C48">
        <w:rPr>
          <w:rFonts w:ascii="Arial" w:hAnsi="Arial" w:cs="Arial"/>
          <w:bCs/>
          <w:i/>
          <w:sz w:val="22"/>
          <w:szCs w:val="22"/>
        </w:rPr>
        <w:t xml:space="preserve"> </w:t>
      </w:r>
      <w:proofErr w:type="spellStart"/>
      <w:r w:rsidRPr="00D83C48">
        <w:rPr>
          <w:rFonts w:ascii="Arial" w:hAnsi="Arial" w:cs="Arial"/>
          <w:bCs/>
          <w:i/>
          <w:sz w:val="22"/>
          <w:szCs w:val="22"/>
        </w:rPr>
        <w:t>Guasarave</w:t>
      </w:r>
      <w:proofErr w:type="spellEnd"/>
      <w:r w:rsidRPr="00D83C48">
        <w:rPr>
          <w:rFonts w:ascii="Arial" w:hAnsi="Arial" w:cs="Arial"/>
          <w:bCs/>
          <w:i/>
          <w:sz w:val="22"/>
          <w:szCs w:val="22"/>
        </w:rPr>
        <w:t xml:space="preserve"> y de manera temporal a favor de sus hijos Gonzalo y Adrián Camilo Gutiérrez Guasarave, esto es, hasta que cumplan los 18 años de edad o hasta los 25 siempre que acrediten su condición de estudiantes. </w:t>
      </w:r>
    </w:p>
    <w:p w:rsidR="00D83C48" w:rsidRPr="00D83C48" w:rsidRDefault="00D83C48" w:rsidP="00D83C48">
      <w:pPr>
        <w:spacing w:line="276" w:lineRule="auto"/>
        <w:ind w:left="567" w:right="567"/>
        <w:jc w:val="both"/>
        <w:rPr>
          <w:rFonts w:ascii="Arial" w:hAnsi="Arial" w:cs="Arial"/>
          <w:bCs/>
          <w:i/>
          <w:sz w:val="22"/>
          <w:szCs w:val="22"/>
        </w:rPr>
      </w:pPr>
    </w:p>
    <w:p w:rsidR="00D83C48" w:rsidRPr="00D83C48" w:rsidRDefault="00D83C48" w:rsidP="00D83C48">
      <w:pPr>
        <w:spacing w:line="276" w:lineRule="auto"/>
        <w:ind w:left="567" w:right="567"/>
        <w:jc w:val="both"/>
        <w:rPr>
          <w:rFonts w:ascii="Arial" w:hAnsi="Arial" w:cs="Arial"/>
          <w:bCs/>
          <w:i/>
          <w:sz w:val="22"/>
          <w:szCs w:val="22"/>
        </w:rPr>
      </w:pPr>
      <w:r w:rsidRPr="00D83C48">
        <w:rPr>
          <w:rFonts w:ascii="Arial" w:hAnsi="Arial" w:cs="Arial"/>
          <w:bCs/>
          <w:i/>
          <w:sz w:val="22"/>
          <w:szCs w:val="22"/>
        </w:rPr>
        <w:t>OCTAVO: AUTORIZAR el pago de los intereses de mora a partir del 05/06/2014 y hasta el pago efectivo de la prestación de que tratan los numerales que anteceden.</w:t>
      </w:r>
    </w:p>
    <w:p w:rsidR="00134C86" w:rsidRDefault="00572BE9" w:rsidP="00B90EF9">
      <w:pPr>
        <w:spacing w:line="276" w:lineRule="auto"/>
        <w:jc w:val="both"/>
        <w:rPr>
          <w:rFonts w:ascii="Arial" w:hAnsi="Arial" w:cs="Arial"/>
          <w:szCs w:val="24"/>
        </w:rPr>
      </w:pPr>
      <w:r w:rsidRPr="00D578CB">
        <w:rPr>
          <w:rFonts w:ascii="Arial" w:hAnsi="Arial" w:cs="Arial"/>
          <w:b/>
          <w:szCs w:val="24"/>
          <w:lang w:val="es-ES"/>
        </w:rPr>
        <w:lastRenderedPageBreak/>
        <w:t>SEGUNDO:</w:t>
      </w:r>
      <w:r w:rsidR="00D578CB" w:rsidRPr="00D578CB">
        <w:rPr>
          <w:rFonts w:ascii="Arial" w:hAnsi="Arial" w:cs="Arial"/>
          <w:szCs w:val="24"/>
        </w:rPr>
        <w:t xml:space="preserve"> </w:t>
      </w:r>
      <w:r w:rsidR="00996355" w:rsidRPr="00D578CB">
        <w:rPr>
          <w:rFonts w:ascii="Arial" w:hAnsi="Arial" w:cs="Arial"/>
          <w:szCs w:val="24"/>
        </w:rPr>
        <w:t xml:space="preserve">Costas en </w:t>
      </w:r>
      <w:r w:rsidR="00996355">
        <w:rPr>
          <w:rFonts w:ascii="Arial" w:hAnsi="Arial" w:cs="Arial"/>
          <w:szCs w:val="24"/>
        </w:rPr>
        <w:t xml:space="preserve">esta instancia </w:t>
      </w:r>
      <w:r w:rsidR="00B90EF9">
        <w:rPr>
          <w:rFonts w:ascii="Arial" w:hAnsi="Arial" w:cs="Arial"/>
          <w:szCs w:val="24"/>
        </w:rPr>
        <w:t>a cargo de la AFP y la llamada en garantía y a favor de la parte actora, en contra de esta no se causaron, por lo expuesto.</w:t>
      </w:r>
    </w:p>
    <w:p w:rsidR="00B90EF9" w:rsidRPr="00B90EF9" w:rsidRDefault="00B90EF9" w:rsidP="00B90EF9">
      <w:pPr>
        <w:spacing w:line="276" w:lineRule="auto"/>
        <w:jc w:val="both"/>
        <w:rPr>
          <w:rFonts w:ascii="Arial" w:hAnsi="Arial" w:cs="Arial"/>
          <w:szCs w:val="24"/>
          <w:lang w:val="es-CO"/>
        </w:rPr>
      </w:pPr>
    </w:p>
    <w:p w:rsidR="00D10D95" w:rsidRDefault="00D10D95" w:rsidP="00D10D95">
      <w:pPr>
        <w:spacing w:line="276" w:lineRule="auto"/>
        <w:contextualSpacing/>
        <w:jc w:val="both"/>
        <w:rPr>
          <w:rFonts w:ascii="Arial" w:hAnsi="Arial" w:cs="Arial"/>
          <w:szCs w:val="24"/>
        </w:rPr>
      </w:pPr>
      <w:r w:rsidRPr="00A47C8D">
        <w:rPr>
          <w:rFonts w:ascii="Arial" w:hAnsi="Arial" w:cs="Arial"/>
          <w:szCs w:val="24"/>
        </w:rPr>
        <w:t>Notificación surtida en estrados.</w:t>
      </w:r>
    </w:p>
    <w:p w:rsidR="00D10D95" w:rsidRPr="00A47C8D" w:rsidRDefault="00D10D95" w:rsidP="00D10D95">
      <w:pPr>
        <w:spacing w:line="276" w:lineRule="auto"/>
        <w:contextualSpacing/>
        <w:jc w:val="both"/>
        <w:rPr>
          <w:rFonts w:ascii="Arial" w:hAnsi="Arial" w:cs="Arial"/>
          <w:szCs w:val="24"/>
        </w:rPr>
      </w:pPr>
    </w:p>
    <w:p w:rsidR="00D10D95" w:rsidRPr="00A47C8D" w:rsidRDefault="00D10D95" w:rsidP="00D10D95">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10D95" w:rsidRPr="00A47C8D" w:rsidRDefault="00D10D95" w:rsidP="00D10D95">
      <w:pPr>
        <w:widowControl w:val="0"/>
        <w:autoSpaceDE w:val="0"/>
        <w:autoSpaceDN w:val="0"/>
        <w:adjustRightInd w:val="0"/>
        <w:spacing w:line="276" w:lineRule="auto"/>
        <w:contextualSpacing/>
        <w:jc w:val="both"/>
        <w:rPr>
          <w:rFonts w:ascii="Arial" w:hAnsi="Arial" w:cs="Arial"/>
          <w:szCs w:val="24"/>
        </w:rPr>
      </w:pPr>
    </w:p>
    <w:p w:rsidR="00D10D95" w:rsidRPr="00A47C8D" w:rsidRDefault="00D10D95" w:rsidP="00D10D9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10D95" w:rsidRDefault="00D10D95" w:rsidP="00D10D95">
      <w:pPr>
        <w:pStyle w:val="Sansinterligne"/>
        <w:spacing w:line="276" w:lineRule="auto"/>
        <w:contextualSpacing/>
        <w:rPr>
          <w:rFonts w:ascii="Arial" w:hAnsi="Arial" w:cs="Arial"/>
          <w:sz w:val="24"/>
          <w:szCs w:val="24"/>
          <w:lang w:val="es-ES"/>
        </w:rPr>
      </w:pPr>
    </w:p>
    <w:p w:rsidR="002A4A82" w:rsidRDefault="002A4A82" w:rsidP="00D10D95">
      <w:pPr>
        <w:pStyle w:val="Sansinterligne"/>
        <w:spacing w:line="276" w:lineRule="auto"/>
        <w:contextualSpacing/>
        <w:jc w:val="center"/>
        <w:rPr>
          <w:rFonts w:ascii="Arial" w:hAnsi="Arial" w:cs="Arial"/>
          <w:b/>
          <w:sz w:val="24"/>
          <w:szCs w:val="24"/>
          <w:lang w:val="es-ES"/>
        </w:rPr>
      </w:pPr>
    </w:p>
    <w:p w:rsidR="002A4A82" w:rsidRDefault="002A4A82" w:rsidP="00D10D95">
      <w:pPr>
        <w:pStyle w:val="Sansinterligne"/>
        <w:spacing w:line="276" w:lineRule="auto"/>
        <w:contextualSpacing/>
        <w:jc w:val="center"/>
        <w:rPr>
          <w:rFonts w:ascii="Arial" w:hAnsi="Arial" w:cs="Arial"/>
          <w:b/>
          <w:sz w:val="24"/>
          <w:szCs w:val="24"/>
          <w:lang w:val="es-ES"/>
        </w:rPr>
      </w:pPr>
    </w:p>
    <w:p w:rsidR="002A4A82" w:rsidRDefault="002A4A82" w:rsidP="00D10D95">
      <w:pPr>
        <w:pStyle w:val="Sansinterligne"/>
        <w:spacing w:line="276" w:lineRule="auto"/>
        <w:contextualSpacing/>
        <w:jc w:val="center"/>
        <w:rPr>
          <w:rFonts w:ascii="Arial" w:hAnsi="Arial" w:cs="Arial"/>
          <w:b/>
          <w:sz w:val="24"/>
          <w:szCs w:val="24"/>
          <w:lang w:val="es-ES"/>
        </w:rPr>
      </w:pPr>
    </w:p>
    <w:p w:rsidR="00D10D95" w:rsidRPr="00D578CB" w:rsidRDefault="00D10D95" w:rsidP="00D10D95">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10D95" w:rsidRDefault="00D10D95" w:rsidP="00D10D95">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10D95" w:rsidRDefault="00D10D95" w:rsidP="00D10D95">
      <w:pPr>
        <w:pStyle w:val="Sansinterligne"/>
        <w:spacing w:line="276" w:lineRule="auto"/>
        <w:contextualSpacing/>
        <w:jc w:val="center"/>
        <w:rPr>
          <w:rFonts w:ascii="Arial" w:hAnsi="Arial" w:cs="Arial"/>
          <w:sz w:val="24"/>
          <w:szCs w:val="24"/>
          <w:lang w:val="es-ES"/>
        </w:rPr>
      </w:pPr>
    </w:p>
    <w:p w:rsidR="00D10D95" w:rsidRDefault="00D10D95" w:rsidP="00D10D95">
      <w:pPr>
        <w:pStyle w:val="Sansinterligne"/>
        <w:spacing w:line="276" w:lineRule="auto"/>
        <w:contextualSpacing/>
        <w:jc w:val="center"/>
        <w:rPr>
          <w:rFonts w:ascii="Arial" w:hAnsi="Arial" w:cs="Arial"/>
          <w:sz w:val="24"/>
          <w:szCs w:val="24"/>
          <w:lang w:val="es-ES"/>
        </w:rPr>
      </w:pPr>
    </w:p>
    <w:p w:rsidR="00D10D95" w:rsidRDefault="00D10D95" w:rsidP="00D10D95">
      <w:pPr>
        <w:pStyle w:val="Sansinterligne"/>
        <w:spacing w:line="276" w:lineRule="auto"/>
        <w:contextualSpacing/>
        <w:jc w:val="center"/>
        <w:rPr>
          <w:rFonts w:ascii="Arial" w:hAnsi="Arial" w:cs="Arial"/>
          <w:sz w:val="24"/>
          <w:szCs w:val="24"/>
          <w:lang w:val="es-ES"/>
        </w:rPr>
      </w:pPr>
    </w:p>
    <w:p w:rsidR="00D10D95" w:rsidRPr="00D578CB" w:rsidRDefault="00D10D95" w:rsidP="00D10D95">
      <w:pPr>
        <w:pStyle w:val="Sansinterligne"/>
        <w:spacing w:line="276" w:lineRule="auto"/>
        <w:contextualSpacing/>
        <w:jc w:val="center"/>
        <w:rPr>
          <w:rFonts w:ascii="Arial" w:hAnsi="Arial" w:cs="Arial"/>
          <w:sz w:val="24"/>
          <w:szCs w:val="24"/>
          <w:lang w:val="es-ES"/>
        </w:rPr>
      </w:pPr>
    </w:p>
    <w:p w:rsidR="001E0313" w:rsidRPr="0045273B" w:rsidRDefault="00D10D95" w:rsidP="00F017BF">
      <w:pPr>
        <w:spacing w:line="276" w:lineRule="auto"/>
        <w:jc w:val="both"/>
        <w:rPr>
          <w:rFonts w:ascii="Arial" w:hAnsi="Arial" w:cs="Arial"/>
          <w:b/>
          <w:bCs/>
          <w:iCs/>
          <w:sz w:val="23"/>
          <w:szCs w:val="23"/>
          <w:lang w:val="es-ES"/>
        </w:rPr>
      </w:pPr>
      <w:r w:rsidRPr="0045273B">
        <w:rPr>
          <w:rFonts w:ascii="Arial" w:hAnsi="Arial" w:cs="Arial"/>
          <w:b/>
          <w:bCs/>
          <w:iCs/>
          <w:sz w:val="23"/>
          <w:szCs w:val="23"/>
          <w:lang w:val="es-ES"/>
        </w:rPr>
        <w:t>JULIO CÉSAR SALAZAR MUÑOZ</w:t>
      </w:r>
      <w:r w:rsidRPr="00D10D95">
        <w:rPr>
          <w:rFonts w:ascii="Arial" w:hAnsi="Arial" w:cs="Arial"/>
          <w:b/>
          <w:bCs/>
          <w:iCs/>
          <w:sz w:val="23"/>
          <w:szCs w:val="23"/>
          <w:lang w:val="es-ES"/>
        </w:rPr>
        <w:t xml:space="preserve"> </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b/>
          <w:bCs/>
          <w:iCs/>
          <w:sz w:val="23"/>
          <w:szCs w:val="23"/>
          <w:lang w:val="es-ES"/>
        </w:rPr>
        <w:t>ANA LUCÍA CAICEDO CALDERÓN</w:t>
      </w:r>
    </w:p>
    <w:p w:rsidR="002A4A82" w:rsidRDefault="00134C86" w:rsidP="00F62B97">
      <w:pPr>
        <w:spacing w:line="276" w:lineRule="auto"/>
        <w:jc w:val="both"/>
        <w:rPr>
          <w:rFonts w:ascii="Arial" w:hAnsi="Arial" w:cs="Arial"/>
          <w:i/>
          <w:iCs/>
          <w:szCs w:val="24"/>
          <w:lang w:val="es-ES"/>
        </w:rPr>
      </w:pPr>
      <w:r w:rsidRPr="0045273B">
        <w:rPr>
          <w:rFonts w:ascii="Arial" w:hAnsi="Arial" w:cs="Arial"/>
          <w:b/>
          <w:bCs/>
          <w:iCs/>
          <w:sz w:val="23"/>
          <w:szCs w:val="23"/>
          <w:lang w:val="es-ES"/>
        </w:rPr>
        <w:t xml:space="preserve">                </w:t>
      </w:r>
      <w:r w:rsidR="001E0313" w:rsidRPr="0045273B">
        <w:rPr>
          <w:rFonts w:ascii="Arial" w:hAnsi="Arial" w:cs="Arial"/>
          <w:b/>
          <w:bCs/>
          <w:iCs/>
          <w:sz w:val="23"/>
          <w:szCs w:val="23"/>
          <w:lang w:val="es-ES"/>
        </w:rPr>
        <w:t xml:space="preserve">      </w:t>
      </w:r>
      <w:r w:rsidR="00D10D95" w:rsidRPr="00D10D95">
        <w:rPr>
          <w:rFonts w:ascii="Arial" w:hAnsi="Arial" w:cs="Arial"/>
          <w:bCs/>
          <w:iCs/>
          <w:sz w:val="23"/>
          <w:szCs w:val="23"/>
          <w:lang w:val="es-ES"/>
        </w:rPr>
        <w:t>M</w:t>
      </w:r>
      <w:r w:rsidR="00D10D95">
        <w:rPr>
          <w:rFonts w:ascii="Arial" w:hAnsi="Arial" w:cs="Arial"/>
          <w:sz w:val="23"/>
          <w:szCs w:val="23"/>
          <w:lang w:val="es-ES"/>
        </w:rPr>
        <w:t>agistrado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D10D95">
        <w:rPr>
          <w:rFonts w:ascii="Arial" w:hAnsi="Arial" w:cs="Arial"/>
          <w:sz w:val="23"/>
          <w:szCs w:val="23"/>
          <w:lang w:val="es-ES"/>
        </w:rPr>
        <w:t>Magistrada</w:t>
      </w:r>
      <w:r w:rsidRPr="0045273B">
        <w:rPr>
          <w:rFonts w:ascii="Arial" w:hAnsi="Arial" w:cs="Arial"/>
          <w:sz w:val="23"/>
          <w:szCs w:val="23"/>
          <w:lang w:val="es-ES"/>
        </w:rPr>
        <w:t xml:space="preserve"> </w:t>
      </w:r>
    </w:p>
    <w:sectPr w:rsidR="002A4A82" w:rsidSect="006F12CD">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3A" w:rsidRDefault="008C323A" w:rsidP="00226D5F">
      <w:r>
        <w:separator/>
      </w:r>
    </w:p>
  </w:endnote>
  <w:endnote w:type="continuationSeparator" w:id="0">
    <w:p w:rsidR="008C323A" w:rsidRDefault="008C323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8C323A"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D7648">
      <w:rPr>
        <w:rStyle w:val="Numrodepage"/>
        <w:noProof/>
      </w:rPr>
      <w:t>11</w:t>
    </w:r>
    <w:r>
      <w:rPr>
        <w:rStyle w:val="Numrodepage"/>
      </w:rPr>
      <w:fldChar w:fldCharType="end"/>
    </w:r>
  </w:p>
  <w:p w:rsidR="009B4A56" w:rsidRDefault="008C323A"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3A" w:rsidRDefault="008C323A" w:rsidP="00226D5F">
      <w:r>
        <w:separator/>
      </w:r>
    </w:p>
  </w:footnote>
  <w:footnote w:type="continuationSeparator" w:id="0">
    <w:p w:rsidR="008C323A" w:rsidRDefault="008C323A" w:rsidP="00226D5F">
      <w:r>
        <w:continuationSeparator/>
      </w:r>
    </w:p>
  </w:footnote>
  <w:footnote w:id="1">
    <w:p w:rsidR="00AE1F9D" w:rsidRPr="00AE1F9D" w:rsidRDefault="00AE1F9D">
      <w:pPr>
        <w:pStyle w:val="Notedebasdepage"/>
        <w:rPr>
          <w:rFonts w:ascii="Arial" w:hAnsi="Arial" w:cs="Arial"/>
          <w:sz w:val="18"/>
          <w:szCs w:val="18"/>
          <w:lang w:val="es-CO"/>
        </w:rPr>
      </w:pPr>
      <w:r w:rsidRPr="00AE1F9D">
        <w:rPr>
          <w:rStyle w:val="Appelnotedebasdep"/>
          <w:rFonts w:ascii="Arial" w:hAnsi="Arial" w:cs="Arial"/>
          <w:sz w:val="18"/>
          <w:szCs w:val="18"/>
        </w:rPr>
        <w:footnoteRef/>
      </w:r>
      <w:r w:rsidRPr="00AE1F9D">
        <w:rPr>
          <w:rFonts w:ascii="Arial" w:hAnsi="Arial" w:cs="Arial"/>
          <w:sz w:val="18"/>
          <w:szCs w:val="18"/>
        </w:rPr>
        <w:t xml:space="preserve"> </w:t>
      </w:r>
      <w:r w:rsidRPr="00AE1F9D">
        <w:rPr>
          <w:rFonts w:ascii="Arial" w:hAnsi="Arial" w:cs="Arial"/>
          <w:sz w:val="18"/>
          <w:szCs w:val="18"/>
          <w:lang w:val="es-CO"/>
        </w:rPr>
        <w:t>Aspectos que no fueron objeto de apelación, como se verá más adelante.</w:t>
      </w:r>
    </w:p>
  </w:footnote>
  <w:footnote w:id="2">
    <w:p w:rsidR="0068345F" w:rsidRPr="00B217BB" w:rsidRDefault="0068345F">
      <w:pPr>
        <w:pStyle w:val="Notedebasdepage"/>
        <w:rPr>
          <w:rFonts w:ascii="Arial" w:hAnsi="Arial" w:cs="Arial"/>
          <w:sz w:val="18"/>
          <w:szCs w:val="18"/>
          <w:lang w:val="es-AR"/>
        </w:rPr>
      </w:pPr>
      <w:r w:rsidRPr="00B217BB">
        <w:rPr>
          <w:rStyle w:val="Appelnotedebasdep"/>
          <w:rFonts w:ascii="Arial" w:hAnsi="Arial" w:cs="Arial"/>
          <w:sz w:val="18"/>
          <w:szCs w:val="18"/>
        </w:rPr>
        <w:footnoteRef/>
      </w:r>
      <w:r w:rsidRPr="00B217BB">
        <w:rPr>
          <w:rFonts w:ascii="Arial" w:hAnsi="Arial" w:cs="Arial"/>
          <w:sz w:val="18"/>
          <w:szCs w:val="18"/>
        </w:rPr>
        <w:t xml:space="preserve"> </w:t>
      </w:r>
      <w:r w:rsidRPr="00B217BB">
        <w:rPr>
          <w:rFonts w:ascii="Arial" w:hAnsi="Arial" w:cs="Arial"/>
          <w:sz w:val="18"/>
          <w:szCs w:val="18"/>
          <w:lang w:val="es-AR"/>
        </w:rPr>
        <w:t xml:space="preserve">Corte Suprema de Justicia. M.P. Clara Cecilia Dueñas Quevedo. SL14236 del 30/09/2015. </w:t>
      </w:r>
    </w:p>
    <w:p w:rsidR="0068345F" w:rsidRPr="0068345F" w:rsidRDefault="0068345F">
      <w:pPr>
        <w:pStyle w:val="Notedebasdepage"/>
        <w:rPr>
          <w:lang w:val="es-AR"/>
        </w:rPr>
      </w:pPr>
      <w:r w:rsidRPr="00B217BB">
        <w:rPr>
          <w:rFonts w:ascii="Arial" w:hAnsi="Arial" w:cs="Arial"/>
          <w:sz w:val="18"/>
          <w:szCs w:val="18"/>
          <w:lang w:val="es-AR"/>
        </w:rPr>
        <w:t xml:space="preserve">  Pueden consultarse también la SL 6035 del 03/04/2015, que reitera la N° 46106 del 04/07/2012, entre otras.</w:t>
      </w:r>
    </w:p>
  </w:footnote>
  <w:footnote w:id="3">
    <w:p w:rsidR="00256A7E" w:rsidRPr="00256A7E" w:rsidRDefault="00256A7E" w:rsidP="00256A7E">
      <w:pPr>
        <w:pStyle w:val="Notedebasdepage"/>
        <w:jc w:val="both"/>
        <w:rPr>
          <w:rFonts w:ascii="Arial" w:hAnsi="Arial" w:cs="Arial"/>
          <w:sz w:val="18"/>
          <w:szCs w:val="18"/>
          <w:lang w:val="es-AR"/>
        </w:rPr>
      </w:pPr>
      <w:r>
        <w:rPr>
          <w:rStyle w:val="Appelnotedebasdep"/>
        </w:rPr>
        <w:footnoteRef/>
      </w:r>
      <w:r>
        <w:t xml:space="preserve"> </w:t>
      </w:r>
      <w:r w:rsidRPr="00256A7E">
        <w:rPr>
          <w:rFonts w:ascii="Arial" w:hAnsi="Arial" w:cs="Arial"/>
          <w:sz w:val="18"/>
          <w:szCs w:val="18"/>
          <w:lang w:val="es-AR"/>
        </w:rPr>
        <w:t xml:space="preserve">M.P. Julio César Salazar Muñoz. Rad. 2015-00471 del 22/03/2017. </w:t>
      </w:r>
      <w:proofErr w:type="spellStart"/>
      <w:r w:rsidRPr="00256A7E">
        <w:rPr>
          <w:rFonts w:ascii="Arial" w:hAnsi="Arial" w:cs="Arial"/>
          <w:sz w:val="18"/>
          <w:szCs w:val="18"/>
          <w:lang w:val="es-AR"/>
        </w:rPr>
        <w:t>Dte</w:t>
      </w:r>
      <w:proofErr w:type="spellEnd"/>
      <w:r w:rsidRPr="00256A7E">
        <w:rPr>
          <w:rFonts w:ascii="Arial" w:hAnsi="Arial" w:cs="Arial"/>
          <w:sz w:val="18"/>
          <w:szCs w:val="18"/>
          <w:lang w:val="es-AR"/>
        </w:rPr>
        <w:t xml:space="preserve">: </w:t>
      </w:r>
      <w:proofErr w:type="spellStart"/>
      <w:r w:rsidRPr="00256A7E">
        <w:rPr>
          <w:rFonts w:ascii="Arial" w:hAnsi="Arial" w:cs="Arial"/>
          <w:sz w:val="18"/>
          <w:szCs w:val="18"/>
          <w:lang w:val="es-AR"/>
        </w:rPr>
        <w:t>Adiela</w:t>
      </w:r>
      <w:proofErr w:type="spellEnd"/>
      <w:r w:rsidRPr="00256A7E">
        <w:rPr>
          <w:rFonts w:ascii="Arial" w:hAnsi="Arial" w:cs="Arial"/>
          <w:sz w:val="18"/>
          <w:szCs w:val="18"/>
          <w:lang w:val="es-AR"/>
        </w:rPr>
        <w:t xml:space="preserve"> Ocampo de Ramírez vs Colpensiones</w:t>
      </w:r>
    </w:p>
    <w:p w:rsidR="00256A7E" w:rsidRPr="00256A7E" w:rsidRDefault="00256A7E" w:rsidP="00256A7E">
      <w:pPr>
        <w:spacing w:line="276" w:lineRule="auto"/>
        <w:jc w:val="both"/>
        <w:rPr>
          <w:rFonts w:ascii="Arial" w:hAnsi="Arial" w:cs="Arial"/>
          <w:iCs/>
          <w:sz w:val="18"/>
          <w:szCs w:val="18"/>
        </w:rPr>
      </w:pPr>
      <w:r w:rsidRPr="00256A7E">
        <w:rPr>
          <w:rFonts w:ascii="Arial" w:hAnsi="Arial" w:cs="Arial"/>
          <w:sz w:val="18"/>
          <w:szCs w:val="18"/>
          <w:lang w:val="es-AR"/>
        </w:rPr>
        <w:t xml:space="preserve">M.P. Olga Lucía Hoyos Sepúlveda. </w:t>
      </w:r>
      <w:r w:rsidRPr="00256A7E">
        <w:rPr>
          <w:rFonts w:ascii="Arial" w:hAnsi="Arial" w:cs="Arial"/>
          <w:bCs/>
          <w:sz w:val="18"/>
          <w:szCs w:val="18"/>
        </w:rPr>
        <w:t xml:space="preserve">2015-00108-01. </w:t>
      </w:r>
      <w:proofErr w:type="spellStart"/>
      <w:r w:rsidRPr="00256A7E">
        <w:rPr>
          <w:rFonts w:ascii="Arial" w:hAnsi="Arial" w:cs="Arial"/>
          <w:b/>
          <w:iCs/>
          <w:sz w:val="18"/>
          <w:szCs w:val="18"/>
        </w:rPr>
        <w:t>Dte</w:t>
      </w:r>
      <w:proofErr w:type="spellEnd"/>
      <w:r w:rsidRPr="00256A7E">
        <w:rPr>
          <w:rFonts w:ascii="Arial" w:hAnsi="Arial" w:cs="Arial"/>
          <w:iCs/>
          <w:sz w:val="18"/>
          <w:szCs w:val="18"/>
        </w:rPr>
        <w:t>: Bertha Inés Medina de Castro</w:t>
      </w:r>
      <w:r>
        <w:rPr>
          <w:rFonts w:ascii="Arial" w:hAnsi="Arial" w:cs="Arial"/>
          <w:iCs/>
          <w:sz w:val="18"/>
          <w:szCs w:val="18"/>
        </w:rPr>
        <w:t xml:space="preserve"> vs Colpensiones</w:t>
      </w:r>
    </w:p>
    <w:p w:rsidR="00256A7E" w:rsidRPr="00256A7E" w:rsidRDefault="00256A7E">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CD" w:rsidRPr="006F12CD" w:rsidRDefault="006F12CD" w:rsidP="006F12CD">
    <w:pPr>
      <w:pStyle w:val="En-tte"/>
      <w:jc w:val="center"/>
      <w:rPr>
        <w:rFonts w:ascii="Arial" w:hAnsi="Arial" w:cs="Arial"/>
        <w:sz w:val="18"/>
        <w:szCs w:val="18"/>
      </w:rPr>
    </w:pPr>
    <w:r w:rsidRPr="006F12CD">
      <w:rPr>
        <w:rFonts w:ascii="Arial" w:hAnsi="Arial" w:cs="Arial"/>
        <w:sz w:val="18"/>
        <w:szCs w:val="18"/>
      </w:rPr>
      <w:t>Proceso Ordinario Laboral</w:t>
    </w:r>
  </w:p>
  <w:p w:rsidR="006F12CD" w:rsidRPr="006F12CD" w:rsidRDefault="00113078" w:rsidP="006F12CD">
    <w:pPr>
      <w:pStyle w:val="En-tte"/>
      <w:jc w:val="center"/>
      <w:rPr>
        <w:rFonts w:ascii="Arial" w:hAnsi="Arial" w:cs="Arial"/>
        <w:sz w:val="18"/>
        <w:szCs w:val="18"/>
      </w:rPr>
    </w:pPr>
    <w:r>
      <w:rPr>
        <w:rFonts w:ascii="Arial" w:hAnsi="Arial" w:cs="Arial"/>
        <w:sz w:val="18"/>
        <w:szCs w:val="18"/>
      </w:rPr>
      <w:t>66001-31-05-003</w:t>
    </w:r>
    <w:r w:rsidR="006F12CD" w:rsidRPr="006F12CD">
      <w:rPr>
        <w:rFonts w:ascii="Arial" w:hAnsi="Arial" w:cs="Arial"/>
        <w:sz w:val="18"/>
        <w:szCs w:val="18"/>
      </w:rPr>
      <w:t>-201</w:t>
    </w:r>
    <w:r>
      <w:rPr>
        <w:rFonts w:ascii="Arial" w:hAnsi="Arial" w:cs="Arial"/>
        <w:sz w:val="18"/>
        <w:szCs w:val="18"/>
      </w:rPr>
      <w:t>5</w:t>
    </w:r>
    <w:r w:rsidR="006F12CD" w:rsidRPr="006F12CD">
      <w:rPr>
        <w:rFonts w:ascii="Arial" w:hAnsi="Arial" w:cs="Arial"/>
        <w:sz w:val="18"/>
        <w:szCs w:val="18"/>
      </w:rPr>
      <w:t>-00</w:t>
    </w:r>
    <w:r>
      <w:rPr>
        <w:rFonts w:ascii="Arial" w:hAnsi="Arial" w:cs="Arial"/>
        <w:sz w:val="18"/>
        <w:szCs w:val="18"/>
      </w:rPr>
      <w:t>438</w:t>
    </w:r>
    <w:r w:rsidR="006F12CD" w:rsidRPr="006F12CD">
      <w:rPr>
        <w:rFonts w:ascii="Arial" w:hAnsi="Arial" w:cs="Arial"/>
        <w:sz w:val="18"/>
        <w:szCs w:val="18"/>
      </w:rPr>
      <w:t>-01</w:t>
    </w:r>
  </w:p>
  <w:p w:rsidR="00113078" w:rsidRDefault="00AA43F0" w:rsidP="00113078">
    <w:pPr>
      <w:spacing w:line="276" w:lineRule="auto"/>
      <w:jc w:val="center"/>
      <w:rPr>
        <w:rFonts w:ascii="Arial" w:hAnsi="Arial" w:cs="Arial"/>
        <w:bCs/>
        <w:sz w:val="18"/>
        <w:szCs w:val="18"/>
      </w:rPr>
    </w:pPr>
    <w:proofErr w:type="spellStart"/>
    <w:r>
      <w:rPr>
        <w:rFonts w:ascii="Arial" w:hAnsi="Arial" w:cs="Arial"/>
        <w:iCs/>
        <w:sz w:val="18"/>
        <w:szCs w:val="18"/>
      </w:rPr>
      <w:t>Marili</w:t>
    </w:r>
    <w:proofErr w:type="spellEnd"/>
    <w:r>
      <w:rPr>
        <w:rFonts w:ascii="Arial" w:hAnsi="Arial" w:cs="Arial"/>
        <w:iCs/>
        <w:sz w:val="18"/>
        <w:szCs w:val="18"/>
      </w:rPr>
      <w:t xml:space="preserve"> </w:t>
    </w:r>
    <w:proofErr w:type="spellStart"/>
    <w:r>
      <w:rPr>
        <w:rFonts w:ascii="Arial" w:hAnsi="Arial" w:cs="Arial"/>
        <w:iCs/>
        <w:sz w:val="18"/>
        <w:szCs w:val="18"/>
      </w:rPr>
      <w:t>Guasarave</w:t>
    </w:r>
    <w:proofErr w:type="spellEnd"/>
    <w:r>
      <w:rPr>
        <w:rFonts w:ascii="Arial" w:hAnsi="Arial" w:cs="Arial"/>
        <w:iCs/>
        <w:sz w:val="18"/>
        <w:szCs w:val="18"/>
      </w:rPr>
      <w:t xml:space="preserve"> </w:t>
    </w:r>
    <w:proofErr w:type="spellStart"/>
    <w:r>
      <w:rPr>
        <w:rFonts w:ascii="Arial" w:hAnsi="Arial" w:cs="Arial"/>
        <w:iCs/>
        <w:sz w:val="18"/>
        <w:szCs w:val="18"/>
      </w:rPr>
      <w:t>Guasarave</w:t>
    </w:r>
    <w:proofErr w:type="spellEnd"/>
    <w:r>
      <w:rPr>
        <w:rFonts w:ascii="Arial" w:hAnsi="Arial" w:cs="Arial"/>
        <w:iCs/>
        <w:sz w:val="18"/>
        <w:szCs w:val="18"/>
      </w:rPr>
      <w:t xml:space="preserve">  -</w:t>
    </w:r>
    <w:r w:rsidR="00113078">
      <w:rPr>
        <w:rFonts w:ascii="Arial" w:hAnsi="Arial" w:cs="Arial"/>
        <w:iCs/>
        <w:sz w:val="18"/>
        <w:szCs w:val="18"/>
      </w:rPr>
      <w:t xml:space="preserve">Adrián Camilo Gutiérrez Guasarave y Gonzalo </w:t>
    </w:r>
    <w:r w:rsidR="00953536">
      <w:rPr>
        <w:rFonts w:ascii="Arial" w:hAnsi="Arial" w:cs="Arial"/>
        <w:iCs/>
        <w:sz w:val="18"/>
        <w:szCs w:val="18"/>
      </w:rPr>
      <w:t>Gutiérrez</w:t>
    </w:r>
    <w:r w:rsidR="00113078">
      <w:rPr>
        <w:rFonts w:ascii="Arial" w:hAnsi="Arial" w:cs="Arial"/>
        <w:iCs/>
        <w:sz w:val="18"/>
        <w:szCs w:val="18"/>
      </w:rPr>
      <w:t xml:space="preserve"> Guasarave</w:t>
    </w:r>
    <w:r>
      <w:rPr>
        <w:rFonts w:ascii="Arial" w:hAnsi="Arial" w:cs="Arial"/>
        <w:iCs/>
        <w:sz w:val="18"/>
        <w:szCs w:val="18"/>
      </w:rPr>
      <w:t xml:space="preserve"> </w:t>
    </w:r>
    <w:r w:rsidR="00113078">
      <w:rPr>
        <w:rFonts w:ascii="Arial" w:hAnsi="Arial" w:cs="Arial"/>
        <w:iCs/>
        <w:sz w:val="18"/>
        <w:szCs w:val="18"/>
      </w:rPr>
      <w:t xml:space="preserve"> vs </w:t>
    </w:r>
    <w:r w:rsidR="00113078">
      <w:rPr>
        <w:rFonts w:ascii="Arial" w:hAnsi="Arial" w:cs="Arial"/>
        <w:bCs/>
        <w:sz w:val="18"/>
        <w:szCs w:val="18"/>
      </w:rPr>
      <w:t>Porvenir y otro</w:t>
    </w:r>
  </w:p>
  <w:p w:rsidR="006F12CD" w:rsidRPr="006F12CD" w:rsidRDefault="006F12CD" w:rsidP="00113078">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25036B8"/>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BA9"/>
    <w:rsid w:val="00002F78"/>
    <w:rsid w:val="00004DB8"/>
    <w:rsid w:val="0000581C"/>
    <w:rsid w:val="000069BA"/>
    <w:rsid w:val="00007B72"/>
    <w:rsid w:val="00036E3F"/>
    <w:rsid w:val="00040E9A"/>
    <w:rsid w:val="000429E7"/>
    <w:rsid w:val="00056E47"/>
    <w:rsid w:val="00067D87"/>
    <w:rsid w:val="00070F10"/>
    <w:rsid w:val="000773CE"/>
    <w:rsid w:val="00082EA9"/>
    <w:rsid w:val="000860DE"/>
    <w:rsid w:val="000A397D"/>
    <w:rsid w:val="000B2588"/>
    <w:rsid w:val="000C08B1"/>
    <w:rsid w:val="000C0A51"/>
    <w:rsid w:val="000D472F"/>
    <w:rsid w:val="000D6AE3"/>
    <w:rsid w:val="000E3D13"/>
    <w:rsid w:val="000E70EB"/>
    <w:rsid w:val="000E7F42"/>
    <w:rsid w:val="000F08C1"/>
    <w:rsid w:val="000F38F8"/>
    <w:rsid w:val="000F3B11"/>
    <w:rsid w:val="000F5775"/>
    <w:rsid w:val="000F6FF9"/>
    <w:rsid w:val="000F70D5"/>
    <w:rsid w:val="00101DEB"/>
    <w:rsid w:val="00106A7E"/>
    <w:rsid w:val="00110519"/>
    <w:rsid w:val="00113078"/>
    <w:rsid w:val="00117283"/>
    <w:rsid w:val="00122A57"/>
    <w:rsid w:val="00127390"/>
    <w:rsid w:val="00127EB1"/>
    <w:rsid w:val="00132136"/>
    <w:rsid w:val="001322E9"/>
    <w:rsid w:val="00134C86"/>
    <w:rsid w:val="0013552D"/>
    <w:rsid w:val="00136730"/>
    <w:rsid w:val="00146784"/>
    <w:rsid w:val="00151597"/>
    <w:rsid w:val="001667FB"/>
    <w:rsid w:val="00171C56"/>
    <w:rsid w:val="00172834"/>
    <w:rsid w:val="00183477"/>
    <w:rsid w:val="00184C1F"/>
    <w:rsid w:val="001A2492"/>
    <w:rsid w:val="001A4D21"/>
    <w:rsid w:val="001B03FA"/>
    <w:rsid w:val="001B4C00"/>
    <w:rsid w:val="001C0D38"/>
    <w:rsid w:val="001C4D7F"/>
    <w:rsid w:val="001E0313"/>
    <w:rsid w:val="001E3462"/>
    <w:rsid w:val="001F2366"/>
    <w:rsid w:val="001F471D"/>
    <w:rsid w:val="001F59AE"/>
    <w:rsid w:val="00213523"/>
    <w:rsid w:val="002154BA"/>
    <w:rsid w:val="00220428"/>
    <w:rsid w:val="00225319"/>
    <w:rsid w:val="002259BA"/>
    <w:rsid w:val="00226D5F"/>
    <w:rsid w:val="0023095E"/>
    <w:rsid w:val="00230AFD"/>
    <w:rsid w:val="00231C21"/>
    <w:rsid w:val="002320EB"/>
    <w:rsid w:val="00232B15"/>
    <w:rsid w:val="00240AC2"/>
    <w:rsid w:val="00242152"/>
    <w:rsid w:val="00247BBE"/>
    <w:rsid w:val="00251CC1"/>
    <w:rsid w:val="00254584"/>
    <w:rsid w:val="00256A7E"/>
    <w:rsid w:val="00265520"/>
    <w:rsid w:val="00266679"/>
    <w:rsid w:val="002667AE"/>
    <w:rsid w:val="00272C8B"/>
    <w:rsid w:val="002740EA"/>
    <w:rsid w:val="00277238"/>
    <w:rsid w:val="0028041C"/>
    <w:rsid w:val="00284C4D"/>
    <w:rsid w:val="00287CC2"/>
    <w:rsid w:val="00290C0B"/>
    <w:rsid w:val="00291179"/>
    <w:rsid w:val="0029502C"/>
    <w:rsid w:val="00296EFA"/>
    <w:rsid w:val="002A02BA"/>
    <w:rsid w:val="002A1785"/>
    <w:rsid w:val="002A4A82"/>
    <w:rsid w:val="002B4D8A"/>
    <w:rsid w:val="002C0E13"/>
    <w:rsid w:val="002C313D"/>
    <w:rsid w:val="002C57E5"/>
    <w:rsid w:val="002D2165"/>
    <w:rsid w:val="002D2E74"/>
    <w:rsid w:val="002D6807"/>
    <w:rsid w:val="002E278F"/>
    <w:rsid w:val="002E36F9"/>
    <w:rsid w:val="002E4F47"/>
    <w:rsid w:val="002F1789"/>
    <w:rsid w:val="002F1C45"/>
    <w:rsid w:val="002F2C0D"/>
    <w:rsid w:val="002F750E"/>
    <w:rsid w:val="0031139F"/>
    <w:rsid w:val="00322D82"/>
    <w:rsid w:val="00324AD2"/>
    <w:rsid w:val="00327C79"/>
    <w:rsid w:val="0034364B"/>
    <w:rsid w:val="003440CA"/>
    <w:rsid w:val="003463CD"/>
    <w:rsid w:val="003465C4"/>
    <w:rsid w:val="003578D3"/>
    <w:rsid w:val="00375960"/>
    <w:rsid w:val="00375BC9"/>
    <w:rsid w:val="00376B2A"/>
    <w:rsid w:val="0037769A"/>
    <w:rsid w:val="0038396F"/>
    <w:rsid w:val="003922FA"/>
    <w:rsid w:val="00394B7D"/>
    <w:rsid w:val="00394C64"/>
    <w:rsid w:val="003B2C80"/>
    <w:rsid w:val="003B4EA7"/>
    <w:rsid w:val="003B5123"/>
    <w:rsid w:val="003E3E3F"/>
    <w:rsid w:val="003F2980"/>
    <w:rsid w:val="003F39CE"/>
    <w:rsid w:val="00413604"/>
    <w:rsid w:val="00416A8D"/>
    <w:rsid w:val="00421FCD"/>
    <w:rsid w:val="00426F8E"/>
    <w:rsid w:val="004348AB"/>
    <w:rsid w:val="00441521"/>
    <w:rsid w:val="00443F39"/>
    <w:rsid w:val="00450598"/>
    <w:rsid w:val="00450903"/>
    <w:rsid w:val="004519EB"/>
    <w:rsid w:val="0045273B"/>
    <w:rsid w:val="00452822"/>
    <w:rsid w:val="00456040"/>
    <w:rsid w:val="00463136"/>
    <w:rsid w:val="004A0A0C"/>
    <w:rsid w:val="004A2468"/>
    <w:rsid w:val="004A7AB4"/>
    <w:rsid w:val="004A7CA0"/>
    <w:rsid w:val="004B1300"/>
    <w:rsid w:val="004C69D7"/>
    <w:rsid w:val="004D018B"/>
    <w:rsid w:val="004D01C5"/>
    <w:rsid w:val="004E4CC6"/>
    <w:rsid w:val="00501034"/>
    <w:rsid w:val="00502691"/>
    <w:rsid w:val="00505E90"/>
    <w:rsid w:val="00514783"/>
    <w:rsid w:val="00515BDC"/>
    <w:rsid w:val="005201C4"/>
    <w:rsid w:val="00526079"/>
    <w:rsid w:val="00533D84"/>
    <w:rsid w:val="0053562A"/>
    <w:rsid w:val="00542DC9"/>
    <w:rsid w:val="00554096"/>
    <w:rsid w:val="0055465D"/>
    <w:rsid w:val="005553FD"/>
    <w:rsid w:val="00560671"/>
    <w:rsid w:val="00563496"/>
    <w:rsid w:val="00564E9F"/>
    <w:rsid w:val="0056523A"/>
    <w:rsid w:val="00565E83"/>
    <w:rsid w:val="00567B33"/>
    <w:rsid w:val="00567BD3"/>
    <w:rsid w:val="00567C97"/>
    <w:rsid w:val="00572BE9"/>
    <w:rsid w:val="00574EE2"/>
    <w:rsid w:val="00575772"/>
    <w:rsid w:val="00586CB3"/>
    <w:rsid w:val="005878E1"/>
    <w:rsid w:val="00591F75"/>
    <w:rsid w:val="005956FE"/>
    <w:rsid w:val="005B229B"/>
    <w:rsid w:val="005B7738"/>
    <w:rsid w:val="005B7D0B"/>
    <w:rsid w:val="005C3E71"/>
    <w:rsid w:val="005D1886"/>
    <w:rsid w:val="005D1C5A"/>
    <w:rsid w:val="005D5036"/>
    <w:rsid w:val="005E0ED1"/>
    <w:rsid w:val="005E7DA5"/>
    <w:rsid w:val="005F29AE"/>
    <w:rsid w:val="005F4B4E"/>
    <w:rsid w:val="005F5D85"/>
    <w:rsid w:val="005F5E82"/>
    <w:rsid w:val="006135E9"/>
    <w:rsid w:val="0061484D"/>
    <w:rsid w:val="00620227"/>
    <w:rsid w:val="0062213D"/>
    <w:rsid w:val="006227B9"/>
    <w:rsid w:val="006253E7"/>
    <w:rsid w:val="00627977"/>
    <w:rsid w:val="00637118"/>
    <w:rsid w:val="0064158C"/>
    <w:rsid w:val="006516CA"/>
    <w:rsid w:val="00662013"/>
    <w:rsid w:val="00664A8C"/>
    <w:rsid w:val="00674745"/>
    <w:rsid w:val="00675E25"/>
    <w:rsid w:val="0068345F"/>
    <w:rsid w:val="006856A0"/>
    <w:rsid w:val="006A0D48"/>
    <w:rsid w:val="006B23B0"/>
    <w:rsid w:val="006B2809"/>
    <w:rsid w:val="006D0816"/>
    <w:rsid w:val="006D46A6"/>
    <w:rsid w:val="006E11A2"/>
    <w:rsid w:val="006E2A3F"/>
    <w:rsid w:val="006E2F01"/>
    <w:rsid w:val="006E3949"/>
    <w:rsid w:val="006F12CD"/>
    <w:rsid w:val="006F2FF3"/>
    <w:rsid w:val="006F3D12"/>
    <w:rsid w:val="006F4DC1"/>
    <w:rsid w:val="006F68BC"/>
    <w:rsid w:val="006F7C13"/>
    <w:rsid w:val="00704A83"/>
    <w:rsid w:val="00712CFC"/>
    <w:rsid w:val="00713558"/>
    <w:rsid w:val="00715A6D"/>
    <w:rsid w:val="00716474"/>
    <w:rsid w:val="00723B94"/>
    <w:rsid w:val="007258A6"/>
    <w:rsid w:val="00726476"/>
    <w:rsid w:val="00726CC1"/>
    <w:rsid w:val="007308D1"/>
    <w:rsid w:val="007353EC"/>
    <w:rsid w:val="007364DD"/>
    <w:rsid w:val="00742E63"/>
    <w:rsid w:val="007465BA"/>
    <w:rsid w:val="00750DEC"/>
    <w:rsid w:val="007632AA"/>
    <w:rsid w:val="00764C9B"/>
    <w:rsid w:val="00766C8A"/>
    <w:rsid w:val="007737AC"/>
    <w:rsid w:val="00776EC7"/>
    <w:rsid w:val="00777D9C"/>
    <w:rsid w:val="0078238F"/>
    <w:rsid w:val="00786323"/>
    <w:rsid w:val="00795237"/>
    <w:rsid w:val="007A2D40"/>
    <w:rsid w:val="007A2F8B"/>
    <w:rsid w:val="007B1977"/>
    <w:rsid w:val="007B5499"/>
    <w:rsid w:val="007B6F39"/>
    <w:rsid w:val="007C5A02"/>
    <w:rsid w:val="007D40B8"/>
    <w:rsid w:val="007D5668"/>
    <w:rsid w:val="007E3F4A"/>
    <w:rsid w:val="007E5F18"/>
    <w:rsid w:val="007F7476"/>
    <w:rsid w:val="007F7CE7"/>
    <w:rsid w:val="008031E8"/>
    <w:rsid w:val="00810397"/>
    <w:rsid w:val="008261E9"/>
    <w:rsid w:val="0083061B"/>
    <w:rsid w:val="0083155E"/>
    <w:rsid w:val="008349C1"/>
    <w:rsid w:val="00837158"/>
    <w:rsid w:val="00837A99"/>
    <w:rsid w:val="00844298"/>
    <w:rsid w:val="008442BB"/>
    <w:rsid w:val="008460CC"/>
    <w:rsid w:val="0085133E"/>
    <w:rsid w:val="00854E12"/>
    <w:rsid w:val="00856DAA"/>
    <w:rsid w:val="00862EBC"/>
    <w:rsid w:val="008751D8"/>
    <w:rsid w:val="008778BA"/>
    <w:rsid w:val="008810D5"/>
    <w:rsid w:val="00886409"/>
    <w:rsid w:val="00891545"/>
    <w:rsid w:val="00895036"/>
    <w:rsid w:val="008A04F6"/>
    <w:rsid w:val="008A35BA"/>
    <w:rsid w:val="008A7503"/>
    <w:rsid w:val="008B48B8"/>
    <w:rsid w:val="008C0747"/>
    <w:rsid w:val="008C323A"/>
    <w:rsid w:val="008D0040"/>
    <w:rsid w:val="008D27EF"/>
    <w:rsid w:val="008E00B3"/>
    <w:rsid w:val="008E0EF1"/>
    <w:rsid w:val="008E2244"/>
    <w:rsid w:val="008E2429"/>
    <w:rsid w:val="008E6F00"/>
    <w:rsid w:val="008F003B"/>
    <w:rsid w:val="008F1C21"/>
    <w:rsid w:val="008F33D5"/>
    <w:rsid w:val="008F6A5D"/>
    <w:rsid w:val="00901B95"/>
    <w:rsid w:val="00906AC5"/>
    <w:rsid w:val="00907A5F"/>
    <w:rsid w:val="0091480D"/>
    <w:rsid w:val="00915EE3"/>
    <w:rsid w:val="0092062E"/>
    <w:rsid w:val="00931B73"/>
    <w:rsid w:val="00946E93"/>
    <w:rsid w:val="00953536"/>
    <w:rsid w:val="00963D29"/>
    <w:rsid w:val="00966F23"/>
    <w:rsid w:val="009740CF"/>
    <w:rsid w:val="009849BE"/>
    <w:rsid w:val="00995393"/>
    <w:rsid w:val="00996355"/>
    <w:rsid w:val="009B420D"/>
    <w:rsid w:val="009C4D0E"/>
    <w:rsid w:val="009D1438"/>
    <w:rsid w:val="009D6F42"/>
    <w:rsid w:val="009E3844"/>
    <w:rsid w:val="009E5A8E"/>
    <w:rsid w:val="009E6CE6"/>
    <w:rsid w:val="009F1835"/>
    <w:rsid w:val="00A01372"/>
    <w:rsid w:val="00A0249B"/>
    <w:rsid w:val="00A17856"/>
    <w:rsid w:val="00A227F4"/>
    <w:rsid w:val="00A23CFA"/>
    <w:rsid w:val="00A26B5E"/>
    <w:rsid w:val="00A27137"/>
    <w:rsid w:val="00A32B05"/>
    <w:rsid w:val="00A33D74"/>
    <w:rsid w:val="00A35EB6"/>
    <w:rsid w:val="00A36956"/>
    <w:rsid w:val="00A377BB"/>
    <w:rsid w:val="00A42244"/>
    <w:rsid w:val="00A43C4D"/>
    <w:rsid w:val="00A46D15"/>
    <w:rsid w:val="00A5024C"/>
    <w:rsid w:val="00A6414F"/>
    <w:rsid w:val="00A82229"/>
    <w:rsid w:val="00A8673A"/>
    <w:rsid w:val="00A928D2"/>
    <w:rsid w:val="00A93DCA"/>
    <w:rsid w:val="00A957FB"/>
    <w:rsid w:val="00AA43F0"/>
    <w:rsid w:val="00AA7239"/>
    <w:rsid w:val="00AB2427"/>
    <w:rsid w:val="00AB63FC"/>
    <w:rsid w:val="00AC486E"/>
    <w:rsid w:val="00AC7B54"/>
    <w:rsid w:val="00AD6966"/>
    <w:rsid w:val="00AD7EF8"/>
    <w:rsid w:val="00AE118E"/>
    <w:rsid w:val="00AE1F9D"/>
    <w:rsid w:val="00AE62E4"/>
    <w:rsid w:val="00AF5C75"/>
    <w:rsid w:val="00B01CC1"/>
    <w:rsid w:val="00B04151"/>
    <w:rsid w:val="00B0466B"/>
    <w:rsid w:val="00B11532"/>
    <w:rsid w:val="00B15FE7"/>
    <w:rsid w:val="00B217BB"/>
    <w:rsid w:val="00B220D2"/>
    <w:rsid w:val="00B22E56"/>
    <w:rsid w:val="00B45B11"/>
    <w:rsid w:val="00B52148"/>
    <w:rsid w:val="00B56E76"/>
    <w:rsid w:val="00B615E3"/>
    <w:rsid w:val="00B63804"/>
    <w:rsid w:val="00B67118"/>
    <w:rsid w:val="00B7016A"/>
    <w:rsid w:val="00B70D29"/>
    <w:rsid w:val="00B76659"/>
    <w:rsid w:val="00B82E0F"/>
    <w:rsid w:val="00B86AC5"/>
    <w:rsid w:val="00B90EF9"/>
    <w:rsid w:val="00B95FE8"/>
    <w:rsid w:val="00B9600C"/>
    <w:rsid w:val="00BA05B4"/>
    <w:rsid w:val="00BA0C20"/>
    <w:rsid w:val="00BA73E2"/>
    <w:rsid w:val="00BB1F45"/>
    <w:rsid w:val="00BC31C8"/>
    <w:rsid w:val="00BC70D9"/>
    <w:rsid w:val="00BD4064"/>
    <w:rsid w:val="00BE0373"/>
    <w:rsid w:val="00BE387A"/>
    <w:rsid w:val="00BF2489"/>
    <w:rsid w:val="00C054D3"/>
    <w:rsid w:val="00C1062A"/>
    <w:rsid w:val="00C1591F"/>
    <w:rsid w:val="00C159FE"/>
    <w:rsid w:val="00C20847"/>
    <w:rsid w:val="00C31390"/>
    <w:rsid w:val="00C35FEF"/>
    <w:rsid w:val="00C42317"/>
    <w:rsid w:val="00C427A8"/>
    <w:rsid w:val="00C434C0"/>
    <w:rsid w:val="00C50596"/>
    <w:rsid w:val="00C65FCA"/>
    <w:rsid w:val="00C706F0"/>
    <w:rsid w:val="00C726DB"/>
    <w:rsid w:val="00C81FE6"/>
    <w:rsid w:val="00C82BF3"/>
    <w:rsid w:val="00C87765"/>
    <w:rsid w:val="00C91182"/>
    <w:rsid w:val="00CB17D9"/>
    <w:rsid w:val="00CB187D"/>
    <w:rsid w:val="00CB60F6"/>
    <w:rsid w:val="00CC54F5"/>
    <w:rsid w:val="00CC683E"/>
    <w:rsid w:val="00CD79DF"/>
    <w:rsid w:val="00CD7F64"/>
    <w:rsid w:val="00CE1924"/>
    <w:rsid w:val="00CE714F"/>
    <w:rsid w:val="00CF3B60"/>
    <w:rsid w:val="00CF576A"/>
    <w:rsid w:val="00D03EC5"/>
    <w:rsid w:val="00D10D95"/>
    <w:rsid w:val="00D13723"/>
    <w:rsid w:val="00D150D0"/>
    <w:rsid w:val="00D15F51"/>
    <w:rsid w:val="00D313CC"/>
    <w:rsid w:val="00D320B2"/>
    <w:rsid w:val="00D33344"/>
    <w:rsid w:val="00D40A0C"/>
    <w:rsid w:val="00D45D08"/>
    <w:rsid w:val="00D50A1D"/>
    <w:rsid w:val="00D55748"/>
    <w:rsid w:val="00D578CB"/>
    <w:rsid w:val="00D712C4"/>
    <w:rsid w:val="00D719E6"/>
    <w:rsid w:val="00D747E2"/>
    <w:rsid w:val="00D83C48"/>
    <w:rsid w:val="00DA32F7"/>
    <w:rsid w:val="00DA3E57"/>
    <w:rsid w:val="00DA4B0A"/>
    <w:rsid w:val="00DA646B"/>
    <w:rsid w:val="00DC3D92"/>
    <w:rsid w:val="00DE2CA0"/>
    <w:rsid w:val="00DF30A5"/>
    <w:rsid w:val="00E049A5"/>
    <w:rsid w:val="00E062F9"/>
    <w:rsid w:val="00E13851"/>
    <w:rsid w:val="00E27B52"/>
    <w:rsid w:val="00E30336"/>
    <w:rsid w:val="00E316D3"/>
    <w:rsid w:val="00E368B2"/>
    <w:rsid w:val="00E43255"/>
    <w:rsid w:val="00E51D8E"/>
    <w:rsid w:val="00E563C7"/>
    <w:rsid w:val="00E665CA"/>
    <w:rsid w:val="00E70A48"/>
    <w:rsid w:val="00E72202"/>
    <w:rsid w:val="00E90AA2"/>
    <w:rsid w:val="00EA1FED"/>
    <w:rsid w:val="00EA4765"/>
    <w:rsid w:val="00EB2201"/>
    <w:rsid w:val="00EC3C6F"/>
    <w:rsid w:val="00ED5507"/>
    <w:rsid w:val="00ED5DFB"/>
    <w:rsid w:val="00ED7648"/>
    <w:rsid w:val="00EE4F90"/>
    <w:rsid w:val="00EE5A78"/>
    <w:rsid w:val="00EF2074"/>
    <w:rsid w:val="00EF480D"/>
    <w:rsid w:val="00F017BF"/>
    <w:rsid w:val="00F11410"/>
    <w:rsid w:val="00F16AC5"/>
    <w:rsid w:val="00F171D9"/>
    <w:rsid w:val="00F2265A"/>
    <w:rsid w:val="00F3112A"/>
    <w:rsid w:val="00F47217"/>
    <w:rsid w:val="00F500A7"/>
    <w:rsid w:val="00F55916"/>
    <w:rsid w:val="00F62B97"/>
    <w:rsid w:val="00F65645"/>
    <w:rsid w:val="00F71145"/>
    <w:rsid w:val="00F7229A"/>
    <w:rsid w:val="00F759A3"/>
    <w:rsid w:val="00F82F5A"/>
    <w:rsid w:val="00F919EA"/>
    <w:rsid w:val="00F9550A"/>
    <w:rsid w:val="00FA6675"/>
    <w:rsid w:val="00FA7795"/>
    <w:rsid w:val="00FB7D7B"/>
    <w:rsid w:val="00FE02C8"/>
    <w:rsid w:val="00FE059A"/>
    <w:rsid w:val="00FE52E6"/>
    <w:rsid w:val="00FE6CF5"/>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CM214">
    <w:name w:val="CM214"/>
    <w:basedOn w:val="Normal"/>
    <w:next w:val="Normal"/>
    <w:uiPriority w:val="99"/>
    <w:rsid w:val="00C434C0"/>
    <w:pPr>
      <w:widowControl w:val="0"/>
      <w:autoSpaceDE w:val="0"/>
      <w:autoSpaceDN w:val="0"/>
      <w:adjustRightInd w:val="0"/>
    </w:pPr>
    <w:rPr>
      <w:szCs w:val="24"/>
      <w:lang w:val="es-ES"/>
    </w:rPr>
  </w:style>
  <w:style w:type="paragraph" w:customStyle="1" w:styleId="CM203">
    <w:name w:val="CM203"/>
    <w:basedOn w:val="Normal"/>
    <w:next w:val="Normal"/>
    <w:uiPriority w:val="99"/>
    <w:rsid w:val="00C434C0"/>
    <w:pPr>
      <w:widowControl w:val="0"/>
      <w:autoSpaceDE w:val="0"/>
      <w:autoSpaceDN w:val="0"/>
      <w:adjustRightInd w:val="0"/>
    </w:pPr>
    <w:rPr>
      <w:szCs w:val="24"/>
      <w:lang w:val="es-ES"/>
    </w:rPr>
  </w:style>
  <w:style w:type="paragraph" w:customStyle="1" w:styleId="CM207">
    <w:name w:val="CM207"/>
    <w:basedOn w:val="Normal"/>
    <w:next w:val="Normal"/>
    <w:uiPriority w:val="99"/>
    <w:rsid w:val="00C434C0"/>
    <w:pPr>
      <w:widowControl w:val="0"/>
      <w:autoSpaceDE w:val="0"/>
      <w:autoSpaceDN w:val="0"/>
      <w:adjustRightInd w:val="0"/>
    </w:pPr>
    <w:rPr>
      <w:szCs w:val="24"/>
      <w:lang w:val="es-ES"/>
    </w:rPr>
  </w:style>
  <w:style w:type="paragraph" w:customStyle="1" w:styleId="margenizq1punto0margender0punto5">
    <w:name w:val="margenizq1punto0margender0punto5"/>
    <w:basedOn w:val="Normal"/>
    <w:rsid w:val="008F6A5D"/>
    <w:pPr>
      <w:spacing w:before="100" w:beforeAutospacing="1" w:after="100" w:afterAutospacing="1"/>
    </w:pPr>
    <w:rPr>
      <w:szCs w:val="24"/>
      <w:lang w:val="es-ES"/>
    </w:rPr>
  </w:style>
  <w:style w:type="character" w:customStyle="1" w:styleId="iaj1">
    <w:name w:val="iaj1"/>
    <w:basedOn w:val="Policepardfaut"/>
    <w:rsid w:val="008F6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CM214">
    <w:name w:val="CM214"/>
    <w:basedOn w:val="Normal"/>
    <w:next w:val="Normal"/>
    <w:uiPriority w:val="99"/>
    <w:rsid w:val="00C434C0"/>
    <w:pPr>
      <w:widowControl w:val="0"/>
      <w:autoSpaceDE w:val="0"/>
      <w:autoSpaceDN w:val="0"/>
      <w:adjustRightInd w:val="0"/>
    </w:pPr>
    <w:rPr>
      <w:szCs w:val="24"/>
      <w:lang w:val="es-ES"/>
    </w:rPr>
  </w:style>
  <w:style w:type="paragraph" w:customStyle="1" w:styleId="CM203">
    <w:name w:val="CM203"/>
    <w:basedOn w:val="Normal"/>
    <w:next w:val="Normal"/>
    <w:uiPriority w:val="99"/>
    <w:rsid w:val="00C434C0"/>
    <w:pPr>
      <w:widowControl w:val="0"/>
      <w:autoSpaceDE w:val="0"/>
      <w:autoSpaceDN w:val="0"/>
      <w:adjustRightInd w:val="0"/>
    </w:pPr>
    <w:rPr>
      <w:szCs w:val="24"/>
      <w:lang w:val="es-ES"/>
    </w:rPr>
  </w:style>
  <w:style w:type="paragraph" w:customStyle="1" w:styleId="CM207">
    <w:name w:val="CM207"/>
    <w:basedOn w:val="Normal"/>
    <w:next w:val="Normal"/>
    <w:uiPriority w:val="99"/>
    <w:rsid w:val="00C434C0"/>
    <w:pPr>
      <w:widowControl w:val="0"/>
      <w:autoSpaceDE w:val="0"/>
      <w:autoSpaceDN w:val="0"/>
      <w:adjustRightInd w:val="0"/>
    </w:pPr>
    <w:rPr>
      <w:szCs w:val="24"/>
      <w:lang w:val="es-ES"/>
    </w:rPr>
  </w:style>
  <w:style w:type="paragraph" w:customStyle="1" w:styleId="margenizq1punto0margender0punto5">
    <w:name w:val="margenizq1punto0margender0punto5"/>
    <w:basedOn w:val="Normal"/>
    <w:rsid w:val="008F6A5D"/>
    <w:pPr>
      <w:spacing w:before="100" w:beforeAutospacing="1" w:after="100" w:afterAutospacing="1"/>
    </w:pPr>
    <w:rPr>
      <w:szCs w:val="24"/>
      <w:lang w:val="es-ES"/>
    </w:rPr>
  </w:style>
  <w:style w:type="character" w:customStyle="1" w:styleId="iaj1">
    <w:name w:val="iaj1"/>
    <w:basedOn w:val="Policepardfaut"/>
    <w:rsid w:val="008F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41400552">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142372337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8C76-205B-4A9F-BD7D-865DD723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4454</Words>
  <Characters>24502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78</cp:revision>
  <cp:lastPrinted>2017-04-03T12:14:00Z</cp:lastPrinted>
  <dcterms:created xsi:type="dcterms:W3CDTF">2017-04-03T12:15:00Z</dcterms:created>
  <dcterms:modified xsi:type="dcterms:W3CDTF">2017-06-24T01:00:00Z</dcterms:modified>
</cp:coreProperties>
</file>