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9D" w:rsidRPr="005F31C4" w:rsidRDefault="0048099D" w:rsidP="0048099D">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48099D" w:rsidRPr="00D85E04" w:rsidRDefault="0048099D" w:rsidP="0048099D">
      <w:pPr>
        <w:rPr>
          <w:rFonts w:ascii="Tahoma" w:hAnsi="Tahoma" w:cs="Tahoma"/>
          <w:b/>
          <w:sz w:val="18"/>
          <w:szCs w:val="18"/>
        </w:rPr>
      </w:pPr>
    </w:p>
    <w:p w:rsidR="001A7DC1" w:rsidRPr="00B41059" w:rsidRDefault="001A7DC1" w:rsidP="001A7DC1">
      <w:pPr>
        <w:spacing w:line="276" w:lineRule="auto"/>
        <w:ind w:left="2410"/>
        <w:contextualSpacing/>
        <w:jc w:val="both"/>
        <w:rPr>
          <w:rFonts w:ascii="Arial" w:hAnsi="Arial" w:cs="Arial"/>
          <w:sz w:val="18"/>
          <w:szCs w:val="18"/>
          <w:lang w:val="es-CO"/>
        </w:rPr>
      </w:pPr>
      <w:bookmarkStart w:id="0" w:name="_GoBack"/>
      <w:bookmarkEnd w:id="0"/>
      <w:r w:rsidRPr="002D680F">
        <w:rPr>
          <w:rFonts w:ascii="Arial" w:hAnsi="Arial" w:cs="Arial"/>
          <w:b/>
          <w:sz w:val="18"/>
          <w:szCs w:val="18"/>
          <w:lang w:val="es-CO"/>
        </w:rPr>
        <w:t>Proceso:</w:t>
      </w:r>
      <w:r w:rsidRPr="00B41059">
        <w:rPr>
          <w:rFonts w:ascii="Arial" w:hAnsi="Arial" w:cs="Arial"/>
          <w:sz w:val="18"/>
          <w:szCs w:val="18"/>
          <w:lang w:val="es-CO"/>
        </w:rPr>
        <w:t xml:space="preserve">                     Ordinario Laboral</w:t>
      </w:r>
    </w:p>
    <w:p w:rsidR="001A7DC1" w:rsidRPr="00B41059" w:rsidRDefault="001A7DC1" w:rsidP="001A7DC1">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sz w:val="18"/>
          <w:szCs w:val="18"/>
          <w:lang w:val="es-CO"/>
        </w:rPr>
        <w:t xml:space="preserve">              66001-31-05-00</w:t>
      </w:r>
      <w:r w:rsidR="007402CF">
        <w:rPr>
          <w:rFonts w:ascii="Arial" w:hAnsi="Arial" w:cs="Arial"/>
          <w:sz w:val="18"/>
          <w:szCs w:val="18"/>
          <w:lang w:val="es-CO"/>
        </w:rPr>
        <w:t>2</w:t>
      </w:r>
      <w:r w:rsidRPr="00B41059">
        <w:rPr>
          <w:rFonts w:ascii="Arial" w:hAnsi="Arial" w:cs="Arial"/>
          <w:sz w:val="18"/>
          <w:szCs w:val="18"/>
          <w:lang w:val="es-CO"/>
        </w:rPr>
        <w:t>-201</w:t>
      </w:r>
      <w:r w:rsidR="007402CF">
        <w:rPr>
          <w:rFonts w:ascii="Arial" w:hAnsi="Arial" w:cs="Arial"/>
          <w:sz w:val="18"/>
          <w:szCs w:val="18"/>
          <w:lang w:val="es-CO"/>
        </w:rPr>
        <w:t>5</w:t>
      </w:r>
      <w:r w:rsidRPr="00B41059">
        <w:rPr>
          <w:rFonts w:ascii="Arial" w:hAnsi="Arial" w:cs="Arial"/>
          <w:sz w:val="18"/>
          <w:szCs w:val="18"/>
          <w:lang w:val="es-CO"/>
        </w:rPr>
        <w:t>-00</w:t>
      </w:r>
      <w:r w:rsidR="007402CF">
        <w:rPr>
          <w:rFonts w:ascii="Arial" w:hAnsi="Arial" w:cs="Arial"/>
          <w:sz w:val="18"/>
          <w:szCs w:val="18"/>
          <w:lang w:val="es-CO"/>
        </w:rPr>
        <w:t>611</w:t>
      </w:r>
      <w:r>
        <w:rPr>
          <w:rFonts w:ascii="Arial" w:hAnsi="Arial" w:cs="Arial"/>
          <w:sz w:val="18"/>
          <w:szCs w:val="18"/>
          <w:lang w:val="es-CO"/>
        </w:rPr>
        <w:t>-01</w:t>
      </w:r>
    </w:p>
    <w:p w:rsidR="001A7DC1" w:rsidRPr="00B41059" w:rsidRDefault="001A7DC1" w:rsidP="007402C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Pr>
          <w:rFonts w:ascii="Arial" w:hAnsi="Arial" w:cs="Arial"/>
          <w:sz w:val="18"/>
          <w:szCs w:val="18"/>
          <w:lang w:val="es-CO"/>
        </w:rPr>
        <w:t xml:space="preserve"> </w:t>
      </w:r>
      <w:proofErr w:type="spellStart"/>
      <w:r w:rsidR="007402CF">
        <w:rPr>
          <w:rFonts w:ascii="Arial" w:hAnsi="Arial" w:cs="Arial"/>
          <w:sz w:val="18"/>
          <w:szCs w:val="18"/>
          <w:lang w:val="es-CO"/>
        </w:rPr>
        <w:t>Farling</w:t>
      </w:r>
      <w:proofErr w:type="spellEnd"/>
      <w:r w:rsidR="007402CF">
        <w:rPr>
          <w:rFonts w:ascii="Arial" w:hAnsi="Arial" w:cs="Arial"/>
          <w:sz w:val="18"/>
          <w:szCs w:val="18"/>
          <w:lang w:val="es-CO"/>
        </w:rPr>
        <w:t xml:space="preserve"> Alarcón Ramírez</w:t>
      </w:r>
      <w:r>
        <w:rPr>
          <w:rFonts w:ascii="Arial" w:hAnsi="Arial" w:cs="Arial"/>
          <w:sz w:val="18"/>
          <w:szCs w:val="18"/>
          <w:lang w:val="es-CO"/>
        </w:rPr>
        <w:t xml:space="preserve">  </w:t>
      </w:r>
    </w:p>
    <w:p w:rsidR="001A7DC1" w:rsidRPr="00B41059" w:rsidRDefault="001A7DC1" w:rsidP="001A7DC1">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Pr>
          <w:rFonts w:ascii="Arial" w:hAnsi="Arial" w:cs="Arial"/>
          <w:sz w:val="18"/>
          <w:szCs w:val="18"/>
          <w:lang w:val="es-CO"/>
        </w:rPr>
        <w:t xml:space="preserve"> </w:t>
      </w:r>
      <w:r w:rsidR="007F3550">
        <w:rPr>
          <w:rFonts w:ascii="Arial" w:hAnsi="Arial" w:cs="Arial"/>
          <w:sz w:val="18"/>
          <w:szCs w:val="18"/>
          <w:lang w:val="es-CO"/>
        </w:rPr>
        <w:t xml:space="preserve"> </w:t>
      </w:r>
      <w:r>
        <w:rPr>
          <w:rFonts w:ascii="Arial" w:hAnsi="Arial" w:cs="Arial"/>
          <w:sz w:val="18"/>
          <w:szCs w:val="18"/>
          <w:lang w:val="es-CO"/>
        </w:rPr>
        <w:t xml:space="preserve"> </w:t>
      </w:r>
      <w:proofErr w:type="spellStart"/>
      <w:r w:rsidR="007402CF">
        <w:rPr>
          <w:rFonts w:ascii="Arial" w:hAnsi="Arial" w:cs="Arial"/>
          <w:sz w:val="18"/>
          <w:szCs w:val="18"/>
          <w:lang w:val="es-CO"/>
        </w:rPr>
        <w:t>Promasivo</w:t>
      </w:r>
      <w:proofErr w:type="spellEnd"/>
      <w:r w:rsidR="007402CF">
        <w:rPr>
          <w:rFonts w:ascii="Arial" w:hAnsi="Arial" w:cs="Arial"/>
          <w:sz w:val="18"/>
          <w:szCs w:val="18"/>
          <w:lang w:val="es-CO"/>
        </w:rPr>
        <w:t xml:space="preserve"> </w:t>
      </w:r>
      <w:proofErr w:type="spellStart"/>
      <w:r w:rsidR="007402CF">
        <w:rPr>
          <w:rFonts w:ascii="Arial" w:hAnsi="Arial" w:cs="Arial"/>
          <w:sz w:val="18"/>
          <w:szCs w:val="18"/>
          <w:lang w:val="es-CO"/>
        </w:rPr>
        <w:t>SA</w:t>
      </w:r>
      <w:proofErr w:type="spellEnd"/>
      <w:r w:rsidR="007402CF">
        <w:rPr>
          <w:rFonts w:ascii="Arial" w:hAnsi="Arial" w:cs="Arial"/>
          <w:sz w:val="18"/>
          <w:szCs w:val="18"/>
          <w:lang w:val="es-CO"/>
        </w:rPr>
        <w:t xml:space="preserve"> y </w:t>
      </w:r>
      <w:proofErr w:type="spellStart"/>
      <w:r w:rsidR="007402CF">
        <w:rPr>
          <w:rFonts w:ascii="Arial" w:hAnsi="Arial" w:cs="Arial"/>
          <w:sz w:val="18"/>
          <w:szCs w:val="18"/>
          <w:lang w:val="es-CO"/>
        </w:rPr>
        <w:t>Megabus</w:t>
      </w:r>
      <w:proofErr w:type="spellEnd"/>
      <w:r w:rsidR="007402CF">
        <w:rPr>
          <w:rFonts w:ascii="Arial" w:hAnsi="Arial" w:cs="Arial"/>
          <w:sz w:val="18"/>
          <w:szCs w:val="18"/>
          <w:lang w:val="es-CO"/>
        </w:rPr>
        <w:t xml:space="preserve"> SA</w:t>
      </w:r>
    </w:p>
    <w:p w:rsidR="00C033D0" w:rsidRDefault="00C033D0" w:rsidP="00C033D0">
      <w:pPr>
        <w:spacing w:line="276" w:lineRule="auto"/>
        <w:contextualSpacing/>
        <w:jc w:val="both"/>
        <w:rPr>
          <w:rFonts w:ascii="Arial" w:hAnsi="Arial" w:cs="Arial"/>
          <w:b/>
          <w:bCs/>
          <w:sz w:val="18"/>
          <w:szCs w:val="18"/>
        </w:rPr>
      </w:pPr>
    </w:p>
    <w:p w:rsidR="00C033D0" w:rsidRPr="00C033D0" w:rsidRDefault="001A7DC1" w:rsidP="00C033D0">
      <w:pPr>
        <w:spacing w:line="276" w:lineRule="auto"/>
        <w:contextualSpacing/>
        <w:jc w:val="both"/>
        <w:rPr>
          <w:rFonts w:ascii="Arial" w:hAnsi="Arial" w:cs="Arial"/>
          <w:bCs/>
          <w:sz w:val="18"/>
          <w:szCs w:val="18"/>
        </w:rPr>
      </w:pPr>
      <w:r>
        <w:rPr>
          <w:rFonts w:ascii="Arial" w:hAnsi="Arial" w:cs="Arial"/>
          <w:b/>
          <w:bCs/>
          <w:sz w:val="18"/>
          <w:szCs w:val="18"/>
        </w:rPr>
        <w:t xml:space="preserve">TEMA: </w:t>
      </w:r>
      <w:r>
        <w:rPr>
          <w:rFonts w:ascii="Arial" w:hAnsi="Arial" w:cs="Arial"/>
          <w:b/>
          <w:bCs/>
          <w:sz w:val="18"/>
          <w:szCs w:val="18"/>
        </w:rPr>
        <w:tab/>
      </w:r>
      <w:r w:rsidR="00C033D0">
        <w:rPr>
          <w:rFonts w:ascii="Arial" w:hAnsi="Arial" w:cs="Arial"/>
          <w:b/>
          <w:bCs/>
          <w:sz w:val="18"/>
          <w:szCs w:val="18"/>
        </w:rPr>
        <w:tab/>
      </w:r>
      <w:r w:rsidR="00C033D0">
        <w:rPr>
          <w:rFonts w:ascii="Arial" w:hAnsi="Arial" w:cs="Arial"/>
          <w:b/>
          <w:bCs/>
          <w:sz w:val="18"/>
          <w:szCs w:val="18"/>
        </w:rPr>
        <w:tab/>
      </w:r>
      <w:r w:rsidR="00C033D0">
        <w:rPr>
          <w:rFonts w:ascii="Arial" w:hAnsi="Arial" w:cs="Arial"/>
          <w:b/>
          <w:bCs/>
          <w:sz w:val="18"/>
          <w:szCs w:val="18"/>
        </w:rPr>
        <w:tab/>
      </w:r>
      <w:r w:rsidR="00C033D0">
        <w:rPr>
          <w:rFonts w:ascii="Arial" w:hAnsi="Arial" w:cs="Arial"/>
          <w:b/>
          <w:bCs/>
          <w:sz w:val="18"/>
          <w:szCs w:val="18"/>
        </w:rPr>
        <w:tab/>
      </w:r>
      <w:r w:rsidR="00C033D0">
        <w:rPr>
          <w:rFonts w:ascii="Arial" w:hAnsi="Arial" w:cs="Arial"/>
          <w:b/>
          <w:bCs/>
          <w:sz w:val="18"/>
          <w:szCs w:val="18"/>
        </w:rPr>
        <w:tab/>
        <w:t xml:space="preserve">NULIDAD - </w:t>
      </w:r>
      <w:proofErr w:type="spellStart"/>
      <w:r w:rsidR="00C033D0">
        <w:rPr>
          <w:rFonts w:ascii="Arial" w:hAnsi="Arial" w:cs="Arial"/>
          <w:b/>
          <w:bCs/>
          <w:sz w:val="18"/>
          <w:szCs w:val="18"/>
        </w:rPr>
        <w:t>TAXATIVIDAD</w:t>
      </w:r>
      <w:proofErr w:type="spellEnd"/>
      <w:r w:rsidR="00C033D0">
        <w:rPr>
          <w:rFonts w:ascii="Arial" w:hAnsi="Arial" w:cs="Arial"/>
          <w:b/>
          <w:bCs/>
          <w:sz w:val="18"/>
          <w:szCs w:val="18"/>
        </w:rPr>
        <w:t xml:space="preserve"> -FALTA DE CAPACIDAD PARA SER PARTE NO ESTÁ LISTADA COMO CAUSAL DE NULIDAD </w:t>
      </w:r>
      <w:r w:rsidR="00C033D0" w:rsidRPr="00C033D0">
        <w:rPr>
          <w:rFonts w:ascii="Arial" w:hAnsi="Arial" w:cs="Arial"/>
          <w:bCs/>
          <w:sz w:val="18"/>
          <w:szCs w:val="18"/>
        </w:rPr>
        <w:t xml:space="preserve">- Sin embargo, el artículo 133 no es el único que contempla los eventos que originan nulidades, pues el </w:t>
      </w:r>
      <w:proofErr w:type="spellStart"/>
      <w:r w:rsidR="00C033D0" w:rsidRPr="00C033D0">
        <w:rPr>
          <w:rFonts w:ascii="Arial" w:hAnsi="Arial" w:cs="Arial"/>
          <w:bCs/>
          <w:sz w:val="18"/>
          <w:szCs w:val="18"/>
        </w:rPr>
        <w:t>CGP</w:t>
      </w:r>
      <w:proofErr w:type="spellEnd"/>
      <w:r w:rsidR="00C033D0" w:rsidRPr="00C033D0">
        <w:rPr>
          <w:rFonts w:ascii="Arial" w:hAnsi="Arial" w:cs="Arial"/>
          <w:bCs/>
          <w:sz w:val="18"/>
          <w:szCs w:val="18"/>
        </w:rPr>
        <w:t xml:space="preserve"> establece otros en los cánones 36,107.1, 40, inc.2, 121, </w:t>
      </w:r>
      <w:proofErr w:type="spellStart"/>
      <w:r w:rsidR="00C033D0" w:rsidRPr="00C033D0">
        <w:rPr>
          <w:rFonts w:ascii="Arial" w:hAnsi="Arial" w:cs="Arial"/>
          <w:bCs/>
          <w:sz w:val="18"/>
          <w:szCs w:val="18"/>
        </w:rPr>
        <w:t>inc</w:t>
      </w:r>
      <w:proofErr w:type="spellEnd"/>
      <w:r w:rsidR="00C033D0" w:rsidRPr="00C033D0">
        <w:rPr>
          <w:rFonts w:ascii="Arial" w:hAnsi="Arial" w:cs="Arial"/>
          <w:bCs/>
          <w:sz w:val="18"/>
          <w:szCs w:val="18"/>
        </w:rPr>
        <w:t xml:space="preserve"> 6; 14 y 164. Se permitió así que sea la ley que determine las formas procesales cuya inobservancia acarrean nulidad.</w:t>
      </w:r>
    </w:p>
    <w:p w:rsidR="00C033D0" w:rsidRPr="00C033D0" w:rsidRDefault="00C033D0" w:rsidP="00C033D0">
      <w:pPr>
        <w:spacing w:line="276" w:lineRule="auto"/>
        <w:contextualSpacing/>
        <w:jc w:val="both"/>
        <w:rPr>
          <w:rFonts w:ascii="Arial" w:hAnsi="Arial" w:cs="Arial"/>
          <w:bCs/>
          <w:sz w:val="18"/>
          <w:szCs w:val="18"/>
        </w:rPr>
      </w:pPr>
    </w:p>
    <w:p w:rsidR="006615B6" w:rsidRDefault="00C033D0" w:rsidP="00C033D0">
      <w:pPr>
        <w:spacing w:line="276" w:lineRule="auto"/>
        <w:contextualSpacing/>
        <w:jc w:val="both"/>
        <w:rPr>
          <w:rFonts w:ascii="Arial" w:hAnsi="Arial" w:cs="Arial"/>
          <w:bCs/>
          <w:sz w:val="18"/>
          <w:szCs w:val="18"/>
        </w:rPr>
      </w:pPr>
      <w:r w:rsidRPr="00C033D0">
        <w:rPr>
          <w:rFonts w:ascii="Arial" w:hAnsi="Arial" w:cs="Arial"/>
          <w:bCs/>
          <w:sz w:val="18"/>
          <w:szCs w:val="18"/>
        </w:rPr>
        <w:t>Dentro del catálogo de nulidades procesales no se encuentra la carencia del presupuesto procesal  capacidad para ser parte; entendida esta como la aptitud para ser sujeto de derechos y obligaciones, que tiende a asegurar que la sentencia se dicte frente a sujetos de derecho; de ahí que se diga, que la capacidad para ser parte es correlativa a la capacidad de goce o sustancial que tiene toda persona, sea natural o jurídica, por el sólo hecho de serlo para ser sujeto de una relación procesal. Lo dicho en términos de la Corte Suprema de Justicia, Sala de Casación Civil</w:t>
      </w:r>
    </w:p>
    <w:p w:rsidR="00C033D0" w:rsidRDefault="00C033D0" w:rsidP="00C033D0">
      <w:pPr>
        <w:spacing w:line="276" w:lineRule="auto"/>
        <w:contextualSpacing/>
        <w:jc w:val="both"/>
        <w:rPr>
          <w:rFonts w:ascii="Arial" w:hAnsi="Arial" w:cs="Arial"/>
          <w:bCs/>
          <w:sz w:val="18"/>
          <w:szCs w:val="18"/>
        </w:rPr>
      </w:pPr>
      <w:r>
        <w:rPr>
          <w:rFonts w:ascii="Arial" w:hAnsi="Arial" w:cs="Arial"/>
          <w:bCs/>
          <w:sz w:val="18"/>
          <w:szCs w:val="18"/>
        </w:rPr>
        <w:t>(…)</w:t>
      </w:r>
    </w:p>
    <w:p w:rsidR="00C033D0" w:rsidRDefault="00C033D0" w:rsidP="00C033D0">
      <w:pPr>
        <w:spacing w:line="276" w:lineRule="auto"/>
        <w:contextualSpacing/>
        <w:jc w:val="both"/>
        <w:rPr>
          <w:rFonts w:ascii="Arial" w:hAnsi="Arial" w:cs="Arial"/>
          <w:bCs/>
          <w:sz w:val="18"/>
          <w:szCs w:val="18"/>
        </w:rPr>
      </w:pPr>
    </w:p>
    <w:p w:rsidR="00C033D0" w:rsidRPr="00C033D0" w:rsidRDefault="00C033D0" w:rsidP="00C033D0">
      <w:pPr>
        <w:spacing w:line="276" w:lineRule="auto"/>
        <w:contextualSpacing/>
        <w:jc w:val="both"/>
        <w:rPr>
          <w:rFonts w:ascii="Arial" w:hAnsi="Arial" w:cs="Arial"/>
          <w:bCs/>
          <w:sz w:val="18"/>
          <w:szCs w:val="18"/>
        </w:rPr>
      </w:pPr>
      <w:r w:rsidRPr="00C033D0">
        <w:rPr>
          <w:rFonts w:ascii="Arial" w:hAnsi="Arial" w:cs="Arial"/>
          <w:bCs/>
          <w:sz w:val="18"/>
          <w:szCs w:val="18"/>
        </w:rPr>
        <w:t xml:space="preserve">En el presente caso, se advierte que la codemandada </w:t>
      </w:r>
      <w:proofErr w:type="spellStart"/>
      <w:r w:rsidRPr="00C033D0">
        <w:rPr>
          <w:rFonts w:ascii="Arial" w:hAnsi="Arial" w:cs="Arial"/>
          <w:bCs/>
          <w:sz w:val="18"/>
          <w:szCs w:val="18"/>
        </w:rPr>
        <w:t>Promasivo</w:t>
      </w:r>
      <w:proofErr w:type="spellEnd"/>
      <w:r w:rsidRPr="00C033D0">
        <w:rPr>
          <w:rFonts w:ascii="Arial" w:hAnsi="Arial" w:cs="Arial"/>
          <w:bCs/>
          <w:sz w:val="18"/>
          <w:szCs w:val="18"/>
        </w:rPr>
        <w:t xml:space="preserve"> </w:t>
      </w:r>
      <w:proofErr w:type="spellStart"/>
      <w:r w:rsidRPr="00C033D0">
        <w:rPr>
          <w:rFonts w:ascii="Arial" w:hAnsi="Arial" w:cs="Arial"/>
          <w:bCs/>
          <w:sz w:val="18"/>
          <w:szCs w:val="18"/>
        </w:rPr>
        <w:t>SA</w:t>
      </w:r>
      <w:proofErr w:type="spellEnd"/>
      <w:r w:rsidRPr="00C033D0">
        <w:rPr>
          <w:rFonts w:ascii="Arial" w:hAnsi="Arial" w:cs="Arial"/>
          <w:bCs/>
          <w:sz w:val="18"/>
          <w:szCs w:val="18"/>
        </w:rPr>
        <w:t xml:space="preserve"> al momento de incoarse la demanda –30-10-2015- tenía existencia legal, sin embargo, antes de lograrse su notificación se liquidó y canceló su matrícula mercantil, el 30-12-2016 (fl.151 y </w:t>
      </w:r>
      <w:proofErr w:type="spellStart"/>
      <w:r w:rsidRPr="00C033D0">
        <w:rPr>
          <w:rFonts w:ascii="Arial" w:hAnsi="Arial" w:cs="Arial"/>
          <w:bCs/>
          <w:sz w:val="18"/>
          <w:szCs w:val="18"/>
        </w:rPr>
        <w:t>sgtes</w:t>
      </w:r>
      <w:proofErr w:type="spellEnd"/>
      <w:r w:rsidRPr="00C033D0">
        <w:rPr>
          <w:rFonts w:ascii="Arial" w:hAnsi="Arial" w:cs="Arial"/>
          <w:bCs/>
          <w:sz w:val="18"/>
          <w:szCs w:val="18"/>
        </w:rPr>
        <w:t xml:space="preserve">). De tal manera que se hace evidente que este demandado, en principio, carece de capacidad para ser parte. </w:t>
      </w:r>
    </w:p>
    <w:p w:rsidR="00C033D0" w:rsidRPr="00C033D0" w:rsidRDefault="00C033D0" w:rsidP="00C033D0">
      <w:pPr>
        <w:spacing w:line="276" w:lineRule="auto"/>
        <w:contextualSpacing/>
        <w:jc w:val="both"/>
        <w:rPr>
          <w:rFonts w:ascii="Arial" w:hAnsi="Arial" w:cs="Arial"/>
          <w:bCs/>
          <w:sz w:val="18"/>
          <w:szCs w:val="18"/>
        </w:rPr>
      </w:pPr>
    </w:p>
    <w:p w:rsidR="00C033D0" w:rsidRPr="00C033D0" w:rsidRDefault="00C033D0" w:rsidP="00C033D0">
      <w:pPr>
        <w:spacing w:line="276" w:lineRule="auto"/>
        <w:contextualSpacing/>
        <w:jc w:val="both"/>
        <w:rPr>
          <w:rFonts w:ascii="Arial" w:hAnsi="Arial" w:cs="Arial"/>
          <w:bCs/>
          <w:sz w:val="18"/>
          <w:szCs w:val="18"/>
        </w:rPr>
      </w:pPr>
      <w:r w:rsidRPr="00C033D0">
        <w:rPr>
          <w:rFonts w:ascii="Arial" w:hAnsi="Arial" w:cs="Arial"/>
          <w:bCs/>
          <w:sz w:val="18"/>
          <w:szCs w:val="18"/>
        </w:rPr>
        <w:t xml:space="preserve">Y si bien el juez tiene el deber de adoptar mecanismos para sanear las irregularidades que advierta, ello tiene que hacerlo con apego a la ley; por lo que conforme el introito efectuado, no hay duda que la jueza de primer nivel aplicó una sanción – nulidad- que no está prevista cuando se advierta falta de capacidad para ser parte, desconociendo así el principio procesal de </w:t>
      </w:r>
      <w:proofErr w:type="spellStart"/>
      <w:r w:rsidRPr="00C033D0">
        <w:rPr>
          <w:rFonts w:ascii="Arial" w:hAnsi="Arial" w:cs="Arial"/>
          <w:bCs/>
          <w:sz w:val="18"/>
          <w:szCs w:val="18"/>
        </w:rPr>
        <w:t>taxatividad</w:t>
      </w:r>
      <w:proofErr w:type="spellEnd"/>
      <w:r w:rsidRPr="00C033D0">
        <w:rPr>
          <w:rFonts w:ascii="Arial" w:hAnsi="Arial" w:cs="Arial"/>
          <w:bCs/>
          <w:sz w:val="18"/>
          <w:szCs w:val="18"/>
        </w:rPr>
        <w:t xml:space="preserve"> y con ello el constitucional de legalidad (art. 29 </w:t>
      </w:r>
      <w:proofErr w:type="spellStart"/>
      <w:r w:rsidRPr="00C033D0">
        <w:rPr>
          <w:rFonts w:ascii="Arial" w:hAnsi="Arial" w:cs="Arial"/>
          <w:bCs/>
          <w:sz w:val="18"/>
          <w:szCs w:val="18"/>
        </w:rPr>
        <w:t>CN</w:t>
      </w:r>
      <w:proofErr w:type="spellEnd"/>
      <w:r w:rsidRPr="00C033D0">
        <w:rPr>
          <w:rFonts w:ascii="Arial" w:hAnsi="Arial" w:cs="Arial"/>
          <w:bCs/>
          <w:sz w:val="18"/>
          <w:szCs w:val="18"/>
        </w:rPr>
        <w:t xml:space="preserve">). </w:t>
      </w:r>
    </w:p>
    <w:p w:rsidR="00C033D0" w:rsidRPr="00C033D0" w:rsidRDefault="00C033D0" w:rsidP="00C033D0">
      <w:pPr>
        <w:spacing w:line="276" w:lineRule="auto"/>
        <w:contextualSpacing/>
        <w:jc w:val="both"/>
        <w:rPr>
          <w:rFonts w:ascii="Arial" w:hAnsi="Arial" w:cs="Arial"/>
          <w:bCs/>
          <w:sz w:val="18"/>
          <w:szCs w:val="18"/>
        </w:rPr>
      </w:pPr>
    </w:p>
    <w:p w:rsidR="00C033D0" w:rsidRDefault="00C033D0" w:rsidP="00C033D0">
      <w:pPr>
        <w:spacing w:line="276" w:lineRule="auto"/>
        <w:contextualSpacing/>
        <w:jc w:val="both"/>
        <w:rPr>
          <w:rFonts w:ascii="Arial" w:hAnsi="Arial" w:cs="Arial"/>
          <w:bCs/>
          <w:sz w:val="18"/>
          <w:szCs w:val="18"/>
        </w:rPr>
      </w:pPr>
      <w:r w:rsidRPr="00C033D0">
        <w:rPr>
          <w:rFonts w:ascii="Arial" w:hAnsi="Arial" w:cs="Arial"/>
          <w:bCs/>
          <w:sz w:val="18"/>
          <w:szCs w:val="18"/>
        </w:rPr>
        <w:t>Así las cosas, al no existir causal de nulidad no era posible retrotraer la actuación hasta la etapa de decidir la admisión de la demanda, por lo que hay lugar a revocar la decisión objeto de alzada.</w:t>
      </w:r>
    </w:p>
    <w:p w:rsidR="00C033D0" w:rsidRPr="00C033D0" w:rsidRDefault="00C033D0" w:rsidP="00C033D0">
      <w:pPr>
        <w:spacing w:line="276" w:lineRule="auto"/>
        <w:contextualSpacing/>
        <w:jc w:val="both"/>
        <w:rPr>
          <w:rFonts w:ascii="Arial" w:hAnsi="Arial" w:cs="Arial"/>
          <w:bCs/>
          <w:sz w:val="18"/>
          <w:szCs w:val="18"/>
        </w:rPr>
      </w:pPr>
    </w:p>
    <w:p w:rsidR="001A7DC1" w:rsidRPr="00C033D0" w:rsidRDefault="001A7DC1" w:rsidP="001A7DC1">
      <w:pPr>
        <w:spacing w:line="276" w:lineRule="auto"/>
        <w:ind w:left="2410"/>
        <w:contextualSpacing/>
        <w:jc w:val="both"/>
        <w:rPr>
          <w:rFonts w:ascii="Arial" w:hAnsi="Arial" w:cs="Arial"/>
          <w:bCs/>
          <w:sz w:val="18"/>
          <w:szCs w:val="18"/>
        </w:rPr>
      </w:pPr>
    </w:p>
    <w:p w:rsidR="001A7DC1" w:rsidRPr="0092688A" w:rsidRDefault="001A7DC1" w:rsidP="001A7DC1">
      <w:pPr>
        <w:spacing w:line="276" w:lineRule="auto"/>
        <w:contextualSpacing/>
        <w:jc w:val="both"/>
        <w:rPr>
          <w:rFonts w:ascii="Arial" w:hAnsi="Arial" w:cs="Arial"/>
          <w:lang w:val="es-CO"/>
        </w:rPr>
      </w:pP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1A7DC1" w:rsidRDefault="001A7DC1" w:rsidP="001A7DC1">
      <w:pPr>
        <w:spacing w:line="276" w:lineRule="auto"/>
        <w:ind w:left="2127" w:hanging="1276"/>
        <w:contextualSpacing/>
        <w:jc w:val="center"/>
        <w:rPr>
          <w:rFonts w:ascii="Arial" w:hAnsi="Arial" w:cs="Arial"/>
          <w:b/>
          <w:sz w:val="24"/>
          <w:szCs w:val="24"/>
        </w:rPr>
      </w:pPr>
    </w:p>
    <w:p w:rsidR="001A7DC1" w:rsidRPr="001A1834"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w:t>
      </w:r>
      <w:r>
        <w:rPr>
          <w:rFonts w:ascii="Arial" w:hAnsi="Arial" w:cs="Arial"/>
          <w:b/>
          <w:sz w:val="24"/>
          <w:szCs w:val="24"/>
        </w:rPr>
        <w:t>A</w:t>
      </w:r>
      <w:r w:rsidRPr="001A1834">
        <w:rPr>
          <w:rFonts w:ascii="Arial" w:hAnsi="Arial" w:cs="Arial"/>
          <w:b/>
          <w:sz w:val="24"/>
          <w:szCs w:val="24"/>
        </w:rPr>
        <w:t xml:space="preserve"> PONENTE: </w:t>
      </w:r>
      <w:r>
        <w:rPr>
          <w:rFonts w:ascii="Arial" w:hAnsi="Arial" w:cs="Arial"/>
          <w:b/>
          <w:sz w:val="24"/>
          <w:szCs w:val="24"/>
        </w:rPr>
        <w:t>OLGA LUCÍA HOYOS SEPÚLVEDA</w:t>
      </w:r>
    </w:p>
    <w:p w:rsidR="006A4AE2" w:rsidRDefault="006A4AE2" w:rsidP="006615B6">
      <w:pPr>
        <w:suppressAutoHyphens/>
        <w:spacing w:line="276" w:lineRule="auto"/>
        <w:contextualSpacing/>
        <w:jc w:val="both"/>
        <w:rPr>
          <w:rFonts w:ascii="Arial" w:hAnsi="Arial" w:cs="Arial"/>
          <w:b/>
          <w:sz w:val="24"/>
          <w:szCs w:val="24"/>
        </w:rPr>
      </w:pPr>
      <w:r>
        <w:rPr>
          <w:rFonts w:ascii="Arial" w:hAnsi="Arial" w:cs="Arial"/>
          <w:b/>
          <w:sz w:val="24"/>
          <w:szCs w:val="24"/>
        </w:rPr>
        <w:t xml:space="preserve"> </w:t>
      </w:r>
    </w:p>
    <w:p w:rsidR="006A4AE2" w:rsidRDefault="006A4AE2" w:rsidP="006A4AE2">
      <w:pPr>
        <w:suppressAutoHyphens/>
        <w:spacing w:line="276" w:lineRule="auto"/>
        <w:contextualSpacing/>
        <w:jc w:val="center"/>
        <w:rPr>
          <w:rFonts w:ascii="Arial" w:hAnsi="Arial" w:cs="Arial"/>
          <w:b/>
          <w:sz w:val="24"/>
          <w:szCs w:val="24"/>
        </w:rPr>
      </w:pPr>
      <w:r>
        <w:rPr>
          <w:rFonts w:ascii="Arial" w:hAnsi="Arial" w:cs="Arial"/>
          <w:b/>
          <w:sz w:val="24"/>
          <w:szCs w:val="24"/>
        </w:rPr>
        <w:t xml:space="preserve">Pereira, Risaralda, </w:t>
      </w:r>
      <w:r w:rsidR="00E401F8">
        <w:rPr>
          <w:rFonts w:ascii="Arial" w:hAnsi="Arial" w:cs="Arial"/>
          <w:b/>
          <w:sz w:val="24"/>
          <w:szCs w:val="24"/>
        </w:rPr>
        <w:t>treinta y uno</w:t>
      </w:r>
      <w:r>
        <w:rPr>
          <w:rFonts w:ascii="Arial" w:hAnsi="Arial" w:cs="Arial"/>
          <w:b/>
          <w:sz w:val="24"/>
          <w:szCs w:val="24"/>
        </w:rPr>
        <w:t xml:space="preserve"> (</w:t>
      </w:r>
      <w:r w:rsidR="00E401F8">
        <w:rPr>
          <w:rFonts w:ascii="Arial" w:hAnsi="Arial" w:cs="Arial"/>
          <w:b/>
          <w:sz w:val="24"/>
          <w:szCs w:val="24"/>
        </w:rPr>
        <w:t>31</w:t>
      </w:r>
      <w:r>
        <w:rPr>
          <w:rFonts w:ascii="Arial" w:hAnsi="Arial" w:cs="Arial"/>
          <w:b/>
          <w:sz w:val="24"/>
          <w:szCs w:val="24"/>
        </w:rPr>
        <w:t>) de octubre de dos mil diecisiete</w:t>
      </w:r>
    </w:p>
    <w:p w:rsidR="006A4AE2" w:rsidRDefault="006A4AE2" w:rsidP="006A4AE2">
      <w:pPr>
        <w:suppressAutoHyphens/>
        <w:spacing w:line="276" w:lineRule="auto"/>
        <w:contextualSpacing/>
        <w:jc w:val="center"/>
        <w:rPr>
          <w:rFonts w:ascii="Arial" w:hAnsi="Arial" w:cs="Arial"/>
          <w:b/>
          <w:sz w:val="24"/>
          <w:szCs w:val="24"/>
        </w:rPr>
      </w:pPr>
    </w:p>
    <w:p w:rsidR="006A4AE2" w:rsidRDefault="006A4AE2" w:rsidP="006A4AE2">
      <w:pPr>
        <w:suppressAutoHyphens/>
        <w:spacing w:line="276" w:lineRule="auto"/>
        <w:contextualSpacing/>
        <w:jc w:val="center"/>
        <w:rPr>
          <w:rFonts w:ascii="Arial" w:hAnsi="Arial" w:cs="Arial"/>
          <w:b/>
          <w:sz w:val="24"/>
          <w:szCs w:val="24"/>
        </w:rPr>
      </w:pPr>
    </w:p>
    <w:p w:rsidR="001A7DC1" w:rsidRDefault="006A4AE2" w:rsidP="006A4AE2">
      <w:pPr>
        <w:suppressAutoHyphens/>
        <w:spacing w:line="276" w:lineRule="auto"/>
        <w:contextualSpacing/>
        <w:jc w:val="both"/>
        <w:rPr>
          <w:rFonts w:cs="Arial"/>
          <w:bCs/>
          <w:szCs w:val="24"/>
        </w:rPr>
      </w:pPr>
      <w:r>
        <w:rPr>
          <w:rFonts w:ascii="Arial" w:hAnsi="Arial" w:cs="Arial"/>
          <w:sz w:val="24"/>
          <w:szCs w:val="24"/>
        </w:rPr>
        <w:t xml:space="preserve">Procede la Sala a </w:t>
      </w:r>
      <w:r w:rsidR="001A7DC1" w:rsidRPr="001A1834">
        <w:rPr>
          <w:rFonts w:ascii="Arial" w:hAnsi="Arial" w:cs="Arial"/>
          <w:sz w:val="24"/>
          <w:szCs w:val="24"/>
        </w:rPr>
        <w:t xml:space="preserve">resolver el </w:t>
      </w:r>
      <w:r w:rsidR="006615B6">
        <w:rPr>
          <w:rFonts w:ascii="Arial" w:hAnsi="Arial" w:cs="Arial"/>
          <w:sz w:val="24"/>
          <w:szCs w:val="24"/>
        </w:rPr>
        <w:t>recurso de apelación frente al auto</w:t>
      </w:r>
      <w:r w:rsidR="001A7DC1" w:rsidRPr="001A1834">
        <w:rPr>
          <w:rFonts w:ascii="Arial" w:hAnsi="Arial" w:cs="Arial"/>
          <w:sz w:val="24"/>
          <w:szCs w:val="24"/>
        </w:rPr>
        <w:t xml:space="preserve"> p</w:t>
      </w:r>
      <w:r w:rsidR="001A7DC1">
        <w:rPr>
          <w:rFonts w:ascii="Arial" w:hAnsi="Arial" w:cs="Arial"/>
          <w:sz w:val="24"/>
          <w:szCs w:val="24"/>
        </w:rPr>
        <w:t>roferid</w:t>
      </w:r>
      <w:r w:rsidR="006615B6">
        <w:rPr>
          <w:rFonts w:ascii="Arial" w:hAnsi="Arial" w:cs="Arial"/>
          <w:sz w:val="24"/>
          <w:szCs w:val="24"/>
        </w:rPr>
        <w:t>o</w:t>
      </w:r>
      <w:r w:rsidR="001A7DC1">
        <w:rPr>
          <w:rFonts w:ascii="Arial" w:hAnsi="Arial" w:cs="Arial"/>
          <w:sz w:val="24"/>
          <w:szCs w:val="24"/>
        </w:rPr>
        <w:t xml:space="preserve"> por el Juzgado </w:t>
      </w:r>
      <w:r>
        <w:rPr>
          <w:rFonts w:ascii="Arial" w:hAnsi="Arial" w:cs="Arial"/>
          <w:sz w:val="24"/>
          <w:szCs w:val="24"/>
        </w:rPr>
        <w:t>Segundo</w:t>
      </w:r>
      <w:r w:rsidR="006615B6">
        <w:rPr>
          <w:rFonts w:ascii="Arial" w:hAnsi="Arial" w:cs="Arial"/>
          <w:sz w:val="24"/>
          <w:szCs w:val="24"/>
        </w:rPr>
        <w:t xml:space="preserve"> </w:t>
      </w:r>
      <w:r w:rsidR="001A7DC1" w:rsidRPr="001A1834">
        <w:rPr>
          <w:rFonts w:ascii="Arial" w:hAnsi="Arial" w:cs="Arial"/>
          <w:sz w:val="24"/>
          <w:szCs w:val="24"/>
        </w:rPr>
        <w:t xml:space="preserve">Laboral del Circuito de </w:t>
      </w:r>
      <w:r>
        <w:rPr>
          <w:rFonts w:ascii="Arial" w:hAnsi="Arial" w:cs="Arial"/>
          <w:sz w:val="24"/>
          <w:szCs w:val="24"/>
        </w:rPr>
        <w:t xml:space="preserve">esta </w:t>
      </w:r>
      <w:r w:rsidR="001A7DC1">
        <w:rPr>
          <w:rFonts w:ascii="Arial" w:hAnsi="Arial" w:cs="Arial"/>
          <w:sz w:val="24"/>
          <w:szCs w:val="24"/>
        </w:rPr>
        <w:t xml:space="preserve">ciudad </w:t>
      </w:r>
      <w:r w:rsidR="001A7DC1" w:rsidRPr="001A1834">
        <w:rPr>
          <w:rFonts w:ascii="Arial" w:hAnsi="Arial" w:cs="Arial"/>
          <w:sz w:val="24"/>
          <w:szCs w:val="24"/>
        </w:rPr>
        <w:t xml:space="preserve">el </w:t>
      </w:r>
      <w:r w:rsidR="006615B6">
        <w:rPr>
          <w:rFonts w:ascii="Arial" w:hAnsi="Arial" w:cs="Arial"/>
          <w:sz w:val="24"/>
          <w:szCs w:val="24"/>
        </w:rPr>
        <w:t>2-0</w:t>
      </w:r>
      <w:r>
        <w:rPr>
          <w:rFonts w:ascii="Arial" w:hAnsi="Arial" w:cs="Arial"/>
          <w:sz w:val="24"/>
          <w:szCs w:val="24"/>
        </w:rPr>
        <w:t>5</w:t>
      </w:r>
      <w:r w:rsidR="006615B6">
        <w:rPr>
          <w:rFonts w:ascii="Arial" w:hAnsi="Arial" w:cs="Arial"/>
          <w:sz w:val="24"/>
          <w:szCs w:val="24"/>
        </w:rPr>
        <w:t>-2017</w:t>
      </w:r>
      <w:r w:rsidR="001A7DC1" w:rsidRPr="001A1834">
        <w:rPr>
          <w:rFonts w:ascii="Arial" w:hAnsi="Arial" w:cs="Arial"/>
          <w:sz w:val="24"/>
          <w:szCs w:val="24"/>
        </w:rPr>
        <w:t xml:space="preserve">, dentro del proceso </w:t>
      </w:r>
      <w:r>
        <w:rPr>
          <w:rFonts w:ascii="Arial" w:hAnsi="Arial" w:cs="Arial"/>
          <w:sz w:val="24"/>
          <w:szCs w:val="24"/>
        </w:rPr>
        <w:t xml:space="preserve">de la referencia. </w:t>
      </w:r>
    </w:p>
    <w:p w:rsidR="001A7DC1" w:rsidRPr="001A1834" w:rsidRDefault="001A7DC1" w:rsidP="00D762F3">
      <w:pPr>
        <w:pStyle w:val="Ttulo4"/>
        <w:spacing w:line="276" w:lineRule="auto"/>
        <w:contextualSpacing/>
        <w:rPr>
          <w:rFonts w:cs="Arial"/>
          <w:b/>
          <w:sz w:val="24"/>
          <w:szCs w:val="24"/>
        </w:rPr>
      </w:pPr>
      <w:r w:rsidRPr="001A1834">
        <w:rPr>
          <w:rFonts w:cs="Arial"/>
          <w:b/>
          <w:sz w:val="24"/>
          <w:szCs w:val="24"/>
        </w:rPr>
        <w:t>ANTECEDENTES</w:t>
      </w:r>
    </w:p>
    <w:p w:rsidR="001A7DC1" w:rsidRPr="007F3550" w:rsidRDefault="001A7DC1" w:rsidP="001A7DC1">
      <w:pPr>
        <w:spacing w:line="276" w:lineRule="auto"/>
        <w:contextualSpacing/>
        <w:jc w:val="both"/>
        <w:rPr>
          <w:rFonts w:ascii="Arial" w:hAnsi="Arial" w:cs="Arial"/>
          <w:b/>
          <w:sz w:val="24"/>
          <w:szCs w:val="24"/>
        </w:rPr>
      </w:pPr>
    </w:p>
    <w:p w:rsidR="001A7DC1" w:rsidRDefault="00D32308" w:rsidP="00D762F3">
      <w:pPr>
        <w:spacing w:line="276" w:lineRule="auto"/>
        <w:contextualSpacing/>
        <w:jc w:val="both"/>
        <w:rPr>
          <w:rFonts w:ascii="Arial" w:hAnsi="Arial" w:cs="Arial"/>
          <w:sz w:val="24"/>
          <w:szCs w:val="24"/>
        </w:rPr>
      </w:pPr>
      <w:r w:rsidRPr="007F3550">
        <w:rPr>
          <w:rFonts w:ascii="Arial" w:hAnsi="Arial" w:cs="Arial"/>
          <w:b/>
          <w:sz w:val="24"/>
          <w:szCs w:val="24"/>
        </w:rPr>
        <w:t xml:space="preserve">1. </w:t>
      </w:r>
      <w:proofErr w:type="spellStart"/>
      <w:r w:rsidR="007F3550" w:rsidRPr="007F3550">
        <w:rPr>
          <w:rFonts w:ascii="Arial" w:hAnsi="Arial" w:cs="Arial"/>
          <w:sz w:val="24"/>
          <w:szCs w:val="24"/>
          <w:lang w:val="es-CO"/>
        </w:rPr>
        <w:t>Farling</w:t>
      </w:r>
      <w:proofErr w:type="spellEnd"/>
      <w:r w:rsidR="007F3550" w:rsidRPr="007F3550">
        <w:rPr>
          <w:rFonts w:ascii="Arial" w:hAnsi="Arial" w:cs="Arial"/>
          <w:sz w:val="24"/>
          <w:szCs w:val="24"/>
          <w:lang w:val="es-CO"/>
        </w:rPr>
        <w:t xml:space="preserve"> Alarcón Ramírez</w:t>
      </w:r>
      <w:r w:rsidR="005328D2">
        <w:rPr>
          <w:rFonts w:ascii="Arial" w:hAnsi="Arial" w:cs="Arial"/>
          <w:sz w:val="24"/>
          <w:szCs w:val="24"/>
          <w:lang w:val="es-CO"/>
        </w:rPr>
        <w:t>, a través de apoderado judicial, el 30-10-2015</w:t>
      </w:r>
      <w:r w:rsidR="007F3550" w:rsidRPr="007F3550">
        <w:rPr>
          <w:rFonts w:ascii="Arial" w:hAnsi="Arial" w:cs="Arial"/>
          <w:b/>
          <w:sz w:val="24"/>
          <w:szCs w:val="24"/>
        </w:rPr>
        <w:t xml:space="preserve"> </w:t>
      </w:r>
      <w:r w:rsidR="00D762F3" w:rsidRPr="007F3550">
        <w:rPr>
          <w:rFonts w:ascii="Arial" w:hAnsi="Arial" w:cs="Arial"/>
          <w:sz w:val="24"/>
          <w:szCs w:val="24"/>
        </w:rPr>
        <w:t xml:space="preserve">incoó demanda en contra de </w:t>
      </w:r>
      <w:proofErr w:type="spellStart"/>
      <w:r w:rsidR="007F3550" w:rsidRPr="007F3550">
        <w:rPr>
          <w:rFonts w:ascii="Arial" w:hAnsi="Arial" w:cs="Arial"/>
          <w:sz w:val="24"/>
          <w:szCs w:val="24"/>
          <w:lang w:val="es-CO"/>
        </w:rPr>
        <w:t>Promasivo</w:t>
      </w:r>
      <w:proofErr w:type="spellEnd"/>
      <w:r w:rsidR="007F3550" w:rsidRPr="007F3550">
        <w:rPr>
          <w:rFonts w:ascii="Arial" w:hAnsi="Arial" w:cs="Arial"/>
          <w:sz w:val="24"/>
          <w:szCs w:val="24"/>
          <w:lang w:val="es-CO"/>
        </w:rPr>
        <w:t xml:space="preserve"> </w:t>
      </w:r>
      <w:proofErr w:type="spellStart"/>
      <w:r w:rsidR="007F3550" w:rsidRPr="007F3550">
        <w:rPr>
          <w:rFonts w:ascii="Arial" w:hAnsi="Arial" w:cs="Arial"/>
          <w:sz w:val="24"/>
          <w:szCs w:val="24"/>
          <w:lang w:val="es-CO"/>
        </w:rPr>
        <w:t>SA</w:t>
      </w:r>
      <w:proofErr w:type="spellEnd"/>
      <w:r w:rsidR="007F3550">
        <w:rPr>
          <w:rFonts w:ascii="Arial" w:hAnsi="Arial" w:cs="Arial"/>
          <w:sz w:val="24"/>
          <w:szCs w:val="24"/>
          <w:lang w:val="es-CO"/>
        </w:rPr>
        <w:t xml:space="preserve"> </w:t>
      </w:r>
      <w:r w:rsidR="007F3550" w:rsidRPr="007F3550">
        <w:rPr>
          <w:rFonts w:ascii="Arial" w:hAnsi="Arial" w:cs="Arial"/>
          <w:sz w:val="24"/>
          <w:szCs w:val="24"/>
          <w:lang w:val="es-CO"/>
        </w:rPr>
        <w:t xml:space="preserve">y </w:t>
      </w:r>
      <w:proofErr w:type="spellStart"/>
      <w:r w:rsidR="007F3550" w:rsidRPr="007F3550">
        <w:rPr>
          <w:rFonts w:ascii="Arial" w:hAnsi="Arial" w:cs="Arial"/>
          <w:sz w:val="24"/>
          <w:szCs w:val="24"/>
          <w:lang w:val="es-CO"/>
        </w:rPr>
        <w:t>Megabus</w:t>
      </w:r>
      <w:proofErr w:type="spellEnd"/>
      <w:r w:rsidR="007F3550" w:rsidRPr="007F3550">
        <w:rPr>
          <w:rFonts w:ascii="Arial" w:hAnsi="Arial" w:cs="Arial"/>
          <w:sz w:val="24"/>
          <w:szCs w:val="24"/>
          <w:lang w:val="es-CO"/>
        </w:rPr>
        <w:t xml:space="preserve"> SA</w:t>
      </w:r>
      <w:r w:rsidR="007F3550">
        <w:rPr>
          <w:rFonts w:ascii="Arial" w:hAnsi="Arial" w:cs="Arial"/>
          <w:sz w:val="24"/>
          <w:szCs w:val="24"/>
        </w:rPr>
        <w:t xml:space="preserve">, </w:t>
      </w:r>
      <w:r w:rsidR="00D762F3">
        <w:rPr>
          <w:rFonts w:ascii="Arial" w:hAnsi="Arial" w:cs="Arial"/>
          <w:sz w:val="24"/>
          <w:szCs w:val="24"/>
        </w:rPr>
        <w:t xml:space="preserve">con el propósito de que se </w:t>
      </w:r>
      <w:r w:rsidR="007F3550">
        <w:rPr>
          <w:rFonts w:ascii="Arial" w:hAnsi="Arial" w:cs="Arial"/>
          <w:sz w:val="24"/>
          <w:szCs w:val="24"/>
        </w:rPr>
        <w:t>declare que entre él y el segundo de los mencionados  existió un contrato de trabajo y consecuentemente, se le condene al pago de las acreencias laborales que de ello se derivan; igualmente</w:t>
      </w:r>
      <w:r w:rsidR="00ED1BF3">
        <w:rPr>
          <w:rFonts w:ascii="Arial" w:hAnsi="Arial" w:cs="Arial"/>
          <w:sz w:val="24"/>
          <w:szCs w:val="24"/>
        </w:rPr>
        <w:t>,</w:t>
      </w:r>
      <w:r w:rsidR="007F3550">
        <w:rPr>
          <w:rFonts w:ascii="Arial" w:hAnsi="Arial" w:cs="Arial"/>
          <w:sz w:val="24"/>
          <w:szCs w:val="24"/>
        </w:rPr>
        <w:t xml:space="preserve"> que al último se le declare solidario</w:t>
      </w:r>
      <w:r w:rsidR="001B0659">
        <w:rPr>
          <w:rFonts w:ascii="Arial" w:hAnsi="Arial" w:cs="Arial"/>
          <w:sz w:val="24"/>
          <w:szCs w:val="24"/>
        </w:rPr>
        <w:t xml:space="preserve"> </w:t>
      </w:r>
      <w:r w:rsidR="007F3550">
        <w:rPr>
          <w:rFonts w:ascii="Arial" w:hAnsi="Arial" w:cs="Arial"/>
          <w:sz w:val="24"/>
          <w:szCs w:val="24"/>
        </w:rPr>
        <w:t>en el  pago de las indemnizaciones y demás condenas</w:t>
      </w:r>
      <w:r w:rsidR="001B0659">
        <w:rPr>
          <w:rFonts w:ascii="Arial" w:hAnsi="Arial" w:cs="Arial"/>
          <w:sz w:val="24"/>
          <w:szCs w:val="24"/>
        </w:rPr>
        <w:t xml:space="preserve"> impuestas al empl</w:t>
      </w:r>
      <w:r w:rsidR="000520EA">
        <w:rPr>
          <w:rFonts w:ascii="Arial" w:hAnsi="Arial" w:cs="Arial"/>
          <w:sz w:val="24"/>
          <w:szCs w:val="24"/>
        </w:rPr>
        <w:t>e</w:t>
      </w:r>
      <w:r w:rsidR="001B0659">
        <w:rPr>
          <w:rFonts w:ascii="Arial" w:hAnsi="Arial" w:cs="Arial"/>
          <w:sz w:val="24"/>
          <w:szCs w:val="24"/>
        </w:rPr>
        <w:t>ador</w:t>
      </w:r>
      <w:r w:rsidR="007F3550">
        <w:rPr>
          <w:rFonts w:ascii="Arial" w:hAnsi="Arial" w:cs="Arial"/>
          <w:sz w:val="24"/>
          <w:szCs w:val="24"/>
        </w:rPr>
        <w:t xml:space="preserve">. </w:t>
      </w:r>
    </w:p>
    <w:p w:rsidR="001A7DC1" w:rsidRPr="00D762F3" w:rsidRDefault="001A7DC1" w:rsidP="001A7DC1">
      <w:pPr>
        <w:spacing w:line="276" w:lineRule="auto"/>
        <w:ind w:firstLine="360"/>
        <w:contextualSpacing/>
        <w:jc w:val="both"/>
        <w:rPr>
          <w:rFonts w:ascii="Arial" w:hAnsi="Arial" w:cs="Arial"/>
          <w:sz w:val="24"/>
          <w:szCs w:val="24"/>
        </w:rPr>
      </w:pPr>
    </w:p>
    <w:p w:rsidR="005328D2" w:rsidRDefault="00C371AD" w:rsidP="001A7DC1">
      <w:pPr>
        <w:spacing w:line="276" w:lineRule="auto"/>
        <w:contextualSpacing/>
        <w:jc w:val="both"/>
        <w:rPr>
          <w:rFonts w:ascii="Arial" w:hAnsi="Arial" w:cs="Arial"/>
          <w:sz w:val="24"/>
          <w:szCs w:val="24"/>
        </w:rPr>
      </w:pPr>
      <w:r w:rsidRPr="00C371AD">
        <w:rPr>
          <w:rFonts w:ascii="Arial" w:hAnsi="Arial" w:cs="Arial"/>
          <w:b/>
          <w:sz w:val="24"/>
          <w:szCs w:val="24"/>
        </w:rPr>
        <w:t>2.</w:t>
      </w:r>
      <w:r w:rsidRPr="0005746D">
        <w:rPr>
          <w:rFonts w:ascii="Arial" w:hAnsi="Arial" w:cs="Arial"/>
          <w:sz w:val="24"/>
          <w:szCs w:val="24"/>
        </w:rPr>
        <w:t xml:space="preserve"> </w:t>
      </w:r>
      <w:r w:rsidR="0005746D" w:rsidRPr="0005746D">
        <w:rPr>
          <w:rFonts w:ascii="Arial" w:hAnsi="Arial" w:cs="Arial"/>
          <w:sz w:val="24"/>
          <w:szCs w:val="24"/>
        </w:rPr>
        <w:t>Al l</w:t>
      </w:r>
      <w:r w:rsidR="0005746D">
        <w:rPr>
          <w:rFonts w:ascii="Arial" w:hAnsi="Arial" w:cs="Arial"/>
          <w:sz w:val="24"/>
          <w:szCs w:val="24"/>
        </w:rPr>
        <w:t>levarse a cabo las diligencias tendientes a lograr la notificación de los integrantes de la parte pasiva</w:t>
      </w:r>
      <w:r w:rsidR="00D85228">
        <w:rPr>
          <w:rFonts w:ascii="Arial" w:hAnsi="Arial" w:cs="Arial"/>
          <w:sz w:val="24"/>
          <w:szCs w:val="24"/>
        </w:rPr>
        <w:t xml:space="preserve"> de la demanda admitida el 27-11-2015,</w:t>
      </w:r>
      <w:r w:rsidR="0005746D">
        <w:rPr>
          <w:rFonts w:ascii="Arial" w:hAnsi="Arial" w:cs="Arial"/>
          <w:sz w:val="24"/>
          <w:szCs w:val="24"/>
        </w:rPr>
        <w:t xml:space="preserve"> solicitó</w:t>
      </w:r>
      <w:r w:rsidR="005328D2">
        <w:rPr>
          <w:rFonts w:ascii="Arial" w:hAnsi="Arial" w:cs="Arial"/>
          <w:sz w:val="24"/>
          <w:szCs w:val="24"/>
        </w:rPr>
        <w:t xml:space="preserve"> </w:t>
      </w:r>
      <w:r w:rsidR="0005746D">
        <w:rPr>
          <w:rFonts w:ascii="Arial" w:hAnsi="Arial" w:cs="Arial"/>
          <w:sz w:val="24"/>
          <w:szCs w:val="24"/>
        </w:rPr>
        <w:t>el vocero judicial del actor</w:t>
      </w:r>
      <w:r w:rsidR="005328D2">
        <w:rPr>
          <w:rFonts w:ascii="Arial" w:hAnsi="Arial" w:cs="Arial"/>
          <w:sz w:val="24"/>
          <w:szCs w:val="24"/>
        </w:rPr>
        <w:t>,</w:t>
      </w:r>
      <w:r w:rsidR="005328D2" w:rsidRPr="005328D2">
        <w:rPr>
          <w:rFonts w:ascii="Arial" w:hAnsi="Arial" w:cs="Arial"/>
          <w:sz w:val="24"/>
          <w:szCs w:val="24"/>
        </w:rPr>
        <w:t xml:space="preserve"> </w:t>
      </w:r>
      <w:r w:rsidR="005328D2">
        <w:rPr>
          <w:rFonts w:ascii="Arial" w:hAnsi="Arial" w:cs="Arial"/>
          <w:sz w:val="24"/>
          <w:szCs w:val="24"/>
        </w:rPr>
        <w:t>mediante memorial allegado el 28-04-2017,</w:t>
      </w:r>
      <w:r w:rsidR="0005746D">
        <w:rPr>
          <w:rFonts w:ascii="Arial" w:hAnsi="Arial" w:cs="Arial"/>
          <w:sz w:val="24"/>
          <w:szCs w:val="24"/>
        </w:rPr>
        <w:t xml:space="preserve"> el emplazamiento de </w:t>
      </w:r>
      <w:proofErr w:type="spellStart"/>
      <w:r w:rsidR="0005746D">
        <w:rPr>
          <w:rFonts w:ascii="Arial" w:hAnsi="Arial" w:cs="Arial"/>
          <w:sz w:val="24"/>
          <w:szCs w:val="24"/>
        </w:rPr>
        <w:t>Promasivo</w:t>
      </w:r>
      <w:proofErr w:type="spellEnd"/>
      <w:r w:rsidR="0005746D">
        <w:rPr>
          <w:rFonts w:ascii="Arial" w:hAnsi="Arial" w:cs="Arial"/>
          <w:sz w:val="24"/>
          <w:szCs w:val="24"/>
        </w:rPr>
        <w:t xml:space="preserve"> </w:t>
      </w:r>
      <w:proofErr w:type="spellStart"/>
      <w:r w:rsidR="0005746D">
        <w:rPr>
          <w:rFonts w:ascii="Arial" w:hAnsi="Arial" w:cs="Arial"/>
          <w:sz w:val="24"/>
          <w:szCs w:val="24"/>
        </w:rPr>
        <w:t>SA</w:t>
      </w:r>
      <w:proofErr w:type="spellEnd"/>
      <w:r w:rsidR="0005746D">
        <w:rPr>
          <w:rFonts w:ascii="Arial" w:hAnsi="Arial" w:cs="Arial"/>
          <w:sz w:val="24"/>
          <w:szCs w:val="24"/>
        </w:rPr>
        <w:t>, dada la imposibilidad de hacerlo a través del liquidador.</w:t>
      </w:r>
    </w:p>
    <w:p w:rsidR="005328D2" w:rsidRDefault="005328D2" w:rsidP="001A7DC1">
      <w:pPr>
        <w:spacing w:line="276" w:lineRule="auto"/>
        <w:contextualSpacing/>
        <w:jc w:val="both"/>
        <w:rPr>
          <w:rFonts w:ascii="Arial" w:hAnsi="Arial" w:cs="Arial"/>
          <w:sz w:val="24"/>
          <w:szCs w:val="24"/>
        </w:rPr>
      </w:pPr>
    </w:p>
    <w:p w:rsidR="0005746D" w:rsidRPr="0005746D" w:rsidRDefault="001216D0" w:rsidP="001A7DC1">
      <w:pPr>
        <w:spacing w:line="276" w:lineRule="auto"/>
        <w:contextualSpacing/>
        <w:jc w:val="both"/>
        <w:rPr>
          <w:rFonts w:ascii="Arial" w:hAnsi="Arial" w:cs="Arial"/>
          <w:sz w:val="24"/>
          <w:szCs w:val="24"/>
        </w:rPr>
      </w:pPr>
      <w:r>
        <w:rPr>
          <w:rFonts w:ascii="Arial" w:hAnsi="Arial" w:cs="Arial"/>
          <w:sz w:val="24"/>
          <w:szCs w:val="24"/>
        </w:rPr>
        <w:t>Seguidamente, la secretaria del juzgado, dejó constancia, que en otro proceso</w:t>
      </w:r>
      <w:r w:rsidR="005328D2">
        <w:rPr>
          <w:rFonts w:ascii="Arial" w:hAnsi="Arial" w:cs="Arial"/>
          <w:sz w:val="24"/>
          <w:szCs w:val="24"/>
        </w:rPr>
        <w:t xml:space="preserve">, la ex liquidadora de </w:t>
      </w:r>
      <w:proofErr w:type="spellStart"/>
      <w:r w:rsidR="005328D2">
        <w:rPr>
          <w:rFonts w:ascii="Arial" w:hAnsi="Arial" w:cs="Arial"/>
          <w:sz w:val="24"/>
          <w:szCs w:val="24"/>
        </w:rPr>
        <w:t>Promasivo</w:t>
      </w:r>
      <w:proofErr w:type="spellEnd"/>
      <w:r w:rsidR="005328D2">
        <w:rPr>
          <w:rFonts w:ascii="Arial" w:hAnsi="Arial" w:cs="Arial"/>
          <w:sz w:val="24"/>
          <w:szCs w:val="24"/>
        </w:rPr>
        <w:t>,</w:t>
      </w:r>
      <w:r>
        <w:rPr>
          <w:rFonts w:ascii="Arial" w:hAnsi="Arial" w:cs="Arial"/>
          <w:sz w:val="24"/>
          <w:szCs w:val="24"/>
        </w:rPr>
        <w:t xml:space="preserve"> </w:t>
      </w:r>
      <w:r w:rsidR="005328D2">
        <w:rPr>
          <w:rFonts w:ascii="Arial" w:hAnsi="Arial" w:cs="Arial"/>
          <w:sz w:val="24"/>
          <w:szCs w:val="24"/>
        </w:rPr>
        <w:t>inform</w:t>
      </w:r>
      <w:r>
        <w:rPr>
          <w:rFonts w:ascii="Arial" w:hAnsi="Arial" w:cs="Arial"/>
          <w:sz w:val="24"/>
          <w:szCs w:val="24"/>
        </w:rPr>
        <w:t>ó</w:t>
      </w:r>
      <w:r w:rsidR="005328D2">
        <w:rPr>
          <w:rFonts w:ascii="Arial" w:hAnsi="Arial" w:cs="Arial"/>
          <w:sz w:val="24"/>
          <w:szCs w:val="24"/>
        </w:rPr>
        <w:t xml:space="preserve"> que el proceso </w:t>
      </w:r>
      <w:proofErr w:type="spellStart"/>
      <w:r w:rsidR="005328D2">
        <w:rPr>
          <w:rFonts w:ascii="Arial" w:hAnsi="Arial" w:cs="Arial"/>
          <w:sz w:val="24"/>
          <w:szCs w:val="24"/>
        </w:rPr>
        <w:t>liquidatorio</w:t>
      </w:r>
      <w:proofErr w:type="spellEnd"/>
      <w:r w:rsidR="005328D2">
        <w:rPr>
          <w:rFonts w:ascii="Arial" w:hAnsi="Arial" w:cs="Arial"/>
          <w:sz w:val="24"/>
          <w:szCs w:val="24"/>
        </w:rPr>
        <w:t xml:space="preserve"> de la entidad se declaró terminado mediante auto 400-017580 del 17-11-2016</w:t>
      </w:r>
      <w:r>
        <w:rPr>
          <w:rFonts w:ascii="Arial" w:hAnsi="Arial" w:cs="Arial"/>
          <w:sz w:val="24"/>
          <w:szCs w:val="24"/>
        </w:rPr>
        <w:t>,</w:t>
      </w:r>
      <w:r w:rsidR="00D60214">
        <w:rPr>
          <w:rFonts w:ascii="Arial" w:hAnsi="Arial" w:cs="Arial"/>
          <w:sz w:val="24"/>
          <w:szCs w:val="24"/>
        </w:rPr>
        <w:t xml:space="preserve"> acompañado del certificado de existencia y representación donde consta tal hecho,</w:t>
      </w:r>
      <w:r>
        <w:rPr>
          <w:rFonts w:ascii="Arial" w:hAnsi="Arial" w:cs="Arial"/>
          <w:sz w:val="24"/>
          <w:szCs w:val="24"/>
        </w:rPr>
        <w:t xml:space="preserve"> documento</w:t>
      </w:r>
      <w:r w:rsidR="00D60214">
        <w:rPr>
          <w:rFonts w:ascii="Arial" w:hAnsi="Arial" w:cs="Arial"/>
          <w:sz w:val="24"/>
          <w:szCs w:val="24"/>
        </w:rPr>
        <w:t>s</w:t>
      </w:r>
      <w:r>
        <w:rPr>
          <w:rFonts w:ascii="Arial" w:hAnsi="Arial" w:cs="Arial"/>
          <w:sz w:val="24"/>
          <w:szCs w:val="24"/>
        </w:rPr>
        <w:t xml:space="preserve"> de</w:t>
      </w:r>
      <w:r w:rsidR="00D60214">
        <w:rPr>
          <w:rFonts w:ascii="Arial" w:hAnsi="Arial" w:cs="Arial"/>
          <w:sz w:val="24"/>
          <w:szCs w:val="24"/>
        </w:rPr>
        <w:t xml:space="preserve"> </w:t>
      </w:r>
      <w:r>
        <w:rPr>
          <w:rFonts w:ascii="Arial" w:hAnsi="Arial" w:cs="Arial"/>
          <w:sz w:val="24"/>
          <w:szCs w:val="24"/>
        </w:rPr>
        <w:t>l</w:t>
      </w:r>
      <w:r w:rsidR="00D60214">
        <w:rPr>
          <w:rFonts w:ascii="Arial" w:hAnsi="Arial" w:cs="Arial"/>
          <w:sz w:val="24"/>
          <w:szCs w:val="24"/>
        </w:rPr>
        <w:t>os</w:t>
      </w:r>
      <w:r>
        <w:rPr>
          <w:rFonts w:ascii="Arial" w:hAnsi="Arial" w:cs="Arial"/>
          <w:sz w:val="24"/>
          <w:szCs w:val="24"/>
        </w:rPr>
        <w:t xml:space="preserve"> que se dejó copia dentro de este asunto.</w:t>
      </w:r>
      <w:r w:rsidR="005328D2">
        <w:rPr>
          <w:rFonts w:ascii="Arial" w:hAnsi="Arial" w:cs="Arial"/>
          <w:sz w:val="24"/>
          <w:szCs w:val="24"/>
        </w:rPr>
        <w:t xml:space="preserve"> </w:t>
      </w:r>
      <w:r w:rsidR="0005746D">
        <w:rPr>
          <w:rFonts w:ascii="Arial" w:hAnsi="Arial" w:cs="Arial"/>
          <w:sz w:val="24"/>
          <w:szCs w:val="24"/>
        </w:rPr>
        <w:t xml:space="preserve"> </w:t>
      </w:r>
    </w:p>
    <w:p w:rsidR="0005746D" w:rsidRDefault="0005746D" w:rsidP="001A7DC1">
      <w:pPr>
        <w:spacing w:line="276" w:lineRule="auto"/>
        <w:contextualSpacing/>
        <w:jc w:val="both"/>
        <w:rPr>
          <w:rFonts w:ascii="Arial" w:hAnsi="Arial" w:cs="Arial"/>
          <w:b/>
          <w:sz w:val="24"/>
          <w:szCs w:val="24"/>
        </w:rPr>
      </w:pPr>
    </w:p>
    <w:p w:rsidR="00D85228" w:rsidRDefault="00FB3CDF" w:rsidP="00D85228">
      <w:pPr>
        <w:spacing w:line="276" w:lineRule="auto"/>
        <w:contextualSpacing/>
        <w:jc w:val="both"/>
        <w:rPr>
          <w:rFonts w:ascii="Arial" w:hAnsi="Arial" w:cs="Arial"/>
          <w:sz w:val="24"/>
          <w:szCs w:val="24"/>
        </w:rPr>
      </w:pPr>
      <w:r>
        <w:rPr>
          <w:rFonts w:ascii="Arial" w:hAnsi="Arial" w:cs="Arial"/>
          <w:b/>
          <w:sz w:val="24"/>
          <w:szCs w:val="24"/>
        </w:rPr>
        <w:t>3</w:t>
      </w:r>
      <w:r w:rsidR="006424D4">
        <w:rPr>
          <w:rFonts w:ascii="Arial" w:hAnsi="Arial" w:cs="Arial"/>
          <w:b/>
          <w:sz w:val="24"/>
          <w:szCs w:val="24"/>
        </w:rPr>
        <w:t xml:space="preserve">. </w:t>
      </w:r>
      <w:r w:rsidR="00003DBF">
        <w:rPr>
          <w:rFonts w:ascii="Arial" w:hAnsi="Arial" w:cs="Arial"/>
          <w:b/>
          <w:sz w:val="24"/>
          <w:szCs w:val="24"/>
        </w:rPr>
        <w:t xml:space="preserve">Decreto </w:t>
      </w:r>
      <w:r w:rsidR="00FB74B9">
        <w:rPr>
          <w:rFonts w:ascii="Arial" w:hAnsi="Arial" w:cs="Arial"/>
          <w:b/>
          <w:sz w:val="24"/>
          <w:szCs w:val="24"/>
        </w:rPr>
        <w:t>de nulidad</w:t>
      </w:r>
      <w:r w:rsidR="00C371AD">
        <w:rPr>
          <w:rFonts w:ascii="Arial" w:hAnsi="Arial" w:cs="Arial"/>
          <w:b/>
          <w:sz w:val="24"/>
          <w:szCs w:val="24"/>
        </w:rPr>
        <w:t>.</w:t>
      </w:r>
      <w:r w:rsidR="00C371AD" w:rsidRPr="00C371AD">
        <w:rPr>
          <w:rFonts w:ascii="Arial" w:hAnsi="Arial" w:cs="Arial"/>
          <w:sz w:val="24"/>
          <w:szCs w:val="24"/>
        </w:rPr>
        <w:t xml:space="preserve"> E</w:t>
      </w:r>
      <w:r w:rsidR="008D5178">
        <w:rPr>
          <w:rFonts w:ascii="Arial" w:hAnsi="Arial" w:cs="Arial"/>
          <w:sz w:val="24"/>
          <w:szCs w:val="24"/>
        </w:rPr>
        <w:t>l juzgado mediante proveído adiado 2-5-2017 decretó la nulidad de todo lo actuado</w:t>
      </w:r>
      <w:r w:rsidR="00D85228">
        <w:rPr>
          <w:rFonts w:ascii="Arial" w:hAnsi="Arial" w:cs="Arial"/>
          <w:sz w:val="24"/>
          <w:szCs w:val="24"/>
        </w:rPr>
        <w:t xml:space="preserve"> desde el auto </w:t>
      </w:r>
      <w:proofErr w:type="spellStart"/>
      <w:r w:rsidR="00D85228">
        <w:rPr>
          <w:rFonts w:ascii="Arial" w:hAnsi="Arial" w:cs="Arial"/>
          <w:sz w:val="24"/>
          <w:szCs w:val="24"/>
        </w:rPr>
        <w:t>admisorio</w:t>
      </w:r>
      <w:proofErr w:type="spellEnd"/>
      <w:r w:rsidR="00D85228">
        <w:rPr>
          <w:rFonts w:ascii="Arial" w:hAnsi="Arial" w:cs="Arial"/>
          <w:sz w:val="24"/>
          <w:szCs w:val="24"/>
        </w:rPr>
        <w:t xml:space="preserve"> de la demanda y en consecuencia la rechazó y dispuso su archivo.</w:t>
      </w:r>
    </w:p>
    <w:p w:rsidR="00D85228" w:rsidRDefault="00D85228" w:rsidP="00D85228">
      <w:pPr>
        <w:spacing w:line="276" w:lineRule="auto"/>
        <w:contextualSpacing/>
        <w:jc w:val="both"/>
        <w:rPr>
          <w:rFonts w:ascii="Arial" w:hAnsi="Arial" w:cs="Arial"/>
          <w:sz w:val="24"/>
          <w:szCs w:val="24"/>
        </w:rPr>
      </w:pPr>
    </w:p>
    <w:p w:rsidR="00FB74B9" w:rsidRDefault="00D85228" w:rsidP="00D85228">
      <w:pPr>
        <w:spacing w:line="276" w:lineRule="auto"/>
        <w:contextualSpacing/>
        <w:jc w:val="both"/>
        <w:rPr>
          <w:rFonts w:ascii="Arial" w:hAnsi="Arial" w:cs="Arial"/>
          <w:sz w:val="24"/>
          <w:szCs w:val="24"/>
        </w:rPr>
      </w:pPr>
      <w:r>
        <w:rPr>
          <w:rFonts w:ascii="Arial" w:hAnsi="Arial" w:cs="Arial"/>
          <w:sz w:val="24"/>
          <w:szCs w:val="24"/>
        </w:rPr>
        <w:t xml:space="preserve">Decisión </w:t>
      </w:r>
      <w:r w:rsidR="00DF18E2">
        <w:rPr>
          <w:rFonts w:ascii="Arial" w:hAnsi="Arial" w:cs="Arial"/>
          <w:sz w:val="24"/>
          <w:szCs w:val="24"/>
        </w:rPr>
        <w:t xml:space="preserve">que tuvo como sustento la falta de capacidad para ser parte de </w:t>
      </w:r>
      <w:proofErr w:type="spellStart"/>
      <w:r w:rsidR="00DF18E2">
        <w:rPr>
          <w:rFonts w:ascii="Arial" w:hAnsi="Arial" w:cs="Arial"/>
          <w:sz w:val="24"/>
          <w:szCs w:val="24"/>
        </w:rPr>
        <w:t>Promasivo</w:t>
      </w:r>
      <w:proofErr w:type="spellEnd"/>
      <w:r w:rsidR="00DF18E2">
        <w:rPr>
          <w:rFonts w:ascii="Arial" w:hAnsi="Arial" w:cs="Arial"/>
          <w:sz w:val="24"/>
          <w:szCs w:val="24"/>
        </w:rPr>
        <w:t xml:space="preserve"> </w:t>
      </w:r>
      <w:proofErr w:type="spellStart"/>
      <w:r w:rsidR="00DF18E2">
        <w:rPr>
          <w:rFonts w:ascii="Arial" w:hAnsi="Arial" w:cs="Arial"/>
          <w:sz w:val="24"/>
          <w:szCs w:val="24"/>
        </w:rPr>
        <w:t>SA</w:t>
      </w:r>
      <w:proofErr w:type="spellEnd"/>
      <w:r w:rsidR="00DF18E2">
        <w:rPr>
          <w:rFonts w:ascii="Arial" w:hAnsi="Arial" w:cs="Arial"/>
          <w:sz w:val="24"/>
          <w:szCs w:val="24"/>
        </w:rPr>
        <w:t>, dada su inexistencia</w:t>
      </w:r>
      <w:r w:rsidR="00964227">
        <w:rPr>
          <w:rFonts w:ascii="Arial" w:hAnsi="Arial" w:cs="Arial"/>
          <w:sz w:val="24"/>
          <w:szCs w:val="24"/>
        </w:rPr>
        <w:t>, situación que afectó la actuación al dejarse de notificar antes de que ello acaeciera</w:t>
      </w:r>
      <w:r w:rsidR="00C2657D">
        <w:rPr>
          <w:rFonts w:ascii="Arial" w:hAnsi="Arial" w:cs="Arial"/>
          <w:sz w:val="24"/>
          <w:szCs w:val="24"/>
        </w:rPr>
        <w:t xml:space="preserve">; lo que imposibilita seguirse con el trámite en contra de </w:t>
      </w:r>
      <w:proofErr w:type="spellStart"/>
      <w:r w:rsidR="00C2657D">
        <w:rPr>
          <w:rFonts w:ascii="Arial" w:hAnsi="Arial" w:cs="Arial"/>
          <w:sz w:val="24"/>
          <w:szCs w:val="24"/>
        </w:rPr>
        <w:t>Megabus</w:t>
      </w:r>
      <w:proofErr w:type="spellEnd"/>
      <w:r w:rsidR="00C2657D">
        <w:rPr>
          <w:rFonts w:ascii="Arial" w:hAnsi="Arial" w:cs="Arial"/>
          <w:sz w:val="24"/>
          <w:szCs w:val="24"/>
        </w:rPr>
        <w:t xml:space="preserve"> </w:t>
      </w:r>
      <w:proofErr w:type="spellStart"/>
      <w:r w:rsidR="00C2657D">
        <w:rPr>
          <w:rFonts w:ascii="Arial" w:hAnsi="Arial" w:cs="Arial"/>
          <w:sz w:val="24"/>
          <w:szCs w:val="24"/>
        </w:rPr>
        <w:t>SA</w:t>
      </w:r>
      <w:proofErr w:type="spellEnd"/>
      <w:r w:rsidR="00C2657D">
        <w:rPr>
          <w:rFonts w:ascii="Arial" w:hAnsi="Arial" w:cs="Arial"/>
          <w:sz w:val="24"/>
          <w:szCs w:val="24"/>
        </w:rPr>
        <w:t xml:space="preserve"> al ser </w:t>
      </w:r>
      <w:proofErr w:type="spellStart"/>
      <w:r w:rsidR="00C2657D">
        <w:rPr>
          <w:rFonts w:ascii="Arial" w:hAnsi="Arial" w:cs="Arial"/>
          <w:sz w:val="24"/>
          <w:szCs w:val="24"/>
        </w:rPr>
        <w:t>Promasivo</w:t>
      </w:r>
      <w:proofErr w:type="spellEnd"/>
      <w:r w:rsidR="00C2657D">
        <w:rPr>
          <w:rFonts w:ascii="Arial" w:hAnsi="Arial" w:cs="Arial"/>
          <w:sz w:val="24"/>
          <w:szCs w:val="24"/>
        </w:rPr>
        <w:t xml:space="preserve"> el deudor principal</w:t>
      </w:r>
      <w:r w:rsidR="00B25B79">
        <w:rPr>
          <w:rFonts w:ascii="Arial" w:hAnsi="Arial" w:cs="Arial"/>
          <w:sz w:val="24"/>
          <w:szCs w:val="24"/>
        </w:rPr>
        <w:t xml:space="preserve"> y aquel solidario, lo que configura la existencia de un l</w:t>
      </w:r>
      <w:r w:rsidR="00C2657D">
        <w:rPr>
          <w:rFonts w:ascii="Arial" w:hAnsi="Arial" w:cs="Arial"/>
          <w:sz w:val="24"/>
          <w:szCs w:val="24"/>
        </w:rPr>
        <w:t xml:space="preserve">itisconsorte necesario. </w:t>
      </w:r>
    </w:p>
    <w:p w:rsidR="00BB1A6E" w:rsidRPr="00BB1A6E" w:rsidRDefault="00FB74B9" w:rsidP="00BB1A6E">
      <w:pPr>
        <w:spacing w:line="276" w:lineRule="auto"/>
        <w:contextualSpacing/>
        <w:jc w:val="both"/>
        <w:rPr>
          <w:rFonts w:ascii="Arial" w:hAnsi="Arial" w:cs="Arial"/>
          <w:b/>
          <w:sz w:val="24"/>
          <w:szCs w:val="24"/>
        </w:rPr>
      </w:pPr>
      <w:r>
        <w:rPr>
          <w:rFonts w:ascii="Arial" w:hAnsi="Arial" w:cs="Arial"/>
          <w:sz w:val="24"/>
          <w:szCs w:val="24"/>
        </w:rPr>
        <w:t>3.</w:t>
      </w:r>
      <w:r w:rsidR="00463C69">
        <w:rPr>
          <w:rFonts w:ascii="Arial" w:hAnsi="Arial" w:cs="Arial"/>
          <w:b/>
          <w:sz w:val="24"/>
          <w:szCs w:val="24"/>
        </w:rPr>
        <w:t xml:space="preserve"> </w:t>
      </w:r>
      <w:r w:rsidR="00BB1A6E" w:rsidRPr="00BB1A6E">
        <w:rPr>
          <w:rFonts w:ascii="Arial" w:hAnsi="Arial" w:cs="Arial"/>
          <w:b/>
          <w:sz w:val="24"/>
          <w:szCs w:val="24"/>
        </w:rPr>
        <w:t>Síntesis de la apelación</w:t>
      </w:r>
    </w:p>
    <w:p w:rsidR="00BB1A6E" w:rsidRPr="00775EDB" w:rsidRDefault="00BB1A6E" w:rsidP="00A5267D">
      <w:pPr>
        <w:spacing w:line="276" w:lineRule="auto"/>
        <w:contextualSpacing/>
        <w:jc w:val="center"/>
        <w:rPr>
          <w:rFonts w:ascii="Arial" w:hAnsi="Arial" w:cs="Arial"/>
          <w:sz w:val="24"/>
          <w:szCs w:val="24"/>
        </w:rPr>
      </w:pPr>
    </w:p>
    <w:p w:rsidR="00A11A16" w:rsidRDefault="00BB1A6E" w:rsidP="00BB1A6E">
      <w:pPr>
        <w:spacing w:line="276" w:lineRule="auto"/>
        <w:contextualSpacing/>
        <w:jc w:val="both"/>
        <w:rPr>
          <w:rFonts w:ascii="Arial" w:hAnsi="Arial" w:cs="Arial"/>
          <w:sz w:val="24"/>
          <w:szCs w:val="24"/>
        </w:rPr>
      </w:pPr>
      <w:r w:rsidRPr="00775EDB">
        <w:rPr>
          <w:rFonts w:ascii="Arial" w:hAnsi="Arial" w:cs="Arial"/>
          <w:sz w:val="24"/>
          <w:szCs w:val="24"/>
        </w:rPr>
        <w:t xml:space="preserve">Inconforme con la decisión </w:t>
      </w:r>
      <w:r w:rsidR="00463C69">
        <w:rPr>
          <w:rFonts w:ascii="Arial" w:hAnsi="Arial" w:cs="Arial"/>
          <w:sz w:val="24"/>
          <w:szCs w:val="24"/>
        </w:rPr>
        <w:t xml:space="preserve">interpone la </w:t>
      </w:r>
      <w:r w:rsidR="00C056F9">
        <w:rPr>
          <w:rFonts w:ascii="Arial" w:hAnsi="Arial" w:cs="Arial"/>
          <w:sz w:val="24"/>
          <w:szCs w:val="24"/>
        </w:rPr>
        <w:t>parte demanda</w:t>
      </w:r>
      <w:r w:rsidR="00463C69">
        <w:rPr>
          <w:rFonts w:ascii="Arial" w:hAnsi="Arial" w:cs="Arial"/>
          <w:sz w:val="24"/>
          <w:szCs w:val="24"/>
        </w:rPr>
        <w:t xml:space="preserve">nte recurso de reposición y en subsidio el de apelación </w:t>
      </w:r>
      <w:r w:rsidRPr="00775EDB">
        <w:rPr>
          <w:rFonts w:ascii="Arial" w:hAnsi="Arial" w:cs="Arial"/>
          <w:sz w:val="24"/>
          <w:szCs w:val="24"/>
        </w:rPr>
        <w:t>y expone</w:t>
      </w:r>
      <w:r w:rsidR="00C056F9">
        <w:rPr>
          <w:rFonts w:ascii="Arial" w:hAnsi="Arial" w:cs="Arial"/>
          <w:sz w:val="24"/>
          <w:szCs w:val="24"/>
        </w:rPr>
        <w:t xml:space="preserve"> </w:t>
      </w:r>
      <w:r w:rsidRPr="00775EDB">
        <w:rPr>
          <w:rFonts w:ascii="Arial" w:hAnsi="Arial" w:cs="Arial"/>
          <w:sz w:val="24"/>
          <w:szCs w:val="24"/>
        </w:rPr>
        <w:t xml:space="preserve">que </w:t>
      </w:r>
      <w:r w:rsidR="00463C69">
        <w:rPr>
          <w:rFonts w:ascii="Arial" w:hAnsi="Arial" w:cs="Arial"/>
          <w:sz w:val="24"/>
          <w:szCs w:val="24"/>
        </w:rPr>
        <w:t>disuelta la sociedad, en algunos casos, la responsabilidad queda en el liquidador, quien asume, una vez designado, la totalidad de las funciones administrativas del ente, quien debe obrar con lealtad buena fe.</w:t>
      </w:r>
    </w:p>
    <w:p w:rsidR="00A11A16" w:rsidRDefault="00A11A16" w:rsidP="00BB1A6E">
      <w:pPr>
        <w:spacing w:line="276" w:lineRule="auto"/>
        <w:contextualSpacing/>
        <w:jc w:val="both"/>
        <w:rPr>
          <w:rFonts w:ascii="Arial" w:hAnsi="Arial" w:cs="Arial"/>
          <w:sz w:val="24"/>
          <w:szCs w:val="24"/>
        </w:rPr>
      </w:pPr>
    </w:p>
    <w:p w:rsidR="00BB1A6E" w:rsidRPr="00775EDB" w:rsidRDefault="00463C69" w:rsidP="00BB1A6E">
      <w:pPr>
        <w:spacing w:line="276" w:lineRule="auto"/>
        <w:contextualSpacing/>
        <w:jc w:val="both"/>
        <w:rPr>
          <w:rFonts w:ascii="Arial" w:hAnsi="Arial" w:cs="Arial"/>
          <w:sz w:val="24"/>
          <w:szCs w:val="24"/>
        </w:rPr>
      </w:pPr>
      <w:r>
        <w:rPr>
          <w:rFonts w:ascii="Arial" w:hAnsi="Arial" w:cs="Arial"/>
          <w:sz w:val="24"/>
          <w:szCs w:val="24"/>
        </w:rPr>
        <w:t xml:space="preserve">Para el efecto cita los artículos 200, 242, 255, 256 del </w:t>
      </w:r>
      <w:proofErr w:type="spellStart"/>
      <w:r>
        <w:rPr>
          <w:rFonts w:ascii="Arial" w:hAnsi="Arial" w:cs="Arial"/>
          <w:sz w:val="24"/>
          <w:szCs w:val="24"/>
        </w:rPr>
        <w:t>C.Co</w:t>
      </w:r>
      <w:proofErr w:type="spellEnd"/>
      <w:r>
        <w:rPr>
          <w:rFonts w:ascii="Arial" w:hAnsi="Arial" w:cs="Arial"/>
          <w:sz w:val="24"/>
          <w:szCs w:val="24"/>
        </w:rPr>
        <w:t xml:space="preserve"> y 25, 166 de la Ley 222 de 1995</w:t>
      </w:r>
      <w:r w:rsidR="00A11A16">
        <w:rPr>
          <w:rFonts w:ascii="Arial" w:hAnsi="Arial" w:cs="Arial"/>
          <w:sz w:val="24"/>
          <w:szCs w:val="24"/>
        </w:rPr>
        <w:t>, algunos de estos cánones se refieren a las acciones en contra de liquidador</w:t>
      </w:r>
      <w:r w:rsidR="00D30BC4">
        <w:rPr>
          <w:rFonts w:ascii="Arial" w:hAnsi="Arial" w:cs="Arial"/>
          <w:sz w:val="24"/>
          <w:szCs w:val="24"/>
        </w:rPr>
        <w:t xml:space="preserve"> y así</w:t>
      </w:r>
      <w:r w:rsidR="00A11A16">
        <w:rPr>
          <w:rFonts w:ascii="Arial" w:hAnsi="Arial" w:cs="Arial"/>
          <w:sz w:val="24"/>
          <w:szCs w:val="24"/>
        </w:rPr>
        <w:t xml:space="preserve"> conclu</w:t>
      </w:r>
      <w:r w:rsidR="00D30BC4">
        <w:rPr>
          <w:rFonts w:ascii="Arial" w:hAnsi="Arial" w:cs="Arial"/>
          <w:sz w:val="24"/>
          <w:szCs w:val="24"/>
        </w:rPr>
        <w:t>ye</w:t>
      </w:r>
      <w:r>
        <w:rPr>
          <w:rFonts w:ascii="Arial" w:hAnsi="Arial" w:cs="Arial"/>
          <w:sz w:val="24"/>
          <w:szCs w:val="24"/>
        </w:rPr>
        <w:t xml:space="preserve"> que la liquidadora debe continuar con la representación de </w:t>
      </w:r>
      <w:proofErr w:type="spellStart"/>
      <w:r>
        <w:rPr>
          <w:rFonts w:ascii="Arial" w:hAnsi="Arial" w:cs="Arial"/>
          <w:sz w:val="24"/>
          <w:szCs w:val="24"/>
        </w:rPr>
        <w:t>Promasivo</w:t>
      </w:r>
      <w:proofErr w:type="spellEnd"/>
      <w:r w:rsidR="00537142">
        <w:rPr>
          <w:rFonts w:ascii="Arial" w:hAnsi="Arial" w:cs="Arial"/>
          <w:sz w:val="24"/>
          <w:szCs w:val="24"/>
        </w:rPr>
        <w:t xml:space="preserve"> </w:t>
      </w:r>
      <w:proofErr w:type="spellStart"/>
      <w:r w:rsidR="00537142">
        <w:rPr>
          <w:rFonts w:ascii="Arial" w:hAnsi="Arial" w:cs="Arial"/>
          <w:sz w:val="24"/>
          <w:szCs w:val="24"/>
        </w:rPr>
        <w:t>S.A</w:t>
      </w:r>
      <w:proofErr w:type="spellEnd"/>
      <w:r w:rsidR="00537142">
        <w:rPr>
          <w:rFonts w:ascii="Arial" w:hAnsi="Arial" w:cs="Arial"/>
          <w:sz w:val="24"/>
          <w:szCs w:val="24"/>
        </w:rPr>
        <w:t>;</w:t>
      </w:r>
      <w:r>
        <w:rPr>
          <w:rFonts w:ascii="Arial" w:hAnsi="Arial" w:cs="Arial"/>
          <w:sz w:val="24"/>
          <w:szCs w:val="24"/>
        </w:rPr>
        <w:t xml:space="preserve"> máxime que se solicitó ante la Superintendencia de Sociedades el reconocimiento del crédito y se notificó de la demanda.</w:t>
      </w:r>
      <w:r w:rsidR="00997438">
        <w:rPr>
          <w:rFonts w:ascii="Arial" w:hAnsi="Arial" w:cs="Arial"/>
          <w:sz w:val="24"/>
          <w:szCs w:val="24"/>
        </w:rPr>
        <w:t xml:space="preserve"> Por lo que solicita se revoque la decisión y se disponga su emplazamiento. </w:t>
      </w:r>
      <w:r>
        <w:rPr>
          <w:rFonts w:ascii="Arial" w:hAnsi="Arial" w:cs="Arial"/>
          <w:sz w:val="24"/>
          <w:szCs w:val="24"/>
        </w:rPr>
        <w:t xml:space="preserve"> </w:t>
      </w:r>
    </w:p>
    <w:p w:rsidR="00BB1A6E" w:rsidRDefault="00BB1A6E" w:rsidP="00BB1A6E">
      <w:pPr>
        <w:spacing w:line="276" w:lineRule="auto"/>
        <w:contextualSpacing/>
        <w:jc w:val="both"/>
        <w:rPr>
          <w:rFonts w:ascii="Arial" w:hAnsi="Arial" w:cs="Arial"/>
          <w:b/>
          <w:sz w:val="24"/>
          <w:szCs w:val="24"/>
        </w:rPr>
      </w:pPr>
    </w:p>
    <w:p w:rsidR="00CB23F8" w:rsidRDefault="00CB23F8" w:rsidP="00BB1A6E">
      <w:pPr>
        <w:spacing w:line="276" w:lineRule="auto"/>
        <w:contextualSpacing/>
        <w:jc w:val="both"/>
        <w:rPr>
          <w:rFonts w:ascii="Arial" w:hAnsi="Arial" w:cs="Arial"/>
          <w:b/>
          <w:sz w:val="24"/>
          <w:szCs w:val="24"/>
        </w:rPr>
      </w:pPr>
    </w:p>
    <w:p w:rsidR="001A7DC1" w:rsidRPr="00A5267D" w:rsidRDefault="001A7DC1" w:rsidP="00A5267D">
      <w:pPr>
        <w:spacing w:line="276" w:lineRule="auto"/>
        <w:contextualSpacing/>
        <w:jc w:val="center"/>
        <w:rPr>
          <w:rFonts w:ascii="Arial" w:hAnsi="Arial" w:cs="Arial"/>
          <w:b/>
          <w:sz w:val="24"/>
          <w:szCs w:val="24"/>
        </w:rPr>
      </w:pPr>
      <w:r w:rsidRPr="00A5267D">
        <w:rPr>
          <w:rFonts w:ascii="Arial" w:hAnsi="Arial" w:cs="Arial"/>
          <w:b/>
          <w:sz w:val="24"/>
          <w:szCs w:val="24"/>
        </w:rPr>
        <w:t>CONSIDERACIONES</w:t>
      </w:r>
    </w:p>
    <w:p w:rsidR="00D04E8F" w:rsidRDefault="00D04E8F" w:rsidP="004F71B0">
      <w:pPr>
        <w:spacing w:line="276" w:lineRule="auto"/>
        <w:contextualSpacing/>
        <w:jc w:val="both"/>
        <w:rPr>
          <w:rFonts w:ascii="Arial" w:hAnsi="Arial" w:cs="Arial"/>
          <w:b/>
          <w:sz w:val="24"/>
          <w:szCs w:val="24"/>
        </w:rPr>
      </w:pPr>
    </w:p>
    <w:p w:rsidR="001A7DC1" w:rsidRPr="004F71B0" w:rsidRDefault="007955BC" w:rsidP="004F71B0">
      <w:pPr>
        <w:spacing w:line="276" w:lineRule="auto"/>
        <w:contextualSpacing/>
        <w:jc w:val="both"/>
        <w:rPr>
          <w:rFonts w:ascii="Arial" w:hAnsi="Arial" w:cs="Arial"/>
          <w:b/>
          <w:sz w:val="24"/>
          <w:szCs w:val="24"/>
        </w:rPr>
      </w:pPr>
      <w:r>
        <w:rPr>
          <w:rFonts w:ascii="Arial" w:hAnsi="Arial" w:cs="Arial"/>
          <w:b/>
          <w:sz w:val="24"/>
          <w:szCs w:val="24"/>
        </w:rPr>
        <w:t xml:space="preserve">1. </w:t>
      </w:r>
      <w:r w:rsidR="001A7DC1" w:rsidRPr="004F71B0">
        <w:rPr>
          <w:rFonts w:ascii="Arial" w:hAnsi="Arial" w:cs="Arial"/>
          <w:b/>
          <w:sz w:val="24"/>
          <w:szCs w:val="24"/>
        </w:rPr>
        <w:t>Problema</w:t>
      </w:r>
      <w:r w:rsidR="00C70B3B">
        <w:rPr>
          <w:rFonts w:ascii="Arial" w:hAnsi="Arial" w:cs="Arial"/>
          <w:b/>
          <w:sz w:val="24"/>
          <w:szCs w:val="24"/>
        </w:rPr>
        <w:t>s</w:t>
      </w:r>
      <w:r w:rsidR="001A7DC1" w:rsidRPr="004F71B0">
        <w:rPr>
          <w:rFonts w:ascii="Arial" w:hAnsi="Arial" w:cs="Arial"/>
          <w:b/>
          <w:sz w:val="24"/>
          <w:szCs w:val="24"/>
        </w:rPr>
        <w:t xml:space="preserve"> jurídico</w:t>
      </w:r>
      <w:r w:rsidR="00C70B3B">
        <w:rPr>
          <w:rFonts w:ascii="Arial" w:hAnsi="Arial" w:cs="Arial"/>
          <w:b/>
          <w:sz w:val="24"/>
          <w:szCs w:val="24"/>
        </w:rPr>
        <w:t>s</w:t>
      </w:r>
    </w:p>
    <w:p w:rsidR="007955BC" w:rsidRDefault="007955BC" w:rsidP="007955BC">
      <w:pPr>
        <w:spacing w:line="276" w:lineRule="auto"/>
        <w:contextualSpacing/>
        <w:jc w:val="both"/>
        <w:rPr>
          <w:rFonts w:ascii="Arial" w:hAnsi="Arial" w:cs="Arial"/>
          <w:b/>
          <w:sz w:val="24"/>
          <w:szCs w:val="24"/>
        </w:rPr>
      </w:pPr>
    </w:p>
    <w:p w:rsidR="001840ED" w:rsidRDefault="007955BC" w:rsidP="001840ED">
      <w:pPr>
        <w:spacing w:line="276" w:lineRule="auto"/>
        <w:contextualSpacing/>
        <w:jc w:val="both"/>
        <w:rPr>
          <w:rFonts w:ascii="Arial" w:hAnsi="Arial" w:cs="Arial"/>
          <w:sz w:val="24"/>
          <w:szCs w:val="24"/>
        </w:rPr>
      </w:pPr>
      <w:r w:rsidRPr="007955BC">
        <w:rPr>
          <w:rFonts w:ascii="Arial" w:hAnsi="Arial" w:cs="Arial"/>
          <w:sz w:val="24"/>
          <w:szCs w:val="24"/>
        </w:rPr>
        <w:t>En atención a lo expuesto</w:t>
      </w:r>
      <w:r w:rsidR="00A60833">
        <w:rPr>
          <w:rFonts w:ascii="Arial" w:hAnsi="Arial" w:cs="Arial"/>
          <w:sz w:val="24"/>
          <w:szCs w:val="24"/>
        </w:rPr>
        <w:t xml:space="preserve">, la Sala </w:t>
      </w:r>
      <w:r w:rsidRPr="007955BC">
        <w:rPr>
          <w:rFonts w:ascii="Arial" w:hAnsi="Arial" w:cs="Arial"/>
          <w:sz w:val="24"/>
          <w:szCs w:val="24"/>
        </w:rPr>
        <w:t>se formula los siguientes interrogantes:</w:t>
      </w:r>
    </w:p>
    <w:p w:rsidR="001840ED" w:rsidRDefault="001840ED" w:rsidP="001840ED">
      <w:pPr>
        <w:spacing w:line="276" w:lineRule="auto"/>
        <w:contextualSpacing/>
        <w:jc w:val="both"/>
        <w:rPr>
          <w:rFonts w:ascii="Arial" w:hAnsi="Arial" w:cs="Arial"/>
          <w:sz w:val="24"/>
          <w:szCs w:val="24"/>
        </w:rPr>
      </w:pPr>
    </w:p>
    <w:p w:rsidR="001840ED" w:rsidRDefault="00C70B3B" w:rsidP="001840ED">
      <w:pPr>
        <w:spacing w:line="276" w:lineRule="auto"/>
        <w:contextualSpacing/>
        <w:jc w:val="both"/>
        <w:rPr>
          <w:rFonts w:ascii="Arial" w:hAnsi="Arial" w:cs="Arial"/>
          <w:iCs/>
          <w:sz w:val="24"/>
          <w:szCs w:val="24"/>
        </w:rPr>
      </w:pPr>
      <w:r>
        <w:rPr>
          <w:rFonts w:ascii="Arial" w:hAnsi="Arial" w:cs="Arial"/>
          <w:sz w:val="24"/>
          <w:szCs w:val="24"/>
        </w:rPr>
        <w:t xml:space="preserve">1. </w:t>
      </w:r>
      <w:r w:rsidR="001A7DC1" w:rsidRPr="00C6077C">
        <w:rPr>
          <w:rFonts w:ascii="Arial" w:hAnsi="Arial" w:cs="Arial"/>
          <w:sz w:val="24"/>
          <w:szCs w:val="24"/>
        </w:rPr>
        <w:t>¿</w:t>
      </w:r>
      <w:r>
        <w:rPr>
          <w:rFonts w:ascii="Arial" w:hAnsi="Arial" w:cs="Arial"/>
          <w:sz w:val="24"/>
          <w:szCs w:val="24"/>
        </w:rPr>
        <w:t xml:space="preserve">La falta de </w:t>
      </w:r>
      <w:r w:rsidR="008D12E0">
        <w:rPr>
          <w:rFonts w:ascii="Arial" w:hAnsi="Arial" w:cs="Arial"/>
          <w:sz w:val="24"/>
          <w:szCs w:val="24"/>
        </w:rPr>
        <w:t xml:space="preserve">capacidad para ser parte </w:t>
      </w:r>
      <w:r>
        <w:rPr>
          <w:rFonts w:ascii="Arial" w:hAnsi="Arial" w:cs="Arial"/>
          <w:sz w:val="24"/>
          <w:szCs w:val="24"/>
        </w:rPr>
        <w:t>configura la causal de nulidad</w:t>
      </w:r>
      <w:r w:rsidR="001A7DC1" w:rsidRPr="00C6077C">
        <w:rPr>
          <w:rFonts w:ascii="Arial" w:hAnsi="Arial" w:cs="Arial"/>
          <w:iCs/>
          <w:sz w:val="24"/>
          <w:szCs w:val="24"/>
        </w:rPr>
        <w:t>?</w:t>
      </w:r>
    </w:p>
    <w:p w:rsidR="001840ED" w:rsidRDefault="001840ED" w:rsidP="001840ED">
      <w:pPr>
        <w:spacing w:line="276" w:lineRule="auto"/>
        <w:contextualSpacing/>
        <w:jc w:val="both"/>
        <w:rPr>
          <w:rFonts w:ascii="Arial" w:hAnsi="Arial" w:cs="Arial"/>
          <w:iCs/>
          <w:sz w:val="24"/>
          <w:szCs w:val="24"/>
        </w:rPr>
      </w:pPr>
    </w:p>
    <w:p w:rsidR="007955BC" w:rsidRDefault="007955BC" w:rsidP="001A7DC1">
      <w:pPr>
        <w:pStyle w:val="Textoindependiente"/>
        <w:spacing w:line="276" w:lineRule="auto"/>
        <w:contextualSpacing/>
        <w:rPr>
          <w:rFonts w:cs="Arial"/>
          <w:b/>
          <w:iCs/>
          <w:sz w:val="24"/>
          <w:szCs w:val="24"/>
        </w:rPr>
      </w:pPr>
      <w:r w:rsidRPr="007955BC">
        <w:rPr>
          <w:rFonts w:cs="Arial"/>
          <w:b/>
          <w:iCs/>
          <w:sz w:val="24"/>
          <w:szCs w:val="24"/>
        </w:rPr>
        <w:t>2. Solución a los interrogantes planteados</w:t>
      </w:r>
    </w:p>
    <w:p w:rsidR="007955BC" w:rsidRPr="007955BC" w:rsidRDefault="007955BC" w:rsidP="001A7DC1">
      <w:pPr>
        <w:pStyle w:val="Textoindependiente"/>
        <w:spacing w:line="276" w:lineRule="auto"/>
        <w:contextualSpacing/>
        <w:rPr>
          <w:rFonts w:cs="Arial"/>
          <w:b/>
          <w:iCs/>
          <w:sz w:val="24"/>
          <w:szCs w:val="24"/>
        </w:rPr>
      </w:pPr>
    </w:p>
    <w:p w:rsidR="007457C2" w:rsidRPr="007457C2" w:rsidRDefault="007457C2" w:rsidP="00337692">
      <w:pPr>
        <w:pStyle w:val="Textoindependiente"/>
        <w:spacing w:line="276" w:lineRule="auto"/>
        <w:contextualSpacing/>
        <w:rPr>
          <w:rFonts w:cs="Arial"/>
          <w:b/>
          <w:iCs/>
          <w:sz w:val="24"/>
          <w:szCs w:val="24"/>
        </w:rPr>
      </w:pPr>
    </w:p>
    <w:p w:rsidR="00337692" w:rsidRPr="00FD3950" w:rsidRDefault="00FC6583"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Arial" w:hAnsi="Arial" w:cs="Arial"/>
          <w:b/>
          <w:sz w:val="24"/>
          <w:szCs w:val="24"/>
        </w:rPr>
      </w:pPr>
      <w:r>
        <w:rPr>
          <w:rFonts w:ascii="Arial" w:hAnsi="Arial" w:cs="Arial"/>
          <w:b/>
          <w:sz w:val="24"/>
          <w:szCs w:val="24"/>
        </w:rPr>
        <w:t xml:space="preserve">2.1 </w:t>
      </w:r>
      <w:r w:rsidR="003A7DA8" w:rsidRPr="00FD3950">
        <w:rPr>
          <w:rFonts w:ascii="Arial" w:hAnsi="Arial" w:cs="Arial"/>
          <w:b/>
          <w:sz w:val="24"/>
          <w:szCs w:val="24"/>
        </w:rPr>
        <w:t>D</w:t>
      </w:r>
      <w:r w:rsidR="00C17EC1" w:rsidRPr="00FD3950">
        <w:rPr>
          <w:rFonts w:ascii="Arial" w:hAnsi="Arial" w:cs="Arial"/>
          <w:b/>
          <w:sz w:val="24"/>
          <w:szCs w:val="24"/>
        </w:rPr>
        <w:t>el</w:t>
      </w:r>
      <w:r w:rsidR="00337692" w:rsidRPr="00FD3950">
        <w:rPr>
          <w:rFonts w:ascii="Arial" w:hAnsi="Arial" w:cs="Arial"/>
          <w:b/>
          <w:sz w:val="24"/>
          <w:szCs w:val="24"/>
        </w:rPr>
        <w:t xml:space="preserve"> régimen de las nulidades procesales </w:t>
      </w:r>
    </w:p>
    <w:p w:rsidR="009E6ACF" w:rsidRDefault="009E6ACF" w:rsidP="00203219">
      <w:pPr>
        <w:autoSpaceDE w:val="0"/>
        <w:autoSpaceDN w:val="0"/>
        <w:adjustRightInd w:val="0"/>
        <w:spacing w:after="0" w:line="276" w:lineRule="auto"/>
        <w:jc w:val="both"/>
        <w:rPr>
          <w:rFonts w:ascii="Arial" w:eastAsia="Arial Unicode MS" w:hAnsi="Arial" w:cs="Arial"/>
          <w:sz w:val="24"/>
          <w:szCs w:val="24"/>
        </w:rPr>
      </w:pPr>
    </w:p>
    <w:p w:rsidR="00470E67" w:rsidRPr="003A7DA8" w:rsidRDefault="00470E67" w:rsidP="00203219">
      <w:pPr>
        <w:autoSpaceDE w:val="0"/>
        <w:autoSpaceDN w:val="0"/>
        <w:adjustRightInd w:val="0"/>
        <w:spacing w:after="0" w:line="276" w:lineRule="auto"/>
        <w:jc w:val="both"/>
        <w:rPr>
          <w:rFonts w:ascii="Arial" w:eastAsia="Arial Unicode MS" w:hAnsi="Arial" w:cs="Arial"/>
          <w:sz w:val="24"/>
          <w:szCs w:val="24"/>
        </w:rPr>
      </w:pPr>
      <w:r w:rsidRPr="003A7DA8">
        <w:rPr>
          <w:rFonts w:ascii="Arial" w:eastAsia="Arial Unicode MS" w:hAnsi="Arial" w:cs="Arial"/>
          <w:sz w:val="24"/>
          <w:szCs w:val="24"/>
        </w:rPr>
        <w:t>En torno a las nulidades procesales, hay una serie de p</w:t>
      </w:r>
      <w:r w:rsidR="00E9144C">
        <w:rPr>
          <w:rFonts w:ascii="Arial" w:eastAsia="Arial Unicode MS" w:hAnsi="Arial" w:cs="Arial"/>
          <w:sz w:val="24"/>
          <w:szCs w:val="24"/>
        </w:rPr>
        <w:t>rincipios</w:t>
      </w:r>
      <w:r w:rsidRPr="003A7DA8">
        <w:rPr>
          <w:rFonts w:ascii="Arial" w:eastAsia="Arial Unicode MS" w:hAnsi="Arial" w:cs="Arial"/>
          <w:sz w:val="24"/>
          <w:szCs w:val="24"/>
        </w:rPr>
        <w:t xml:space="preserve"> que las regulan, que deben guiar la decisión del juez cuando </w:t>
      </w:r>
      <w:r w:rsidR="009E6ACF">
        <w:rPr>
          <w:rFonts w:ascii="Arial" w:eastAsia="Arial Unicode MS" w:hAnsi="Arial" w:cs="Arial"/>
          <w:sz w:val="24"/>
          <w:szCs w:val="24"/>
        </w:rPr>
        <w:t xml:space="preserve">estime que está en presencia de </w:t>
      </w:r>
      <w:r w:rsidRPr="003A7DA8">
        <w:rPr>
          <w:rFonts w:ascii="Arial" w:eastAsia="Arial Unicode MS" w:hAnsi="Arial" w:cs="Arial"/>
          <w:sz w:val="24"/>
          <w:szCs w:val="24"/>
        </w:rPr>
        <w:t xml:space="preserve">una irregularidad que se tilde como generadora de nulidad del proceso. Entre ellos, los de </w:t>
      </w:r>
      <w:r w:rsidRPr="003A7DA8">
        <w:rPr>
          <w:rFonts w:ascii="Arial" w:eastAsia="Arial Unicode MS" w:hAnsi="Arial" w:cs="Arial"/>
          <w:bCs/>
          <w:sz w:val="24"/>
          <w:szCs w:val="24"/>
        </w:rPr>
        <w:t>especificidad,</w:t>
      </w:r>
      <w:r w:rsidR="00BB4E2C">
        <w:rPr>
          <w:rFonts w:ascii="Arial" w:eastAsia="Arial Unicode MS" w:hAnsi="Arial" w:cs="Arial"/>
          <w:bCs/>
          <w:sz w:val="24"/>
          <w:szCs w:val="24"/>
        </w:rPr>
        <w:t xml:space="preserve"> </w:t>
      </w:r>
      <w:r w:rsidRPr="003A7DA8">
        <w:rPr>
          <w:rFonts w:ascii="Arial" w:eastAsia="Arial Unicode MS" w:hAnsi="Arial" w:cs="Arial"/>
          <w:bCs/>
          <w:sz w:val="24"/>
          <w:szCs w:val="24"/>
        </w:rPr>
        <w:t>protección, convalidación, trascendencia</w:t>
      </w:r>
      <w:r w:rsidR="000D3120">
        <w:rPr>
          <w:rFonts w:ascii="Arial" w:eastAsia="Arial Unicode MS" w:hAnsi="Arial" w:cs="Arial"/>
          <w:bCs/>
          <w:sz w:val="24"/>
          <w:szCs w:val="24"/>
        </w:rPr>
        <w:t>;</w:t>
      </w:r>
      <w:r w:rsidRPr="003A7DA8">
        <w:rPr>
          <w:rFonts w:ascii="Arial" w:eastAsia="Arial Unicode MS" w:hAnsi="Arial" w:cs="Arial"/>
          <w:bCs/>
          <w:sz w:val="24"/>
          <w:szCs w:val="24"/>
        </w:rPr>
        <w:t xml:space="preserve"> que se encuentran </w:t>
      </w:r>
      <w:r w:rsidRPr="003A7DA8">
        <w:rPr>
          <w:rFonts w:ascii="Arial" w:eastAsia="Arial Unicode MS" w:hAnsi="Arial" w:cs="Arial"/>
          <w:sz w:val="24"/>
          <w:szCs w:val="24"/>
        </w:rPr>
        <w:t xml:space="preserve">desarrollados en el estatuto </w:t>
      </w:r>
      <w:r w:rsidR="00BB4E2C">
        <w:rPr>
          <w:rFonts w:ascii="Arial" w:eastAsia="Arial Unicode MS" w:hAnsi="Arial" w:cs="Arial"/>
          <w:sz w:val="24"/>
          <w:szCs w:val="24"/>
        </w:rPr>
        <w:t xml:space="preserve">adjetivo </w:t>
      </w:r>
      <w:r w:rsidRPr="003A7DA8">
        <w:rPr>
          <w:rFonts w:ascii="Arial" w:eastAsia="Arial Unicode MS" w:hAnsi="Arial" w:cs="Arial"/>
          <w:sz w:val="24"/>
          <w:szCs w:val="24"/>
        </w:rPr>
        <w:t xml:space="preserve">civil, </w:t>
      </w:r>
      <w:r w:rsidR="00E66AFA">
        <w:rPr>
          <w:rFonts w:ascii="Arial" w:eastAsia="Arial Unicode MS" w:hAnsi="Arial" w:cs="Arial"/>
          <w:sz w:val="24"/>
          <w:szCs w:val="24"/>
        </w:rPr>
        <w:t>que le es</w:t>
      </w:r>
      <w:r w:rsidRPr="003A7DA8">
        <w:rPr>
          <w:rFonts w:ascii="Arial" w:eastAsia="Arial Unicode MS" w:hAnsi="Arial" w:cs="Arial"/>
          <w:sz w:val="24"/>
          <w:szCs w:val="24"/>
        </w:rPr>
        <w:t xml:space="preserve"> aplicable por analogía al proceso laboral conforme al artículo 145 del C.P.</w:t>
      </w:r>
      <w:r w:rsidR="00BB4E2C">
        <w:rPr>
          <w:rFonts w:ascii="Arial" w:eastAsia="Arial Unicode MS" w:hAnsi="Arial" w:cs="Arial"/>
          <w:sz w:val="24"/>
          <w:szCs w:val="24"/>
        </w:rPr>
        <w:t xml:space="preserve">L </w:t>
      </w:r>
      <w:r w:rsidR="003F55F3">
        <w:rPr>
          <w:rFonts w:ascii="Arial" w:eastAsia="Arial Unicode MS" w:hAnsi="Arial" w:cs="Arial"/>
          <w:sz w:val="24"/>
          <w:szCs w:val="24"/>
        </w:rPr>
        <w:t>y</w:t>
      </w:r>
      <w:r w:rsidR="00BB4E2C">
        <w:rPr>
          <w:rFonts w:ascii="Arial" w:eastAsia="Arial Unicode MS" w:hAnsi="Arial" w:cs="Arial"/>
          <w:sz w:val="24"/>
          <w:szCs w:val="24"/>
        </w:rPr>
        <w:t xml:space="preserve"> canon 1 del CGP. </w:t>
      </w:r>
      <w:r w:rsidRPr="003A7DA8">
        <w:rPr>
          <w:rFonts w:ascii="Arial" w:eastAsia="Arial Unicode MS" w:hAnsi="Arial" w:cs="Arial"/>
          <w:sz w:val="24"/>
          <w:szCs w:val="24"/>
        </w:rPr>
        <w:t xml:space="preserve"> </w:t>
      </w:r>
    </w:p>
    <w:p w:rsidR="00470E67" w:rsidRPr="003A7DA8" w:rsidRDefault="00470E67" w:rsidP="00203219">
      <w:pPr>
        <w:spacing w:after="0" w:line="276" w:lineRule="auto"/>
        <w:jc w:val="both"/>
        <w:rPr>
          <w:rFonts w:ascii="Arial" w:eastAsia="Arial Unicode MS" w:hAnsi="Arial" w:cs="Arial"/>
          <w:sz w:val="24"/>
          <w:szCs w:val="24"/>
        </w:rPr>
      </w:pPr>
    </w:p>
    <w:p w:rsidR="00C32AC8" w:rsidRDefault="00470E67" w:rsidP="00203219">
      <w:pPr>
        <w:spacing w:after="0" w:line="276" w:lineRule="auto"/>
        <w:jc w:val="both"/>
        <w:rPr>
          <w:rFonts w:ascii="Arial" w:eastAsia="Arial Unicode MS" w:hAnsi="Arial" w:cs="Arial"/>
          <w:sz w:val="24"/>
          <w:szCs w:val="24"/>
        </w:rPr>
      </w:pPr>
      <w:r w:rsidRPr="003A7DA8">
        <w:rPr>
          <w:rFonts w:ascii="Arial" w:eastAsia="Arial Unicode MS" w:hAnsi="Arial" w:cs="Arial"/>
          <w:sz w:val="24"/>
          <w:szCs w:val="24"/>
        </w:rPr>
        <w:t>Por especificidad</w:t>
      </w:r>
      <w:r w:rsidR="00265560">
        <w:rPr>
          <w:rFonts w:ascii="Arial" w:eastAsia="Arial Unicode MS" w:hAnsi="Arial" w:cs="Arial"/>
          <w:sz w:val="24"/>
          <w:szCs w:val="24"/>
        </w:rPr>
        <w:t xml:space="preserve"> o </w:t>
      </w:r>
      <w:proofErr w:type="spellStart"/>
      <w:r w:rsidR="00265560">
        <w:rPr>
          <w:rFonts w:ascii="Arial" w:eastAsia="Arial Unicode MS" w:hAnsi="Arial" w:cs="Arial"/>
          <w:sz w:val="24"/>
          <w:szCs w:val="24"/>
        </w:rPr>
        <w:t>taxatividad</w:t>
      </w:r>
      <w:proofErr w:type="spellEnd"/>
      <w:r w:rsidR="00E66AFA">
        <w:rPr>
          <w:rFonts w:ascii="Arial" w:eastAsia="Arial Unicode MS" w:hAnsi="Arial" w:cs="Arial"/>
          <w:sz w:val="24"/>
          <w:szCs w:val="24"/>
        </w:rPr>
        <w:t>, que es el que interesa en este asunto,</w:t>
      </w:r>
      <w:r w:rsidRPr="003A7DA8">
        <w:rPr>
          <w:rFonts w:ascii="Arial" w:eastAsia="Arial Unicode MS" w:hAnsi="Arial" w:cs="Arial"/>
          <w:sz w:val="24"/>
          <w:szCs w:val="24"/>
        </w:rPr>
        <w:t xml:space="preserve"> ha de entenderse la exigencia de </w:t>
      </w:r>
      <w:r w:rsidR="00FB5859">
        <w:rPr>
          <w:rFonts w:ascii="Arial" w:eastAsia="Arial Unicode MS" w:hAnsi="Arial" w:cs="Arial"/>
          <w:sz w:val="24"/>
          <w:szCs w:val="24"/>
        </w:rPr>
        <w:t xml:space="preserve">estar establecida en la ley </w:t>
      </w:r>
      <w:r w:rsidR="00C32AC8">
        <w:rPr>
          <w:rFonts w:ascii="Arial" w:eastAsia="Arial Unicode MS" w:hAnsi="Arial" w:cs="Arial"/>
          <w:sz w:val="24"/>
          <w:szCs w:val="24"/>
        </w:rPr>
        <w:t>la</w:t>
      </w:r>
      <w:r w:rsidRPr="003A7DA8">
        <w:rPr>
          <w:rFonts w:ascii="Arial" w:eastAsia="Arial Unicode MS" w:hAnsi="Arial" w:cs="Arial"/>
          <w:sz w:val="24"/>
          <w:szCs w:val="24"/>
        </w:rPr>
        <w:t xml:space="preserve"> causal de nulidad</w:t>
      </w:r>
      <w:r w:rsidR="00FB5859">
        <w:rPr>
          <w:rFonts w:ascii="Arial" w:eastAsia="Arial Unicode MS" w:hAnsi="Arial" w:cs="Arial"/>
          <w:sz w:val="24"/>
          <w:szCs w:val="24"/>
        </w:rPr>
        <w:t xml:space="preserve"> </w:t>
      </w:r>
      <w:r w:rsidR="00AA5CCC">
        <w:rPr>
          <w:rFonts w:ascii="Arial" w:eastAsia="Arial Unicode MS" w:hAnsi="Arial" w:cs="Arial"/>
          <w:sz w:val="24"/>
          <w:szCs w:val="24"/>
        </w:rPr>
        <w:t>de manera expresa</w:t>
      </w:r>
      <w:r w:rsidRPr="003A7DA8">
        <w:rPr>
          <w:rFonts w:ascii="Arial" w:eastAsia="Arial Unicode MS" w:hAnsi="Arial" w:cs="Arial"/>
          <w:sz w:val="24"/>
          <w:szCs w:val="24"/>
        </w:rPr>
        <w:t>, sin que sea admisible la analogía, de ahí que se afirme por el tratadista Hernán Fabio López Blanco</w:t>
      </w:r>
      <w:r w:rsidRPr="003A7DA8">
        <w:rPr>
          <w:rStyle w:val="Refdenotaalpie"/>
          <w:rFonts w:ascii="Arial" w:eastAsia="Arial Unicode MS" w:hAnsi="Arial" w:cs="Arial"/>
          <w:sz w:val="24"/>
          <w:szCs w:val="24"/>
        </w:rPr>
        <w:footnoteReference w:id="1"/>
      </w:r>
      <w:r w:rsidRPr="003A7DA8">
        <w:rPr>
          <w:rFonts w:ascii="Arial" w:eastAsia="Arial Unicode MS" w:hAnsi="Arial" w:cs="Arial"/>
          <w:sz w:val="24"/>
          <w:szCs w:val="24"/>
        </w:rPr>
        <w:t xml:space="preserve"> “</w:t>
      </w:r>
      <w:r w:rsidR="00FB5859" w:rsidRPr="00FB5859">
        <w:rPr>
          <w:rFonts w:ascii="Arial" w:eastAsia="Arial Unicode MS" w:hAnsi="Arial" w:cs="Arial"/>
          <w:i/>
          <w:sz w:val="24"/>
          <w:szCs w:val="24"/>
        </w:rPr>
        <w:t xml:space="preserve">No es posible, entonces, pretender encontrar nulidades de la actuación diversas a las que se originan </w:t>
      </w:r>
      <w:r w:rsidR="00C32AC8">
        <w:rPr>
          <w:rFonts w:ascii="Arial" w:eastAsia="Arial Unicode MS" w:hAnsi="Arial" w:cs="Arial"/>
          <w:i/>
          <w:sz w:val="24"/>
          <w:szCs w:val="24"/>
        </w:rPr>
        <w:t>e</w:t>
      </w:r>
      <w:r w:rsidR="00FB5859" w:rsidRPr="00FB5859">
        <w:rPr>
          <w:rFonts w:ascii="Arial" w:eastAsia="Arial Unicode MS" w:hAnsi="Arial" w:cs="Arial"/>
          <w:i/>
          <w:sz w:val="24"/>
          <w:szCs w:val="24"/>
        </w:rPr>
        <w:t>n los expresos y taxativos eventos contemplados en el art. 133 y cualquier otro intento de interpretación extensiva de los mismos debe ser repudiado</w:t>
      </w:r>
      <w:r w:rsidR="00FB5859">
        <w:rPr>
          <w:rFonts w:ascii="Arial" w:eastAsia="Arial Unicode MS" w:hAnsi="Arial" w:cs="Arial"/>
          <w:sz w:val="24"/>
          <w:szCs w:val="24"/>
        </w:rPr>
        <w:t>”</w:t>
      </w:r>
      <w:r w:rsidRPr="003A7DA8">
        <w:rPr>
          <w:rFonts w:ascii="Arial" w:eastAsia="Arial Unicode MS" w:hAnsi="Arial" w:cs="Arial"/>
          <w:sz w:val="24"/>
          <w:szCs w:val="24"/>
        </w:rPr>
        <w:t xml:space="preserve">. </w:t>
      </w:r>
    </w:p>
    <w:p w:rsidR="00C32AC8" w:rsidRDefault="00C32AC8" w:rsidP="00203219">
      <w:pPr>
        <w:spacing w:after="0" w:line="276" w:lineRule="auto"/>
        <w:jc w:val="both"/>
        <w:rPr>
          <w:rFonts w:ascii="Arial" w:eastAsia="Arial Unicode MS" w:hAnsi="Arial" w:cs="Arial"/>
          <w:sz w:val="24"/>
          <w:szCs w:val="24"/>
        </w:rPr>
      </w:pPr>
    </w:p>
    <w:p w:rsidR="00470E67" w:rsidRPr="003A7DA8" w:rsidRDefault="00FB5859" w:rsidP="00203219">
      <w:pPr>
        <w:spacing w:after="0" w:line="276" w:lineRule="auto"/>
        <w:jc w:val="both"/>
        <w:rPr>
          <w:rFonts w:ascii="Arial" w:eastAsia="Arial Unicode MS" w:hAnsi="Arial" w:cs="Arial"/>
          <w:sz w:val="24"/>
          <w:szCs w:val="24"/>
        </w:rPr>
      </w:pPr>
      <w:r>
        <w:rPr>
          <w:rFonts w:ascii="Arial" w:eastAsia="Arial Unicode MS" w:hAnsi="Arial" w:cs="Arial"/>
          <w:sz w:val="24"/>
          <w:szCs w:val="24"/>
        </w:rPr>
        <w:t xml:space="preserve">Sin </w:t>
      </w:r>
      <w:r w:rsidR="00406047">
        <w:rPr>
          <w:rFonts w:ascii="Arial" w:eastAsia="Arial Unicode MS" w:hAnsi="Arial" w:cs="Arial"/>
          <w:sz w:val="24"/>
          <w:szCs w:val="24"/>
        </w:rPr>
        <w:t xml:space="preserve">embargo, </w:t>
      </w:r>
      <w:r>
        <w:rPr>
          <w:rFonts w:ascii="Arial" w:eastAsia="Arial Unicode MS" w:hAnsi="Arial" w:cs="Arial"/>
          <w:sz w:val="24"/>
          <w:szCs w:val="24"/>
        </w:rPr>
        <w:t>el artículo 133</w:t>
      </w:r>
      <w:r w:rsidR="00406047">
        <w:rPr>
          <w:rFonts w:ascii="Arial" w:eastAsia="Arial Unicode MS" w:hAnsi="Arial" w:cs="Arial"/>
          <w:sz w:val="24"/>
          <w:szCs w:val="24"/>
        </w:rPr>
        <w:t xml:space="preserve"> no</w:t>
      </w:r>
      <w:r>
        <w:rPr>
          <w:rFonts w:ascii="Arial" w:eastAsia="Arial Unicode MS" w:hAnsi="Arial" w:cs="Arial"/>
          <w:sz w:val="24"/>
          <w:szCs w:val="24"/>
        </w:rPr>
        <w:t xml:space="preserve"> </w:t>
      </w:r>
      <w:r w:rsidR="00EB7DCB">
        <w:rPr>
          <w:rFonts w:ascii="Arial" w:eastAsia="Arial Unicode MS" w:hAnsi="Arial" w:cs="Arial"/>
          <w:sz w:val="24"/>
          <w:szCs w:val="24"/>
        </w:rPr>
        <w:t xml:space="preserve">es </w:t>
      </w:r>
      <w:r w:rsidR="00406047">
        <w:rPr>
          <w:rFonts w:ascii="Arial" w:eastAsia="Arial Unicode MS" w:hAnsi="Arial" w:cs="Arial"/>
          <w:sz w:val="24"/>
          <w:szCs w:val="24"/>
        </w:rPr>
        <w:t>e</w:t>
      </w:r>
      <w:r w:rsidR="00EB7DCB">
        <w:rPr>
          <w:rFonts w:ascii="Arial" w:eastAsia="Arial Unicode MS" w:hAnsi="Arial" w:cs="Arial"/>
          <w:sz w:val="24"/>
          <w:szCs w:val="24"/>
        </w:rPr>
        <w:t>l únic</w:t>
      </w:r>
      <w:r w:rsidR="00406047">
        <w:rPr>
          <w:rFonts w:ascii="Arial" w:eastAsia="Arial Unicode MS" w:hAnsi="Arial" w:cs="Arial"/>
          <w:sz w:val="24"/>
          <w:szCs w:val="24"/>
        </w:rPr>
        <w:t>o</w:t>
      </w:r>
      <w:r w:rsidR="00EB7DCB">
        <w:rPr>
          <w:rFonts w:ascii="Arial" w:eastAsia="Arial Unicode MS" w:hAnsi="Arial" w:cs="Arial"/>
          <w:sz w:val="24"/>
          <w:szCs w:val="24"/>
        </w:rPr>
        <w:t xml:space="preserve"> que contempla </w:t>
      </w:r>
      <w:r>
        <w:rPr>
          <w:rFonts w:ascii="Arial" w:eastAsia="Arial Unicode MS" w:hAnsi="Arial" w:cs="Arial"/>
          <w:sz w:val="24"/>
          <w:szCs w:val="24"/>
        </w:rPr>
        <w:t>los eventos que originan nulidades, pues el CGP establece otros</w:t>
      </w:r>
      <w:r w:rsidR="00EB7DCB">
        <w:rPr>
          <w:rFonts w:ascii="Arial" w:eastAsia="Arial Unicode MS" w:hAnsi="Arial" w:cs="Arial"/>
          <w:sz w:val="24"/>
          <w:szCs w:val="24"/>
        </w:rPr>
        <w:t xml:space="preserve"> en los </w:t>
      </w:r>
      <w:r>
        <w:rPr>
          <w:rFonts w:ascii="Arial" w:eastAsia="Arial Unicode MS" w:hAnsi="Arial" w:cs="Arial"/>
          <w:sz w:val="24"/>
          <w:szCs w:val="24"/>
        </w:rPr>
        <w:t xml:space="preserve">cánones </w:t>
      </w:r>
      <w:r w:rsidR="00EB7DCB">
        <w:rPr>
          <w:rFonts w:ascii="Arial" w:eastAsia="Arial Unicode MS" w:hAnsi="Arial" w:cs="Arial"/>
          <w:sz w:val="24"/>
          <w:szCs w:val="24"/>
        </w:rPr>
        <w:t>36,107.1,</w:t>
      </w:r>
      <w:r w:rsidR="00406047">
        <w:rPr>
          <w:rFonts w:ascii="Arial" w:eastAsia="Arial Unicode MS" w:hAnsi="Arial" w:cs="Arial"/>
          <w:sz w:val="24"/>
          <w:szCs w:val="24"/>
        </w:rPr>
        <w:t xml:space="preserve"> </w:t>
      </w:r>
      <w:r w:rsidR="00EB7DCB">
        <w:rPr>
          <w:rFonts w:ascii="Arial" w:eastAsia="Arial Unicode MS" w:hAnsi="Arial" w:cs="Arial"/>
          <w:sz w:val="24"/>
          <w:szCs w:val="24"/>
        </w:rPr>
        <w:t>40, inc.2,</w:t>
      </w:r>
      <w:r w:rsidR="003E0009">
        <w:rPr>
          <w:rFonts w:ascii="Arial" w:eastAsia="Arial Unicode MS" w:hAnsi="Arial" w:cs="Arial"/>
          <w:sz w:val="24"/>
          <w:szCs w:val="24"/>
        </w:rPr>
        <w:t xml:space="preserve"> </w:t>
      </w:r>
      <w:r w:rsidR="00EB7DCB">
        <w:rPr>
          <w:rFonts w:ascii="Arial" w:eastAsia="Arial Unicode MS" w:hAnsi="Arial" w:cs="Arial"/>
          <w:sz w:val="24"/>
          <w:szCs w:val="24"/>
        </w:rPr>
        <w:t xml:space="preserve">121, </w:t>
      </w:r>
      <w:proofErr w:type="spellStart"/>
      <w:r w:rsidR="00EB7DCB">
        <w:rPr>
          <w:rFonts w:ascii="Arial" w:eastAsia="Arial Unicode MS" w:hAnsi="Arial" w:cs="Arial"/>
          <w:sz w:val="24"/>
          <w:szCs w:val="24"/>
        </w:rPr>
        <w:t>inc</w:t>
      </w:r>
      <w:proofErr w:type="spellEnd"/>
      <w:r w:rsidR="00EB7DCB">
        <w:rPr>
          <w:rFonts w:ascii="Arial" w:eastAsia="Arial Unicode MS" w:hAnsi="Arial" w:cs="Arial"/>
          <w:sz w:val="24"/>
          <w:szCs w:val="24"/>
        </w:rPr>
        <w:t xml:space="preserve"> 6</w:t>
      </w:r>
      <w:r w:rsidR="00C32AC8">
        <w:rPr>
          <w:rFonts w:ascii="Arial" w:eastAsia="Arial Unicode MS" w:hAnsi="Arial" w:cs="Arial"/>
          <w:sz w:val="24"/>
          <w:szCs w:val="24"/>
        </w:rPr>
        <w:t>;</w:t>
      </w:r>
      <w:r w:rsidR="00EB7DCB">
        <w:rPr>
          <w:rFonts w:ascii="Arial" w:eastAsia="Arial Unicode MS" w:hAnsi="Arial" w:cs="Arial"/>
          <w:sz w:val="24"/>
          <w:szCs w:val="24"/>
        </w:rPr>
        <w:t xml:space="preserve"> 14 y 164. </w:t>
      </w:r>
      <w:r w:rsidR="00470E67" w:rsidRPr="003A7DA8">
        <w:rPr>
          <w:rFonts w:ascii="Arial" w:eastAsia="Arial Unicode MS" w:hAnsi="Arial" w:cs="Arial"/>
          <w:sz w:val="24"/>
          <w:szCs w:val="24"/>
        </w:rPr>
        <w:t>Se permitió así que sea la ley que determin</w:t>
      </w:r>
      <w:r w:rsidR="00406047">
        <w:rPr>
          <w:rFonts w:ascii="Arial" w:eastAsia="Arial Unicode MS" w:hAnsi="Arial" w:cs="Arial"/>
          <w:sz w:val="24"/>
          <w:szCs w:val="24"/>
        </w:rPr>
        <w:t>e</w:t>
      </w:r>
      <w:r w:rsidR="00470E67" w:rsidRPr="003A7DA8">
        <w:rPr>
          <w:rFonts w:ascii="Arial" w:eastAsia="Arial Unicode MS" w:hAnsi="Arial" w:cs="Arial"/>
          <w:sz w:val="24"/>
          <w:szCs w:val="24"/>
        </w:rPr>
        <w:t xml:space="preserve"> las formas procesales cuya inobservancia acarrean nulidad.</w:t>
      </w:r>
    </w:p>
    <w:p w:rsidR="00470E67" w:rsidRPr="003A7DA8" w:rsidRDefault="00470E67" w:rsidP="00203219">
      <w:pPr>
        <w:spacing w:after="0" w:line="276" w:lineRule="auto"/>
        <w:jc w:val="both"/>
        <w:rPr>
          <w:rFonts w:ascii="Arial" w:eastAsia="Arial Unicode MS" w:hAnsi="Arial" w:cs="Arial"/>
          <w:sz w:val="24"/>
          <w:szCs w:val="24"/>
        </w:rPr>
      </w:pPr>
    </w:p>
    <w:p w:rsidR="00AC6330" w:rsidRDefault="00434299" w:rsidP="00FC6583">
      <w:pPr>
        <w:pStyle w:val="Sinespaciado"/>
        <w:spacing w:line="276" w:lineRule="auto"/>
        <w:jc w:val="both"/>
        <w:rPr>
          <w:rFonts w:ascii="Arial" w:hAnsi="Arial" w:cs="Arial"/>
          <w:color w:val="000000"/>
        </w:rPr>
      </w:pPr>
      <w:r w:rsidRPr="003A7DA8">
        <w:rPr>
          <w:rFonts w:ascii="Arial" w:eastAsia="Arial Unicode MS" w:hAnsi="Arial" w:cs="Arial"/>
        </w:rPr>
        <w:t>Dentro del catálogo de nulidades</w:t>
      </w:r>
      <w:r w:rsidR="00CF6050">
        <w:rPr>
          <w:rFonts w:ascii="Arial" w:eastAsia="Arial Unicode MS" w:hAnsi="Arial" w:cs="Arial"/>
        </w:rPr>
        <w:t xml:space="preserve"> procesales</w:t>
      </w:r>
      <w:r w:rsidR="000D3120">
        <w:rPr>
          <w:rFonts w:ascii="Arial" w:eastAsia="Arial Unicode MS" w:hAnsi="Arial" w:cs="Arial"/>
        </w:rPr>
        <w:t xml:space="preserve"> no se encuentra la carencia del presupuesto procesal</w:t>
      </w:r>
      <w:r w:rsidR="00CF6050">
        <w:rPr>
          <w:rStyle w:val="Refdenotaalpie"/>
          <w:rFonts w:ascii="Arial" w:hAnsi="Arial" w:cs="Arial"/>
          <w:iCs/>
        </w:rPr>
        <w:footnoteReference w:id="2"/>
      </w:r>
      <w:r w:rsidR="00A7445A">
        <w:rPr>
          <w:rFonts w:ascii="Arial" w:eastAsia="Arial Unicode MS" w:hAnsi="Arial" w:cs="Arial"/>
        </w:rPr>
        <w:t xml:space="preserve"> capacidad p</w:t>
      </w:r>
      <w:r w:rsidR="000D3120">
        <w:rPr>
          <w:rFonts w:ascii="Arial" w:eastAsia="Arial Unicode MS" w:hAnsi="Arial" w:cs="Arial"/>
        </w:rPr>
        <w:t>ara ser parte</w:t>
      </w:r>
      <w:r w:rsidR="00CF6050">
        <w:rPr>
          <w:rFonts w:ascii="Arial" w:eastAsia="Arial Unicode MS" w:hAnsi="Arial" w:cs="Arial"/>
        </w:rPr>
        <w:t>; e</w:t>
      </w:r>
      <w:r w:rsidR="00AC6330">
        <w:rPr>
          <w:rFonts w:ascii="Arial" w:hAnsi="Arial" w:cs="Arial"/>
          <w:iCs/>
        </w:rPr>
        <w:t>ntendid</w:t>
      </w:r>
      <w:r w:rsidR="00CF6050">
        <w:rPr>
          <w:rFonts w:ascii="Arial" w:hAnsi="Arial" w:cs="Arial"/>
          <w:iCs/>
        </w:rPr>
        <w:t>a</w:t>
      </w:r>
      <w:r w:rsidR="00AC6330">
        <w:rPr>
          <w:rFonts w:ascii="Arial" w:hAnsi="Arial" w:cs="Arial"/>
          <w:iCs/>
        </w:rPr>
        <w:t xml:space="preserve"> </w:t>
      </w:r>
      <w:r w:rsidR="00FC6583">
        <w:rPr>
          <w:rFonts w:ascii="Arial" w:hAnsi="Arial" w:cs="Arial"/>
          <w:iCs/>
        </w:rPr>
        <w:t>esta como</w:t>
      </w:r>
      <w:r w:rsidR="00FC6583">
        <w:rPr>
          <w:rFonts w:ascii="Arial" w:eastAsiaTheme="minorHAnsi" w:hAnsi="Arial" w:cs="Arial"/>
          <w:sz w:val="22"/>
          <w:szCs w:val="22"/>
          <w:lang w:eastAsia="en-US"/>
        </w:rPr>
        <w:t xml:space="preserve"> </w:t>
      </w:r>
      <w:r w:rsidR="00AC6330" w:rsidRPr="009E33B4">
        <w:rPr>
          <w:rFonts w:ascii="Arial" w:hAnsi="Arial" w:cs="Arial"/>
        </w:rPr>
        <w:t>la aptitud para ser sujeto de derechos y obligaciones,</w:t>
      </w:r>
      <w:r w:rsidR="00AC6330">
        <w:rPr>
          <w:rFonts w:ascii="Arial" w:hAnsi="Arial" w:cs="Arial"/>
        </w:rPr>
        <w:t xml:space="preserve"> que </w:t>
      </w:r>
      <w:r w:rsidR="00AC6330" w:rsidRPr="009E33B4">
        <w:rPr>
          <w:rFonts w:ascii="Arial" w:hAnsi="Arial" w:cs="Arial"/>
        </w:rPr>
        <w:t>tiende a asegurar que la sentencia se dicte frente a sujetos de derecho</w:t>
      </w:r>
      <w:r w:rsidR="00AC6330">
        <w:rPr>
          <w:rFonts w:ascii="Arial" w:hAnsi="Arial" w:cs="Arial"/>
        </w:rPr>
        <w:t xml:space="preserve">; de ahí que se diga, que </w:t>
      </w:r>
      <w:r w:rsidR="00AC6330">
        <w:rPr>
          <w:rFonts w:ascii="Arial" w:hAnsi="Arial" w:cs="Arial"/>
          <w:color w:val="000000"/>
        </w:rPr>
        <w:t xml:space="preserve">la capacidad para ser parte </w:t>
      </w:r>
      <w:r w:rsidR="00AC6330" w:rsidRPr="009E33B4">
        <w:rPr>
          <w:rFonts w:ascii="Arial" w:hAnsi="Arial" w:cs="Arial"/>
          <w:color w:val="000000"/>
        </w:rPr>
        <w:t xml:space="preserve">es </w:t>
      </w:r>
      <w:r w:rsidR="00AC6330" w:rsidRPr="009A182D">
        <w:rPr>
          <w:rStyle w:val="FontStyle56"/>
          <w:rFonts w:ascii="Arial" w:hAnsi="Arial" w:cs="Arial"/>
          <w:sz w:val="24"/>
          <w:szCs w:val="24"/>
          <w:lang w:eastAsia="es-ES_tradnl"/>
        </w:rPr>
        <w:t xml:space="preserve">correlativa a </w:t>
      </w:r>
      <w:r w:rsidR="00AC6330" w:rsidRPr="009E33B4">
        <w:rPr>
          <w:rFonts w:ascii="Arial" w:hAnsi="Arial" w:cs="Arial"/>
          <w:color w:val="000000"/>
        </w:rPr>
        <w:t xml:space="preserve">la </w:t>
      </w:r>
      <w:r w:rsidR="00AC6330" w:rsidRPr="009E33B4">
        <w:rPr>
          <w:rFonts w:ascii="Arial" w:hAnsi="Arial" w:cs="Arial"/>
          <w:bCs/>
          <w:color w:val="000000"/>
        </w:rPr>
        <w:t>capacidad</w:t>
      </w:r>
      <w:r w:rsidR="00AC6330" w:rsidRPr="009E33B4">
        <w:rPr>
          <w:rStyle w:val="apple-converted-space"/>
          <w:rFonts w:ascii="Arial" w:hAnsi="Arial" w:cs="Arial"/>
          <w:color w:val="000000"/>
        </w:rPr>
        <w:t> </w:t>
      </w:r>
      <w:r w:rsidR="00AC6330" w:rsidRPr="009E33B4">
        <w:rPr>
          <w:rFonts w:ascii="Arial" w:hAnsi="Arial" w:cs="Arial"/>
          <w:color w:val="000000"/>
        </w:rPr>
        <w:t xml:space="preserve">de goce o sustancial </w:t>
      </w:r>
      <w:r w:rsidR="00AC6330">
        <w:rPr>
          <w:rFonts w:ascii="Arial" w:hAnsi="Arial" w:cs="Arial"/>
          <w:color w:val="000000"/>
        </w:rPr>
        <w:t>que tiene</w:t>
      </w:r>
      <w:r w:rsidR="00AC6330" w:rsidRPr="009E33B4">
        <w:rPr>
          <w:rFonts w:ascii="Arial" w:hAnsi="Arial" w:cs="Arial"/>
          <w:color w:val="000000"/>
        </w:rPr>
        <w:t xml:space="preserve"> toda persona, sea natural o jurídica, por el sólo hecho de serlo</w:t>
      </w:r>
      <w:r w:rsidR="00AC6330" w:rsidRPr="009E33B4">
        <w:rPr>
          <w:rStyle w:val="apple-converted-space"/>
          <w:rFonts w:ascii="Arial" w:hAnsi="Arial" w:cs="Arial"/>
          <w:color w:val="000000"/>
        </w:rPr>
        <w:t> </w:t>
      </w:r>
      <w:r w:rsidR="00AC6330" w:rsidRPr="009E33B4">
        <w:rPr>
          <w:rFonts w:ascii="Arial" w:hAnsi="Arial" w:cs="Arial"/>
          <w:bCs/>
          <w:color w:val="000000"/>
        </w:rPr>
        <w:t>para</w:t>
      </w:r>
      <w:r w:rsidR="00AC6330" w:rsidRPr="009E33B4">
        <w:rPr>
          <w:rStyle w:val="apple-converted-space"/>
          <w:rFonts w:ascii="Arial" w:hAnsi="Arial" w:cs="Arial"/>
          <w:color w:val="000000"/>
        </w:rPr>
        <w:t> </w:t>
      </w:r>
      <w:r w:rsidR="00AC6330" w:rsidRPr="009E33B4">
        <w:rPr>
          <w:rFonts w:ascii="Arial" w:hAnsi="Arial" w:cs="Arial"/>
          <w:bCs/>
          <w:color w:val="000000"/>
        </w:rPr>
        <w:t>ser</w:t>
      </w:r>
      <w:r w:rsidR="00AC6330" w:rsidRPr="009E33B4">
        <w:rPr>
          <w:rStyle w:val="apple-converted-space"/>
          <w:rFonts w:ascii="Arial" w:hAnsi="Arial" w:cs="Arial"/>
          <w:color w:val="000000"/>
        </w:rPr>
        <w:t> </w:t>
      </w:r>
      <w:r w:rsidR="00AC6330" w:rsidRPr="009E33B4">
        <w:rPr>
          <w:rFonts w:ascii="Arial" w:hAnsi="Arial" w:cs="Arial"/>
          <w:color w:val="000000"/>
        </w:rPr>
        <w:t>sujeto de una relación procesal</w:t>
      </w:r>
      <w:r w:rsidR="00AC6330">
        <w:rPr>
          <w:rFonts w:ascii="Arial" w:hAnsi="Arial" w:cs="Arial"/>
          <w:color w:val="000000"/>
        </w:rPr>
        <w:t>. Lo dicho en términos de la Corte Suprema de Justicia, Sala de Casación Civil</w:t>
      </w:r>
      <w:r w:rsidR="00AC6330" w:rsidRPr="009E33B4">
        <w:rPr>
          <w:rStyle w:val="Refdenotaalpie"/>
          <w:rFonts w:ascii="Arial" w:hAnsi="Arial" w:cs="Arial"/>
          <w:color w:val="000000"/>
        </w:rPr>
        <w:footnoteReference w:id="3"/>
      </w:r>
      <w:r w:rsidR="00AC6330" w:rsidRPr="009E33B4">
        <w:rPr>
          <w:rFonts w:ascii="Arial" w:hAnsi="Arial" w:cs="Arial"/>
          <w:color w:val="000000"/>
        </w:rPr>
        <w:t>.</w:t>
      </w:r>
      <w:r w:rsidR="00AC6330">
        <w:rPr>
          <w:rFonts w:ascii="Arial" w:hAnsi="Arial" w:cs="Arial"/>
          <w:color w:val="000000"/>
        </w:rPr>
        <w:t xml:space="preserve"> </w:t>
      </w:r>
    </w:p>
    <w:p w:rsidR="00AC6330" w:rsidRPr="00FC6583" w:rsidRDefault="00AC6330" w:rsidP="00AC6330">
      <w:pPr>
        <w:pStyle w:val="NormalWeb"/>
        <w:spacing w:before="0" w:beforeAutospacing="0" w:after="200" w:afterAutospacing="0" w:line="276" w:lineRule="auto"/>
        <w:contextualSpacing/>
        <w:jc w:val="both"/>
        <w:rPr>
          <w:rFonts w:ascii="Arial" w:hAnsi="Arial" w:cs="Arial"/>
          <w:color w:val="000000"/>
        </w:rPr>
      </w:pPr>
      <w:r w:rsidRPr="00FC6583">
        <w:rPr>
          <w:rFonts w:ascii="Arial" w:hAnsi="Arial" w:cs="Arial"/>
          <w:color w:val="000000"/>
        </w:rPr>
        <w:t xml:space="preserve"> </w:t>
      </w:r>
    </w:p>
    <w:p w:rsidR="00AC6330" w:rsidRPr="00FC6583" w:rsidRDefault="00AC6330" w:rsidP="00AC6330">
      <w:pPr>
        <w:shd w:val="clear" w:color="auto" w:fill="FFFFFF"/>
        <w:spacing w:line="276" w:lineRule="auto"/>
        <w:contextualSpacing/>
        <w:jc w:val="both"/>
        <w:rPr>
          <w:rFonts w:ascii="Arial" w:hAnsi="Arial" w:cs="Arial"/>
          <w:bCs/>
          <w:sz w:val="24"/>
          <w:szCs w:val="24"/>
          <w:lang w:val="es-CO" w:eastAsia="es-CO"/>
        </w:rPr>
      </w:pPr>
      <w:r w:rsidRPr="00FC6583">
        <w:rPr>
          <w:rFonts w:ascii="Arial" w:hAnsi="Arial" w:cs="Arial"/>
          <w:bCs/>
          <w:sz w:val="24"/>
          <w:szCs w:val="24"/>
          <w:lang w:val="es-CO" w:eastAsia="es-CO"/>
        </w:rPr>
        <w:t>En este orden de ideas, al estar ausente este presupuesto de capacidad para ser parte, imposibilita tomar una decisión de fondo y obliga al juzgador a proferir una sentencia inhibitoria</w:t>
      </w:r>
      <w:r w:rsidR="00FC6583" w:rsidRPr="00FC6583">
        <w:rPr>
          <w:rFonts w:ascii="Arial" w:hAnsi="Arial" w:cs="Arial"/>
          <w:bCs/>
          <w:sz w:val="24"/>
          <w:szCs w:val="24"/>
          <w:lang w:val="es-CO" w:eastAsia="es-CO"/>
        </w:rPr>
        <w:t>, no a decretar nulidad al no estar tipificada con tal</w:t>
      </w:r>
      <w:r w:rsidRPr="00FC6583">
        <w:rPr>
          <w:rFonts w:ascii="Arial" w:hAnsi="Arial" w:cs="Arial"/>
          <w:bCs/>
          <w:sz w:val="24"/>
          <w:szCs w:val="24"/>
          <w:lang w:val="es-CO" w:eastAsia="es-CO"/>
        </w:rPr>
        <w:t>; último recurso al que debe acudirse como lo expuso la Corte Constitucional en sentencia</w:t>
      </w:r>
      <w:r w:rsidRPr="00FC6583">
        <w:rPr>
          <w:rFonts w:ascii="Arial" w:hAnsi="Arial" w:cs="Arial"/>
          <w:sz w:val="24"/>
          <w:szCs w:val="24"/>
          <w:lang w:val="es-CO" w:eastAsia="es-CO"/>
        </w:rPr>
        <w:t xml:space="preserve"> C-666 de 1996 M.P. José Gregorio Hernández Galindo, en los siguientes términos:</w:t>
      </w:r>
    </w:p>
    <w:p w:rsidR="00AC6330" w:rsidRPr="00FC6583" w:rsidRDefault="00AC6330" w:rsidP="00AC6330">
      <w:pPr>
        <w:spacing w:line="276" w:lineRule="auto"/>
        <w:ind w:right="51"/>
        <w:contextualSpacing/>
        <w:jc w:val="both"/>
        <w:rPr>
          <w:rFonts w:ascii="Arial" w:hAnsi="Arial" w:cs="Arial"/>
          <w:sz w:val="24"/>
          <w:szCs w:val="24"/>
          <w:lang w:val="es-CO" w:eastAsia="es-CO"/>
        </w:rPr>
      </w:pPr>
    </w:p>
    <w:p w:rsidR="00AC6330" w:rsidRPr="00FC6583" w:rsidRDefault="00AC6330" w:rsidP="00AC6330">
      <w:pPr>
        <w:spacing w:line="276" w:lineRule="auto"/>
        <w:ind w:left="708" w:right="51"/>
        <w:contextualSpacing/>
        <w:jc w:val="both"/>
        <w:rPr>
          <w:rFonts w:ascii="Arial" w:hAnsi="Arial" w:cs="Arial"/>
          <w:i/>
          <w:sz w:val="24"/>
          <w:szCs w:val="24"/>
          <w:lang w:val="es-CO" w:eastAsia="es-CO"/>
        </w:rPr>
      </w:pPr>
      <w:r w:rsidRPr="00FC6583">
        <w:rPr>
          <w:rFonts w:ascii="Arial" w:hAnsi="Arial" w:cs="Arial"/>
          <w:i/>
          <w:iCs/>
          <w:sz w:val="24"/>
          <w:szCs w:val="24"/>
          <w:lang w:val="es-CO" w:eastAsia="es-CO"/>
        </w:rPr>
        <w:t xml:space="preserve">La inhibición, aunque es posible en casos extremos, en los cuales se establezca con seguridad que el juez no tiene otra alternativa, no debe ser la forma corriente de culminar los procesos judiciales. Ha de corresponder a una excepción fundada en motivos ciertos que puedan ser corroborados en los que se funde objetiva y plenamente la negativa de resolución sustancial. </w:t>
      </w:r>
      <w:r w:rsidRPr="00FC6583">
        <w:rPr>
          <w:rFonts w:ascii="Arial" w:hAnsi="Arial" w:cs="Arial"/>
          <w:i/>
          <w:iCs/>
          <w:sz w:val="24"/>
          <w:szCs w:val="24"/>
          <w:lang w:val="es-CO" w:eastAsia="es-CO"/>
        </w:rPr>
        <w:lastRenderedPageBreak/>
        <w:t>De lo contrario, es decir, mientras no obedezca a una razón jurídica valedera, constituye una forma de obstruir, por la voluntad del administrador de justicia, el acceso de las personas a ella.</w:t>
      </w:r>
    </w:p>
    <w:p w:rsidR="00AC6330" w:rsidRPr="009E33B4" w:rsidRDefault="00AC6330" w:rsidP="00AC6330">
      <w:pPr>
        <w:shd w:val="clear" w:color="auto" w:fill="FFFFFF"/>
        <w:spacing w:line="276" w:lineRule="auto"/>
        <w:contextualSpacing/>
        <w:jc w:val="both"/>
        <w:rPr>
          <w:rFonts w:ascii="Arial" w:hAnsi="Arial" w:cs="Arial"/>
          <w:lang w:val="es-CO" w:eastAsia="es-CO"/>
        </w:rPr>
      </w:pPr>
      <w:r w:rsidRPr="00A30472">
        <w:rPr>
          <w:rFonts w:ascii="Arial" w:hAnsi="Arial" w:cs="Arial"/>
          <w:i/>
          <w:lang w:val="es-CO" w:eastAsia="es-CO"/>
        </w:rPr>
        <w:t xml:space="preserve"> </w:t>
      </w:r>
    </w:p>
    <w:p w:rsidR="00AC6330" w:rsidRPr="00C21837" w:rsidRDefault="00AC6330" w:rsidP="00AC6330">
      <w:pPr>
        <w:pStyle w:val="Textoindependiente"/>
        <w:shd w:val="clear" w:color="auto" w:fill="FFFFFF"/>
        <w:spacing w:line="276" w:lineRule="auto"/>
        <w:contextualSpacing/>
        <w:rPr>
          <w:rFonts w:cs="Arial"/>
        </w:rPr>
      </w:pPr>
      <w:r>
        <w:rPr>
          <w:rFonts w:cs="Arial"/>
        </w:rPr>
        <w:t xml:space="preserve">Ahora bien, para la </w:t>
      </w:r>
      <w:r w:rsidRPr="009E33B4">
        <w:rPr>
          <w:rFonts w:cs="Arial"/>
        </w:rPr>
        <w:t>Sala de Casación Laboral de la</w:t>
      </w:r>
      <w:r>
        <w:rPr>
          <w:rFonts w:cs="Arial"/>
        </w:rPr>
        <w:t xml:space="preserve"> </w:t>
      </w:r>
      <w:r w:rsidRPr="009E33B4">
        <w:rPr>
          <w:rFonts w:cs="Arial"/>
        </w:rPr>
        <w:t xml:space="preserve">Corte Suprema de Justicia, </w:t>
      </w:r>
      <w:r>
        <w:rPr>
          <w:rFonts w:cs="Arial"/>
        </w:rPr>
        <w:t>la falta de capacidad para ser parte, entre otros presupuestos, da lugar a proferir sentencia inhibitoria, así lo manifestó en sentencia del 12-12-2008 M.P. Francisco Javier Ricaurte Gómez.</w:t>
      </w:r>
    </w:p>
    <w:p w:rsidR="00AC6330" w:rsidRDefault="00AC6330" w:rsidP="00AC6330">
      <w:pPr>
        <w:spacing w:line="276" w:lineRule="auto"/>
        <w:ind w:left="705"/>
        <w:contextualSpacing/>
        <w:jc w:val="both"/>
        <w:rPr>
          <w:rFonts w:ascii="Arial" w:hAnsi="Arial" w:cs="Arial"/>
          <w:i/>
        </w:rPr>
      </w:pPr>
    </w:p>
    <w:p w:rsidR="00AC6330" w:rsidRPr="00A2478B" w:rsidRDefault="00AC6330" w:rsidP="00AC6330">
      <w:pPr>
        <w:spacing w:line="276" w:lineRule="auto"/>
        <w:ind w:left="705"/>
        <w:contextualSpacing/>
        <w:jc w:val="both"/>
        <w:rPr>
          <w:rFonts w:ascii="Arial" w:hAnsi="Arial" w:cs="Arial"/>
          <w:i/>
        </w:rPr>
      </w:pPr>
      <w:r w:rsidRPr="00A2478B">
        <w:rPr>
          <w:rFonts w:ascii="Arial" w:hAnsi="Arial" w:cs="Arial"/>
          <w:i/>
        </w:rPr>
        <w:t xml:space="preserve">(…)En la fase inicial del proceso el juez tiene la posibilidad de control sobre la forma de la demanda (artículo 28 CPL) que se manifiesta en la facultad de devolverla, inadmitirla o rechazarla; y el demandado puede formular reparos, igualmente formales, mediante el mecanismo de las excepciones previas. Pero si la inadvertencia del juez lo lleva a admitir la demanda y a adelantar el juicio hasta su fase juzgadora sin corregir oportunamente los defectos que pudieran darse para la normal conformación de la relación jurídico procesal (con sus presupuestos de competencia, demanda en forma, capacidad para ser parte y capacidad procesal), las consecuencias desfavorables de la inobservancia de la carga procesal que incumbe al actor (en lo que debe ser actividad suya para la conformación de la relación procesal) serán para él y desde luego de nada le servirá alegar que el juez omitió un deber o que el demandado no actuó para corregir los errores del propio demandante. </w:t>
      </w:r>
    </w:p>
    <w:p w:rsidR="00AC6330" w:rsidRPr="00A2478B" w:rsidRDefault="00AC6330" w:rsidP="00AC6330">
      <w:pPr>
        <w:spacing w:line="276" w:lineRule="auto"/>
        <w:ind w:left="840"/>
        <w:contextualSpacing/>
        <w:jc w:val="both"/>
        <w:rPr>
          <w:rFonts w:ascii="Arial" w:hAnsi="Arial" w:cs="Arial"/>
          <w:i/>
        </w:rPr>
      </w:pPr>
    </w:p>
    <w:p w:rsidR="00AC6330" w:rsidRPr="00A2478B" w:rsidRDefault="00AC6330" w:rsidP="00AC6330">
      <w:pPr>
        <w:spacing w:line="276" w:lineRule="auto"/>
        <w:ind w:left="840"/>
        <w:contextualSpacing/>
        <w:jc w:val="both"/>
        <w:rPr>
          <w:rFonts w:ascii="Arial" w:hAnsi="Arial" w:cs="Arial"/>
          <w:i/>
        </w:rPr>
      </w:pPr>
    </w:p>
    <w:p w:rsidR="00AC6330" w:rsidRPr="00A2478B" w:rsidRDefault="00AC6330" w:rsidP="00AC6330">
      <w:pPr>
        <w:spacing w:line="276" w:lineRule="auto"/>
        <w:ind w:left="840"/>
        <w:contextualSpacing/>
        <w:jc w:val="both"/>
        <w:rPr>
          <w:rFonts w:ascii="Arial" w:hAnsi="Arial" w:cs="Arial"/>
          <w:i/>
        </w:rPr>
      </w:pPr>
      <w:r w:rsidRPr="00A2478B">
        <w:rPr>
          <w:rFonts w:ascii="Arial" w:hAnsi="Arial" w:cs="Arial"/>
          <w:i/>
        </w:rPr>
        <w:t>(…) es deber del juez al enfrentar la etapa del fallo, revisar si la relación procesal se trabó válidamente con la presencia de los presupuestos del proceso, pues no le está dado resolver en el fondo en los casos en que carece de competencia, el trámite seguido no ha sido el adecuado, uno de los sujetos carece de capacidad para ser parte o de la debida representación o falla el presupuesto demanda en forma. Ni siquiera es necesaria una norma procedimental en esa materia en el CPL pues esos presupuestos son desarrollo del debido proceso, como que es de su esencia que sólo el juez de la causa tramitada regularmente pueda juzgar, de manera que tampoco por este aspecto violó el Tribunal el artículo 32 del CPL</w:t>
      </w:r>
      <w:r w:rsidRPr="00A2478B">
        <w:rPr>
          <w:rFonts w:ascii="Arial" w:hAnsi="Arial" w:cs="Arial"/>
          <w:i/>
          <w:vertAlign w:val="superscript"/>
        </w:rPr>
        <w:footnoteReference w:id="4"/>
      </w:r>
      <w:r w:rsidRPr="00A2478B">
        <w:rPr>
          <w:rFonts w:ascii="Arial" w:hAnsi="Arial" w:cs="Arial"/>
          <w:i/>
        </w:rPr>
        <w:t>.</w:t>
      </w:r>
    </w:p>
    <w:p w:rsidR="00FC6583" w:rsidRDefault="00FC6583" w:rsidP="00203219">
      <w:pPr>
        <w:pStyle w:val="Sinespaciado"/>
        <w:spacing w:line="276" w:lineRule="auto"/>
        <w:jc w:val="both"/>
        <w:rPr>
          <w:rFonts w:ascii="Arial" w:eastAsia="Arial Unicode MS" w:hAnsi="Arial" w:cs="Arial"/>
        </w:rPr>
      </w:pPr>
    </w:p>
    <w:p w:rsidR="00183B88" w:rsidRDefault="00FC6583" w:rsidP="00203219">
      <w:pPr>
        <w:pStyle w:val="Sinespaciado"/>
        <w:spacing w:line="276" w:lineRule="auto"/>
        <w:jc w:val="both"/>
        <w:rPr>
          <w:rFonts w:ascii="Arial" w:eastAsia="Arial Unicode MS" w:hAnsi="Arial" w:cs="Arial"/>
        </w:rPr>
      </w:pPr>
      <w:r>
        <w:rPr>
          <w:rFonts w:ascii="Arial" w:eastAsia="Arial Unicode MS" w:hAnsi="Arial" w:cs="Arial"/>
        </w:rPr>
        <w:t>2.2</w:t>
      </w:r>
      <w:r w:rsidR="00183B88">
        <w:rPr>
          <w:rFonts w:ascii="Arial" w:eastAsia="Arial Unicode MS" w:hAnsi="Arial" w:cs="Arial"/>
        </w:rPr>
        <w:t>.</w:t>
      </w:r>
      <w:r>
        <w:rPr>
          <w:rFonts w:ascii="Arial" w:eastAsia="Arial Unicode MS" w:hAnsi="Arial" w:cs="Arial"/>
        </w:rPr>
        <w:t xml:space="preserve"> En el presente caso,</w:t>
      </w:r>
      <w:r w:rsidR="00183B88">
        <w:rPr>
          <w:rFonts w:ascii="Arial" w:eastAsia="Arial Unicode MS" w:hAnsi="Arial" w:cs="Arial"/>
        </w:rPr>
        <w:t xml:space="preserve"> se advierte que la codemandada </w:t>
      </w:r>
      <w:proofErr w:type="spellStart"/>
      <w:r w:rsidR="00183B88">
        <w:rPr>
          <w:rFonts w:ascii="Arial" w:eastAsia="Arial Unicode MS" w:hAnsi="Arial" w:cs="Arial"/>
        </w:rPr>
        <w:t>Promasivo</w:t>
      </w:r>
      <w:proofErr w:type="spellEnd"/>
      <w:r w:rsidR="00183B88">
        <w:rPr>
          <w:rFonts w:ascii="Arial" w:eastAsia="Arial Unicode MS" w:hAnsi="Arial" w:cs="Arial"/>
        </w:rPr>
        <w:t xml:space="preserve"> </w:t>
      </w:r>
      <w:proofErr w:type="spellStart"/>
      <w:r w:rsidR="00183B88">
        <w:rPr>
          <w:rFonts w:ascii="Arial" w:eastAsia="Arial Unicode MS" w:hAnsi="Arial" w:cs="Arial"/>
        </w:rPr>
        <w:t>SA</w:t>
      </w:r>
      <w:proofErr w:type="spellEnd"/>
      <w:r w:rsidR="00183B88">
        <w:rPr>
          <w:rFonts w:ascii="Arial" w:eastAsia="Arial Unicode MS" w:hAnsi="Arial" w:cs="Arial"/>
        </w:rPr>
        <w:t xml:space="preserve"> al momento de incoarse la demanda –</w:t>
      </w:r>
      <w:r w:rsidR="00E401F8">
        <w:rPr>
          <w:rFonts w:ascii="Arial" w:eastAsia="Arial Unicode MS" w:hAnsi="Arial" w:cs="Arial"/>
        </w:rPr>
        <w:t>30-10-2015</w:t>
      </w:r>
      <w:r w:rsidR="00183B88">
        <w:rPr>
          <w:rFonts w:ascii="Arial" w:eastAsia="Arial Unicode MS" w:hAnsi="Arial" w:cs="Arial"/>
        </w:rPr>
        <w:t xml:space="preserve">- tenía existencia legal, sin embargo, antes de lograrse su notificación se liquidó y canceló su matrícula mercantil, el </w:t>
      </w:r>
      <w:r w:rsidR="00E401F8">
        <w:rPr>
          <w:rFonts w:ascii="Arial" w:eastAsia="Arial Unicode MS" w:hAnsi="Arial" w:cs="Arial"/>
        </w:rPr>
        <w:t>30-12-20</w:t>
      </w:r>
      <w:r w:rsidR="00E401F8" w:rsidRPr="00E401F8">
        <w:rPr>
          <w:rFonts w:ascii="Arial" w:eastAsia="Arial Unicode MS" w:hAnsi="Arial" w:cs="Arial"/>
        </w:rPr>
        <w:t xml:space="preserve">16 </w:t>
      </w:r>
      <w:r w:rsidR="00183B88" w:rsidRPr="00E401F8">
        <w:rPr>
          <w:rFonts w:ascii="Arial" w:eastAsia="Arial Unicode MS" w:hAnsi="Arial" w:cs="Arial"/>
        </w:rPr>
        <w:t>(fl.</w:t>
      </w:r>
      <w:r w:rsidR="00E401F8" w:rsidRPr="00E401F8">
        <w:rPr>
          <w:rFonts w:ascii="Arial" w:eastAsia="Arial Unicode MS" w:hAnsi="Arial" w:cs="Arial"/>
        </w:rPr>
        <w:t xml:space="preserve">151 y </w:t>
      </w:r>
      <w:proofErr w:type="spellStart"/>
      <w:r w:rsidR="00E401F8" w:rsidRPr="00E401F8">
        <w:rPr>
          <w:rFonts w:ascii="Arial" w:eastAsia="Arial Unicode MS" w:hAnsi="Arial" w:cs="Arial"/>
        </w:rPr>
        <w:t>sgtes</w:t>
      </w:r>
      <w:proofErr w:type="spellEnd"/>
      <w:r w:rsidR="00183B88" w:rsidRPr="00E401F8">
        <w:rPr>
          <w:rFonts w:ascii="Arial" w:eastAsia="Arial Unicode MS" w:hAnsi="Arial" w:cs="Arial"/>
        </w:rPr>
        <w:t>).</w:t>
      </w:r>
      <w:r w:rsidR="00183B88">
        <w:rPr>
          <w:rFonts w:ascii="Arial" w:eastAsia="Arial Unicode MS" w:hAnsi="Arial" w:cs="Arial"/>
        </w:rPr>
        <w:t xml:space="preserve"> De tal manera que se hace evidente que este demandado</w:t>
      </w:r>
      <w:r w:rsidR="00E24871">
        <w:rPr>
          <w:rFonts w:ascii="Arial" w:eastAsia="Arial Unicode MS" w:hAnsi="Arial" w:cs="Arial"/>
        </w:rPr>
        <w:t>, en principio,</w:t>
      </w:r>
      <w:r w:rsidR="00183B88">
        <w:rPr>
          <w:rFonts w:ascii="Arial" w:eastAsia="Arial Unicode MS" w:hAnsi="Arial" w:cs="Arial"/>
        </w:rPr>
        <w:t xml:space="preserve"> carece de capacidad para ser parte. </w:t>
      </w:r>
    </w:p>
    <w:p w:rsidR="00183B88" w:rsidRDefault="00183B88" w:rsidP="00203219">
      <w:pPr>
        <w:pStyle w:val="Sinespaciado"/>
        <w:spacing w:line="276" w:lineRule="auto"/>
        <w:jc w:val="both"/>
        <w:rPr>
          <w:rFonts w:ascii="Arial" w:eastAsia="Arial Unicode MS" w:hAnsi="Arial" w:cs="Arial"/>
        </w:rPr>
      </w:pPr>
    </w:p>
    <w:p w:rsidR="00FC6583" w:rsidRDefault="00183B88" w:rsidP="00203219">
      <w:pPr>
        <w:pStyle w:val="Sinespaciado"/>
        <w:spacing w:line="276" w:lineRule="auto"/>
        <w:jc w:val="both"/>
        <w:rPr>
          <w:rFonts w:ascii="Arial" w:eastAsia="Arial Unicode MS" w:hAnsi="Arial" w:cs="Arial"/>
        </w:rPr>
      </w:pPr>
      <w:r>
        <w:rPr>
          <w:rFonts w:ascii="Arial" w:eastAsia="Arial Unicode MS" w:hAnsi="Arial" w:cs="Arial"/>
        </w:rPr>
        <w:t xml:space="preserve">Y si bien el juez tiene el deber de adoptar mecanismos para sanear las irregularidades que advierta, ello </w:t>
      </w:r>
      <w:r w:rsidR="004F06E1">
        <w:rPr>
          <w:rFonts w:ascii="Arial" w:eastAsia="Arial Unicode MS" w:hAnsi="Arial" w:cs="Arial"/>
        </w:rPr>
        <w:t>tiene que hacerlo con apego a la ley</w:t>
      </w:r>
      <w:r w:rsidR="00460114">
        <w:rPr>
          <w:rFonts w:ascii="Arial" w:eastAsia="Arial Unicode MS" w:hAnsi="Arial" w:cs="Arial"/>
        </w:rPr>
        <w:t>; por lo que c</w:t>
      </w:r>
      <w:r w:rsidR="00FC6583">
        <w:rPr>
          <w:rFonts w:ascii="Arial" w:eastAsia="Arial Unicode MS" w:hAnsi="Arial" w:cs="Arial"/>
        </w:rPr>
        <w:t>onforme el introito efectuado</w:t>
      </w:r>
      <w:r w:rsidR="004F06E1">
        <w:rPr>
          <w:rFonts w:ascii="Arial" w:eastAsia="Arial Unicode MS" w:hAnsi="Arial" w:cs="Arial"/>
        </w:rPr>
        <w:t>,</w:t>
      </w:r>
      <w:r w:rsidR="00FC6583">
        <w:rPr>
          <w:rFonts w:ascii="Arial" w:eastAsia="Arial Unicode MS" w:hAnsi="Arial" w:cs="Arial"/>
        </w:rPr>
        <w:t xml:space="preserve"> no hay duda </w:t>
      </w:r>
      <w:r>
        <w:rPr>
          <w:rFonts w:ascii="Arial" w:eastAsia="Arial Unicode MS" w:hAnsi="Arial" w:cs="Arial"/>
        </w:rPr>
        <w:t xml:space="preserve">que la jueza de primer nivel </w:t>
      </w:r>
      <w:r w:rsidR="00FC6583">
        <w:rPr>
          <w:rFonts w:ascii="Arial" w:eastAsia="Arial Unicode MS" w:hAnsi="Arial" w:cs="Arial"/>
        </w:rPr>
        <w:t xml:space="preserve">aplicó una sanción – nulidad- que no está prevista cuando se advierta falta de capacidad para ser parte, desconociendo así el principio </w:t>
      </w:r>
      <w:r w:rsidR="00E24871">
        <w:rPr>
          <w:rFonts w:ascii="Arial" w:eastAsia="Arial Unicode MS" w:hAnsi="Arial" w:cs="Arial"/>
        </w:rPr>
        <w:t xml:space="preserve">procesal </w:t>
      </w:r>
      <w:r w:rsidR="00FC6583">
        <w:rPr>
          <w:rFonts w:ascii="Arial" w:eastAsia="Arial Unicode MS" w:hAnsi="Arial" w:cs="Arial"/>
        </w:rPr>
        <w:t xml:space="preserve">de </w:t>
      </w:r>
      <w:proofErr w:type="spellStart"/>
      <w:r w:rsidR="00FC6583">
        <w:rPr>
          <w:rFonts w:ascii="Arial" w:eastAsia="Arial Unicode MS" w:hAnsi="Arial" w:cs="Arial"/>
        </w:rPr>
        <w:t>taxatividad</w:t>
      </w:r>
      <w:proofErr w:type="spellEnd"/>
      <w:r w:rsidR="00FC6583">
        <w:rPr>
          <w:rFonts w:ascii="Arial" w:eastAsia="Arial Unicode MS" w:hAnsi="Arial" w:cs="Arial"/>
        </w:rPr>
        <w:t xml:space="preserve"> y con ello el</w:t>
      </w:r>
      <w:r w:rsidR="00E24871">
        <w:rPr>
          <w:rFonts w:ascii="Arial" w:eastAsia="Arial Unicode MS" w:hAnsi="Arial" w:cs="Arial"/>
        </w:rPr>
        <w:t xml:space="preserve"> constitucional</w:t>
      </w:r>
      <w:r w:rsidR="00FC6583">
        <w:rPr>
          <w:rFonts w:ascii="Arial" w:eastAsia="Arial Unicode MS" w:hAnsi="Arial" w:cs="Arial"/>
        </w:rPr>
        <w:t xml:space="preserve"> de legalidad</w:t>
      </w:r>
      <w:r w:rsidR="00BD69C8">
        <w:rPr>
          <w:rFonts w:ascii="Arial" w:eastAsia="Arial Unicode MS" w:hAnsi="Arial" w:cs="Arial"/>
        </w:rPr>
        <w:t xml:space="preserve"> </w:t>
      </w:r>
      <w:r w:rsidR="00FC6583">
        <w:rPr>
          <w:rFonts w:ascii="Arial" w:eastAsia="Arial Unicode MS" w:hAnsi="Arial" w:cs="Arial"/>
        </w:rPr>
        <w:t xml:space="preserve">(art. 29 CN). </w:t>
      </w:r>
    </w:p>
    <w:p w:rsidR="00183B88" w:rsidRDefault="00183B88" w:rsidP="00203219">
      <w:pPr>
        <w:pStyle w:val="Sinespaciado"/>
        <w:spacing w:line="276" w:lineRule="auto"/>
        <w:jc w:val="both"/>
        <w:rPr>
          <w:rFonts w:ascii="Arial" w:eastAsia="Arial Unicode MS" w:hAnsi="Arial" w:cs="Arial"/>
        </w:rPr>
      </w:pPr>
    </w:p>
    <w:p w:rsidR="00FC6583" w:rsidRDefault="004F06E1" w:rsidP="00203219">
      <w:pPr>
        <w:pStyle w:val="Sinespaciado"/>
        <w:spacing w:line="276" w:lineRule="auto"/>
        <w:jc w:val="both"/>
        <w:rPr>
          <w:rFonts w:ascii="Arial" w:eastAsia="Arial Unicode MS" w:hAnsi="Arial" w:cs="Arial"/>
        </w:rPr>
      </w:pPr>
      <w:r>
        <w:rPr>
          <w:rFonts w:ascii="Arial" w:eastAsia="Arial Unicode MS" w:hAnsi="Arial" w:cs="Arial"/>
        </w:rPr>
        <w:lastRenderedPageBreak/>
        <w:t xml:space="preserve">Así las cosas, al no existir causal de nulidad no era posible retrotraer la actuación hasta la etapa de decidir la admisión de la demanda, por lo que hay lugar a revocar la decisión objeto de alzada. </w:t>
      </w:r>
    </w:p>
    <w:p w:rsidR="00FC6583" w:rsidRDefault="00FC6583" w:rsidP="00203219">
      <w:pPr>
        <w:pStyle w:val="Sinespaciado"/>
        <w:spacing w:line="276" w:lineRule="auto"/>
        <w:jc w:val="both"/>
        <w:rPr>
          <w:rFonts w:ascii="Arial" w:eastAsia="Arial Unicode MS" w:hAnsi="Arial" w:cs="Arial"/>
        </w:rPr>
      </w:pPr>
    </w:p>
    <w:p w:rsidR="008F4803" w:rsidRPr="00460114" w:rsidRDefault="008F4803" w:rsidP="00460114">
      <w:pPr>
        <w:pStyle w:val="Sinespaciado"/>
        <w:jc w:val="both"/>
        <w:rPr>
          <w:rFonts w:ascii="Arial" w:hAnsi="Arial" w:cs="Arial"/>
          <w:b/>
          <w:sz w:val="22"/>
          <w:szCs w:val="22"/>
        </w:rPr>
      </w:pPr>
    </w:p>
    <w:p w:rsidR="005E1F16" w:rsidRDefault="005E1F16" w:rsidP="005E1F16">
      <w:pPr>
        <w:pStyle w:val="Sinespaciado"/>
        <w:spacing w:line="276" w:lineRule="auto"/>
        <w:jc w:val="center"/>
        <w:rPr>
          <w:rFonts w:ascii="Arial" w:hAnsi="Arial" w:cs="Arial"/>
          <w:b/>
        </w:rPr>
      </w:pPr>
      <w:r w:rsidRPr="005E1F16">
        <w:rPr>
          <w:rFonts w:ascii="Arial" w:hAnsi="Arial" w:cs="Arial"/>
          <w:b/>
        </w:rPr>
        <w:t>CONCLUSIÓN</w:t>
      </w:r>
    </w:p>
    <w:p w:rsidR="00460114" w:rsidRPr="005E1F16" w:rsidRDefault="00460114" w:rsidP="005E1F16">
      <w:pPr>
        <w:pStyle w:val="Sinespaciado"/>
        <w:spacing w:line="276" w:lineRule="auto"/>
        <w:jc w:val="center"/>
        <w:rPr>
          <w:rFonts w:ascii="Arial" w:hAnsi="Arial" w:cs="Arial"/>
          <w:b/>
        </w:rPr>
      </w:pPr>
    </w:p>
    <w:p w:rsidR="009578E1" w:rsidRPr="009578E1" w:rsidRDefault="00D736A3" w:rsidP="005E1F16">
      <w:pPr>
        <w:pStyle w:val="Sinespaciado"/>
        <w:spacing w:line="276" w:lineRule="auto"/>
        <w:jc w:val="both"/>
        <w:rPr>
          <w:rFonts w:ascii="Arial" w:hAnsi="Arial" w:cs="Arial"/>
        </w:rPr>
      </w:pPr>
      <w:r>
        <w:rPr>
          <w:rFonts w:ascii="Arial" w:hAnsi="Arial" w:cs="Arial"/>
        </w:rPr>
        <w:t>Entonces,</w:t>
      </w:r>
      <w:r w:rsidR="00373F03">
        <w:rPr>
          <w:rFonts w:ascii="Arial" w:hAnsi="Arial" w:cs="Arial"/>
        </w:rPr>
        <w:t xml:space="preserve"> </w:t>
      </w:r>
      <w:r w:rsidR="00BE2042">
        <w:rPr>
          <w:rFonts w:ascii="Arial" w:hAnsi="Arial" w:cs="Arial"/>
        </w:rPr>
        <w:t>ha</w:t>
      </w:r>
      <w:r w:rsidR="00460114">
        <w:rPr>
          <w:rFonts w:ascii="Arial" w:hAnsi="Arial" w:cs="Arial"/>
        </w:rPr>
        <w:t>y</w:t>
      </w:r>
      <w:r w:rsidR="00BE2042">
        <w:rPr>
          <w:rFonts w:ascii="Arial" w:hAnsi="Arial" w:cs="Arial"/>
        </w:rPr>
        <w:t xml:space="preserve"> lugar a </w:t>
      </w:r>
      <w:r w:rsidR="005E1F16">
        <w:rPr>
          <w:rFonts w:ascii="Arial" w:hAnsi="Arial" w:cs="Arial"/>
        </w:rPr>
        <w:t xml:space="preserve">revocar el auto apelado por no subsumirse el hecho </w:t>
      </w:r>
      <w:r w:rsidR="00AD0AA2">
        <w:rPr>
          <w:rFonts w:ascii="Arial" w:hAnsi="Arial" w:cs="Arial"/>
        </w:rPr>
        <w:t>a</w:t>
      </w:r>
      <w:r w:rsidR="005E1F16">
        <w:rPr>
          <w:rFonts w:ascii="Arial" w:hAnsi="Arial" w:cs="Arial"/>
        </w:rPr>
        <w:t xml:space="preserve">ducido por la jueza </w:t>
      </w:r>
      <w:r w:rsidR="00E24871">
        <w:rPr>
          <w:rFonts w:ascii="Arial" w:hAnsi="Arial" w:cs="Arial"/>
        </w:rPr>
        <w:t>en</w:t>
      </w:r>
      <w:r w:rsidR="009B3217">
        <w:rPr>
          <w:rFonts w:ascii="Arial" w:hAnsi="Arial" w:cs="Arial"/>
        </w:rPr>
        <w:t xml:space="preserve"> una causal de nulidad</w:t>
      </w:r>
      <w:r w:rsidR="005E1F16">
        <w:rPr>
          <w:rFonts w:ascii="Arial" w:hAnsi="Arial" w:cs="Arial"/>
        </w:rPr>
        <w:t xml:space="preserve">. </w:t>
      </w:r>
    </w:p>
    <w:p w:rsidR="00434299" w:rsidRPr="00AD0AA2" w:rsidRDefault="00CF6050" w:rsidP="00203219">
      <w:pPr>
        <w:pStyle w:val="Textoindependiente"/>
        <w:spacing w:line="276" w:lineRule="auto"/>
        <w:ind w:right="284"/>
        <w:contextualSpacing/>
        <w:rPr>
          <w:rFonts w:cs="Arial"/>
          <w:sz w:val="24"/>
          <w:szCs w:val="24"/>
          <w:lang w:val="es-CO"/>
        </w:rPr>
      </w:pPr>
      <w:r>
        <w:rPr>
          <w:rFonts w:cs="Arial"/>
          <w:b/>
          <w:sz w:val="24"/>
          <w:szCs w:val="24"/>
          <w:lang w:val="es-CO"/>
        </w:rPr>
        <w:t xml:space="preserve"> </w:t>
      </w:r>
    </w:p>
    <w:p w:rsidR="00AD0AA2" w:rsidRDefault="00AD0AA2" w:rsidP="00203219">
      <w:pPr>
        <w:pStyle w:val="Textoindependiente"/>
        <w:spacing w:line="276" w:lineRule="auto"/>
        <w:ind w:right="284"/>
        <w:contextualSpacing/>
        <w:rPr>
          <w:rFonts w:cs="Arial"/>
          <w:sz w:val="24"/>
          <w:szCs w:val="24"/>
          <w:lang w:val="es-CO"/>
        </w:rPr>
      </w:pPr>
      <w:r w:rsidRPr="00AD0AA2">
        <w:rPr>
          <w:rFonts w:cs="Arial"/>
          <w:sz w:val="24"/>
          <w:szCs w:val="24"/>
          <w:lang w:val="es-CO"/>
        </w:rPr>
        <w:t xml:space="preserve">Sin </w:t>
      </w:r>
      <w:r>
        <w:rPr>
          <w:rFonts w:cs="Arial"/>
          <w:sz w:val="24"/>
          <w:szCs w:val="24"/>
          <w:lang w:val="es-CO"/>
        </w:rPr>
        <w:t>costas en esta instancia al prosperar la alzada, aún</w:t>
      </w:r>
      <w:r w:rsidR="00E24871">
        <w:rPr>
          <w:rFonts w:cs="Arial"/>
          <w:sz w:val="24"/>
          <w:szCs w:val="24"/>
          <w:lang w:val="es-CO"/>
        </w:rPr>
        <w:t xml:space="preserve"> </w:t>
      </w:r>
      <w:r>
        <w:rPr>
          <w:rFonts w:cs="Arial"/>
          <w:sz w:val="24"/>
          <w:szCs w:val="24"/>
          <w:lang w:val="es-CO"/>
        </w:rPr>
        <w:t>que por motivos diferentes.</w:t>
      </w:r>
    </w:p>
    <w:p w:rsidR="00AD0AA2" w:rsidRPr="00AD0AA2" w:rsidRDefault="00AD0AA2" w:rsidP="00203219">
      <w:pPr>
        <w:pStyle w:val="Textoindependiente"/>
        <w:spacing w:line="276" w:lineRule="auto"/>
        <w:ind w:right="284"/>
        <w:contextualSpacing/>
        <w:rPr>
          <w:rFonts w:cs="Arial"/>
          <w:sz w:val="24"/>
          <w:szCs w:val="24"/>
          <w:lang w:val="es-CO"/>
        </w:rPr>
      </w:pPr>
    </w:p>
    <w:p w:rsidR="001A7DC1" w:rsidRDefault="00B433DC" w:rsidP="00203219">
      <w:pPr>
        <w:pStyle w:val="Textoindependiente"/>
        <w:spacing w:line="276" w:lineRule="auto"/>
        <w:ind w:firstLine="708"/>
        <w:contextualSpacing/>
        <w:jc w:val="center"/>
        <w:rPr>
          <w:rFonts w:cs="Arial"/>
          <w:b/>
          <w:sz w:val="24"/>
          <w:szCs w:val="24"/>
        </w:rPr>
      </w:pPr>
      <w:r w:rsidRPr="00B433DC">
        <w:rPr>
          <w:rFonts w:cs="Arial"/>
          <w:b/>
          <w:sz w:val="24"/>
          <w:szCs w:val="24"/>
        </w:rPr>
        <w:t>DECISI</w:t>
      </w:r>
      <w:r>
        <w:rPr>
          <w:rFonts w:cs="Arial"/>
          <w:b/>
          <w:sz w:val="24"/>
          <w:szCs w:val="24"/>
        </w:rPr>
        <w:t>Ó</w:t>
      </w:r>
      <w:r w:rsidRPr="00B433DC">
        <w:rPr>
          <w:rFonts w:cs="Arial"/>
          <w:b/>
          <w:sz w:val="24"/>
          <w:szCs w:val="24"/>
        </w:rPr>
        <w:t>N</w:t>
      </w:r>
    </w:p>
    <w:p w:rsidR="00AD0AA2" w:rsidRPr="00B433DC" w:rsidRDefault="00AD0AA2" w:rsidP="00203219">
      <w:pPr>
        <w:pStyle w:val="Textoindependiente"/>
        <w:spacing w:line="276" w:lineRule="auto"/>
        <w:ind w:firstLine="708"/>
        <w:contextualSpacing/>
        <w:jc w:val="center"/>
        <w:rPr>
          <w:rFonts w:cs="Arial"/>
          <w:b/>
          <w:sz w:val="24"/>
          <w:szCs w:val="24"/>
        </w:rPr>
      </w:pPr>
    </w:p>
    <w:p w:rsidR="001A7DC1" w:rsidRPr="003A7DA8" w:rsidRDefault="001A7DC1" w:rsidP="00203219">
      <w:pPr>
        <w:widowControl w:val="0"/>
        <w:autoSpaceDE w:val="0"/>
        <w:autoSpaceDN w:val="0"/>
        <w:adjustRightInd w:val="0"/>
        <w:spacing w:line="276" w:lineRule="auto"/>
        <w:contextualSpacing/>
        <w:jc w:val="both"/>
        <w:rPr>
          <w:rFonts w:ascii="Arial" w:hAnsi="Arial" w:cs="Arial"/>
          <w:sz w:val="24"/>
          <w:szCs w:val="24"/>
        </w:rPr>
      </w:pPr>
      <w:r w:rsidRPr="003A7DA8">
        <w:rPr>
          <w:rFonts w:ascii="Arial" w:hAnsi="Arial" w:cs="Arial"/>
          <w:sz w:val="24"/>
          <w:szCs w:val="24"/>
        </w:rPr>
        <w:t xml:space="preserve">En mérito de lo expuesto, la </w:t>
      </w:r>
      <w:r w:rsidRPr="003A7DA8">
        <w:rPr>
          <w:rFonts w:ascii="Arial" w:hAnsi="Arial" w:cs="Arial"/>
          <w:b/>
          <w:sz w:val="24"/>
          <w:szCs w:val="24"/>
        </w:rPr>
        <w:t>Sala Cuarta de Decisión Laboral del Tribunal Superior del Distrito Judicial de Pereira</w:t>
      </w:r>
      <w:r w:rsidRPr="003A7DA8">
        <w:rPr>
          <w:rFonts w:ascii="Arial" w:hAnsi="Arial" w:cs="Arial"/>
          <w:sz w:val="24"/>
          <w:szCs w:val="24"/>
        </w:rPr>
        <w:t xml:space="preserve">, </w:t>
      </w:r>
      <w:r w:rsidR="00295B8B" w:rsidRPr="003A7DA8">
        <w:rPr>
          <w:rFonts w:ascii="Arial" w:hAnsi="Arial" w:cs="Arial"/>
          <w:sz w:val="24"/>
          <w:szCs w:val="24"/>
        </w:rPr>
        <w:t xml:space="preserve"> </w:t>
      </w: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r w:rsidRPr="003A7DA8">
        <w:rPr>
          <w:rFonts w:ascii="Arial" w:hAnsi="Arial" w:cs="Arial"/>
          <w:b/>
          <w:sz w:val="24"/>
          <w:szCs w:val="24"/>
        </w:rPr>
        <w:t>RESUELVE</w:t>
      </w:r>
    </w:p>
    <w:p w:rsidR="001A7DC1"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460114" w:rsidRDefault="0060173D" w:rsidP="00460114">
      <w:pPr>
        <w:suppressAutoHyphens/>
        <w:spacing w:line="276" w:lineRule="auto"/>
        <w:contextualSpacing/>
        <w:jc w:val="both"/>
        <w:rPr>
          <w:rFonts w:cs="Arial"/>
          <w:bCs/>
          <w:szCs w:val="24"/>
        </w:rPr>
      </w:pPr>
      <w:r w:rsidRPr="0060173D">
        <w:rPr>
          <w:rFonts w:ascii="Arial" w:hAnsi="Arial" w:cs="Arial"/>
          <w:b/>
          <w:sz w:val="24"/>
          <w:szCs w:val="24"/>
        </w:rPr>
        <w:t xml:space="preserve">PRIMERO. </w:t>
      </w:r>
      <w:r w:rsidR="00AD0AA2">
        <w:rPr>
          <w:rFonts w:ascii="Arial" w:hAnsi="Arial" w:cs="Arial"/>
          <w:b/>
          <w:sz w:val="24"/>
          <w:szCs w:val="24"/>
        </w:rPr>
        <w:t>REVOCAR</w:t>
      </w:r>
      <w:r w:rsidR="00DE2A06">
        <w:rPr>
          <w:rFonts w:ascii="Arial" w:hAnsi="Arial" w:cs="Arial"/>
          <w:b/>
          <w:sz w:val="24"/>
          <w:szCs w:val="24"/>
        </w:rPr>
        <w:t xml:space="preserve"> </w:t>
      </w:r>
      <w:r w:rsidR="00DE2A06" w:rsidRPr="00DE2A06">
        <w:rPr>
          <w:rFonts w:ascii="Arial" w:hAnsi="Arial" w:cs="Arial"/>
          <w:sz w:val="24"/>
          <w:szCs w:val="24"/>
        </w:rPr>
        <w:t>el</w:t>
      </w:r>
      <w:r w:rsidR="00DE2A06">
        <w:rPr>
          <w:rFonts w:ascii="Arial" w:hAnsi="Arial" w:cs="Arial"/>
          <w:sz w:val="24"/>
          <w:szCs w:val="24"/>
        </w:rPr>
        <w:t xml:space="preserve"> </w:t>
      </w:r>
      <w:r>
        <w:rPr>
          <w:rFonts w:ascii="Arial" w:hAnsi="Arial" w:cs="Arial"/>
          <w:sz w:val="24"/>
          <w:szCs w:val="24"/>
        </w:rPr>
        <w:t>auto</w:t>
      </w:r>
      <w:r w:rsidR="00460114" w:rsidRPr="00460114">
        <w:rPr>
          <w:rFonts w:ascii="Arial" w:hAnsi="Arial" w:cs="Arial"/>
          <w:sz w:val="24"/>
          <w:szCs w:val="24"/>
        </w:rPr>
        <w:t xml:space="preserve"> </w:t>
      </w:r>
      <w:r w:rsidR="00460114">
        <w:rPr>
          <w:rFonts w:ascii="Arial" w:hAnsi="Arial" w:cs="Arial"/>
          <w:sz w:val="24"/>
          <w:szCs w:val="24"/>
        </w:rPr>
        <w:t xml:space="preserve">el Juzgado Segundo </w:t>
      </w:r>
      <w:r w:rsidR="00460114" w:rsidRPr="001A1834">
        <w:rPr>
          <w:rFonts w:ascii="Arial" w:hAnsi="Arial" w:cs="Arial"/>
          <w:sz w:val="24"/>
          <w:szCs w:val="24"/>
        </w:rPr>
        <w:t xml:space="preserve">Laboral del Circuito de </w:t>
      </w:r>
      <w:r w:rsidR="00460114">
        <w:rPr>
          <w:rFonts w:ascii="Arial" w:hAnsi="Arial" w:cs="Arial"/>
          <w:sz w:val="24"/>
          <w:szCs w:val="24"/>
        </w:rPr>
        <w:t xml:space="preserve">esta ciudad </w:t>
      </w:r>
      <w:r w:rsidR="00460114" w:rsidRPr="001A1834">
        <w:rPr>
          <w:rFonts w:ascii="Arial" w:hAnsi="Arial" w:cs="Arial"/>
          <w:sz w:val="24"/>
          <w:szCs w:val="24"/>
        </w:rPr>
        <w:t xml:space="preserve">el </w:t>
      </w:r>
      <w:r w:rsidR="00460114">
        <w:rPr>
          <w:rFonts w:ascii="Arial" w:hAnsi="Arial" w:cs="Arial"/>
          <w:sz w:val="24"/>
          <w:szCs w:val="24"/>
        </w:rPr>
        <w:t>2-05-2017</w:t>
      </w:r>
      <w:r w:rsidR="00460114" w:rsidRPr="001A1834">
        <w:rPr>
          <w:rFonts w:ascii="Arial" w:hAnsi="Arial" w:cs="Arial"/>
          <w:sz w:val="24"/>
          <w:szCs w:val="24"/>
        </w:rPr>
        <w:t xml:space="preserve">, dentro del proceso </w:t>
      </w:r>
      <w:r w:rsidR="00460114">
        <w:rPr>
          <w:rFonts w:ascii="Arial" w:hAnsi="Arial" w:cs="Arial"/>
          <w:sz w:val="24"/>
          <w:szCs w:val="24"/>
        </w:rPr>
        <w:t xml:space="preserve">de la referencia. </w:t>
      </w:r>
    </w:p>
    <w:p w:rsidR="00460114" w:rsidRDefault="00460114" w:rsidP="004601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jc w:val="both"/>
        <w:textAlignment w:val="baseline"/>
        <w:rPr>
          <w:rFonts w:ascii="Arial" w:hAnsi="Arial" w:cs="Arial"/>
          <w:b/>
          <w:sz w:val="24"/>
          <w:szCs w:val="24"/>
        </w:rPr>
      </w:pPr>
    </w:p>
    <w:p w:rsidR="00295B8B" w:rsidRDefault="00295B8B" w:rsidP="004601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jc w:val="both"/>
        <w:textAlignment w:val="baseline"/>
        <w:rPr>
          <w:rFonts w:ascii="Arial" w:hAnsi="Arial" w:cs="Arial"/>
          <w:sz w:val="24"/>
          <w:szCs w:val="24"/>
        </w:rPr>
      </w:pPr>
      <w:r w:rsidRPr="003A7DA8">
        <w:rPr>
          <w:rFonts w:ascii="Arial" w:hAnsi="Arial" w:cs="Arial"/>
          <w:b/>
          <w:sz w:val="24"/>
          <w:szCs w:val="24"/>
        </w:rPr>
        <w:t xml:space="preserve">SEGUNDO. </w:t>
      </w:r>
      <w:r w:rsidR="00460114">
        <w:rPr>
          <w:rFonts w:ascii="Arial" w:hAnsi="Arial" w:cs="Arial"/>
          <w:b/>
          <w:sz w:val="24"/>
          <w:szCs w:val="24"/>
        </w:rPr>
        <w:t xml:space="preserve">Sin </w:t>
      </w:r>
      <w:r w:rsidR="0060173D">
        <w:rPr>
          <w:rFonts w:ascii="Arial" w:hAnsi="Arial" w:cs="Arial"/>
          <w:sz w:val="24"/>
          <w:szCs w:val="24"/>
        </w:rPr>
        <w:t>cos</w:t>
      </w:r>
      <w:r w:rsidRPr="003A7DA8">
        <w:rPr>
          <w:rFonts w:ascii="Arial" w:hAnsi="Arial" w:cs="Arial"/>
          <w:sz w:val="24"/>
          <w:szCs w:val="24"/>
        </w:rPr>
        <w:t>tas en esta instancia</w:t>
      </w:r>
      <w:r w:rsidR="00460114">
        <w:rPr>
          <w:rFonts w:ascii="Arial" w:hAnsi="Arial" w:cs="Arial"/>
          <w:sz w:val="24"/>
          <w:szCs w:val="24"/>
        </w:rPr>
        <w:t xml:space="preserve">. </w:t>
      </w:r>
    </w:p>
    <w:p w:rsidR="004818EF" w:rsidRPr="003A7DA8" w:rsidRDefault="004818EF" w:rsidP="00203219">
      <w:pPr>
        <w:widowControl w:val="0"/>
        <w:autoSpaceDE w:val="0"/>
        <w:autoSpaceDN w:val="0"/>
        <w:adjustRightInd w:val="0"/>
        <w:spacing w:line="276" w:lineRule="auto"/>
        <w:contextualSpacing/>
        <w:jc w:val="both"/>
        <w:rPr>
          <w:rFonts w:ascii="Arial" w:hAnsi="Arial" w:cs="Arial"/>
          <w:sz w:val="24"/>
          <w:szCs w:val="24"/>
        </w:rPr>
      </w:pPr>
    </w:p>
    <w:p w:rsidR="00295B8B" w:rsidRPr="003A7DA8" w:rsidRDefault="00460114"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jc w:val="both"/>
        <w:textAlignment w:val="baseline"/>
        <w:rPr>
          <w:rFonts w:ascii="Arial" w:hAnsi="Arial" w:cs="Arial"/>
          <w:sz w:val="24"/>
          <w:szCs w:val="24"/>
        </w:rPr>
      </w:pPr>
      <w:r>
        <w:rPr>
          <w:rFonts w:ascii="Arial" w:hAnsi="Arial" w:cs="Arial"/>
          <w:b/>
          <w:sz w:val="24"/>
          <w:szCs w:val="24"/>
        </w:rPr>
        <w:t xml:space="preserve">TERCERO. </w:t>
      </w:r>
      <w:r w:rsidR="00295B8B" w:rsidRPr="0060173D">
        <w:rPr>
          <w:rFonts w:ascii="Arial" w:hAnsi="Arial" w:cs="Arial"/>
          <w:b/>
          <w:sz w:val="24"/>
          <w:szCs w:val="24"/>
        </w:rPr>
        <w:t>DEVOLVER</w:t>
      </w:r>
      <w:r w:rsidR="00295B8B" w:rsidRPr="003A7DA8">
        <w:rPr>
          <w:rFonts w:ascii="Arial" w:hAnsi="Arial" w:cs="Arial"/>
          <w:sz w:val="24"/>
          <w:szCs w:val="24"/>
        </w:rPr>
        <w:t xml:space="preserve"> </w:t>
      </w:r>
      <w:r w:rsidR="00DE2A06">
        <w:rPr>
          <w:rFonts w:ascii="Arial" w:hAnsi="Arial" w:cs="Arial"/>
          <w:sz w:val="24"/>
          <w:szCs w:val="24"/>
        </w:rPr>
        <w:t xml:space="preserve">la actuación </w:t>
      </w:r>
      <w:r w:rsidR="00295B8B" w:rsidRPr="003A7DA8">
        <w:rPr>
          <w:rFonts w:ascii="Arial" w:hAnsi="Arial" w:cs="Arial"/>
          <w:sz w:val="24"/>
          <w:szCs w:val="24"/>
        </w:rPr>
        <w:t>al Juzgado de origen</w:t>
      </w:r>
      <w:r w:rsidR="00DE2A06">
        <w:rPr>
          <w:rFonts w:ascii="Arial" w:hAnsi="Arial" w:cs="Arial"/>
          <w:sz w:val="24"/>
          <w:szCs w:val="24"/>
        </w:rPr>
        <w:t xml:space="preserve">. </w:t>
      </w:r>
    </w:p>
    <w:p w:rsidR="00295B8B" w:rsidRPr="00AC6330" w:rsidRDefault="00295B8B" w:rsidP="002032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contextualSpacing/>
        <w:textAlignment w:val="baseline"/>
        <w:rPr>
          <w:rFonts w:ascii="Arial" w:hAnsi="Arial" w:cs="Arial"/>
          <w:sz w:val="24"/>
          <w:szCs w:val="24"/>
          <w:lang w:val="es-CO"/>
        </w:rPr>
      </w:pPr>
      <w:r w:rsidRPr="00AC6330">
        <w:rPr>
          <w:rFonts w:ascii="Arial" w:hAnsi="Arial" w:cs="Arial"/>
          <w:sz w:val="24"/>
          <w:szCs w:val="24"/>
          <w:lang w:val="es-CO"/>
        </w:rPr>
        <w:t xml:space="preserve"> </w:t>
      </w:r>
    </w:p>
    <w:p w:rsidR="001A7DC1" w:rsidRPr="003A7DA8" w:rsidRDefault="00460114" w:rsidP="00203219">
      <w:pPr>
        <w:widowControl w:val="0"/>
        <w:autoSpaceDE w:val="0"/>
        <w:autoSpaceDN w:val="0"/>
        <w:adjustRightInd w:val="0"/>
        <w:spacing w:line="276" w:lineRule="auto"/>
        <w:contextualSpacing/>
        <w:jc w:val="both"/>
        <w:rPr>
          <w:rFonts w:ascii="Arial" w:hAnsi="Arial" w:cs="Arial"/>
          <w:sz w:val="24"/>
          <w:szCs w:val="24"/>
        </w:rPr>
      </w:pPr>
      <w:r>
        <w:rPr>
          <w:rFonts w:ascii="Arial" w:hAnsi="Arial" w:cs="Arial"/>
          <w:sz w:val="24"/>
          <w:szCs w:val="24"/>
        </w:rPr>
        <w:t xml:space="preserve"> </w:t>
      </w:r>
    </w:p>
    <w:p w:rsidR="001A7DC1" w:rsidRPr="003A7DA8" w:rsidRDefault="00460114" w:rsidP="00203219">
      <w:pPr>
        <w:widowControl w:val="0"/>
        <w:autoSpaceDE w:val="0"/>
        <w:autoSpaceDN w:val="0"/>
        <w:adjustRightInd w:val="0"/>
        <w:spacing w:line="276" w:lineRule="auto"/>
        <w:contextualSpacing/>
        <w:jc w:val="center"/>
        <w:rPr>
          <w:rFonts w:ascii="Arial" w:hAnsi="Arial" w:cs="Arial"/>
          <w:b/>
          <w:sz w:val="24"/>
          <w:szCs w:val="24"/>
        </w:rPr>
      </w:pPr>
      <w:r>
        <w:rPr>
          <w:rFonts w:ascii="Arial" w:hAnsi="Arial" w:cs="Arial"/>
          <w:b/>
          <w:sz w:val="24"/>
          <w:szCs w:val="24"/>
        </w:rPr>
        <w:t>NOTIFÍQUESE Y CÚMPLASE</w:t>
      </w:r>
    </w:p>
    <w:p w:rsidR="001A7DC1"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E24871" w:rsidRDefault="00E24871" w:rsidP="00203219">
      <w:pPr>
        <w:widowControl w:val="0"/>
        <w:autoSpaceDE w:val="0"/>
        <w:autoSpaceDN w:val="0"/>
        <w:adjustRightInd w:val="0"/>
        <w:spacing w:line="276" w:lineRule="auto"/>
        <w:contextualSpacing/>
        <w:jc w:val="center"/>
        <w:rPr>
          <w:rFonts w:ascii="Arial" w:hAnsi="Arial" w:cs="Arial"/>
          <w:b/>
          <w:sz w:val="24"/>
          <w:szCs w:val="24"/>
        </w:rPr>
      </w:pPr>
    </w:p>
    <w:p w:rsidR="00E24871" w:rsidRDefault="00E24871" w:rsidP="00203219">
      <w:pPr>
        <w:widowControl w:val="0"/>
        <w:autoSpaceDE w:val="0"/>
        <w:autoSpaceDN w:val="0"/>
        <w:adjustRightInd w:val="0"/>
        <w:spacing w:line="276" w:lineRule="auto"/>
        <w:contextualSpacing/>
        <w:jc w:val="center"/>
        <w:rPr>
          <w:rFonts w:ascii="Arial" w:hAnsi="Arial" w:cs="Arial"/>
          <w:b/>
          <w:sz w:val="24"/>
          <w:szCs w:val="24"/>
        </w:rPr>
      </w:pPr>
    </w:p>
    <w:p w:rsidR="00E24871" w:rsidRPr="003A7DA8" w:rsidRDefault="00E2487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r w:rsidRPr="003A7DA8">
        <w:rPr>
          <w:rFonts w:ascii="Arial" w:hAnsi="Arial" w:cs="Arial"/>
          <w:b/>
          <w:sz w:val="24"/>
          <w:szCs w:val="24"/>
        </w:rPr>
        <w:t>OLGA LUCÍA HOYOS SEPÚLVEDA</w:t>
      </w:r>
    </w:p>
    <w:p w:rsidR="001A7DC1" w:rsidRPr="003A7DA8" w:rsidRDefault="001A7DC1" w:rsidP="00203219">
      <w:pPr>
        <w:widowControl w:val="0"/>
        <w:autoSpaceDE w:val="0"/>
        <w:autoSpaceDN w:val="0"/>
        <w:adjustRightInd w:val="0"/>
        <w:spacing w:line="276" w:lineRule="auto"/>
        <w:contextualSpacing/>
        <w:jc w:val="center"/>
        <w:rPr>
          <w:rFonts w:ascii="Arial" w:hAnsi="Arial" w:cs="Arial"/>
          <w:sz w:val="24"/>
          <w:szCs w:val="24"/>
        </w:rPr>
      </w:pPr>
      <w:r w:rsidRPr="003A7DA8">
        <w:rPr>
          <w:rFonts w:ascii="Arial" w:hAnsi="Arial" w:cs="Arial"/>
          <w:sz w:val="24"/>
          <w:szCs w:val="24"/>
        </w:rPr>
        <w:t>Magistrada Ponente</w:t>
      </w: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rPr>
          <w:rFonts w:ascii="Arial" w:hAnsi="Arial" w:cs="Arial"/>
          <w:b/>
          <w:sz w:val="24"/>
          <w:szCs w:val="24"/>
        </w:rPr>
      </w:pPr>
      <w:r w:rsidRPr="003A7DA8">
        <w:rPr>
          <w:rFonts w:ascii="Arial" w:hAnsi="Arial" w:cs="Arial"/>
          <w:b/>
          <w:sz w:val="24"/>
          <w:szCs w:val="24"/>
        </w:rPr>
        <w:t>JULIO CÉSAR SALAZAR MUÑOZ</w:t>
      </w:r>
      <w:r w:rsidR="00D508C7">
        <w:rPr>
          <w:rFonts w:ascii="Arial" w:hAnsi="Arial" w:cs="Arial"/>
          <w:b/>
          <w:sz w:val="24"/>
          <w:szCs w:val="24"/>
        </w:rPr>
        <w:tab/>
        <w:t xml:space="preserve">   </w:t>
      </w:r>
      <w:r w:rsidR="00D508C7" w:rsidRPr="003A7DA8">
        <w:rPr>
          <w:rFonts w:ascii="Arial" w:hAnsi="Arial" w:cs="Arial"/>
          <w:b/>
          <w:sz w:val="24"/>
          <w:szCs w:val="24"/>
        </w:rPr>
        <w:t xml:space="preserve">ANA LUCÍA CAICEDO CALDERÓN  </w:t>
      </w:r>
    </w:p>
    <w:p w:rsidR="001A7DC1" w:rsidRPr="003A7DA8" w:rsidRDefault="001A7DC1" w:rsidP="00203219">
      <w:pPr>
        <w:widowControl w:val="0"/>
        <w:autoSpaceDE w:val="0"/>
        <w:autoSpaceDN w:val="0"/>
        <w:adjustRightInd w:val="0"/>
        <w:spacing w:line="276" w:lineRule="auto"/>
        <w:contextualSpacing/>
        <w:rPr>
          <w:rFonts w:ascii="Arial" w:hAnsi="Arial" w:cs="Arial"/>
          <w:sz w:val="24"/>
          <w:szCs w:val="24"/>
        </w:rPr>
      </w:pPr>
      <w:r w:rsidRPr="003A7DA8">
        <w:rPr>
          <w:rFonts w:ascii="Arial" w:hAnsi="Arial" w:cs="Arial"/>
          <w:b/>
          <w:sz w:val="24"/>
          <w:szCs w:val="24"/>
        </w:rPr>
        <w:t xml:space="preserve">                  </w:t>
      </w:r>
      <w:r w:rsidRPr="003A7DA8">
        <w:rPr>
          <w:rFonts w:ascii="Arial" w:hAnsi="Arial" w:cs="Arial"/>
          <w:sz w:val="24"/>
          <w:szCs w:val="24"/>
        </w:rPr>
        <w:t>Magistrad</w:t>
      </w:r>
      <w:r w:rsidR="00D508C7">
        <w:rPr>
          <w:rFonts w:ascii="Arial" w:hAnsi="Arial" w:cs="Arial"/>
          <w:sz w:val="24"/>
          <w:szCs w:val="24"/>
        </w:rPr>
        <w:t>o</w:t>
      </w:r>
      <w:r w:rsidRPr="003A7DA8">
        <w:rPr>
          <w:rFonts w:ascii="Arial" w:hAnsi="Arial" w:cs="Arial"/>
          <w:sz w:val="24"/>
          <w:szCs w:val="24"/>
        </w:rPr>
        <w:t xml:space="preserve">                                                   Magistrad</w:t>
      </w:r>
      <w:r w:rsidR="00D508C7">
        <w:rPr>
          <w:rFonts w:ascii="Arial" w:hAnsi="Arial" w:cs="Arial"/>
          <w:sz w:val="24"/>
          <w:szCs w:val="24"/>
        </w:rPr>
        <w:t>a</w:t>
      </w:r>
      <w:r w:rsidRPr="003A7DA8">
        <w:rPr>
          <w:rFonts w:ascii="Arial" w:hAnsi="Arial" w:cs="Arial"/>
          <w:sz w:val="24"/>
          <w:szCs w:val="24"/>
        </w:rPr>
        <w:t xml:space="preserve"> </w:t>
      </w:r>
    </w:p>
    <w:p w:rsidR="001A7DC1" w:rsidRPr="003A7DA8" w:rsidRDefault="001A7DC1" w:rsidP="00203219">
      <w:pPr>
        <w:widowControl w:val="0"/>
        <w:autoSpaceDE w:val="0"/>
        <w:autoSpaceDN w:val="0"/>
        <w:adjustRightInd w:val="0"/>
        <w:spacing w:line="276" w:lineRule="auto"/>
        <w:contextualSpacing/>
        <w:rPr>
          <w:rFonts w:ascii="Arial" w:hAnsi="Arial" w:cs="Arial"/>
          <w:i/>
          <w:sz w:val="24"/>
          <w:szCs w:val="24"/>
        </w:rPr>
      </w:pPr>
      <w:r w:rsidRPr="003A7DA8">
        <w:rPr>
          <w:rFonts w:ascii="Arial" w:hAnsi="Arial" w:cs="Arial"/>
          <w:sz w:val="24"/>
          <w:szCs w:val="24"/>
        </w:rPr>
        <w:t xml:space="preserve">                         </w:t>
      </w: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203219">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295B8B" w:rsidP="00203219">
      <w:pPr>
        <w:spacing w:line="276" w:lineRule="auto"/>
        <w:contextualSpacing/>
        <w:jc w:val="both"/>
        <w:rPr>
          <w:rFonts w:ascii="Arial" w:hAnsi="Arial" w:cs="Arial"/>
          <w:sz w:val="24"/>
          <w:szCs w:val="24"/>
          <w:lang w:val="es-CO"/>
        </w:rPr>
      </w:pPr>
      <w:r w:rsidRPr="003A7DA8">
        <w:rPr>
          <w:rFonts w:ascii="Arial" w:hAnsi="Arial" w:cs="Arial"/>
          <w:b/>
          <w:sz w:val="24"/>
          <w:szCs w:val="24"/>
        </w:rPr>
        <w:t xml:space="preserve"> </w:t>
      </w:r>
    </w:p>
    <w:p w:rsidR="003B4B1F" w:rsidRPr="003A7DA8" w:rsidRDefault="003B4B1F" w:rsidP="00203219">
      <w:pPr>
        <w:spacing w:line="276" w:lineRule="auto"/>
        <w:rPr>
          <w:rFonts w:ascii="Arial" w:hAnsi="Arial" w:cs="Arial"/>
          <w:sz w:val="24"/>
          <w:szCs w:val="24"/>
        </w:rPr>
      </w:pPr>
    </w:p>
    <w:sectPr w:rsidR="003B4B1F" w:rsidRPr="003A7DA8" w:rsidSect="00F824F8">
      <w:head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5F" w:rsidRDefault="00C82C5F">
      <w:pPr>
        <w:spacing w:after="0" w:line="240" w:lineRule="auto"/>
      </w:pPr>
      <w:r>
        <w:separator/>
      </w:r>
    </w:p>
  </w:endnote>
  <w:endnote w:type="continuationSeparator" w:id="0">
    <w:p w:rsidR="00C82C5F" w:rsidRDefault="00C8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5F" w:rsidRDefault="00C82C5F">
      <w:pPr>
        <w:spacing w:after="0" w:line="240" w:lineRule="auto"/>
      </w:pPr>
      <w:r>
        <w:separator/>
      </w:r>
    </w:p>
  </w:footnote>
  <w:footnote w:type="continuationSeparator" w:id="0">
    <w:p w:rsidR="00C82C5F" w:rsidRDefault="00C82C5F">
      <w:pPr>
        <w:spacing w:after="0" w:line="240" w:lineRule="auto"/>
      </w:pPr>
      <w:r>
        <w:continuationSeparator/>
      </w:r>
    </w:p>
  </w:footnote>
  <w:footnote w:id="1">
    <w:p w:rsidR="00470E67" w:rsidRPr="000D70CC" w:rsidRDefault="00470E67" w:rsidP="00470E67">
      <w:pPr>
        <w:pStyle w:val="Textonotapie"/>
        <w:spacing w:line="240" w:lineRule="atLeast"/>
        <w:rPr>
          <w:rFonts w:ascii="Arial" w:hAnsi="Arial" w:cs="Arial"/>
          <w:sz w:val="16"/>
          <w:szCs w:val="16"/>
        </w:rPr>
      </w:pPr>
      <w:r w:rsidRPr="00C7026D">
        <w:rPr>
          <w:rStyle w:val="Refdenotaalpie"/>
          <w:rFonts w:ascii="Arial Narrow" w:hAnsi="Arial Narrow"/>
          <w:sz w:val="16"/>
          <w:szCs w:val="16"/>
        </w:rPr>
        <w:footnoteRef/>
      </w:r>
      <w:r w:rsidRPr="00C7026D">
        <w:rPr>
          <w:rFonts w:ascii="Arial Narrow" w:hAnsi="Arial Narrow"/>
          <w:sz w:val="16"/>
          <w:szCs w:val="16"/>
        </w:rPr>
        <w:t xml:space="preserve"> </w:t>
      </w:r>
      <w:r w:rsidR="00FB5859" w:rsidRPr="000D70CC">
        <w:rPr>
          <w:rFonts w:ascii="Arial" w:hAnsi="Arial" w:cs="Arial"/>
          <w:sz w:val="16"/>
          <w:szCs w:val="16"/>
        </w:rPr>
        <w:t xml:space="preserve">Código General del Proceso Parte General, </w:t>
      </w:r>
      <w:r w:rsidRPr="000D70CC">
        <w:rPr>
          <w:rFonts w:ascii="Arial" w:hAnsi="Arial" w:cs="Arial"/>
          <w:sz w:val="16"/>
          <w:szCs w:val="16"/>
        </w:rPr>
        <w:t xml:space="preserve"> TOMO I, novena edición DUPRE EDITORES, p</w:t>
      </w:r>
      <w:r w:rsidR="00FB5859" w:rsidRPr="000D70CC">
        <w:rPr>
          <w:rFonts w:ascii="Arial" w:hAnsi="Arial" w:cs="Arial"/>
          <w:sz w:val="16"/>
          <w:szCs w:val="16"/>
        </w:rPr>
        <w:t>á</w:t>
      </w:r>
      <w:r w:rsidRPr="000D70CC">
        <w:rPr>
          <w:rFonts w:ascii="Arial" w:hAnsi="Arial" w:cs="Arial"/>
          <w:sz w:val="16"/>
          <w:szCs w:val="16"/>
        </w:rPr>
        <w:t>g.</w:t>
      </w:r>
      <w:r w:rsidR="00FB5859" w:rsidRPr="000D70CC">
        <w:rPr>
          <w:rFonts w:ascii="Arial" w:hAnsi="Arial" w:cs="Arial"/>
          <w:sz w:val="16"/>
          <w:szCs w:val="16"/>
        </w:rPr>
        <w:t xml:space="preserve"> 914</w:t>
      </w:r>
    </w:p>
  </w:footnote>
  <w:footnote w:id="2">
    <w:p w:rsidR="00CF6050" w:rsidRPr="00B90B0B" w:rsidRDefault="00CF6050" w:rsidP="00CF6050">
      <w:pPr>
        <w:pStyle w:val="Textonotapie"/>
        <w:rPr>
          <w:lang w:val="es-CO"/>
        </w:rPr>
      </w:pPr>
      <w:r w:rsidRPr="0057044E">
        <w:rPr>
          <w:rStyle w:val="Refdenotaalpie"/>
          <w:rFonts w:ascii="Arial" w:hAnsi="Arial" w:cs="Arial"/>
          <w:sz w:val="16"/>
          <w:szCs w:val="16"/>
        </w:rPr>
        <w:footnoteRef/>
      </w:r>
      <w:r w:rsidRPr="0057044E">
        <w:rPr>
          <w:rFonts w:ascii="Arial" w:hAnsi="Arial" w:cs="Arial"/>
          <w:sz w:val="16"/>
          <w:szCs w:val="16"/>
        </w:rPr>
        <w:t xml:space="preserve"> Sentencia de 21-02-1966 G.J., T. CXV, pág.129</w:t>
      </w:r>
    </w:p>
  </w:footnote>
  <w:footnote w:id="3">
    <w:p w:rsidR="00AC6330" w:rsidRPr="00D42200" w:rsidRDefault="00AC6330" w:rsidP="00AC6330">
      <w:pPr>
        <w:pStyle w:val="NormalWeb"/>
        <w:spacing w:before="0" w:beforeAutospacing="0" w:after="0" w:afterAutospacing="0"/>
        <w:jc w:val="both"/>
        <w:rPr>
          <w:rFonts w:ascii="Arial" w:hAnsi="Arial" w:cs="Arial"/>
          <w:sz w:val="18"/>
          <w:szCs w:val="20"/>
        </w:rPr>
      </w:pPr>
      <w:r w:rsidRPr="00D42200">
        <w:rPr>
          <w:rStyle w:val="Refdenotaalpie"/>
          <w:rFonts w:ascii="Arial" w:hAnsi="Arial" w:cs="Arial"/>
          <w:sz w:val="18"/>
        </w:rPr>
        <w:footnoteRef/>
      </w:r>
      <w:r w:rsidRPr="00D42200">
        <w:rPr>
          <w:rFonts w:ascii="Arial" w:hAnsi="Arial" w:cs="Arial"/>
          <w:sz w:val="18"/>
          <w:szCs w:val="20"/>
        </w:rPr>
        <w:t xml:space="preserve"> </w:t>
      </w:r>
      <w:r>
        <w:rPr>
          <w:rFonts w:ascii="Arial" w:hAnsi="Arial" w:cs="Arial"/>
          <w:bCs/>
          <w:color w:val="000000"/>
          <w:sz w:val="18"/>
          <w:szCs w:val="20"/>
        </w:rPr>
        <w:t>CORTE SUPREMA D</w:t>
      </w:r>
      <w:r w:rsidRPr="00D42200">
        <w:rPr>
          <w:rFonts w:ascii="Arial" w:hAnsi="Arial" w:cs="Arial"/>
          <w:bCs/>
          <w:color w:val="000000"/>
          <w:sz w:val="18"/>
          <w:szCs w:val="20"/>
        </w:rPr>
        <w:t xml:space="preserve">E JUSTICIA. </w:t>
      </w:r>
      <w:r>
        <w:rPr>
          <w:rFonts w:ascii="Arial" w:hAnsi="Arial" w:cs="Arial"/>
          <w:bCs/>
          <w:color w:val="000000"/>
          <w:sz w:val="18"/>
          <w:szCs w:val="20"/>
        </w:rPr>
        <w:t>Sala de Casación de 08-08-2001, rad.</w:t>
      </w:r>
      <w:r w:rsidRPr="00D42200">
        <w:rPr>
          <w:rFonts w:ascii="Arial" w:hAnsi="Arial" w:cs="Arial"/>
          <w:bCs/>
          <w:color w:val="000000"/>
          <w:sz w:val="18"/>
          <w:szCs w:val="20"/>
        </w:rPr>
        <w:t>5814</w:t>
      </w:r>
      <w:r>
        <w:rPr>
          <w:rFonts w:ascii="Arial" w:hAnsi="Arial" w:cs="Arial"/>
          <w:color w:val="000000"/>
          <w:sz w:val="18"/>
          <w:szCs w:val="20"/>
        </w:rPr>
        <w:t xml:space="preserve">, M.P. </w:t>
      </w:r>
      <w:r w:rsidRPr="00D42200">
        <w:rPr>
          <w:rFonts w:ascii="Arial" w:hAnsi="Arial" w:cs="Arial"/>
          <w:color w:val="000000"/>
          <w:sz w:val="18"/>
          <w:szCs w:val="20"/>
        </w:rPr>
        <w:t xml:space="preserve">José Fernando Ramírez Gómez. </w:t>
      </w:r>
    </w:p>
  </w:footnote>
  <w:footnote w:id="4">
    <w:p w:rsidR="00AC6330" w:rsidRPr="005F52E4" w:rsidRDefault="00AC6330" w:rsidP="00AC6330">
      <w:pPr>
        <w:pStyle w:val="Textonotapie"/>
        <w:jc w:val="both"/>
        <w:rPr>
          <w:rFonts w:ascii="Arial" w:hAnsi="Arial" w:cs="Arial"/>
          <w:sz w:val="16"/>
          <w:szCs w:val="16"/>
        </w:rPr>
      </w:pPr>
      <w:r w:rsidRPr="00D42200">
        <w:rPr>
          <w:rStyle w:val="Refdenotaalpie"/>
          <w:rFonts w:ascii="Arial" w:hAnsi="Arial" w:cs="Arial"/>
          <w:sz w:val="18"/>
          <w:szCs w:val="18"/>
        </w:rPr>
        <w:footnoteRef/>
      </w:r>
      <w:r w:rsidRPr="005F52E4">
        <w:rPr>
          <w:rFonts w:ascii="Arial" w:hAnsi="Arial" w:cs="Arial"/>
          <w:sz w:val="16"/>
          <w:szCs w:val="16"/>
        </w:rPr>
        <w:t xml:space="preserve"> CORTE SUPREMA DE JUSTICIA, Sala de Casación Laboral de 9-10-1996, Rad. 8966, M.P. German Valdés Sánchez.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D64CAF" w:rsidP="006F1649">
        <w:pPr>
          <w:pStyle w:val="Encabezado"/>
          <w:jc w:val="right"/>
        </w:pPr>
        <w:r>
          <w:fldChar w:fldCharType="begin"/>
        </w:r>
        <w:r>
          <w:instrText>PAGE   \* MERGEFORMAT</w:instrText>
        </w:r>
        <w:r>
          <w:fldChar w:fldCharType="separate"/>
        </w:r>
        <w:r w:rsidR="0048099D">
          <w:rPr>
            <w:noProof/>
          </w:rPr>
          <w:t>5</w:t>
        </w:r>
        <w:r>
          <w:fldChar w:fldCharType="end"/>
        </w:r>
      </w:p>
    </w:sdtContent>
  </w:sdt>
  <w:p w:rsidR="00107B2A" w:rsidRPr="006F1649" w:rsidRDefault="00D64CAF" w:rsidP="00E24871">
    <w:pPr>
      <w:pStyle w:val="Encabezado"/>
      <w:jc w:val="center"/>
      <w:rPr>
        <w:rFonts w:ascii="Arial" w:hAnsi="Arial" w:cs="Arial"/>
        <w:sz w:val="18"/>
        <w:szCs w:val="18"/>
      </w:rPr>
    </w:pPr>
    <w:r w:rsidRPr="006F1649">
      <w:rPr>
        <w:rFonts w:ascii="Arial" w:hAnsi="Arial" w:cs="Arial"/>
        <w:sz w:val="18"/>
        <w:szCs w:val="18"/>
      </w:rPr>
      <w:t>Proceso Ordinario Laboral</w:t>
    </w:r>
  </w:p>
  <w:p w:rsidR="00E24871" w:rsidRDefault="00E24871" w:rsidP="00E24871">
    <w:pPr>
      <w:spacing w:line="276" w:lineRule="auto"/>
      <w:contextualSpacing/>
      <w:jc w:val="center"/>
      <w:rPr>
        <w:rFonts w:ascii="Arial" w:hAnsi="Arial" w:cs="Arial"/>
        <w:sz w:val="18"/>
        <w:szCs w:val="18"/>
        <w:lang w:val="es-CO"/>
      </w:rPr>
    </w:pPr>
    <w:r>
      <w:rPr>
        <w:rFonts w:ascii="Arial" w:hAnsi="Arial" w:cs="Arial"/>
        <w:sz w:val="18"/>
        <w:szCs w:val="18"/>
        <w:lang w:val="es-CO"/>
      </w:rPr>
      <w:t>66001-31-05-002</w:t>
    </w:r>
    <w:r w:rsidRPr="00B41059">
      <w:rPr>
        <w:rFonts w:ascii="Arial" w:hAnsi="Arial" w:cs="Arial"/>
        <w:sz w:val="18"/>
        <w:szCs w:val="18"/>
        <w:lang w:val="es-CO"/>
      </w:rPr>
      <w:t>-201</w:t>
    </w:r>
    <w:r>
      <w:rPr>
        <w:rFonts w:ascii="Arial" w:hAnsi="Arial" w:cs="Arial"/>
        <w:sz w:val="18"/>
        <w:szCs w:val="18"/>
        <w:lang w:val="es-CO"/>
      </w:rPr>
      <w:t>5</w:t>
    </w:r>
    <w:r w:rsidRPr="00B41059">
      <w:rPr>
        <w:rFonts w:ascii="Arial" w:hAnsi="Arial" w:cs="Arial"/>
        <w:sz w:val="18"/>
        <w:szCs w:val="18"/>
        <w:lang w:val="es-CO"/>
      </w:rPr>
      <w:t>-00</w:t>
    </w:r>
    <w:r>
      <w:rPr>
        <w:rFonts w:ascii="Arial" w:hAnsi="Arial" w:cs="Arial"/>
        <w:sz w:val="18"/>
        <w:szCs w:val="18"/>
        <w:lang w:val="es-CO"/>
      </w:rPr>
      <w:t>611-01</w:t>
    </w:r>
  </w:p>
  <w:p w:rsidR="006F1649" w:rsidRDefault="00E24871" w:rsidP="00E24871">
    <w:pPr>
      <w:spacing w:line="276" w:lineRule="auto"/>
      <w:contextualSpacing/>
      <w:jc w:val="center"/>
      <w:rPr>
        <w:rFonts w:ascii="Arial" w:hAnsi="Arial" w:cs="Arial"/>
        <w:sz w:val="18"/>
        <w:szCs w:val="18"/>
      </w:rPr>
    </w:pPr>
    <w:proofErr w:type="spellStart"/>
    <w:r>
      <w:rPr>
        <w:rFonts w:ascii="Arial" w:hAnsi="Arial" w:cs="Arial"/>
        <w:sz w:val="18"/>
        <w:szCs w:val="18"/>
        <w:lang w:val="es-CO"/>
      </w:rPr>
      <w:t>Farling</w:t>
    </w:r>
    <w:proofErr w:type="spellEnd"/>
    <w:r>
      <w:rPr>
        <w:rFonts w:ascii="Arial" w:hAnsi="Arial" w:cs="Arial"/>
        <w:sz w:val="18"/>
        <w:szCs w:val="18"/>
        <w:lang w:val="es-CO"/>
      </w:rPr>
      <w:t xml:space="preserve"> Alarcón Ramírez vs </w:t>
    </w:r>
    <w:proofErr w:type="spellStart"/>
    <w:r>
      <w:rPr>
        <w:rFonts w:ascii="Arial" w:hAnsi="Arial" w:cs="Arial"/>
        <w:sz w:val="18"/>
        <w:szCs w:val="18"/>
        <w:lang w:val="es-CO"/>
      </w:rPr>
      <w:t>Promasivo</w:t>
    </w:r>
    <w:proofErr w:type="spellEnd"/>
    <w:r>
      <w:rPr>
        <w:rFonts w:ascii="Arial" w:hAnsi="Arial" w:cs="Arial"/>
        <w:sz w:val="18"/>
        <w:szCs w:val="18"/>
        <w:lang w:val="es-CO"/>
      </w:rPr>
      <w:t xml:space="preserve"> </w:t>
    </w:r>
    <w:proofErr w:type="spellStart"/>
    <w:r>
      <w:rPr>
        <w:rFonts w:ascii="Arial" w:hAnsi="Arial" w:cs="Arial"/>
        <w:sz w:val="18"/>
        <w:szCs w:val="18"/>
        <w:lang w:val="es-CO"/>
      </w:rPr>
      <w:t>SA</w:t>
    </w:r>
    <w:proofErr w:type="spellEnd"/>
    <w:r>
      <w:rPr>
        <w:rFonts w:ascii="Arial" w:hAnsi="Arial" w:cs="Arial"/>
        <w:sz w:val="18"/>
        <w:szCs w:val="18"/>
        <w:lang w:val="es-CO"/>
      </w:rPr>
      <w:t xml:space="preserve"> y </w:t>
    </w:r>
    <w:proofErr w:type="spellStart"/>
    <w:r>
      <w:rPr>
        <w:rFonts w:ascii="Arial" w:hAnsi="Arial" w:cs="Arial"/>
        <w:sz w:val="18"/>
        <w:szCs w:val="18"/>
        <w:lang w:val="es-CO"/>
      </w:rPr>
      <w:t>Megabús</w:t>
    </w:r>
    <w:proofErr w:type="spellEnd"/>
    <w:r>
      <w:rPr>
        <w:rFonts w:ascii="Arial" w:hAnsi="Arial" w:cs="Arial"/>
        <w:sz w:val="18"/>
        <w:szCs w:val="18"/>
        <w:lang w:val="es-CO"/>
      </w:rPr>
      <w:t xml:space="preserve"> SA</w:t>
    </w:r>
  </w:p>
  <w:p w:rsidR="006F1649" w:rsidRPr="006F1649" w:rsidRDefault="00C82C5F"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7341F6"/>
    <w:multiLevelType w:val="hybridMultilevel"/>
    <w:tmpl w:val="2FD8F00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A7"/>
    <w:rsid w:val="00003DBF"/>
    <w:rsid w:val="00036FC9"/>
    <w:rsid w:val="00041AD6"/>
    <w:rsid w:val="000466B4"/>
    <w:rsid w:val="000520EA"/>
    <w:rsid w:val="0005746D"/>
    <w:rsid w:val="00083D55"/>
    <w:rsid w:val="000A18F5"/>
    <w:rsid w:val="000B213E"/>
    <w:rsid w:val="000D3120"/>
    <w:rsid w:val="000D70CC"/>
    <w:rsid w:val="001216D0"/>
    <w:rsid w:val="00147727"/>
    <w:rsid w:val="00150EF0"/>
    <w:rsid w:val="00167150"/>
    <w:rsid w:val="001817B8"/>
    <w:rsid w:val="00183B88"/>
    <w:rsid w:val="001840ED"/>
    <w:rsid w:val="00197CB3"/>
    <w:rsid w:val="001A7DC1"/>
    <w:rsid w:val="001B0659"/>
    <w:rsid w:val="001B67A9"/>
    <w:rsid w:val="001D49BD"/>
    <w:rsid w:val="001D705E"/>
    <w:rsid w:val="001E2FFB"/>
    <w:rsid w:val="00203219"/>
    <w:rsid w:val="00205D35"/>
    <w:rsid w:val="00210769"/>
    <w:rsid w:val="00265490"/>
    <w:rsid w:val="00265560"/>
    <w:rsid w:val="0028418A"/>
    <w:rsid w:val="00295B8B"/>
    <w:rsid w:val="002C0D83"/>
    <w:rsid w:val="002E050C"/>
    <w:rsid w:val="00312150"/>
    <w:rsid w:val="00322B54"/>
    <w:rsid w:val="00337692"/>
    <w:rsid w:val="00346ED7"/>
    <w:rsid w:val="00373F03"/>
    <w:rsid w:val="00375BD8"/>
    <w:rsid w:val="003A7DA8"/>
    <w:rsid w:val="003B4B1F"/>
    <w:rsid w:val="003C298B"/>
    <w:rsid w:val="003E0009"/>
    <w:rsid w:val="003E6C1B"/>
    <w:rsid w:val="003F55F3"/>
    <w:rsid w:val="00404FCE"/>
    <w:rsid w:val="00406047"/>
    <w:rsid w:val="00407FA5"/>
    <w:rsid w:val="00434299"/>
    <w:rsid w:val="004550AF"/>
    <w:rsid w:val="00460114"/>
    <w:rsid w:val="00463C69"/>
    <w:rsid w:val="00470E67"/>
    <w:rsid w:val="0048099D"/>
    <w:rsid w:val="004818EF"/>
    <w:rsid w:val="00496A36"/>
    <w:rsid w:val="004B126F"/>
    <w:rsid w:val="004F06E1"/>
    <w:rsid w:val="004F0B54"/>
    <w:rsid w:val="004F71B0"/>
    <w:rsid w:val="00524A9D"/>
    <w:rsid w:val="005328D2"/>
    <w:rsid w:val="00537142"/>
    <w:rsid w:val="00550E8B"/>
    <w:rsid w:val="005A4412"/>
    <w:rsid w:val="005D0EB9"/>
    <w:rsid w:val="005D7AC9"/>
    <w:rsid w:val="005E1F16"/>
    <w:rsid w:val="005E41B0"/>
    <w:rsid w:val="0060173D"/>
    <w:rsid w:val="006041F5"/>
    <w:rsid w:val="00610948"/>
    <w:rsid w:val="00630A19"/>
    <w:rsid w:val="006424D4"/>
    <w:rsid w:val="006615B6"/>
    <w:rsid w:val="0068307F"/>
    <w:rsid w:val="0069613C"/>
    <w:rsid w:val="006A4AE2"/>
    <w:rsid w:val="00703263"/>
    <w:rsid w:val="00707D0F"/>
    <w:rsid w:val="007161B1"/>
    <w:rsid w:val="007353C2"/>
    <w:rsid w:val="007402CF"/>
    <w:rsid w:val="00744ACC"/>
    <w:rsid w:val="007457C2"/>
    <w:rsid w:val="00764A39"/>
    <w:rsid w:val="0077516C"/>
    <w:rsid w:val="00775EDB"/>
    <w:rsid w:val="007809F5"/>
    <w:rsid w:val="007955BC"/>
    <w:rsid w:val="00796966"/>
    <w:rsid w:val="007C2514"/>
    <w:rsid w:val="007D45E9"/>
    <w:rsid w:val="007F0DA1"/>
    <w:rsid w:val="007F3550"/>
    <w:rsid w:val="00814D61"/>
    <w:rsid w:val="00825E5E"/>
    <w:rsid w:val="00834668"/>
    <w:rsid w:val="008514CD"/>
    <w:rsid w:val="0087481D"/>
    <w:rsid w:val="00886A0A"/>
    <w:rsid w:val="008A567D"/>
    <w:rsid w:val="008A6325"/>
    <w:rsid w:val="008A7C72"/>
    <w:rsid w:val="008B0C0D"/>
    <w:rsid w:val="008B70DC"/>
    <w:rsid w:val="008D12E0"/>
    <w:rsid w:val="008D5178"/>
    <w:rsid w:val="008F4803"/>
    <w:rsid w:val="00922F8C"/>
    <w:rsid w:val="00946B98"/>
    <w:rsid w:val="009578E1"/>
    <w:rsid w:val="00964227"/>
    <w:rsid w:val="0097407F"/>
    <w:rsid w:val="00986A8F"/>
    <w:rsid w:val="00994B04"/>
    <w:rsid w:val="00997438"/>
    <w:rsid w:val="009B3217"/>
    <w:rsid w:val="009C225E"/>
    <w:rsid w:val="009E4AC0"/>
    <w:rsid w:val="009E6ACF"/>
    <w:rsid w:val="009F196D"/>
    <w:rsid w:val="009F2A74"/>
    <w:rsid w:val="00A11496"/>
    <w:rsid w:val="00A11A16"/>
    <w:rsid w:val="00A41402"/>
    <w:rsid w:val="00A416CE"/>
    <w:rsid w:val="00A43DD7"/>
    <w:rsid w:val="00A47986"/>
    <w:rsid w:val="00A501DD"/>
    <w:rsid w:val="00A5267D"/>
    <w:rsid w:val="00A60833"/>
    <w:rsid w:val="00A7445A"/>
    <w:rsid w:val="00AA04F5"/>
    <w:rsid w:val="00AA3865"/>
    <w:rsid w:val="00AA5CCC"/>
    <w:rsid w:val="00AB0132"/>
    <w:rsid w:val="00AB01A3"/>
    <w:rsid w:val="00AB3845"/>
    <w:rsid w:val="00AC6330"/>
    <w:rsid w:val="00AD0AA2"/>
    <w:rsid w:val="00B153A7"/>
    <w:rsid w:val="00B22BA0"/>
    <w:rsid w:val="00B25B79"/>
    <w:rsid w:val="00B433DC"/>
    <w:rsid w:val="00BB1A6E"/>
    <w:rsid w:val="00BB4E2C"/>
    <w:rsid w:val="00BC1D8B"/>
    <w:rsid w:val="00BC51FF"/>
    <w:rsid w:val="00BD69C8"/>
    <w:rsid w:val="00BE2042"/>
    <w:rsid w:val="00C005EA"/>
    <w:rsid w:val="00C033D0"/>
    <w:rsid w:val="00C055AD"/>
    <w:rsid w:val="00C056F9"/>
    <w:rsid w:val="00C153AE"/>
    <w:rsid w:val="00C17EC1"/>
    <w:rsid w:val="00C2657D"/>
    <w:rsid w:val="00C32AC8"/>
    <w:rsid w:val="00C371AD"/>
    <w:rsid w:val="00C42173"/>
    <w:rsid w:val="00C50034"/>
    <w:rsid w:val="00C57DD8"/>
    <w:rsid w:val="00C70B3B"/>
    <w:rsid w:val="00C82C5F"/>
    <w:rsid w:val="00C90F62"/>
    <w:rsid w:val="00CA003F"/>
    <w:rsid w:val="00CA4628"/>
    <w:rsid w:val="00CB23F8"/>
    <w:rsid w:val="00CB5C47"/>
    <w:rsid w:val="00CC2F9C"/>
    <w:rsid w:val="00CF20A9"/>
    <w:rsid w:val="00CF2C56"/>
    <w:rsid w:val="00CF4415"/>
    <w:rsid w:val="00CF6050"/>
    <w:rsid w:val="00D04E8F"/>
    <w:rsid w:val="00D1303E"/>
    <w:rsid w:val="00D30BC4"/>
    <w:rsid w:val="00D32308"/>
    <w:rsid w:val="00D508C7"/>
    <w:rsid w:val="00D54603"/>
    <w:rsid w:val="00D60214"/>
    <w:rsid w:val="00D64CAF"/>
    <w:rsid w:val="00D66A60"/>
    <w:rsid w:val="00D736A3"/>
    <w:rsid w:val="00D762F3"/>
    <w:rsid w:val="00D85228"/>
    <w:rsid w:val="00D94B54"/>
    <w:rsid w:val="00DE2A06"/>
    <w:rsid w:val="00DF18E2"/>
    <w:rsid w:val="00E14C88"/>
    <w:rsid w:val="00E24871"/>
    <w:rsid w:val="00E34F25"/>
    <w:rsid w:val="00E35CEA"/>
    <w:rsid w:val="00E401F8"/>
    <w:rsid w:val="00E61F88"/>
    <w:rsid w:val="00E65935"/>
    <w:rsid w:val="00E66AFA"/>
    <w:rsid w:val="00E9144C"/>
    <w:rsid w:val="00E979AF"/>
    <w:rsid w:val="00EA0CAB"/>
    <w:rsid w:val="00EA6139"/>
    <w:rsid w:val="00EB7DCB"/>
    <w:rsid w:val="00ED1BF3"/>
    <w:rsid w:val="00EE1A11"/>
    <w:rsid w:val="00EE1B63"/>
    <w:rsid w:val="00EE31E7"/>
    <w:rsid w:val="00EE4126"/>
    <w:rsid w:val="00EE48F1"/>
    <w:rsid w:val="00EF5E44"/>
    <w:rsid w:val="00EF6C7D"/>
    <w:rsid w:val="00F05C1B"/>
    <w:rsid w:val="00F0737A"/>
    <w:rsid w:val="00F262A5"/>
    <w:rsid w:val="00F55FCD"/>
    <w:rsid w:val="00F63B55"/>
    <w:rsid w:val="00F67A23"/>
    <w:rsid w:val="00F70A87"/>
    <w:rsid w:val="00F71462"/>
    <w:rsid w:val="00F7523A"/>
    <w:rsid w:val="00F81BA8"/>
    <w:rsid w:val="00FB3CDF"/>
    <w:rsid w:val="00FB5859"/>
    <w:rsid w:val="00FB74B9"/>
    <w:rsid w:val="00FC2C51"/>
    <w:rsid w:val="00FC6583"/>
    <w:rsid w:val="00FC720B"/>
    <w:rsid w:val="00FD3950"/>
    <w:rsid w:val="00FE1FC6"/>
    <w:rsid w:val="00FF0F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411F1-371C-47F6-BFFE-DC9A6A4D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C1"/>
  </w:style>
  <w:style w:type="paragraph" w:styleId="Ttulo4">
    <w:name w:val="heading 4"/>
    <w:basedOn w:val="Normal"/>
    <w:next w:val="Normal"/>
    <w:link w:val="Ttulo4Car"/>
    <w:qFormat/>
    <w:rsid w:val="001A7DC1"/>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A7DC1"/>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1A7DC1"/>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1A7DC1"/>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rsid w:val="001A7DC1"/>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1A7DC1"/>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1A7DC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A7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DC1"/>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rsid w:val="00337692"/>
    <w:rPr>
      <w:rFonts w:cs="Times New Roman"/>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rsid w:val="003376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3769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337692"/>
    <w:pPr>
      <w:widowControl w:val="0"/>
      <w:autoSpaceDE w:val="0"/>
      <w:autoSpaceDN w:val="0"/>
      <w:adjustRightInd w:val="0"/>
      <w:spacing w:after="0" w:line="240" w:lineRule="auto"/>
    </w:pPr>
    <w:rPr>
      <w:rFonts w:ascii="Courier New" w:eastAsia="Times New Roman" w:hAnsi="Courier New" w:cs="Times New Roman"/>
      <w:sz w:val="24"/>
      <w:szCs w:val="24"/>
      <w:lang w:eastAsia="es-ES"/>
    </w:rPr>
  </w:style>
  <w:style w:type="character" w:customStyle="1" w:styleId="SinespaciadoCar">
    <w:name w:val="Sin espaciado Car"/>
    <w:link w:val="Sinespaciado"/>
    <w:uiPriority w:val="1"/>
    <w:locked/>
    <w:rsid w:val="00337692"/>
    <w:rPr>
      <w:rFonts w:ascii="Courier New" w:eastAsia="Times New Roman" w:hAnsi="Courier New" w:cs="Times New Roman"/>
      <w:sz w:val="24"/>
      <w:szCs w:val="24"/>
      <w:lang w:eastAsia="es-ES"/>
    </w:rPr>
  </w:style>
  <w:style w:type="paragraph" w:styleId="Piedepgina">
    <w:name w:val="footer"/>
    <w:basedOn w:val="Normal"/>
    <w:link w:val="PiedepginaCar"/>
    <w:uiPriority w:val="99"/>
    <w:unhideWhenUsed/>
    <w:rsid w:val="003A7D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DA8"/>
  </w:style>
  <w:style w:type="paragraph" w:styleId="NormalWeb">
    <w:name w:val="Normal (Web)"/>
    <w:basedOn w:val="Normal"/>
    <w:uiPriority w:val="99"/>
    <w:rsid w:val="008F48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323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308"/>
    <w:rPr>
      <w:rFonts w:ascii="Segoe UI" w:hAnsi="Segoe UI" w:cs="Segoe UI"/>
      <w:sz w:val="18"/>
      <w:szCs w:val="18"/>
    </w:rPr>
  </w:style>
  <w:style w:type="character" w:customStyle="1" w:styleId="apple-converted-space">
    <w:name w:val="apple-converted-space"/>
    <w:rsid w:val="00AC6330"/>
  </w:style>
  <w:style w:type="character" w:customStyle="1" w:styleId="FontStyle56">
    <w:name w:val="Font Style56"/>
    <w:rsid w:val="00AC6330"/>
    <w:rPr>
      <w:rFonts w:ascii="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1EF9-7B2E-4B23-9274-D8DC882A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1901</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 SUPERIOR PEREIRA. MG DGH</dc:creator>
  <cp:keywords/>
  <dc:description/>
  <cp:lastModifiedBy>Henry Lora Rodriguez</cp:lastModifiedBy>
  <cp:revision>4</cp:revision>
  <cp:lastPrinted>2017-10-25T12:11:00Z</cp:lastPrinted>
  <dcterms:created xsi:type="dcterms:W3CDTF">2017-10-25T12:11:00Z</dcterms:created>
  <dcterms:modified xsi:type="dcterms:W3CDTF">2017-11-23T14:28:00Z</dcterms:modified>
</cp:coreProperties>
</file>