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19" w:rsidRPr="005F31C4" w:rsidRDefault="005B4219" w:rsidP="005B4219">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5B4219" w:rsidRPr="00D85E04" w:rsidRDefault="005B4219" w:rsidP="005B4219">
      <w:pPr>
        <w:rPr>
          <w:rFonts w:ascii="Tahoma" w:hAnsi="Tahoma" w:cs="Tahoma"/>
          <w:b/>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AB39FC">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w:t>
      </w:r>
      <w:r w:rsidR="00C93B81">
        <w:rPr>
          <w:rFonts w:ascii="Arial" w:hAnsi="Arial" w:cs="Arial"/>
          <w:bCs/>
          <w:sz w:val="18"/>
          <w:szCs w:val="18"/>
        </w:rPr>
        <w:t>170</w:t>
      </w:r>
      <w:r w:rsidR="00C65FCA">
        <w:rPr>
          <w:rFonts w:ascii="Arial" w:hAnsi="Arial" w:cs="Arial"/>
          <w:bCs/>
          <w:sz w:val="18"/>
          <w:szCs w:val="18"/>
        </w:rPr>
        <w:t>-31-05-0</w:t>
      </w:r>
      <w:r w:rsidR="002B556B">
        <w:rPr>
          <w:rFonts w:ascii="Arial" w:hAnsi="Arial" w:cs="Arial"/>
          <w:bCs/>
          <w:sz w:val="18"/>
          <w:szCs w:val="18"/>
        </w:rPr>
        <w:t>0</w:t>
      </w:r>
      <w:r w:rsidR="00C93B81">
        <w:rPr>
          <w:rFonts w:ascii="Arial" w:hAnsi="Arial" w:cs="Arial"/>
          <w:bCs/>
          <w:sz w:val="18"/>
          <w:szCs w:val="18"/>
        </w:rPr>
        <w:t>1</w:t>
      </w:r>
      <w:r w:rsidR="00290C0B">
        <w:rPr>
          <w:rFonts w:ascii="Arial" w:hAnsi="Arial" w:cs="Arial"/>
          <w:bCs/>
          <w:sz w:val="18"/>
          <w:szCs w:val="18"/>
        </w:rPr>
        <w:t>-201</w:t>
      </w:r>
      <w:r w:rsidR="00C93B81">
        <w:rPr>
          <w:rFonts w:ascii="Arial" w:hAnsi="Arial" w:cs="Arial"/>
          <w:bCs/>
          <w:sz w:val="18"/>
          <w:szCs w:val="18"/>
        </w:rPr>
        <w:t>4</w:t>
      </w:r>
      <w:r w:rsidRPr="007C5A02">
        <w:rPr>
          <w:rFonts w:ascii="Arial" w:hAnsi="Arial" w:cs="Arial"/>
          <w:bCs/>
          <w:sz w:val="18"/>
          <w:szCs w:val="18"/>
        </w:rPr>
        <w:t>-00</w:t>
      </w:r>
      <w:r w:rsidR="00C93B81">
        <w:rPr>
          <w:rFonts w:ascii="Arial" w:hAnsi="Arial" w:cs="Arial"/>
          <w:bCs/>
          <w:sz w:val="18"/>
          <w:szCs w:val="18"/>
        </w:rPr>
        <w:t>252</w:t>
      </w:r>
      <w:r w:rsidRPr="007C5A02">
        <w:rPr>
          <w:rFonts w:ascii="Arial" w:hAnsi="Arial" w:cs="Arial"/>
          <w:bCs/>
          <w:sz w:val="18"/>
          <w:szCs w:val="18"/>
        </w:rPr>
        <w:t>-01</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AB39FC">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C93B81">
        <w:rPr>
          <w:rFonts w:ascii="Arial" w:hAnsi="Arial" w:cs="Arial"/>
          <w:iCs/>
          <w:sz w:val="18"/>
          <w:szCs w:val="18"/>
        </w:rPr>
        <w:t xml:space="preserve">María </w:t>
      </w:r>
      <w:proofErr w:type="spellStart"/>
      <w:r w:rsidR="00C93B81">
        <w:rPr>
          <w:rFonts w:ascii="Arial" w:hAnsi="Arial" w:cs="Arial"/>
          <w:iCs/>
          <w:sz w:val="18"/>
          <w:szCs w:val="18"/>
        </w:rPr>
        <w:t>Janedt</w:t>
      </w:r>
      <w:proofErr w:type="spellEnd"/>
      <w:r w:rsidR="00C93B81">
        <w:rPr>
          <w:rFonts w:ascii="Arial" w:hAnsi="Arial" w:cs="Arial"/>
          <w:iCs/>
          <w:sz w:val="18"/>
          <w:szCs w:val="18"/>
        </w:rPr>
        <w:t xml:space="preserve"> García Giraldo y otros </w:t>
      </w:r>
      <w:r w:rsidR="00BB64C8">
        <w:rPr>
          <w:rFonts w:ascii="Arial" w:hAnsi="Arial" w:cs="Arial"/>
          <w:iCs/>
          <w:sz w:val="18"/>
          <w:szCs w:val="18"/>
        </w:rPr>
        <w:t xml:space="preserve"> </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00C93B81">
        <w:rPr>
          <w:rFonts w:ascii="Arial" w:hAnsi="Arial" w:cs="Arial"/>
          <w:b/>
          <w:bCs/>
          <w:sz w:val="18"/>
          <w:szCs w:val="18"/>
        </w:rPr>
        <w:t>s</w:t>
      </w:r>
      <w:r w:rsidRPr="007C5A02">
        <w:rPr>
          <w:rFonts w:ascii="Arial" w:hAnsi="Arial" w:cs="Arial"/>
          <w:b/>
          <w:bCs/>
          <w:sz w:val="18"/>
          <w:szCs w:val="18"/>
        </w:rPr>
        <w:t>:</w:t>
      </w:r>
      <w:r w:rsidRPr="007C5A02">
        <w:rPr>
          <w:rFonts w:ascii="Arial" w:hAnsi="Arial" w:cs="Arial"/>
          <w:bCs/>
          <w:sz w:val="18"/>
          <w:szCs w:val="18"/>
        </w:rPr>
        <w:tab/>
      </w:r>
      <w:r w:rsidRPr="007C5A02">
        <w:rPr>
          <w:rFonts w:ascii="Arial" w:hAnsi="Arial" w:cs="Arial"/>
          <w:bCs/>
          <w:sz w:val="18"/>
          <w:szCs w:val="18"/>
        </w:rPr>
        <w:tab/>
      </w:r>
      <w:r w:rsidR="003602A8">
        <w:rPr>
          <w:rFonts w:ascii="Arial" w:hAnsi="Arial" w:cs="Arial"/>
          <w:bCs/>
          <w:sz w:val="18"/>
          <w:szCs w:val="18"/>
        </w:rPr>
        <w:t>José Israel y Ezequiel Amador Ávila</w:t>
      </w:r>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Pr="007C5A02">
        <w:rPr>
          <w:rFonts w:ascii="Arial" w:hAnsi="Arial" w:cs="Arial"/>
          <w:sz w:val="18"/>
          <w:szCs w:val="18"/>
        </w:rPr>
        <w:t xml:space="preserve">Laboral del Circuito de </w:t>
      </w:r>
      <w:r w:rsidR="00C93B81">
        <w:rPr>
          <w:rFonts w:ascii="Arial" w:hAnsi="Arial" w:cs="Arial"/>
          <w:sz w:val="18"/>
          <w:szCs w:val="18"/>
        </w:rPr>
        <w:t>Dosquebradas</w:t>
      </w:r>
      <w:r w:rsidRPr="007C5A02">
        <w:rPr>
          <w:rFonts w:ascii="Arial" w:hAnsi="Arial" w:cs="Arial"/>
          <w:sz w:val="18"/>
          <w:szCs w:val="18"/>
        </w:rPr>
        <w:t>.</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b/>
          <w:sz w:val="18"/>
          <w:szCs w:val="18"/>
        </w:rPr>
        <w:t xml:space="preserve">Tema: </w:t>
      </w:r>
      <w:r w:rsidRPr="00E71E05">
        <w:rPr>
          <w:rFonts w:ascii="Arial" w:hAnsi="Arial" w:cs="Arial"/>
          <w:b/>
          <w:sz w:val="18"/>
          <w:szCs w:val="18"/>
        </w:rPr>
        <w:tab/>
      </w:r>
      <w:r w:rsidRPr="00E71E05">
        <w:rPr>
          <w:rFonts w:ascii="Arial" w:hAnsi="Arial" w:cs="Arial"/>
          <w:b/>
          <w:sz w:val="18"/>
          <w:szCs w:val="18"/>
        </w:rPr>
        <w:tab/>
      </w:r>
      <w:r w:rsidRPr="00E71E05">
        <w:rPr>
          <w:rFonts w:ascii="Arial" w:hAnsi="Arial" w:cs="Arial"/>
          <w:b/>
          <w:sz w:val="18"/>
          <w:szCs w:val="18"/>
        </w:rPr>
        <w:tab/>
      </w:r>
      <w:r w:rsidRPr="00E71E05">
        <w:rPr>
          <w:rFonts w:ascii="Arial" w:hAnsi="Arial" w:cs="Arial"/>
          <w:b/>
          <w:sz w:val="18"/>
          <w:szCs w:val="18"/>
        </w:rPr>
        <w:tab/>
      </w:r>
      <w:r w:rsidRPr="00E71E05">
        <w:rPr>
          <w:rFonts w:ascii="Arial" w:hAnsi="Arial" w:cs="Arial"/>
          <w:b/>
          <w:sz w:val="18"/>
          <w:szCs w:val="18"/>
        </w:rPr>
        <w:tab/>
      </w:r>
      <w:r w:rsidRPr="00E71E05">
        <w:rPr>
          <w:rFonts w:ascii="Arial" w:hAnsi="Arial" w:cs="Arial"/>
          <w:b/>
          <w:sz w:val="18"/>
          <w:szCs w:val="18"/>
        </w:rPr>
        <w:tab/>
      </w:r>
      <w:r w:rsidR="00FF3205" w:rsidRPr="00E71E05">
        <w:rPr>
          <w:rFonts w:ascii="Arial" w:hAnsi="Arial" w:cs="Arial"/>
          <w:b/>
          <w:sz w:val="18"/>
          <w:szCs w:val="18"/>
        </w:rPr>
        <w:t xml:space="preserve">CONTRATO REALIDAD </w:t>
      </w:r>
      <w:r w:rsidR="00D630C1" w:rsidRPr="00E71E05">
        <w:rPr>
          <w:rFonts w:ascii="Arial" w:hAnsi="Arial" w:cs="Arial"/>
          <w:b/>
          <w:sz w:val="18"/>
          <w:szCs w:val="18"/>
        </w:rPr>
        <w:t xml:space="preserve">VS CONTRATO DE OBRA – PRESUNCIÓN DEL ARTÍCULO 24 DEL </w:t>
      </w:r>
      <w:proofErr w:type="spellStart"/>
      <w:r w:rsidR="00D630C1" w:rsidRPr="00E71E05">
        <w:rPr>
          <w:rFonts w:ascii="Arial" w:hAnsi="Arial" w:cs="Arial"/>
          <w:b/>
          <w:sz w:val="18"/>
          <w:szCs w:val="18"/>
        </w:rPr>
        <w:t>C.S.T</w:t>
      </w:r>
      <w:proofErr w:type="spellEnd"/>
      <w:r w:rsidR="00D630C1" w:rsidRPr="00E71E05">
        <w:rPr>
          <w:rFonts w:ascii="Arial" w:hAnsi="Arial" w:cs="Arial"/>
          <w:b/>
          <w:sz w:val="18"/>
          <w:szCs w:val="18"/>
        </w:rPr>
        <w:t xml:space="preserve">. – SANCIÓN PROCESAL – </w:t>
      </w:r>
      <w:r w:rsidRPr="00E71E05">
        <w:rPr>
          <w:rFonts w:ascii="Arial" w:hAnsi="Arial" w:cs="Arial"/>
          <w:b/>
          <w:sz w:val="18"/>
          <w:szCs w:val="18"/>
        </w:rPr>
        <w:t>CONFESIÓN</w:t>
      </w:r>
      <w:r w:rsidR="00D630C1" w:rsidRPr="00E71E05">
        <w:rPr>
          <w:rFonts w:ascii="Arial" w:hAnsi="Arial" w:cs="Arial"/>
          <w:b/>
          <w:sz w:val="18"/>
          <w:szCs w:val="18"/>
        </w:rPr>
        <w:t xml:space="preserve"> FICTA- CULPA PATRONAL – PENSIÓN DE SOBREVIVIENTES</w:t>
      </w:r>
      <w:r w:rsidRPr="00E71E05">
        <w:rPr>
          <w:rFonts w:ascii="Arial" w:hAnsi="Arial" w:cs="Arial"/>
          <w:b/>
          <w:sz w:val="18"/>
          <w:szCs w:val="18"/>
        </w:rPr>
        <w:t xml:space="preserve"> </w:t>
      </w:r>
      <w:r w:rsidR="00136D3B">
        <w:rPr>
          <w:rFonts w:ascii="Arial" w:hAnsi="Arial" w:cs="Arial"/>
          <w:b/>
          <w:sz w:val="18"/>
          <w:szCs w:val="18"/>
        </w:rPr>
        <w:t xml:space="preserve">– CALCULO DE LOS PERJUICIOS MORALES Y MATERIALES – CONFIRMA PARCIALMENTE - </w:t>
      </w:r>
      <w:r>
        <w:rPr>
          <w:rFonts w:ascii="Arial" w:hAnsi="Arial" w:cs="Arial"/>
          <w:sz w:val="18"/>
          <w:szCs w:val="18"/>
        </w:rPr>
        <w:t xml:space="preserve"> </w:t>
      </w:r>
      <w:r w:rsidRPr="00E71E05">
        <w:rPr>
          <w:rFonts w:ascii="Arial" w:hAnsi="Arial" w:cs="Arial"/>
          <w:sz w:val="18"/>
          <w:szCs w:val="18"/>
        </w:rPr>
        <w:t>Así las cosas, al no existir dubitación de la prestación personal del servicio del señor Wilson Giraldo Ríos, nace a su f</w:t>
      </w:r>
      <w:bookmarkStart w:id="0" w:name="_GoBack"/>
      <w:bookmarkEnd w:id="0"/>
      <w:r w:rsidRPr="00E71E05">
        <w:rPr>
          <w:rFonts w:ascii="Arial" w:hAnsi="Arial" w:cs="Arial"/>
          <w:sz w:val="18"/>
          <w:szCs w:val="18"/>
        </w:rPr>
        <w:t xml:space="preserve">avor la presunción de existencia del contrato prevista en el artículo 24 del </w:t>
      </w:r>
      <w:proofErr w:type="spellStart"/>
      <w:r w:rsidRPr="00E71E05">
        <w:rPr>
          <w:rFonts w:ascii="Arial" w:hAnsi="Arial" w:cs="Arial"/>
          <w:sz w:val="18"/>
          <w:szCs w:val="18"/>
        </w:rPr>
        <w:t>C.S.T</w:t>
      </w:r>
      <w:proofErr w:type="spellEnd"/>
      <w:r w:rsidRPr="00E71E05">
        <w:rPr>
          <w:rFonts w:ascii="Arial" w:hAnsi="Arial" w:cs="Arial"/>
          <w:sz w:val="18"/>
          <w:szCs w:val="18"/>
        </w:rPr>
        <w:t xml:space="preserve">., el que en concordancia con la confesión ficta, ha de entenderse realizado con ambos demandados. </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Conforme a lo anterior, esta Sala entrará a determinar si los hechos que se dieron por probados, en razón de la presunción y de la sanción procesal, que constituye prueba de confesión, se desvirtuaron con los documentos y testimonios aportados al proceso.</w:t>
      </w:r>
    </w:p>
    <w:p w:rsidR="00C93B81" w:rsidRDefault="00E71E05" w:rsidP="00E71E05">
      <w:pPr>
        <w:jc w:val="both"/>
        <w:rPr>
          <w:rFonts w:ascii="Arial" w:hAnsi="Arial" w:cs="Arial"/>
          <w:sz w:val="18"/>
          <w:szCs w:val="18"/>
        </w:rPr>
      </w:pPr>
      <w:r>
        <w:rPr>
          <w:rFonts w:ascii="Arial" w:hAnsi="Arial" w:cs="Arial"/>
          <w:sz w:val="18"/>
          <w:szCs w:val="18"/>
        </w:rPr>
        <w:t>(…)</w:t>
      </w:r>
    </w:p>
    <w:p w:rsidR="00E71E05" w:rsidRPr="00E71E05" w:rsidRDefault="00E71E05" w:rsidP="00E71E05">
      <w:pPr>
        <w:jc w:val="both"/>
        <w:rPr>
          <w:rFonts w:ascii="Arial" w:hAnsi="Arial" w:cs="Arial"/>
          <w:sz w:val="18"/>
          <w:szCs w:val="18"/>
        </w:rPr>
      </w:pPr>
      <w:r w:rsidRPr="00E71E05">
        <w:rPr>
          <w:rFonts w:ascii="Arial" w:hAnsi="Arial" w:cs="Arial"/>
          <w:sz w:val="18"/>
          <w:szCs w:val="18"/>
        </w:rPr>
        <w:t>Al volver al contenido del contrato celebrado entre los señores Wilson Giraldo Ramírez y Ezequiel Amador, llama la atención que se hubiere plasmado que el pago se haría cada 8 días, pero por los días laborados, lo que permite inferir que el fallecido debía asistir a trabajar todos los días, so pena de no recibir su pago, lo que va en contravía de un contrato civil de prestación de servicios.</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Es que los supuestos de hecho de que dan cuenta los medios probatorios allegados al proceso, una vez analizados en conjunto, permiten aseverar sin dubitación alguna, que Wilson Giraldo Ríos prestó sus servicios con subordinación respecto a José Israel Amador Ávila, dado que Ezequiel Amador Ávila, era su intermediario.</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Todo lo anterior, confirma que los hechos que se dieron por probados, en razón a la sanción procesal, en realidad así sucedieron, por lo menos frente a José Israel Amador Ávila; por lo tanto, al fungir el señor Ezequiel Amador Ávila como administrador de la obra en la que se desempeñó el señor Wilson Giraldo Ríos, en los términos del artículo 32 del </w:t>
      </w:r>
      <w:proofErr w:type="spellStart"/>
      <w:r w:rsidRPr="00E71E05">
        <w:rPr>
          <w:rFonts w:ascii="Arial" w:hAnsi="Arial" w:cs="Arial"/>
          <w:sz w:val="18"/>
          <w:szCs w:val="18"/>
        </w:rPr>
        <w:t>C.S.T</w:t>
      </w:r>
      <w:proofErr w:type="spellEnd"/>
      <w:r w:rsidRPr="00E71E05">
        <w:rPr>
          <w:rFonts w:ascii="Arial" w:hAnsi="Arial" w:cs="Arial"/>
          <w:sz w:val="18"/>
          <w:szCs w:val="18"/>
        </w:rPr>
        <w:t xml:space="preserve">. , ostentó la condición de representante del señor José Israel Amador Ávila, quien debe ser considerado como el verdadero empleador de aquel, sin que sea necesario que en esa calidad hubiera dado órdenes o instrucciones de manera directa o personal a su trabajador, pues ha de entenderse que las mismas se cumplían a través del administrador. </w:t>
      </w:r>
    </w:p>
    <w:p w:rsidR="00E71E05" w:rsidRPr="00E71E05" w:rsidRDefault="00E71E05" w:rsidP="00E71E05">
      <w:pPr>
        <w:jc w:val="both"/>
        <w:rPr>
          <w:rFonts w:ascii="Arial" w:hAnsi="Arial" w:cs="Arial"/>
          <w:sz w:val="18"/>
          <w:szCs w:val="18"/>
        </w:rPr>
      </w:pPr>
    </w:p>
    <w:p w:rsidR="00E71E05" w:rsidRDefault="00E71E05" w:rsidP="00E71E05">
      <w:pPr>
        <w:jc w:val="both"/>
        <w:rPr>
          <w:rFonts w:ascii="Arial" w:hAnsi="Arial" w:cs="Arial"/>
          <w:sz w:val="18"/>
          <w:szCs w:val="18"/>
        </w:rPr>
      </w:pPr>
      <w:r w:rsidRPr="00E71E05">
        <w:rPr>
          <w:rFonts w:ascii="Arial" w:hAnsi="Arial" w:cs="Arial"/>
          <w:sz w:val="18"/>
          <w:szCs w:val="18"/>
        </w:rPr>
        <w:t>En este orden de ideas, los argumentos de la apelación en relación con la verdadera existencia de un contrato de prestación de servicios entre Wilson Giraldo Ramírez y Ezequiel Amador, no lograron ser acreditados en el curso de proceso y por lo tanto, se desestimarán.</w:t>
      </w:r>
    </w:p>
    <w:p w:rsidR="00E71E05" w:rsidRDefault="00E71E05" w:rsidP="00E71E05">
      <w:pPr>
        <w:jc w:val="both"/>
        <w:rPr>
          <w:rFonts w:ascii="Arial" w:hAnsi="Arial" w:cs="Arial"/>
          <w:sz w:val="18"/>
          <w:szCs w:val="18"/>
        </w:rPr>
      </w:pPr>
      <w:r>
        <w:rPr>
          <w:rFonts w:ascii="Arial" w:hAnsi="Arial" w:cs="Arial"/>
          <w:sz w:val="18"/>
          <w:szCs w:val="18"/>
        </w:rPr>
        <w:t>(…)</w:t>
      </w:r>
    </w:p>
    <w:p w:rsid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Conforme a las pretensiones de la demanda, quienes buscan el reconocimiento de la indemnización de perjuicios materiales son María </w:t>
      </w:r>
      <w:proofErr w:type="spellStart"/>
      <w:r w:rsidRPr="00E71E05">
        <w:rPr>
          <w:rFonts w:ascii="Arial" w:hAnsi="Arial" w:cs="Arial"/>
          <w:sz w:val="18"/>
          <w:szCs w:val="18"/>
        </w:rPr>
        <w:t>Janedt</w:t>
      </w:r>
      <w:proofErr w:type="spellEnd"/>
      <w:r w:rsidRPr="00E71E05">
        <w:rPr>
          <w:rFonts w:ascii="Arial" w:hAnsi="Arial" w:cs="Arial"/>
          <w:sz w:val="18"/>
          <w:szCs w:val="18"/>
        </w:rPr>
        <w:t xml:space="preserve"> García Giraldo (cónyuge), Brandon García Giraldo (hijo menor) y, morales, además de los dos anteriores, </w:t>
      </w:r>
      <w:proofErr w:type="spellStart"/>
      <w:r w:rsidRPr="00E71E05">
        <w:rPr>
          <w:rFonts w:ascii="Arial" w:hAnsi="Arial" w:cs="Arial"/>
          <w:sz w:val="18"/>
          <w:szCs w:val="18"/>
        </w:rPr>
        <w:t>Stiven</w:t>
      </w:r>
      <w:proofErr w:type="spellEnd"/>
      <w:r w:rsidRPr="00E71E05">
        <w:rPr>
          <w:rFonts w:ascii="Arial" w:hAnsi="Arial" w:cs="Arial"/>
          <w:sz w:val="18"/>
          <w:szCs w:val="18"/>
        </w:rPr>
        <w:t xml:space="preserve"> Giraldo García (hijo mayor),  Sergio Giraldo Ospina (nieto), María Ríos Duque (madre), Erika, Luz Adriana y José Iván Giraldo Ríos (hermanos), por lo tanto, debían acreditar que por el fallecimiento del señor Wilson Giraldo Ríos se habían visto afectadas sus condiciones normales de subsistencia o convivencia en su esfera familiar y moral.</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Recuérdese que ante la inasistencia de la parte demandada a absolver interrogatorio de parte se tuvieron por probados mediante confesión ficta, los supuestos fácticos, relacionados con la calidad de cónyuges de María </w:t>
      </w:r>
      <w:proofErr w:type="spellStart"/>
      <w:r w:rsidRPr="00E71E05">
        <w:rPr>
          <w:rFonts w:ascii="Arial" w:hAnsi="Arial" w:cs="Arial"/>
          <w:sz w:val="18"/>
          <w:szCs w:val="18"/>
        </w:rPr>
        <w:t>Janedt</w:t>
      </w:r>
      <w:proofErr w:type="spellEnd"/>
      <w:r w:rsidRPr="00E71E05">
        <w:rPr>
          <w:rFonts w:ascii="Arial" w:hAnsi="Arial" w:cs="Arial"/>
          <w:sz w:val="18"/>
          <w:szCs w:val="18"/>
        </w:rPr>
        <w:t xml:space="preserve"> García Giraldo  y Wilson Giraldo Ríos, la procreación de Brandon Giraldo García y que se vieron afectados material y moralmente por la muerte de aquel; así mismo, que la madre y hermanos del </w:t>
      </w:r>
      <w:proofErr w:type="spellStart"/>
      <w:r w:rsidRPr="00E71E05">
        <w:rPr>
          <w:rFonts w:ascii="Arial" w:hAnsi="Arial" w:cs="Arial"/>
          <w:sz w:val="18"/>
          <w:szCs w:val="18"/>
        </w:rPr>
        <w:t>obitado</w:t>
      </w:r>
      <w:proofErr w:type="spellEnd"/>
      <w:r w:rsidRPr="00E71E05">
        <w:rPr>
          <w:rFonts w:ascii="Arial" w:hAnsi="Arial" w:cs="Arial"/>
          <w:sz w:val="18"/>
          <w:szCs w:val="18"/>
        </w:rPr>
        <w:t xml:space="preserve"> sufrieron lo indecible moralmente por su ausencia; sin embargo, para que opere dicha medio probatorio se requiere entre otros, que el confesante tenga capacidad para hacer la confesión, la cual deberá versar sobre los hechos personales o ajenos conocidos que produzcan consecuencias jurídicas adversas o favorables a su contrincante y puedan ser acreditados a través de ese medio persuasivo; exigencia que no se cumple en este caso, por cuanto se trata de hechos y circunstancias ajenas a la esfera de los demandados.</w:t>
      </w:r>
    </w:p>
    <w:p w:rsidR="00C93B81" w:rsidRDefault="00E71E05" w:rsidP="00E71E05">
      <w:pPr>
        <w:jc w:val="both"/>
        <w:rPr>
          <w:rFonts w:ascii="Arial" w:hAnsi="Arial" w:cs="Arial"/>
          <w:sz w:val="18"/>
          <w:szCs w:val="18"/>
        </w:rPr>
      </w:pPr>
      <w:r>
        <w:rPr>
          <w:rFonts w:ascii="Arial" w:hAnsi="Arial" w:cs="Arial"/>
          <w:sz w:val="18"/>
          <w:szCs w:val="18"/>
        </w:rPr>
        <w:t>(…)</w:t>
      </w:r>
    </w:p>
    <w:p w:rsid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Respecto de la señora María </w:t>
      </w:r>
      <w:proofErr w:type="spellStart"/>
      <w:r w:rsidRPr="00E71E05">
        <w:rPr>
          <w:rFonts w:ascii="Arial" w:hAnsi="Arial" w:cs="Arial"/>
          <w:sz w:val="18"/>
          <w:szCs w:val="18"/>
        </w:rPr>
        <w:t>Janedt</w:t>
      </w:r>
      <w:proofErr w:type="spellEnd"/>
      <w:r w:rsidRPr="00E71E05">
        <w:rPr>
          <w:rFonts w:ascii="Arial" w:hAnsi="Arial" w:cs="Arial"/>
          <w:sz w:val="18"/>
          <w:szCs w:val="18"/>
        </w:rPr>
        <w:t xml:space="preserve"> García Giraldo, acogiendo la conclusión del a-quo en cuanto ella no era beneficiaria de la pensión de sobrevivientes causada por el deceso de su esposo, por cuanto no existía convivencia entre ellos dentro de los dos años anteriores a su muerte, ni solidaridad, ayuda o apoyo mutuos; se generan dos consecuencias, la primera que no dependía económicamente de él y por lo tanto, no puede apreciarse que sufrió un perjuicio material y, tampoco moral en tanto no sostenía vida marital ni de ningún otro tipo con quien fue su cónyuge, por lo que no pudo verse afectada con su ausencia. Intelección que además encuentra sustento en el testimonio de Edwin Geovanny Agudelo, quien relató la decepción que tuvo el causante al regresar de España y encontrar que ella tenía dos hijos con otra persona.</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Respecto a los hijos del fallecido, </w:t>
      </w:r>
      <w:proofErr w:type="spellStart"/>
      <w:r w:rsidRPr="00E71E05">
        <w:rPr>
          <w:rFonts w:ascii="Arial" w:hAnsi="Arial" w:cs="Arial"/>
          <w:sz w:val="18"/>
          <w:szCs w:val="18"/>
        </w:rPr>
        <w:t>Stiven</w:t>
      </w:r>
      <w:proofErr w:type="spellEnd"/>
      <w:r w:rsidRPr="00E71E05">
        <w:rPr>
          <w:rFonts w:ascii="Arial" w:hAnsi="Arial" w:cs="Arial"/>
          <w:sz w:val="18"/>
          <w:szCs w:val="18"/>
        </w:rPr>
        <w:t xml:space="preserve"> y Brandon, nacidos el 28/09/1995 y el 12/09/1998, puede colegirse que a la fecha de muerte de su progenitor -21/04/2014- el primero contaba con 18 años de edad cumplidos y </w:t>
      </w:r>
      <w:r w:rsidRPr="00E71E05">
        <w:rPr>
          <w:rFonts w:ascii="Arial" w:hAnsi="Arial" w:cs="Arial"/>
          <w:sz w:val="18"/>
          <w:szCs w:val="18"/>
        </w:rPr>
        <w:lastRenderedPageBreak/>
        <w:t>el segundo con 16 años, por lo que al ser menores de 25 años, puede inferirse que dependían económicamente de su progenitor, por lo que se abre paso la condena a su favor, criterio sostenido por la Sala de Casación Civil, con ponencia del doctor Ariel Salazar Ramírez, en sentencia del 09/07/2012.</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Sin embargo, como el a-quo solo emitió esa orden a favor de Brandon Giraldo García y la parte actora  no la apeló, es improcedente extender la condena a favor de </w:t>
      </w:r>
      <w:proofErr w:type="spellStart"/>
      <w:r w:rsidRPr="00E71E05">
        <w:rPr>
          <w:rFonts w:ascii="Arial" w:hAnsi="Arial" w:cs="Arial"/>
          <w:sz w:val="18"/>
          <w:szCs w:val="18"/>
        </w:rPr>
        <w:t>Stiven</w:t>
      </w:r>
      <w:proofErr w:type="spellEnd"/>
      <w:r w:rsidRPr="00E71E05">
        <w:rPr>
          <w:rFonts w:ascii="Arial" w:hAnsi="Arial" w:cs="Arial"/>
          <w:sz w:val="18"/>
          <w:szCs w:val="18"/>
        </w:rPr>
        <w:t xml:space="preserve"> Giraldo García.</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Con todo lo dicho y antes de proceder con las liquidaciones, es del caso aclarar que para la del daño material futuro a favor de Brandon Giraldo García –hijo-, es evidente el error en que incurrió la primera instancia al calcularla con base en la expectativa de vida del fallecido, esto es, a razón de 30,3 años o 360,3 meses, porque debía realizarse hasta el momento en que pueda predicarse la dependencia económica del beneficiario, la cual se infiere hasta los 25 años , dado que hasta esta, el padre vela por su establecimiento, según el artículo 257 del Código Civil. </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De tal manera que la liquidación del perjuicio material en modalidad de lucro cesante consolidado, por el periodo comprendido entre la fecha de la muerte del señor Wilson Giraldo Ríos -21/04/2014- y la fecha de emisión de esta decisión -31/10/2017-, asciende a $52´995.450,44. </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Ahora, la liquidación de dicho perjuicio pero a futuro, debe tener como hitos, el día siguiente a la emisión de esta providencia y el 12/09/2023 calenda en la que su hijo Brandon Giraldo García, cumplirá los 25 años de edad, lo cual arroja un total de $67´180.717,02.</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En total, se genera por concepto de perjuicios materiales a favor del Brandon Giraldo García, al suma de $120´176.167,46, monto inferior al determinado en la instancia anterior, por lo que se modificará el numeral segundo de la parte resolutiva de la sentencia apelada.</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En ambos casos, se tomó el monto hallado por el juez de primer grado, al no ser discutido por el apelante y las sumas generadas, corresponden a las liquidaciones que hace parte integral del acta que se suscriba con ocasión de esta diligencia. </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En relación con los perjuicios morales, se ha establecido jurisprudencialmente una presunción de hecho –indicio-, que por tal calificativo admite prueba en contrario, en cabeza de ciertas personas cercanas a la víctima, por lo que les basta probar el parentesco para inferirse el daño moral, como lo son los padres, hijos, cónyuge, compañero (a) permanente, abuelos y hermanos. </w:t>
      </w:r>
    </w:p>
    <w:p w:rsidR="00E71E05" w:rsidRPr="00E71E05" w:rsidRDefault="00E71E05" w:rsidP="00E71E05">
      <w:pPr>
        <w:jc w:val="both"/>
        <w:rPr>
          <w:rFonts w:ascii="Arial" w:hAnsi="Arial" w:cs="Arial"/>
          <w:sz w:val="18"/>
          <w:szCs w:val="18"/>
        </w:rPr>
      </w:pPr>
    </w:p>
    <w:p w:rsidR="00E71E05" w:rsidRPr="00E71E05" w:rsidRDefault="00E71E05" w:rsidP="00E71E05">
      <w:pPr>
        <w:jc w:val="both"/>
        <w:rPr>
          <w:rFonts w:ascii="Arial" w:hAnsi="Arial" w:cs="Arial"/>
          <w:sz w:val="18"/>
          <w:szCs w:val="18"/>
        </w:rPr>
      </w:pPr>
      <w:r w:rsidRPr="00E71E05">
        <w:rPr>
          <w:rFonts w:ascii="Arial" w:hAnsi="Arial" w:cs="Arial"/>
          <w:sz w:val="18"/>
          <w:szCs w:val="18"/>
        </w:rPr>
        <w:t xml:space="preserve">Por lo tanto, como los demandantes –excepto la cónyuge María </w:t>
      </w:r>
      <w:proofErr w:type="spellStart"/>
      <w:r w:rsidRPr="00E71E05">
        <w:rPr>
          <w:rFonts w:ascii="Arial" w:hAnsi="Arial" w:cs="Arial"/>
          <w:sz w:val="18"/>
          <w:szCs w:val="18"/>
        </w:rPr>
        <w:t>Janedt</w:t>
      </w:r>
      <w:proofErr w:type="spellEnd"/>
      <w:r w:rsidRPr="00E71E05">
        <w:rPr>
          <w:rFonts w:ascii="Arial" w:hAnsi="Arial" w:cs="Arial"/>
          <w:sz w:val="18"/>
          <w:szCs w:val="18"/>
        </w:rPr>
        <w:t xml:space="preserve"> García, atendiendo lo expuesto </w:t>
      </w:r>
      <w:proofErr w:type="spellStart"/>
      <w:r w:rsidRPr="00E71E05">
        <w:rPr>
          <w:rFonts w:ascii="Arial" w:hAnsi="Arial" w:cs="Arial"/>
          <w:sz w:val="18"/>
          <w:szCs w:val="18"/>
        </w:rPr>
        <w:t>anteladamente</w:t>
      </w:r>
      <w:proofErr w:type="spellEnd"/>
      <w:r w:rsidRPr="00E71E05">
        <w:rPr>
          <w:rFonts w:ascii="Arial" w:hAnsi="Arial" w:cs="Arial"/>
          <w:sz w:val="18"/>
          <w:szCs w:val="18"/>
        </w:rPr>
        <w:t>-,  lograron acreditar con los registros civiles de nacimiento, que anexaron a la demanda, que ostentan tales calidades, por lo que indiciariamente puede tenerse como probado que padecieron tristeza, congoja y dolor por la muerte del Wilson Giraldo Ríos, circunstancia que no logró ser desvirtuadas por los demandados.</w:t>
      </w:r>
    </w:p>
    <w:p w:rsidR="00E71E05" w:rsidRPr="00E71E05" w:rsidRDefault="00E71E05" w:rsidP="00E71E05">
      <w:pPr>
        <w:jc w:val="both"/>
        <w:rPr>
          <w:rFonts w:ascii="Arial" w:hAnsi="Arial" w:cs="Arial"/>
          <w:sz w:val="18"/>
          <w:szCs w:val="18"/>
        </w:rPr>
      </w:pPr>
    </w:p>
    <w:p w:rsidR="00E71E05" w:rsidRDefault="00E71E05" w:rsidP="00E71E05">
      <w:pPr>
        <w:jc w:val="both"/>
        <w:rPr>
          <w:rFonts w:ascii="Arial" w:hAnsi="Arial" w:cs="Arial"/>
          <w:sz w:val="18"/>
          <w:szCs w:val="18"/>
        </w:rPr>
      </w:pPr>
      <w:r w:rsidRPr="00E71E05">
        <w:rPr>
          <w:rFonts w:ascii="Arial" w:hAnsi="Arial" w:cs="Arial"/>
          <w:sz w:val="18"/>
          <w:szCs w:val="18"/>
        </w:rPr>
        <w:t xml:space="preserve">Ahora, en relación con la cuantificación de los mismos, en reciente pronunciamiento, el órgano de cierre de esta </w:t>
      </w:r>
      <w:proofErr w:type="gramStart"/>
      <w:r w:rsidRPr="00E71E05">
        <w:rPr>
          <w:rFonts w:ascii="Arial" w:hAnsi="Arial" w:cs="Arial"/>
          <w:sz w:val="18"/>
          <w:szCs w:val="18"/>
        </w:rPr>
        <w:t>especialidad ,</w:t>
      </w:r>
      <w:proofErr w:type="gramEnd"/>
      <w:r w:rsidRPr="00E71E05">
        <w:rPr>
          <w:rFonts w:ascii="Arial" w:hAnsi="Arial" w:cs="Arial"/>
          <w:sz w:val="18"/>
          <w:szCs w:val="18"/>
        </w:rPr>
        <w:t xml:space="preserve"> concedió por este concepto la suma de $50´000.000, para cada uno de los parientes más cercanos, entendiéndose como tal (cónyuge e hijos). No obstante, a partir de allí y condicionada a la proximidad con la víctima o afectado directo, puede reducirse, de ahí que la cuantía señalada por el a-quo en $6´894.540 para cada uno, resulta ser proporcional y adecuada, sin que haya lugar a su disminución, como subsidiariamente lo pretende el recurrente.</w:t>
      </w:r>
    </w:p>
    <w:p w:rsidR="00E71E05" w:rsidRDefault="00E71E05" w:rsidP="00E71E05">
      <w:pPr>
        <w:jc w:val="both"/>
        <w:rPr>
          <w:rFonts w:ascii="Arial" w:hAnsi="Arial" w:cs="Arial"/>
          <w:sz w:val="18"/>
          <w:szCs w:val="18"/>
        </w:rPr>
      </w:pPr>
    </w:p>
    <w:p w:rsidR="00E71E05" w:rsidRPr="00E71E05" w:rsidRDefault="00E71E05" w:rsidP="00E71E05">
      <w:pPr>
        <w:rPr>
          <w:rFonts w:ascii="Arial" w:hAnsi="Arial" w:cs="Arial"/>
          <w:sz w:val="18"/>
          <w:szCs w:val="18"/>
        </w:rPr>
      </w:pPr>
    </w:p>
    <w:p w:rsidR="00D213EB" w:rsidRPr="00E71E05" w:rsidRDefault="00D213EB" w:rsidP="00E71E05">
      <w:pPr>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C93B81">
        <w:rPr>
          <w:rFonts w:ascii="Arial" w:eastAsia="Calibri" w:hAnsi="Arial" w:cs="Arial"/>
          <w:szCs w:val="24"/>
          <w:lang w:val="es-CO" w:eastAsia="en-US"/>
        </w:rPr>
        <w:t xml:space="preserve">treinta y uno </w:t>
      </w:r>
      <w:r w:rsidRPr="00AC486E">
        <w:rPr>
          <w:rFonts w:ascii="Arial" w:eastAsia="Calibri" w:hAnsi="Arial" w:cs="Arial"/>
          <w:szCs w:val="24"/>
          <w:lang w:val="es-CO" w:eastAsia="en-US"/>
        </w:rPr>
        <w:t>(</w:t>
      </w:r>
      <w:r w:rsidR="00C93B81">
        <w:rPr>
          <w:rFonts w:ascii="Arial" w:eastAsia="Calibri" w:hAnsi="Arial" w:cs="Arial"/>
          <w:szCs w:val="24"/>
          <w:lang w:val="es-CO" w:eastAsia="en-US"/>
        </w:rPr>
        <w:t>31</w:t>
      </w:r>
      <w:r w:rsidRPr="00AC486E">
        <w:rPr>
          <w:rFonts w:ascii="Arial" w:eastAsia="Calibri" w:hAnsi="Arial" w:cs="Arial"/>
          <w:szCs w:val="24"/>
          <w:lang w:val="es-CO" w:eastAsia="en-US"/>
        </w:rPr>
        <w:t xml:space="preserve">) días del mes de </w:t>
      </w:r>
      <w:r w:rsidR="008713F6">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FF3205">
        <w:rPr>
          <w:rFonts w:ascii="Arial" w:eastAsia="Calibri" w:hAnsi="Arial" w:cs="Arial"/>
          <w:szCs w:val="24"/>
          <w:lang w:val="es-CO" w:eastAsia="en-US"/>
        </w:rPr>
        <w:t xml:space="preserve">diez </w:t>
      </w:r>
      <w:r w:rsidR="00C93B81">
        <w:rPr>
          <w:rFonts w:ascii="Arial" w:eastAsia="Calibri" w:hAnsi="Arial" w:cs="Arial"/>
          <w:szCs w:val="24"/>
          <w:lang w:val="es-CO" w:eastAsia="en-US"/>
        </w:rPr>
        <w:t xml:space="preserve"> y treinta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C93B81">
        <w:rPr>
          <w:rFonts w:ascii="Arial" w:eastAsia="Calibri" w:hAnsi="Arial" w:cs="Arial"/>
          <w:szCs w:val="24"/>
          <w:lang w:val="es-CO" w:eastAsia="en-US"/>
        </w:rPr>
        <w:t>10:3</w:t>
      </w:r>
      <w:r w:rsidR="00FF3205">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recurso de apelación interpuesto por</w:t>
      </w:r>
      <w:r w:rsidR="00B04B62">
        <w:rPr>
          <w:rFonts w:ascii="Arial" w:hAnsi="Arial" w:cs="Arial"/>
          <w:bCs/>
          <w:color w:val="000000"/>
          <w:szCs w:val="24"/>
          <w:lang w:eastAsia="es-CO"/>
        </w:rPr>
        <w:t xml:space="preserve"> la parte actora y </w:t>
      </w:r>
      <w:r w:rsidR="00146D97">
        <w:rPr>
          <w:rFonts w:ascii="Arial" w:hAnsi="Arial" w:cs="Arial"/>
          <w:bCs/>
          <w:color w:val="000000"/>
          <w:szCs w:val="24"/>
          <w:lang w:eastAsia="es-CO"/>
        </w:rPr>
        <w:t>l</w:t>
      </w:r>
      <w:r w:rsidR="00B04B62">
        <w:rPr>
          <w:rFonts w:ascii="Arial" w:hAnsi="Arial" w:cs="Arial"/>
          <w:bCs/>
          <w:color w:val="000000"/>
          <w:szCs w:val="24"/>
          <w:lang w:eastAsia="es-CO"/>
        </w:rPr>
        <w:t>os demandado</w:t>
      </w:r>
      <w:r w:rsidR="00FF3205">
        <w:rPr>
          <w:rFonts w:ascii="Arial" w:hAnsi="Arial" w:cs="Arial"/>
          <w:bCs/>
          <w:color w:val="000000"/>
          <w:szCs w:val="24"/>
          <w:lang w:eastAsia="es-CO"/>
        </w:rPr>
        <w:t xml:space="preserve">s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93B81">
        <w:rPr>
          <w:rFonts w:ascii="Arial" w:hAnsi="Arial" w:cs="Arial"/>
          <w:szCs w:val="24"/>
        </w:rPr>
        <w:t>01</w:t>
      </w:r>
      <w:r w:rsidR="00BB64C8">
        <w:rPr>
          <w:rFonts w:ascii="Arial" w:hAnsi="Arial" w:cs="Arial"/>
          <w:szCs w:val="24"/>
        </w:rPr>
        <w:t xml:space="preserve"> </w:t>
      </w:r>
      <w:r w:rsidRPr="00AC486E">
        <w:rPr>
          <w:rFonts w:ascii="Arial" w:hAnsi="Arial" w:cs="Arial"/>
          <w:szCs w:val="24"/>
        </w:rPr>
        <w:t xml:space="preserve">de </w:t>
      </w:r>
      <w:r w:rsidR="00C93B81">
        <w:rPr>
          <w:rFonts w:ascii="Arial" w:hAnsi="Arial" w:cs="Arial"/>
          <w:szCs w:val="24"/>
        </w:rPr>
        <w:t xml:space="preserve">junio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Laboral del Circuito de </w:t>
      </w:r>
      <w:r w:rsidR="00C93B81">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00C93B81">
        <w:rPr>
          <w:rFonts w:ascii="Arial" w:hAnsi="Arial" w:cs="Arial"/>
          <w:szCs w:val="24"/>
        </w:rPr>
        <w:t xml:space="preserve">promueven los </w:t>
      </w:r>
      <w:r w:rsidR="003440CA">
        <w:rPr>
          <w:rFonts w:ascii="Arial" w:hAnsi="Arial" w:cs="Arial"/>
          <w:szCs w:val="24"/>
        </w:rPr>
        <w:t>señor</w:t>
      </w:r>
      <w:r w:rsidR="00C93B81">
        <w:rPr>
          <w:rFonts w:ascii="Arial" w:hAnsi="Arial" w:cs="Arial"/>
          <w:szCs w:val="24"/>
        </w:rPr>
        <w:t>es</w:t>
      </w:r>
      <w:r w:rsidR="003440CA">
        <w:rPr>
          <w:rFonts w:ascii="Arial" w:hAnsi="Arial" w:cs="Arial"/>
          <w:szCs w:val="24"/>
        </w:rPr>
        <w:t xml:space="preserve"> </w:t>
      </w:r>
      <w:r w:rsidR="00C93B81">
        <w:rPr>
          <w:rFonts w:ascii="Arial" w:hAnsi="Arial" w:cs="Arial"/>
          <w:b/>
          <w:szCs w:val="24"/>
        </w:rPr>
        <w:t xml:space="preserve">María </w:t>
      </w:r>
      <w:proofErr w:type="spellStart"/>
      <w:r w:rsidR="00C93B81">
        <w:rPr>
          <w:rFonts w:ascii="Arial" w:hAnsi="Arial" w:cs="Arial"/>
          <w:b/>
          <w:szCs w:val="24"/>
        </w:rPr>
        <w:t>Janedt</w:t>
      </w:r>
      <w:proofErr w:type="spellEnd"/>
      <w:r w:rsidR="00C93B81">
        <w:rPr>
          <w:rFonts w:ascii="Arial" w:hAnsi="Arial" w:cs="Arial"/>
          <w:b/>
          <w:szCs w:val="24"/>
        </w:rPr>
        <w:t xml:space="preserve"> </w:t>
      </w:r>
      <w:r w:rsidR="00C93B81">
        <w:rPr>
          <w:rFonts w:ascii="Arial" w:hAnsi="Arial" w:cs="Arial"/>
          <w:b/>
          <w:szCs w:val="24"/>
        </w:rPr>
        <w:lastRenderedPageBreak/>
        <w:t xml:space="preserve">García Giraldo, </w:t>
      </w:r>
      <w:proofErr w:type="spellStart"/>
      <w:r w:rsidR="00C93B81">
        <w:rPr>
          <w:rFonts w:ascii="Arial" w:hAnsi="Arial" w:cs="Arial"/>
          <w:b/>
          <w:szCs w:val="24"/>
        </w:rPr>
        <w:t>Stiven</w:t>
      </w:r>
      <w:proofErr w:type="spellEnd"/>
      <w:r w:rsidR="00C93B81">
        <w:rPr>
          <w:rFonts w:ascii="Arial" w:hAnsi="Arial" w:cs="Arial"/>
          <w:b/>
          <w:szCs w:val="24"/>
        </w:rPr>
        <w:t xml:space="preserve"> Giraldo García, María Ríos Duque, Erika Giraldo Ríos, Luz Adriana Giraldo Ríos y José Iván Giraldo Ríos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l</w:t>
      </w:r>
      <w:r w:rsidR="00C93B81">
        <w:rPr>
          <w:rFonts w:ascii="Arial" w:hAnsi="Arial" w:cs="Arial"/>
          <w:szCs w:val="24"/>
        </w:rPr>
        <w:t xml:space="preserve">os señores </w:t>
      </w:r>
      <w:r w:rsidR="00C93B81">
        <w:rPr>
          <w:rFonts w:ascii="Arial" w:hAnsi="Arial" w:cs="Arial"/>
          <w:b/>
          <w:szCs w:val="24"/>
        </w:rPr>
        <w:t>José Israel Amador Ávila y Ezequiel Amador Ávila</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w:t>
      </w:r>
      <w:r w:rsidR="00C93B81">
        <w:rPr>
          <w:rFonts w:ascii="Arial" w:hAnsi="Arial" w:cs="Arial"/>
          <w:bCs/>
          <w:szCs w:val="24"/>
        </w:rPr>
        <w:t>170</w:t>
      </w:r>
      <w:r w:rsidR="00094E79">
        <w:rPr>
          <w:rFonts w:ascii="Arial" w:hAnsi="Arial" w:cs="Arial"/>
          <w:bCs/>
          <w:szCs w:val="24"/>
        </w:rPr>
        <w:t>-31-05-00</w:t>
      </w:r>
      <w:r w:rsidR="00C93B81">
        <w:rPr>
          <w:rFonts w:ascii="Arial" w:hAnsi="Arial" w:cs="Arial"/>
          <w:bCs/>
          <w:szCs w:val="24"/>
        </w:rPr>
        <w:t>1</w:t>
      </w:r>
      <w:r w:rsidR="00094E79">
        <w:rPr>
          <w:rFonts w:ascii="Arial" w:hAnsi="Arial" w:cs="Arial"/>
          <w:bCs/>
          <w:szCs w:val="24"/>
        </w:rPr>
        <w:t>-201</w:t>
      </w:r>
      <w:r w:rsidR="00C93B81">
        <w:rPr>
          <w:rFonts w:ascii="Arial" w:hAnsi="Arial" w:cs="Arial"/>
          <w:bCs/>
          <w:szCs w:val="24"/>
        </w:rPr>
        <w:t>4</w:t>
      </w:r>
      <w:r w:rsidR="00650C9B">
        <w:rPr>
          <w:rFonts w:ascii="Arial" w:hAnsi="Arial" w:cs="Arial"/>
          <w:bCs/>
          <w:szCs w:val="24"/>
        </w:rPr>
        <w:t>-00</w:t>
      </w:r>
      <w:r w:rsidR="00C93B81">
        <w:rPr>
          <w:rFonts w:ascii="Arial" w:hAnsi="Arial" w:cs="Arial"/>
          <w:bCs/>
          <w:szCs w:val="24"/>
        </w:rPr>
        <w:t>252</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Demandante</w:t>
      </w:r>
      <w:r w:rsidR="00C93B81">
        <w:rPr>
          <w:rFonts w:ascii="Arial" w:hAnsi="Arial" w:cs="Arial"/>
          <w:szCs w:val="24"/>
        </w:rPr>
        <w:t>s</w:t>
      </w:r>
      <w:r>
        <w:rPr>
          <w:rFonts w:ascii="Arial" w:hAnsi="Arial" w:cs="Arial"/>
          <w:szCs w:val="24"/>
        </w:rPr>
        <w:t xml:space="preserv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C93B81" w:rsidP="00350788">
      <w:pPr>
        <w:spacing w:line="276" w:lineRule="auto"/>
        <w:contextualSpacing/>
        <w:rPr>
          <w:rFonts w:ascii="Arial" w:hAnsi="Arial" w:cs="Arial"/>
          <w:szCs w:val="24"/>
        </w:rPr>
      </w:pPr>
      <w:r>
        <w:rPr>
          <w:rFonts w:ascii="Arial" w:hAnsi="Arial" w:cs="Arial"/>
          <w:szCs w:val="24"/>
        </w:rPr>
        <w:t>Demandado</w:t>
      </w:r>
      <w:r w:rsidR="00350788">
        <w:rPr>
          <w:rFonts w:ascii="Arial" w:hAnsi="Arial" w:cs="Arial"/>
          <w:szCs w:val="24"/>
        </w:rPr>
        <w:t>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068" w:rsidRDefault="00FD188F" w:rsidP="00154D84">
      <w:pPr>
        <w:spacing w:line="276" w:lineRule="auto"/>
        <w:jc w:val="both"/>
        <w:rPr>
          <w:rFonts w:ascii="Arial" w:hAnsi="Arial" w:cs="Arial"/>
          <w:szCs w:val="24"/>
        </w:rPr>
      </w:pPr>
      <w:r>
        <w:rPr>
          <w:rFonts w:ascii="Arial" w:hAnsi="Arial" w:cs="Arial"/>
          <w:szCs w:val="24"/>
        </w:rPr>
        <w:t xml:space="preserve">Los señores </w:t>
      </w:r>
      <w:r w:rsidR="007A5C88">
        <w:rPr>
          <w:rFonts w:ascii="Arial" w:hAnsi="Arial" w:cs="Arial"/>
          <w:szCs w:val="24"/>
        </w:rPr>
        <w:t xml:space="preserve">María </w:t>
      </w:r>
      <w:proofErr w:type="spellStart"/>
      <w:r w:rsidR="007A5C88">
        <w:rPr>
          <w:rFonts w:ascii="Arial" w:hAnsi="Arial" w:cs="Arial"/>
          <w:szCs w:val="24"/>
        </w:rPr>
        <w:t>Janedt</w:t>
      </w:r>
      <w:proofErr w:type="spellEnd"/>
      <w:r w:rsidR="007A5C88">
        <w:rPr>
          <w:rFonts w:ascii="Arial" w:hAnsi="Arial" w:cs="Arial"/>
          <w:szCs w:val="24"/>
        </w:rPr>
        <w:t xml:space="preserve"> García Giraldo y</w:t>
      </w:r>
      <w:r w:rsidRPr="00FD188F">
        <w:rPr>
          <w:rFonts w:ascii="Arial" w:hAnsi="Arial" w:cs="Arial"/>
          <w:szCs w:val="24"/>
        </w:rPr>
        <w:t xml:space="preserve"> </w:t>
      </w:r>
      <w:proofErr w:type="spellStart"/>
      <w:r w:rsidRPr="00FD188F">
        <w:rPr>
          <w:rFonts w:ascii="Arial" w:hAnsi="Arial" w:cs="Arial"/>
          <w:szCs w:val="24"/>
        </w:rPr>
        <w:t>Stiven</w:t>
      </w:r>
      <w:proofErr w:type="spellEnd"/>
      <w:r w:rsidRPr="00FD188F">
        <w:rPr>
          <w:rFonts w:ascii="Arial" w:hAnsi="Arial" w:cs="Arial"/>
          <w:szCs w:val="24"/>
        </w:rPr>
        <w:t xml:space="preserve"> Giraldo Garc</w:t>
      </w:r>
      <w:r w:rsidR="007A5C88">
        <w:rPr>
          <w:rFonts w:ascii="Arial" w:hAnsi="Arial" w:cs="Arial"/>
          <w:szCs w:val="24"/>
        </w:rPr>
        <w:t>ía</w:t>
      </w:r>
      <w:r w:rsidR="00684D08">
        <w:rPr>
          <w:rFonts w:ascii="Arial" w:hAnsi="Arial" w:cs="Arial"/>
          <w:szCs w:val="24"/>
        </w:rPr>
        <w:t xml:space="preserve">, </w:t>
      </w:r>
      <w:r w:rsidR="00684D08" w:rsidRPr="00684D08">
        <w:rPr>
          <w:rFonts w:ascii="Arial" w:hAnsi="Arial" w:cs="Arial"/>
          <w:szCs w:val="24"/>
        </w:rPr>
        <w:t>María Ríos Duque, Erika Giraldo Ríos, Luz Adriana Giraldo Ríos y José Iván Giraldo Ríos</w:t>
      </w:r>
      <w:r w:rsidR="00684D08">
        <w:rPr>
          <w:rFonts w:ascii="Arial" w:hAnsi="Arial" w:cs="Arial"/>
          <w:szCs w:val="24"/>
        </w:rPr>
        <w:t>,</w:t>
      </w:r>
      <w:r w:rsidR="007A5C88">
        <w:rPr>
          <w:rFonts w:ascii="Arial" w:hAnsi="Arial" w:cs="Arial"/>
          <w:szCs w:val="24"/>
        </w:rPr>
        <w:t xml:space="preserve"> </w:t>
      </w:r>
      <w:r w:rsidR="00350788" w:rsidRPr="008E0CBF">
        <w:rPr>
          <w:rFonts w:ascii="Arial" w:hAnsi="Arial" w:cs="Arial"/>
          <w:szCs w:val="24"/>
        </w:rPr>
        <w:t>solicita</w:t>
      </w:r>
      <w:r>
        <w:rPr>
          <w:rFonts w:ascii="Arial" w:hAnsi="Arial" w:cs="Arial"/>
          <w:szCs w:val="24"/>
        </w:rPr>
        <w:t>n</w:t>
      </w:r>
      <w:r w:rsidR="00350788" w:rsidRPr="008E0CBF">
        <w:rPr>
          <w:rFonts w:ascii="Arial" w:hAnsi="Arial" w:cs="Arial"/>
          <w:szCs w:val="24"/>
        </w:rPr>
        <w:t xml:space="preserve"> que se</w:t>
      </w:r>
      <w:r w:rsidR="008F6A29">
        <w:rPr>
          <w:rFonts w:ascii="Arial" w:hAnsi="Arial" w:cs="Arial"/>
          <w:szCs w:val="24"/>
        </w:rPr>
        <w:t xml:space="preserve"> declare que</w:t>
      </w:r>
      <w:r>
        <w:rPr>
          <w:rFonts w:ascii="Arial" w:hAnsi="Arial" w:cs="Arial"/>
          <w:szCs w:val="24"/>
        </w:rPr>
        <w:t xml:space="preserve"> entre los señores José Israel Amador Ávila y Ezequiel Amador Ávila existió un contrato de trabajo con el señor Wilson Giraldo Ríos</w:t>
      </w:r>
      <w:r w:rsidR="00350068">
        <w:rPr>
          <w:rFonts w:ascii="Arial" w:hAnsi="Arial" w:cs="Arial"/>
          <w:szCs w:val="24"/>
        </w:rPr>
        <w:t xml:space="preserve">. </w:t>
      </w:r>
    </w:p>
    <w:p w:rsidR="00350068" w:rsidRDefault="00350068" w:rsidP="00154D84">
      <w:pPr>
        <w:spacing w:line="276" w:lineRule="auto"/>
        <w:jc w:val="both"/>
        <w:rPr>
          <w:rFonts w:ascii="Arial" w:hAnsi="Arial" w:cs="Arial"/>
          <w:szCs w:val="24"/>
        </w:rPr>
      </w:pPr>
    </w:p>
    <w:p w:rsidR="00AD24C1" w:rsidRDefault="00350068" w:rsidP="00154D84">
      <w:pPr>
        <w:spacing w:line="276" w:lineRule="auto"/>
        <w:jc w:val="both"/>
        <w:rPr>
          <w:rFonts w:ascii="Arial" w:hAnsi="Arial" w:cs="Arial"/>
          <w:szCs w:val="24"/>
        </w:rPr>
      </w:pPr>
      <w:r>
        <w:rPr>
          <w:rFonts w:ascii="Arial" w:hAnsi="Arial" w:cs="Arial"/>
          <w:szCs w:val="24"/>
        </w:rPr>
        <w:t>En consecuencia, se les condene a</w:t>
      </w:r>
      <w:r w:rsidR="00FD188F">
        <w:rPr>
          <w:rFonts w:ascii="Arial" w:hAnsi="Arial" w:cs="Arial"/>
          <w:szCs w:val="24"/>
        </w:rPr>
        <w:t>l pago de la pensión de sobrevivientes a</w:t>
      </w:r>
      <w:r w:rsidR="00684D08">
        <w:rPr>
          <w:rFonts w:ascii="Arial" w:hAnsi="Arial" w:cs="Arial"/>
          <w:szCs w:val="24"/>
        </w:rPr>
        <w:t xml:space="preserve"> </w:t>
      </w:r>
      <w:r w:rsidR="00FD188F">
        <w:rPr>
          <w:rFonts w:ascii="Arial" w:hAnsi="Arial" w:cs="Arial"/>
          <w:szCs w:val="24"/>
        </w:rPr>
        <w:t>favor</w:t>
      </w:r>
      <w:r w:rsidR="00684D08">
        <w:rPr>
          <w:rFonts w:ascii="Arial" w:hAnsi="Arial" w:cs="Arial"/>
          <w:szCs w:val="24"/>
        </w:rPr>
        <w:t xml:space="preserve"> de la cónyuge y su hijo</w:t>
      </w:r>
      <w:r w:rsidR="00FD188F">
        <w:rPr>
          <w:rFonts w:ascii="Arial" w:hAnsi="Arial" w:cs="Arial"/>
          <w:szCs w:val="24"/>
        </w:rPr>
        <w:t>, en proporción del 50% para cada uno, a partir del 21/04/2014</w:t>
      </w:r>
      <w:r w:rsidR="00A81D7A">
        <w:rPr>
          <w:rFonts w:ascii="Arial" w:hAnsi="Arial" w:cs="Arial"/>
          <w:szCs w:val="24"/>
        </w:rPr>
        <w:t>, así como las prestaciones sociales</w:t>
      </w:r>
      <w:r w:rsidR="007A5C88">
        <w:rPr>
          <w:rFonts w:ascii="Arial" w:hAnsi="Arial" w:cs="Arial"/>
          <w:szCs w:val="24"/>
        </w:rPr>
        <w:t xml:space="preserve">, vacaciones y salarios adeudados, indemnización moratoria </w:t>
      </w:r>
      <w:r w:rsidR="005047F4">
        <w:rPr>
          <w:rFonts w:ascii="Arial" w:hAnsi="Arial" w:cs="Arial"/>
          <w:szCs w:val="24"/>
        </w:rPr>
        <w:t xml:space="preserve">prevista en el artículo 65 de </w:t>
      </w:r>
      <w:proofErr w:type="spellStart"/>
      <w:r w:rsidR="005047F4">
        <w:rPr>
          <w:rFonts w:ascii="Arial" w:hAnsi="Arial" w:cs="Arial"/>
          <w:szCs w:val="24"/>
        </w:rPr>
        <w:t>C.S.T</w:t>
      </w:r>
      <w:proofErr w:type="spellEnd"/>
      <w:r w:rsidR="005047F4">
        <w:rPr>
          <w:rFonts w:ascii="Arial" w:hAnsi="Arial" w:cs="Arial"/>
          <w:szCs w:val="24"/>
        </w:rPr>
        <w:t>.</w:t>
      </w:r>
      <w:r w:rsidR="00684D08">
        <w:rPr>
          <w:rFonts w:ascii="Arial" w:hAnsi="Arial" w:cs="Arial"/>
          <w:szCs w:val="24"/>
        </w:rPr>
        <w:t xml:space="preserve"> y los perjuicios materiales que les fueron generados por la muerte del señor Wilson Giraldo Ríos.</w:t>
      </w:r>
    </w:p>
    <w:p w:rsidR="00AD24C1" w:rsidRDefault="00AD24C1" w:rsidP="00154D84">
      <w:pPr>
        <w:spacing w:line="276" w:lineRule="auto"/>
        <w:jc w:val="both"/>
        <w:rPr>
          <w:rFonts w:ascii="Arial" w:hAnsi="Arial" w:cs="Arial"/>
          <w:szCs w:val="24"/>
        </w:rPr>
      </w:pPr>
    </w:p>
    <w:p w:rsidR="00545BCF" w:rsidRDefault="00AD24C1" w:rsidP="00154D84">
      <w:pPr>
        <w:spacing w:line="276" w:lineRule="auto"/>
        <w:jc w:val="both"/>
        <w:rPr>
          <w:rFonts w:ascii="Arial" w:hAnsi="Arial" w:cs="Arial"/>
          <w:szCs w:val="24"/>
        </w:rPr>
      </w:pPr>
      <w:r>
        <w:rPr>
          <w:rFonts w:ascii="Arial" w:hAnsi="Arial" w:cs="Arial"/>
          <w:szCs w:val="24"/>
        </w:rPr>
        <w:t>Finalmente,</w:t>
      </w:r>
      <w:r w:rsidR="00684D08">
        <w:rPr>
          <w:rFonts w:ascii="Arial" w:hAnsi="Arial" w:cs="Arial"/>
          <w:szCs w:val="24"/>
        </w:rPr>
        <w:t xml:space="preserve"> solicitan la totalidad de los demandantes, que se les reconozcan l</w:t>
      </w:r>
      <w:r w:rsidR="004138A7">
        <w:rPr>
          <w:rFonts w:ascii="Arial" w:hAnsi="Arial" w:cs="Arial"/>
          <w:szCs w:val="24"/>
        </w:rPr>
        <w:t xml:space="preserve">os perjuicios </w:t>
      </w:r>
      <w:r w:rsidR="00436052">
        <w:rPr>
          <w:rFonts w:ascii="Arial" w:hAnsi="Arial" w:cs="Arial"/>
          <w:szCs w:val="24"/>
        </w:rPr>
        <w:t xml:space="preserve">morales; que las condenas sean actualizadas, se condene en costas procesales a los demandados y se acceda a lo ultra y extra </w:t>
      </w:r>
      <w:proofErr w:type="spellStart"/>
      <w:r w:rsidR="00436052">
        <w:rPr>
          <w:rFonts w:ascii="Arial" w:hAnsi="Arial" w:cs="Arial"/>
          <w:szCs w:val="24"/>
        </w:rPr>
        <w:t>petita</w:t>
      </w:r>
      <w:proofErr w:type="spellEnd"/>
      <w:r w:rsidR="00436052">
        <w:rPr>
          <w:rFonts w:ascii="Arial" w:hAnsi="Arial" w:cs="Arial"/>
          <w:szCs w:val="24"/>
        </w:rPr>
        <w:t xml:space="preserve"> que resulte probado.</w:t>
      </w:r>
    </w:p>
    <w:p w:rsidR="004138A7" w:rsidRDefault="004138A7" w:rsidP="00154D84">
      <w:pPr>
        <w:spacing w:line="276" w:lineRule="auto"/>
        <w:jc w:val="both"/>
        <w:rPr>
          <w:rFonts w:ascii="Arial" w:hAnsi="Arial" w:cs="Arial"/>
          <w:szCs w:val="24"/>
        </w:rPr>
      </w:pPr>
    </w:p>
    <w:p w:rsidR="00BA1544" w:rsidRDefault="00A957FB" w:rsidP="00CD7083">
      <w:pPr>
        <w:spacing w:line="276" w:lineRule="auto"/>
        <w:jc w:val="both"/>
        <w:rPr>
          <w:rFonts w:ascii="Arial" w:hAnsi="Arial" w:cs="Arial"/>
          <w:szCs w:val="24"/>
        </w:rPr>
      </w:pPr>
      <w:r w:rsidRPr="008E0CBF">
        <w:rPr>
          <w:rFonts w:ascii="Arial" w:hAnsi="Arial" w:cs="Arial"/>
          <w:szCs w:val="24"/>
        </w:rPr>
        <w:t>Fundamenta</w:t>
      </w:r>
      <w:r w:rsidR="00AD24C1">
        <w:rPr>
          <w:rFonts w:ascii="Arial" w:hAnsi="Arial" w:cs="Arial"/>
          <w:szCs w:val="24"/>
        </w:rPr>
        <w:t>n</w:t>
      </w:r>
      <w:r w:rsidRPr="008E0CBF">
        <w:rPr>
          <w:rFonts w:ascii="Arial" w:hAnsi="Arial" w:cs="Arial"/>
          <w:szCs w:val="24"/>
        </w:rPr>
        <w:t xml:space="preserve"> sus aspiraciones </w:t>
      </w:r>
      <w:r w:rsidR="00226D5F" w:rsidRPr="008E0CBF">
        <w:rPr>
          <w:rFonts w:ascii="Arial" w:hAnsi="Arial" w:cs="Arial"/>
          <w:szCs w:val="24"/>
        </w:rPr>
        <w:t>en que</w:t>
      </w:r>
      <w:r w:rsidR="0088258E">
        <w:rPr>
          <w:rFonts w:ascii="Arial" w:hAnsi="Arial" w:cs="Arial"/>
          <w:szCs w:val="24"/>
        </w:rPr>
        <w:t>: (i)</w:t>
      </w:r>
      <w:r w:rsidR="0001028F">
        <w:rPr>
          <w:rFonts w:ascii="Arial" w:hAnsi="Arial" w:cs="Arial"/>
          <w:szCs w:val="24"/>
        </w:rPr>
        <w:t xml:space="preserve"> </w:t>
      </w:r>
      <w:r w:rsidR="00E62E71">
        <w:rPr>
          <w:rFonts w:ascii="Arial" w:hAnsi="Arial" w:cs="Arial"/>
          <w:szCs w:val="24"/>
        </w:rPr>
        <w:t xml:space="preserve">la pareja conformada por María </w:t>
      </w:r>
      <w:proofErr w:type="spellStart"/>
      <w:r w:rsidR="00E62E71">
        <w:rPr>
          <w:rFonts w:ascii="Arial" w:hAnsi="Arial" w:cs="Arial"/>
          <w:szCs w:val="24"/>
        </w:rPr>
        <w:t>Janedt</w:t>
      </w:r>
      <w:proofErr w:type="spellEnd"/>
      <w:r w:rsidR="00E62E71">
        <w:rPr>
          <w:rFonts w:ascii="Arial" w:hAnsi="Arial" w:cs="Arial"/>
          <w:szCs w:val="24"/>
        </w:rPr>
        <w:t xml:space="preserve"> García Giraldo y Wilson Giraldo Ríos inició la vida marital en el año 1996, pero el 15/07/2016 contrajeron matrimonio católico</w:t>
      </w:r>
      <w:r w:rsidR="00B100C5">
        <w:rPr>
          <w:rFonts w:ascii="Arial" w:hAnsi="Arial" w:cs="Arial"/>
          <w:szCs w:val="24"/>
        </w:rPr>
        <w:t xml:space="preserve">, unión de la cual nació Brandon Giraldo García; (ii) </w:t>
      </w:r>
      <w:proofErr w:type="spellStart"/>
      <w:r w:rsidR="00BA1544" w:rsidRPr="00FD188F">
        <w:rPr>
          <w:rFonts w:ascii="Arial" w:hAnsi="Arial" w:cs="Arial"/>
          <w:szCs w:val="24"/>
        </w:rPr>
        <w:t>Stiven</w:t>
      </w:r>
      <w:proofErr w:type="spellEnd"/>
      <w:r w:rsidR="00BA1544" w:rsidRPr="00FD188F">
        <w:rPr>
          <w:rFonts w:ascii="Arial" w:hAnsi="Arial" w:cs="Arial"/>
          <w:szCs w:val="24"/>
        </w:rPr>
        <w:t xml:space="preserve"> Giraldo Garc</w:t>
      </w:r>
      <w:r w:rsidR="00BA1544">
        <w:rPr>
          <w:rFonts w:ascii="Arial" w:hAnsi="Arial" w:cs="Arial"/>
          <w:szCs w:val="24"/>
        </w:rPr>
        <w:t xml:space="preserve">ía, </w:t>
      </w:r>
      <w:r w:rsidR="00BA1544" w:rsidRPr="00684D08">
        <w:rPr>
          <w:rFonts w:ascii="Arial" w:hAnsi="Arial" w:cs="Arial"/>
          <w:szCs w:val="24"/>
        </w:rPr>
        <w:t>María Ríos Duque, Erika Giraldo Ríos, Luz Adriana Giraldo Ríos y José Iván Giraldo Ríos</w:t>
      </w:r>
      <w:r w:rsidR="00BA1544">
        <w:rPr>
          <w:rFonts w:ascii="Arial" w:hAnsi="Arial" w:cs="Arial"/>
          <w:szCs w:val="24"/>
        </w:rPr>
        <w:t>, son hijo</w:t>
      </w:r>
      <w:r w:rsidR="00B04B62">
        <w:rPr>
          <w:rFonts w:ascii="Arial" w:hAnsi="Arial" w:cs="Arial"/>
          <w:szCs w:val="24"/>
        </w:rPr>
        <w:t>s</w:t>
      </w:r>
      <w:r w:rsidR="00BA1544">
        <w:rPr>
          <w:rFonts w:ascii="Arial" w:hAnsi="Arial" w:cs="Arial"/>
          <w:szCs w:val="24"/>
        </w:rPr>
        <w:t xml:space="preserve">, madre y hermanos de Wilson Giraldo Ríos, </w:t>
      </w:r>
      <w:r w:rsidR="00B04B62">
        <w:rPr>
          <w:rFonts w:ascii="Arial" w:hAnsi="Arial" w:cs="Arial"/>
          <w:szCs w:val="24"/>
        </w:rPr>
        <w:t xml:space="preserve">respectivamente, </w:t>
      </w:r>
      <w:r w:rsidR="00BA1544">
        <w:rPr>
          <w:rFonts w:ascii="Arial" w:hAnsi="Arial" w:cs="Arial"/>
          <w:szCs w:val="24"/>
        </w:rPr>
        <w:t>quien falleció el 21/04/2014 mientras laboraba en una obra de construcción de propiedad de José Israel Amador Ávila y administrada por Ezequiel Amador Ávila; (iii) el causante fue contratado por el administrador en forma verbal e inició labores el 15/01/2014; (iv) la actividad la desarrolló todos los días en horario de 7:00 a.m. a 6:00 p.m., hasta el día de la muerte.</w:t>
      </w:r>
    </w:p>
    <w:p w:rsidR="00BA1544" w:rsidRDefault="00BA1544" w:rsidP="00CD7083">
      <w:pPr>
        <w:spacing w:line="276" w:lineRule="auto"/>
        <w:jc w:val="both"/>
        <w:rPr>
          <w:rFonts w:ascii="Arial" w:hAnsi="Arial" w:cs="Arial"/>
          <w:szCs w:val="24"/>
        </w:rPr>
      </w:pPr>
    </w:p>
    <w:p w:rsidR="00BE0833" w:rsidRDefault="00BA1544" w:rsidP="00CD7083">
      <w:pPr>
        <w:spacing w:line="276" w:lineRule="auto"/>
        <w:jc w:val="both"/>
        <w:rPr>
          <w:rFonts w:ascii="Arial" w:hAnsi="Arial" w:cs="Arial"/>
          <w:szCs w:val="24"/>
        </w:rPr>
      </w:pPr>
      <w:r>
        <w:rPr>
          <w:rFonts w:ascii="Arial" w:hAnsi="Arial" w:cs="Arial"/>
          <w:szCs w:val="24"/>
        </w:rPr>
        <w:lastRenderedPageBreak/>
        <w:t>(v) Los demandados no afiliaron a su trabajador al sistema de seguridad social</w:t>
      </w:r>
      <w:r w:rsidR="00B04B62">
        <w:rPr>
          <w:rFonts w:ascii="Arial" w:hAnsi="Arial" w:cs="Arial"/>
          <w:szCs w:val="24"/>
        </w:rPr>
        <w:t>,</w:t>
      </w:r>
      <w:r>
        <w:rPr>
          <w:rFonts w:ascii="Arial" w:hAnsi="Arial" w:cs="Arial"/>
          <w:szCs w:val="24"/>
        </w:rPr>
        <w:t xml:space="preserve"> ni le entregaron los elementos de protección para laborar en alturas; (vi) </w:t>
      </w:r>
      <w:r w:rsidR="00E62E71">
        <w:rPr>
          <w:rFonts w:ascii="Arial" w:hAnsi="Arial" w:cs="Arial"/>
          <w:szCs w:val="24"/>
        </w:rPr>
        <w:t>tampoco le cancelaron las prestaciones sociales, vacaciones</w:t>
      </w:r>
      <w:r w:rsidR="00B04B62">
        <w:rPr>
          <w:rFonts w:ascii="Arial" w:hAnsi="Arial" w:cs="Arial"/>
          <w:szCs w:val="24"/>
        </w:rPr>
        <w:t>,</w:t>
      </w:r>
      <w:r w:rsidR="00E62E71">
        <w:rPr>
          <w:rFonts w:ascii="Arial" w:hAnsi="Arial" w:cs="Arial"/>
          <w:szCs w:val="24"/>
        </w:rPr>
        <w:t xml:space="preserve"> ni la última semana de salario.</w:t>
      </w:r>
    </w:p>
    <w:p w:rsidR="00E62E71" w:rsidRDefault="00E62E71" w:rsidP="00CD7083">
      <w:pPr>
        <w:spacing w:line="276" w:lineRule="auto"/>
        <w:jc w:val="both"/>
        <w:rPr>
          <w:rFonts w:ascii="Arial" w:hAnsi="Arial" w:cs="Arial"/>
          <w:szCs w:val="24"/>
        </w:rPr>
      </w:pPr>
    </w:p>
    <w:p w:rsidR="00E62E71" w:rsidRDefault="00E62E71" w:rsidP="00CD7083">
      <w:pPr>
        <w:spacing w:line="276" w:lineRule="auto"/>
        <w:jc w:val="both"/>
        <w:rPr>
          <w:rFonts w:ascii="Arial" w:hAnsi="Arial" w:cs="Arial"/>
          <w:szCs w:val="24"/>
        </w:rPr>
      </w:pPr>
      <w:r>
        <w:rPr>
          <w:rFonts w:ascii="Arial" w:hAnsi="Arial" w:cs="Arial"/>
          <w:szCs w:val="24"/>
        </w:rPr>
        <w:t xml:space="preserve">(vii) la señora María </w:t>
      </w:r>
      <w:proofErr w:type="spellStart"/>
      <w:r>
        <w:rPr>
          <w:rFonts w:ascii="Arial" w:hAnsi="Arial" w:cs="Arial"/>
          <w:szCs w:val="24"/>
        </w:rPr>
        <w:t>Janedt</w:t>
      </w:r>
      <w:proofErr w:type="spellEnd"/>
      <w:r>
        <w:rPr>
          <w:rFonts w:ascii="Arial" w:hAnsi="Arial" w:cs="Arial"/>
          <w:szCs w:val="24"/>
        </w:rPr>
        <w:t xml:space="preserve"> García Giraldo y su hijo Brandon Giraldo García, han sufrido moralmente por la muerte de su cónyuge y padre y se han visto abocados a la caridad humana y, los señores </w:t>
      </w:r>
      <w:r w:rsidRPr="00684D08">
        <w:rPr>
          <w:rFonts w:ascii="Arial" w:hAnsi="Arial" w:cs="Arial"/>
          <w:szCs w:val="24"/>
        </w:rPr>
        <w:t>María Ríos Duque, Erika Giraldo Ríos, Luz Adriana Giraldo Ríos y José Iván Giraldo Ríos</w:t>
      </w:r>
      <w:r>
        <w:rPr>
          <w:rFonts w:ascii="Arial" w:hAnsi="Arial" w:cs="Arial"/>
          <w:szCs w:val="24"/>
        </w:rPr>
        <w:t>, también han sido afectados moralmente por la ausencia de su hijo y hermano.</w:t>
      </w:r>
    </w:p>
    <w:p w:rsidR="00CD7083" w:rsidRDefault="00CD7083" w:rsidP="00CD7083">
      <w:pPr>
        <w:spacing w:line="276" w:lineRule="auto"/>
        <w:jc w:val="both"/>
        <w:rPr>
          <w:rFonts w:ascii="Arial" w:hAnsi="Arial" w:cs="Arial"/>
          <w:szCs w:val="24"/>
        </w:rPr>
      </w:pPr>
    </w:p>
    <w:p w:rsidR="00EB0CE5" w:rsidRDefault="00C34FB3" w:rsidP="00C34FB3">
      <w:pPr>
        <w:spacing w:line="276" w:lineRule="auto"/>
        <w:jc w:val="both"/>
        <w:rPr>
          <w:rFonts w:ascii="Arial" w:hAnsi="Arial" w:cs="Arial"/>
          <w:szCs w:val="24"/>
        </w:rPr>
      </w:pPr>
      <w:r>
        <w:rPr>
          <w:rFonts w:ascii="Arial" w:hAnsi="Arial" w:cs="Arial"/>
          <w:b/>
          <w:szCs w:val="24"/>
        </w:rPr>
        <w:t>Ezequiel Amador Ávila</w:t>
      </w:r>
      <w:r w:rsidR="00B220D2" w:rsidRPr="008E0CBF">
        <w:rPr>
          <w:rFonts w:ascii="Arial" w:hAnsi="Arial" w:cs="Arial"/>
          <w:b/>
          <w:szCs w:val="24"/>
        </w:rPr>
        <w:t>,</w:t>
      </w:r>
      <w:r w:rsidR="0094079B">
        <w:rPr>
          <w:rFonts w:ascii="Arial" w:hAnsi="Arial" w:cs="Arial"/>
          <w:b/>
          <w:szCs w:val="24"/>
        </w:rPr>
        <w:t xml:space="preserve"> </w:t>
      </w:r>
      <w:r w:rsidR="003A50AD">
        <w:rPr>
          <w:rFonts w:ascii="Arial" w:hAnsi="Arial" w:cs="Arial"/>
          <w:szCs w:val="24"/>
        </w:rPr>
        <w:t xml:space="preserve">se opuso en su integridad a las pretensiones de la demanda e indicó que </w:t>
      </w:r>
      <w:r>
        <w:rPr>
          <w:rFonts w:ascii="Arial" w:hAnsi="Arial" w:cs="Arial"/>
          <w:szCs w:val="24"/>
        </w:rPr>
        <w:t xml:space="preserve">la relación que se indica en </w:t>
      </w:r>
      <w:r w:rsidR="006268C9">
        <w:rPr>
          <w:rFonts w:ascii="Arial" w:hAnsi="Arial" w:cs="Arial"/>
          <w:szCs w:val="24"/>
        </w:rPr>
        <w:t>el</w:t>
      </w:r>
      <w:r>
        <w:rPr>
          <w:rFonts w:ascii="Arial" w:hAnsi="Arial" w:cs="Arial"/>
          <w:szCs w:val="24"/>
        </w:rPr>
        <w:t>la, no estuvo regida por un contrato de trabajo, sino por</w:t>
      </w:r>
      <w:r w:rsidR="00B04B62">
        <w:rPr>
          <w:rFonts w:ascii="Arial" w:hAnsi="Arial" w:cs="Arial"/>
          <w:szCs w:val="24"/>
        </w:rPr>
        <w:t xml:space="preserve"> uno de prestación de servicios;</w:t>
      </w:r>
      <w:r>
        <w:rPr>
          <w:rFonts w:ascii="Arial" w:hAnsi="Arial" w:cs="Arial"/>
          <w:szCs w:val="24"/>
        </w:rPr>
        <w:t xml:space="preserve"> donde</w:t>
      </w:r>
      <w:r w:rsidR="00723D1F">
        <w:rPr>
          <w:rFonts w:ascii="Arial" w:hAnsi="Arial" w:cs="Arial"/>
          <w:szCs w:val="24"/>
        </w:rPr>
        <w:t xml:space="preserve"> en su condición de contratista independiente</w:t>
      </w:r>
      <w:r>
        <w:rPr>
          <w:rFonts w:ascii="Arial" w:hAnsi="Arial" w:cs="Arial"/>
          <w:szCs w:val="24"/>
        </w:rPr>
        <w:t xml:space="preserve"> contrató al señor Wilson Giraldo Ríos, para que realizara una construcción o remodelaciones en una obra de propiedad de un hermano suyo, el sacerdote José Israel Amador Ávila, quien le permitió vivir allí dada su condición de desplazado. Precisó que el fallecido se encontraba separado de su esposa cuando falleció. Interpuso como excepciones de mérito las que denominó “Prescripción” y “Buena fe”.</w:t>
      </w:r>
    </w:p>
    <w:p w:rsidR="00C34FB3" w:rsidRDefault="00C34FB3" w:rsidP="00C34FB3">
      <w:pPr>
        <w:spacing w:line="276" w:lineRule="auto"/>
        <w:jc w:val="both"/>
        <w:rPr>
          <w:rFonts w:ascii="Arial" w:hAnsi="Arial" w:cs="Arial"/>
          <w:szCs w:val="24"/>
        </w:rPr>
      </w:pPr>
    </w:p>
    <w:p w:rsidR="00C34FB3" w:rsidRDefault="00C34FB3" w:rsidP="00C34FB3">
      <w:pPr>
        <w:spacing w:line="276" w:lineRule="auto"/>
        <w:jc w:val="both"/>
        <w:rPr>
          <w:rFonts w:ascii="Arial" w:hAnsi="Arial" w:cs="Arial"/>
          <w:szCs w:val="24"/>
        </w:rPr>
      </w:pPr>
      <w:r>
        <w:rPr>
          <w:rFonts w:ascii="Arial" w:hAnsi="Arial" w:cs="Arial"/>
          <w:szCs w:val="24"/>
        </w:rPr>
        <w:t xml:space="preserve">Por su parte, </w:t>
      </w:r>
      <w:r w:rsidR="006268C9">
        <w:rPr>
          <w:rFonts w:ascii="Arial" w:hAnsi="Arial" w:cs="Arial"/>
          <w:szCs w:val="24"/>
        </w:rPr>
        <w:t xml:space="preserve">la respuesta presentada por </w:t>
      </w:r>
      <w:r>
        <w:rPr>
          <w:rFonts w:ascii="Arial" w:hAnsi="Arial" w:cs="Arial"/>
          <w:szCs w:val="24"/>
        </w:rPr>
        <w:t xml:space="preserve">el señor </w:t>
      </w:r>
      <w:r w:rsidRPr="00B41BC2">
        <w:rPr>
          <w:rFonts w:ascii="Arial" w:hAnsi="Arial" w:cs="Arial"/>
          <w:b/>
          <w:szCs w:val="24"/>
        </w:rPr>
        <w:t>José Israel Amador Ávila</w:t>
      </w:r>
      <w:r>
        <w:rPr>
          <w:rFonts w:ascii="Arial" w:hAnsi="Arial" w:cs="Arial"/>
          <w:szCs w:val="24"/>
        </w:rPr>
        <w:t xml:space="preserve">, </w:t>
      </w:r>
      <w:r w:rsidR="00B41BC2">
        <w:rPr>
          <w:rFonts w:ascii="Arial" w:hAnsi="Arial" w:cs="Arial"/>
          <w:szCs w:val="24"/>
        </w:rPr>
        <w:t xml:space="preserve">se </w:t>
      </w:r>
      <w:r w:rsidR="006268C9">
        <w:rPr>
          <w:rFonts w:ascii="Arial" w:hAnsi="Arial" w:cs="Arial"/>
          <w:szCs w:val="24"/>
        </w:rPr>
        <w:t>presentó de manera extemporánea y, consecuente con ello,</w:t>
      </w:r>
      <w:r w:rsidR="00E47F4C">
        <w:rPr>
          <w:rFonts w:ascii="Arial" w:hAnsi="Arial" w:cs="Arial"/>
          <w:szCs w:val="24"/>
        </w:rPr>
        <w:t xml:space="preserve"> se tuvo tal hecho como indicio grave en su contra.</w:t>
      </w:r>
    </w:p>
    <w:p w:rsidR="002D1879" w:rsidRDefault="002D1879" w:rsidP="003B4EA7">
      <w:pPr>
        <w:spacing w:line="276" w:lineRule="auto"/>
        <w:ind w:firstLine="708"/>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9F06E6">
      <w:pPr>
        <w:spacing w:line="276" w:lineRule="auto"/>
        <w:rPr>
          <w:rFonts w:ascii="Arial" w:hAnsi="Arial" w:cs="Arial"/>
          <w:b/>
          <w:szCs w:val="24"/>
          <w:highlight w:val="yellow"/>
        </w:rPr>
      </w:pPr>
    </w:p>
    <w:p w:rsidR="000B66B3" w:rsidRDefault="000F1FFC" w:rsidP="0040705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Laboral del Circuito de </w:t>
      </w:r>
      <w:r w:rsidR="00407055">
        <w:rPr>
          <w:rFonts w:ascii="Arial" w:hAnsi="Arial" w:cs="Arial"/>
          <w:color w:val="000000"/>
          <w:szCs w:val="24"/>
          <w:lang w:eastAsia="es-CO"/>
        </w:rPr>
        <w:t>Dosquebradas</w:t>
      </w:r>
      <w:r w:rsidR="007C206F">
        <w:rPr>
          <w:rFonts w:ascii="Arial" w:hAnsi="Arial" w:cs="Arial"/>
          <w:color w:val="000000"/>
          <w:szCs w:val="24"/>
          <w:lang w:eastAsia="es-CO"/>
        </w:rPr>
        <w:t xml:space="preserve">, </w:t>
      </w:r>
      <w:r w:rsidR="003A1167">
        <w:rPr>
          <w:rFonts w:ascii="Arial" w:hAnsi="Arial" w:cs="Arial"/>
          <w:color w:val="000000"/>
          <w:szCs w:val="24"/>
          <w:lang w:eastAsia="es-CO"/>
        </w:rPr>
        <w:t>declaró</w:t>
      </w:r>
      <w:r w:rsidR="00C47AC8">
        <w:rPr>
          <w:rFonts w:ascii="Arial" w:hAnsi="Arial" w:cs="Arial"/>
          <w:color w:val="000000"/>
          <w:szCs w:val="24"/>
          <w:lang w:eastAsia="es-CO"/>
        </w:rPr>
        <w:t xml:space="preserve"> la existencia de un contrato de trabajo a término indefinido del 03/0</w:t>
      </w:r>
      <w:r w:rsidR="00527EBF">
        <w:rPr>
          <w:rFonts w:ascii="Arial" w:hAnsi="Arial" w:cs="Arial"/>
          <w:color w:val="000000"/>
          <w:szCs w:val="24"/>
          <w:lang w:eastAsia="es-CO"/>
        </w:rPr>
        <w:t>3</w:t>
      </w:r>
      <w:r w:rsidR="00C47AC8">
        <w:rPr>
          <w:rFonts w:ascii="Arial" w:hAnsi="Arial" w:cs="Arial"/>
          <w:color w:val="000000"/>
          <w:szCs w:val="24"/>
          <w:lang w:eastAsia="es-CO"/>
        </w:rPr>
        <w:t>/2014 y el 21/04/2014, entre Wilson Giraldo Ríos como trabajador y José Israel Amador Ávila como empleador.</w:t>
      </w:r>
    </w:p>
    <w:p w:rsidR="00C47AC8" w:rsidRDefault="00C47AC8" w:rsidP="00407055">
      <w:pPr>
        <w:spacing w:line="276" w:lineRule="auto"/>
        <w:jc w:val="both"/>
        <w:rPr>
          <w:rFonts w:ascii="Arial" w:hAnsi="Arial" w:cs="Arial"/>
          <w:color w:val="000000"/>
          <w:szCs w:val="24"/>
          <w:lang w:eastAsia="es-CO"/>
        </w:rPr>
      </w:pPr>
    </w:p>
    <w:p w:rsidR="00C47AC8" w:rsidRDefault="00C47AC8" w:rsidP="00407055">
      <w:pPr>
        <w:spacing w:line="276" w:lineRule="auto"/>
        <w:jc w:val="both"/>
        <w:rPr>
          <w:rFonts w:ascii="Arial" w:hAnsi="Arial" w:cs="Arial"/>
          <w:color w:val="000000"/>
          <w:szCs w:val="24"/>
          <w:lang w:eastAsia="es-CO"/>
        </w:rPr>
      </w:pPr>
      <w:r>
        <w:rPr>
          <w:rFonts w:ascii="Arial" w:hAnsi="Arial" w:cs="Arial"/>
          <w:color w:val="000000"/>
          <w:szCs w:val="24"/>
          <w:lang w:eastAsia="es-CO"/>
        </w:rPr>
        <w:t>Consecuente con lo anterior, condenó al último al pago a favor de la sucesión del fallecido, de los conceptos adeudados por prestaciones sociales, vacaciones e indemnización por perjuicios, por la suma de $256´851.790 y, el pago de la pensión de sobrevivientes a favor del menor Brandon Giraldo García a partir del 21/04/2014.</w:t>
      </w:r>
    </w:p>
    <w:p w:rsidR="00C47AC8" w:rsidRDefault="00C47AC8" w:rsidP="00407055">
      <w:pPr>
        <w:spacing w:line="276" w:lineRule="auto"/>
        <w:jc w:val="both"/>
        <w:rPr>
          <w:rFonts w:ascii="Arial" w:hAnsi="Arial" w:cs="Arial"/>
          <w:color w:val="000000"/>
          <w:szCs w:val="24"/>
          <w:lang w:eastAsia="es-CO"/>
        </w:rPr>
      </w:pPr>
    </w:p>
    <w:p w:rsidR="00FA4C29" w:rsidRDefault="00C47AC8" w:rsidP="00FA4C29">
      <w:pPr>
        <w:spacing w:line="276" w:lineRule="auto"/>
        <w:jc w:val="both"/>
        <w:rPr>
          <w:rFonts w:ascii="Arial" w:hAnsi="Arial" w:cs="Arial"/>
          <w:lang w:val="es-CO"/>
        </w:rPr>
      </w:pPr>
      <w:r>
        <w:rPr>
          <w:rFonts w:ascii="Arial" w:hAnsi="Arial" w:cs="Arial"/>
          <w:color w:val="000000"/>
          <w:szCs w:val="24"/>
          <w:lang w:eastAsia="es-CO"/>
        </w:rPr>
        <w:t>Negó las d</w:t>
      </w:r>
      <w:r w:rsidR="00FA4C29">
        <w:rPr>
          <w:rFonts w:ascii="Arial" w:hAnsi="Arial" w:cs="Arial"/>
          <w:color w:val="000000"/>
          <w:szCs w:val="24"/>
          <w:lang w:eastAsia="es-CO"/>
        </w:rPr>
        <w:t xml:space="preserve">emás pretensiones de la demanda, entre ellas la indemnización moratoria del artículo 65 del </w:t>
      </w:r>
      <w:proofErr w:type="spellStart"/>
      <w:r w:rsidR="00FA4C29">
        <w:rPr>
          <w:rFonts w:ascii="Arial" w:hAnsi="Arial" w:cs="Arial"/>
          <w:color w:val="000000"/>
          <w:szCs w:val="24"/>
          <w:lang w:eastAsia="es-CO"/>
        </w:rPr>
        <w:t>C.S.T</w:t>
      </w:r>
      <w:proofErr w:type="spellEnd"/>
      <w:r w:rsidR="00FA4C29">
        <w:rPr>
          <w:rFonts w:ascii="Arial" w:hAnsi="Arial" w:cs="Arial"/>
          <w:color w:val="000000"/>
          <w:szCs w:val="24"/>
          <w:lang w:eastAsia="es-CO"/>
        </w:rPr>
        <w:t>., al no advertir mala fe en el demandado, dado que l</w:t>
      </w:r>
      <w:r w:rsidR="00FA4C29">
        <w:rPr>
          <w:rFonts w:ascii="Arial" w:hAnsi="Arial" w:cs="Arial"/>
          <w:lang w:val="es-CO"/>
        </w:rPr>
        <w:t>a actividad probatoria del demandante, dirigida a demostrar la existencia de la relación laboral fue mínima, los testimonios fueron deficientes y al Despacho le tocó hacer un análisis exhaustivo para deducirlo.</w:t>
      </w:r>
    </w:p>
    <w:p w:rsidR="00FA4C29" w:rsidRDefault="00FA4C29" w:rsidP="00FA4C29">
      <w:pPr>
        <w:pStyle w:val="NormalWeb"/>
        <w:shd w:val="clear" w:color="auto" w:fill="FFFFFF"/>
        <w:spacing w:before="0" w:beforeAutospacing="0" w:after="0" w:afterAutospacing="0" w:line="276" w:lineRule="auto"/>
        <w:jc w:val="both"/>
        <w:rPr>
          <w:rFonts w:ascii="Arial" w:hAnsi="Arial" w:cs="Arial"/>
          <w:lang w:val="es-CO"/>
        </w:rPr>
      </w:pPr>
    </w:p>
    <w:p w:rsidR="00C47AC8" w:rsidRDefault="00FA4C29" w:rsidP="0040705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Absolvió de los pedimentos de la demanda </w:t>
      </w:r>
      <w:r w:rsidR="00C47AC8">
        <w:rPr>
          <w:rFonts w:ascii="Arial" w:hAnsi="Arial" w:cs="Arial"/>
          <w:color w:val="000000"/>
          <w:szCs w:val="24"/>
          <w:lang w:eastAsia="es-CO"/>
        </w:rPr>
        <w:t>a Ezequiel Amador Ávila.</w:t>
      </w:r>
    </w:p>
    <w:p w:rsidR="00407055" w:rsidRDefault="00407055" w:rsidP="00407055">
      <w:pPr>
        <w:spacing w:line="276" w:lineRule="auto"/>
        <w:jc w:val="both"/>
        <w:rPr>
          <w:rFonts w:ascii="Arial" w:hAnsi="Arial" w:cs="Arial"/>
          <w:color w:val="000000"/>
          <w:szCs w:val="24"/>
          <w:lang w:eastAsia="es-CO"/>
        </w:rPr>
      </w:pPr>
    </w:p>
    <w:p w:rsidR="00407055" w:rsidRPr="00723D1F" w:rsidRDefault="0095601E" w:rsidP="0040705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w:t>
      </w:r>
      <w:r w:rsidR="00723D1F">
        <w:rPr>
          <w:rFonts w:ascii="Arial" w:hAnsi="Arial" w:cs="Arial"/>
          <w:color w:val="000000"/>
          <w:szCs w:val="24"/>
          <w:lang w:eastAsia="es-CO"/>
        </w:rPr>
        <w:t xml:space="preserve">expresó en primer lugar que por la inasistencia al interrogatorio de parte, </w:t>
      </w:r>
      <w:r w:rsidR="00723D1F" w:rsidRPr="00723D1F">
        <w:rPr>
          <w:rFonts w:ascii="Arial" w:hAnsi="Arial" w:cs="Arial"/>
          <w:szCs w:val="24"/>
        </w:rPr>
        <w:t>se presumió como cierto que la obra de construcción es de propiedad del</w:t>
      </w:r>
      <w:r w:rsidR="00723D1F">
        <w:rPr>
          <w:rFonts w:ascii="Arial" w:hAnsi="Arial" w:cs="Arial"/>
          <w:szCs w:val="24"/>
        </w:rPr>
        <w:t xml:space="preserve"> señor José Israel Amador Ávila, quien </w:t>
      </w:r>
      <w:r w:rsidR="00723D1F" w:rsidRPr="00723D1F">
        <w:rPr>
          <w:rFonts w:ascii="Arial" w:hAnsi="Arial" w:cs="Arial"/>
          <w:szCs w:val="24"/>
        </w:rPr>
        <w:t xml:space="preserve">encargó </w:t>
      </w:r>
      <w:r w:rsidR="00723D1F" w:rsidRPr="00723D1F">
        <w:rPr>
          <w:rFonts w:ascii="Arial" w:hAnsi="Arial" w:cs="Arial"/>
          <w:szCs w:val="24"/>
        </w:rPr>
        <w:lastRenderedPageBreak/>
        <w:t>de la admin</w:t>
      </w:r>
      <w:r w:rsidR="00723D1F">
        <w:rPr>
          <w:rFonts w:ascii="Arial" w:hAnsi="Arial" w:cs="Arial"/>
          <w:szCs w:val="24"/>
        </w:rPr>
        <w:t xml:space="preserve">istración a su hermano Ezequiel, que </w:t>
      </w:r>
      <w:r w:rsidR="00723D1F" w:rsidRPr="00723D1F">
        <w:rPr>
          <w:rFonts w:ascii="Arial" w:hAnsi="Arial" w:cs="Arial"/>
          <w:szCs w:val="24"/>
        </w:rPr>
        <w:t>como administrador de la obra, contrató verbalmente al señor Wilson</w:t>
      </w:r>
      <w:r w:rsidR="00723D1F">
        <w:rPr>
          <w:rFonts w:ascii="Arial" w:hAnsi="Arial" w:cs="Arial"/>
          <w:szCs w:val="24"/>
        </w:rPr>
        <w:t xml:space="preserve"> Giraldo Ríos.</w:t>
      </w:r>
    </w:p>
    <w:p w:rsidR="00723D1F" w:rsidRDefault="00723D1F" w:rsidP="00723D1F">
      <w:pPr>
        <w:spacing w:line="276" w:lineRule="auto"/>
        <w:jc w:val="both"/>
        <w:rPr>
          <w:rFonts w:ascii="Arial" w:hAnsi="Arial" w:cs="Arial"/>
          <w:szCs w:val="24"/>
        </w:rPr>
      </w:pPr>
    </w:p>
    <w:p w:rsidR="00723D1F" w:rsidRPr="00723D1F" w:rsidRDefault="00723D1F" w:rsidP="00723D1F">
      <w:pPr>
        <w:spacing w:line="276" w:lineRule="auto"/>
        <w:jc w:val="both"/>
        <w:rPr>
          <w:rFonts w:ascii="Arial" w:hAnsi="Arial" w:cs="Arial"/>
          <w:color w:val="000000"/>
          <w:szCs w:val="24"/>
          <w:lang w:eastAsia="es-CO"/>
        </w:rPr>
      </w:pPr>
      <w:r>
        <w:rPr>
          <w:rFonts w:ascii="Arial" w:hAnsi="Arial" w:cs="Arial"/>
          <w:szCs w:val="24"/>
        </w:rPr>
        <w:t>L</w:t>
      </w:r>
      <w:r w:rsidRPr="00723D1F">
        <w:rPr>
          <w:rFonts w:ascii="Arial" w:hAnsi="Arial" w:cs="Arial"/>
          <w:color w:val="000000"/>
          <w:szCs w:val="24"/>
          <w:lang w:eastAsia="es-CO"/>
        </w:rPr>
        <w:t>a prueba</w:t>
      </w:r>
      <w:r>
        <w:rPr>
          <w:rFonts w:ascii="Arial" w:hAnsi="Arial" w:cs="Arial"/>
          <w:color w:val="000000"/>
          <w:szCs w:val="24"/>
          <w:lang w:eastAsia="es-CO"/>
        </w:rPr>
        <w:t xml:space="preserve"> testimonial, demostró </w:t>
      </w:r>
      <w:r w:rsidRPr="00723D1F">
        <w:rPr>
          <w:rFonts w:ascii="Arial" w:hAnsi="Arial" w:cs="Arial"/>
          <w:color w:val="000000"/>
          <w:szCs w:val="24"/>
          <w:lang w:eastAsia="es-CO"/>
        </w:rPr>
        <w:t xml:space="preserve">la prestación efectiva del servicio por parte del señor Wilson Giraldo Ríos, como maestro de obra, en la construcción de propiedad del señor José Israel Amador Ávila, con lo cual concurre en su favor la presunción consagrada en el artículo 24 del </w:t>
      </w:r>
      <w:proofErr w:type="spellStart"/>
      <w:r w:rsidRPr="00723D1F">
        <w:rPr>
          <w:rFonts w:ascii="Arial" w:hAnsi="Arial" w:cs="Arial"/>
          <w:color w:val="000000"/>
          <w:szCs w:val="24"/>
          <w:lang w:eastAsia="es-CO"/>
        </w:rPr>
        <w:t>C.S.T</w:t>
      </w:r>
      <w:proofErr w:type="spellEnd"/>
      <w:r w:rsidRPr="00723D1F">
        <w:rPr>
          <w:rFonts w:ascii="Arial" w:hAnsi="Arial" w:cs="Arial"/>
          <w:color w:val="000000"/>
          <w:szCs w:val="24"/>
          <w:lang w:eastAsia="es-CO"/>
        </w:rPr>
        <w:t xml:space="preserve">., según la cual, se presume que toda relación de trabajo está regida por un contrato de trabajo. </w:t>
      </w:r>
    </w:p>
    <w:p w:rsidR="00723D1F" w:rsidRPr="00723D1F" w:rsidRDefault="00723D1F" w:rsidP="00723D1F">
      <w:pPr>
        <w:spacing w:line="276" w:lineRule="auto"/>
        <w:jc w:val="both"/>
        <w:rPr>
          <w:rFonts w:ascii="Arial" w:hAnsi="Arial" w:cs="Arial"/>
          <w:color w:val="000000"/>
          <w:szCs w:val="24"/>
          <w:lang w:eastAsia="es-CO"/>
        </w:rPr>
      </w:pPr>
    </w:p>
    <w:p w:rsidR="00EE06AF" w:rsidRDefault="00723D1F" w:rsidP="00EE06AF">
      <w:pPr>
        <w:spacing w:line="276" w:lineRule="auto"/>
        <w:jc w:val="both"/>
        <w:rPr>
          <w:rFonts w:ascii="Arial" w:hAnsi="Arial" w:cs="Arial"/>
          <w:szCs w:val="24"/>
        </w:rPr>
      </w:pPr>
      <w:r>
        <w:rPr>
          <w:rFonts w:ascii="Arial" w:hAnsi="Arial" w:cs="Arial"/>
          <w:color w:val="000000"/>
          <w:szCs w:val="24"/>
          <w:lang w:eastAsia="es-CO"/>
        </w:rPr>
        <w:t xml:space="preserve">Así mismo, que </w:t>
      </w:r>
      <w:r w:rsidRPr="00723D1F">
        <w:rPr>
          <w:rFonts w:ascii="Arial" w:hAnsi="Arial" w:cs="Arial"/>
          <w:color w:val="000000"/>
          <w:szCs w:val="24"/>
          <w:lang w:eastAsia="es-CO"/>
        </w:rPr>
        <w:t xml:space="preserve">el propietario o dueño de la obra, </w:t>
      </w:r>
      <w:r w:rsidR="00EE06AF">
        <w:rPr>
          <w:rFonts w:ascii="Arial" w:hAnsi="Arial" w:cs="Arial"/>
          <w:color w:val="000000"/>
          <w:szCs w:val="24"/>
          <w:lang w:eastAsia="es-CO"/>
        </w:rPr>
        <w:t>era e</w:t>
      </w:r>
      <w:r w:rsidRPr="00723D1F">
        <w:rPr>
          <w:rFonts w:ascii="Arial" w:hAnsi="Arial" w:cs="Arial"/>
          <w:color w:val="000000"/>
          <w:szCs w:val="24"/>
          <w:lang w:eastAsia="es-CO"/>
        </w:rPr>
        <w:t xml:space="preserve">l sacerdote </w:t>
      </w:r>
      <w:r w:rsidR="00EE06AF" w:rsidRPr="00723D1F">
        <w:rPr>
          <w:rFonts w:ascii="Arial" w:hAnsi="Arial" w:cs="Arial"/>
          <w:color w:val="000000"/>
          <w:szCs w:val="24"/>
          <w:lang w:eastAsia="es-CO"/>
        </w:rPr>
        <w:t>José Israel Amador Ávila</w:t>
      </w:r>
      <w:r w:rsidRPr="00723D1F">
        <w:rPr>
          <w:rFonts w:ascii="Arial" w:hAnsi="Arial" w:cs="Arial"/>
          <w:color w:val="000000"/>
          <w:szCs w:val="24"/>
          <w:lang w:eastAsia="es-CO"/>
        </w:rPr>
        <w:t xml:space="preserve">, también se le debe atribuir la calidad de beneficiario del servicio prestado por el señor </w:t>
      </w:r>
      <w:r w:rsidR="00EE06AF" w:rsidRPr="00723D1F">
        <w:rPr>
          <w:rFonts w:ascii="Arial" w:hAnsi="Arial" w:cs="Arial"/>
          <w:color w:val="000000"/>
          <w:szCs w:val="24"/>
          <w:lang w:eastAsia="es-CO"/>
        </w:rPr>
        <w:t>Wilson Giraldo Ríos</w:t>
      </w:r>
      <w:r w:rsidRPr="00723D1F">
        <w:rPr>
          <w:rFonts w:ascii="Arial" w:hAnsi="Arial" w:cs="Arial"/>
          <w:color w:val="000000"/>
          <w:szCs w:val="24"/>
          <w:lang w:eastAsia="es-CO"/>
        </w:rPr>
        <w:t xml:space="preserve">, porque </w:t>
      </w:r>
      <w:r w:rsidR="00EE06AF">
        <w:rPr>
          <w:rFonts w:ascii="Arial" w:hAnsi="Arial" w:cs="Arial"/>
          <w:color w:val="000000"/>
          <w:szCs w:val="24"/>
          <w:lang w:eastAsia="es-CO"/>
        </w:rPr>
        <w:t xml:space="preserve">si bien </w:t>
      </w:r>
      <w:r w:rsidRPr="00723D1F">
        <w:rPr>
          <w:rFonts w:ascii="Arial" w:hAnsi="Arial" w:cs="Arial"/>
          <w:color w:val="000000"/>
          <w:szCs w:val="24"/>
          <w:lang w:eastAsia="es-CO"/>
        </w:rPr>
        <w:t xml:space="preserve">ubican al señor </w:t>
      </w:r>
      <w:r w:rsidR="00EE06AF" w:rsidRPr="00723D1F">
        <w:rPr>
          <w:rFonts w:ascii="Arial" w:hAnsi="Arial" w:cs="Arial"/>
          <w:color w:val="000000"/>
          <w:szCs w:val="24"/>
          <w:lang w:eastAsia="es-CO"/>
        </w:rPr>
        <w:t>Ezequiel Amador Ávila</w:t>
      </w:r>
      <w:r w:rsidRPr="00723D1F">
        <w:rPr>
          <w:rFonts w:ascii="Arial" w:hAnsi="Arial" w:cs="Arial"/>
          <w:color w:val="000000"/>
          <w:szCs w:val="24"/>
          <w:lang w:eastAsia="es-CO"/>
        </w:rPr>
        <w:t>, como la persona que se encargaba de todo lo relacionado con la construcción, éste les decía que la obra era del padre</w:t>
      </w:r>
      <w:r w:rsidR="000F246F">
        <w:rPr>
          <w:rFonts w:ascii="Arial" w:hAnsi="Arial" w:cs="Arial"/>
          <w:color w:val="000000"/>
          <w:szCs w:val="24"/>
          <w:lang w:eastAsia="es-CO"/>
        </w:rPr>
        <w:t xml:space="preserve">, es decir, cumplía </w:t>
      </w:r>
      <w:r w:rsidRPr="00723D1F">
        <w:rPr>
          <w:rFonts w:ascii="Arial" w:hAnsi="Arial" w:cs="Arial"/>
          <w:szCs w:val="24"/>
        </w:rPr>
        <w:t>labores de administrador o coordinador, ejecutando la obra en nombre de aquél y, por tanto, realizando labores como contratar personal, adquirir y llevar el material, coordinar o ayudar a quienes allí laboraban, pagar, etc.</w:t>
      </w:r>
    </w:p>
    <w:p w:rsidR="00723D1F" w:rsidRPr="00723D1F" w:rsidRDefault="00723D1F" w:rsidP="00EE06AF">
      <w:pPr>
        <w:spacing w:line="276" w:lineRule="auto"/>
        <w:jc w:val="both"/>
        <w:rPr>
          <w:rFonts w:ascii="Arial" w:hAnsi="Arial" w:cs="Arial"/>
          <w:szCs w:val="24"/>
        </w:rPr>
      </w:pPr>
      <w:r w:rsidRPr="00723D1F">
        <w:rPr>
          <w:rFonts w:ascii="Arial" w:hAnsi="Arial" w:cs="Arial"/>
          <w:szCs w:val="24"/>
        </w:rPr>
        <w:t xml:space="preserve">  </w:t>
      </w:r>
    </w:p>
    <w:p w:rsidR="00723D1F" w:rsidRDefault="00EE06AF" w:rsidP="00016E46">
      <w:pPr>
        <w:spacing w:line="276" w:lineRule="auto"/>
        <w:jc w:val="both"/>
        <w:rPr>
          <w:rFonts w:ascii="Arial" w:hAnsi="Arial" w:cs="Arial"/>
          <w:szCs w:val="24"/>
        </w:rPr>
      </w:pPr>
      <w:r>
        <w:rPr>
          <w:rFonts w:ascii="Arial" w:hAnsi="Arial" w:cs="Arial"/>
          <w:szCs w:val="24"/>
          <w:lang w:val="es-CO"/>
        </w:rPr>
        <w:t xml:space="preserve">Agregó que no </w:t>
      </w:r>
      <w:r w:rsidR="00723D1F" w:rsidRPr="00723D1F">
        <w:rPr>
          <w:rFonts w:ascii="Arial" w:hAnsi="Arial" w:cs="Arial"/>
          <w:szCs w:val="24"/>
          <w:lang w:val="es-CO"/>
        </w:rPr>
        <w:t xml:space="preserve">se </w:t>
      </w:r>
      <w:r>
        <w:rPr>
          <w:rFonts w:ascii="Arial" w:hAnsi="Arial" w:cs="Arial"/>
          <w:szCs w:val="24"/>
          <w:lang w:val="es-CO"/>
        </w:rPr>
        <w:t xml:space="preserve">había </w:t>
      </w:r>
      <w:r w:rsidR="00723D1F" w:rsidRPr="00723D1F">
        <w:rPr>
          <w:rFonts w:ascii="Arial" w:hAnsi="Arial" w:cs="Arial"/>
          <w:szCs w:val="24"/>
          <w:lang w:val="es-CO"/>
        </w:rPr>
        <w:t>acredit</w:t>
      </w:r>
      <w:r>
        <w:rPr>
          <w:rFonts w:ascii="Arial" w:hAnsi="Arial" w:cs="Arial"/>
          <w:szCs w:val="24"/>
          <w:lang w:val="es-CO"/>
        </w:rPr>
        <w:t>ado</w:t>
      </w:r>
      <w:r w:rsidR="00723D1F" w:rsidRPr="00723D1F">
        <w:rPr>
          <w:rFonts w:ascii="Arial" w:hAnsi="Arial" w:cs="Arial"/>
          <w:szCs w:val="24"/>
          <w:lang w:val="es-CO"/>
        </w:rPr>
        <w:t xml:space="preserve"> por el demandado que era el señor </w:t>
      </w:r>
      <w:r w:rsidRPr="00723D1F">
        <w:rPr>
          <w:rFonts w:ascii="Arial" w:hAnsi="Arial" w:cs="Arial"/>
          <w:szCs w:val="24"/>
          <w:lang w:val="es-CO"/>
        </w:rPr>
        <w:t>Wilson Giraldo Ríos</w:t>
      </w:r>
      <w:r w:rsidR="00723D1F" w:rsidRPr="00723D1F">
        <w:rPr>
          <w:rFonts w:ascii="Arial" w:hAnsi="Arial" w:cs="Arial"/>
          <w:szCs w:val="24"/>
          <w:lang w:val="es-CO"/>
        </w:rPr>
        <w:t>, como contratista, asumiera los riesgos</w:t>
      </w:r>
      <w:r w:rsidR="00B04B62">
        <w:rPr>
          <w:rFonts w:ascii="Arial" w:hAnsi="Arial" w:cs="Arial"/>
          <w:szCs w:val="24"/>
          <w:lang w:val="es-CO"/>
        </w:rPr>
        <w:t>,</w:t>
      </w:r>
      <w:r w:rsidR="00723D1F" w:rsidRPr="00723D1F">
        <w:rPr>
          <w:rFonts w:ascii="Arial" w:hAnsi="Arial" w:cs="Arial"/>
          <w:szCs w:val="24"/>
          <w:lang w:val="es-CO"/>
        </w:rPr>
        <w:t xml:space="preserve"> ni que la labor fuera ejecutada con sus propios medios</w:t>
      </w:r>
      <w:r w:rsidR="00723D1F" w:rsidRPr="00723D1F">
        <w:rPr>
          <w:rFonts w:ascii="Arial" w:hAnsi="Arial" w:cs="Arial"/>
          <w:szCs w:val="24"/>
        </w:rPr>
        <w:t xml:space="preserve">.  </w:t>
      </w:r>
    </w:p>
    <w:p w:rsidR="00AD1442" w:rsidRDefault="00AD1442" w:rsidP="00016E46">
      <w:pPr>
        <w:spacing w:line="276" w:lineRule="auto"/>
        <w:jc w:val="both"/>
        <w:rPr>
          <w:rFonts w:ascii="Arial" w:hAnsi="Arial" w:cs="Arial"/>
          <w:szCs w:val="24"/>
        </w:rPr>
      </w:pPr>
    </w:p>
    <w:p w:rsidR="00AD1442" w:rsidRDefault="00AD1442" w:rsidP="00016E46">
      <w:pPr>
        <w:spacing w:line="276" w:lineRule="auto"/>
        <w:jc w:val="both"/>
        <w:rPr>
          <w:rFonts w:ascii="Arial" w:hAnsi="Arial" w:cs="Arial"/>
          <w:szCs w:val="24"/>
        </w:rPr>
      </w:pPr>
      <w:r>
        <w:rPr>
          <w:rFonts w:ascii="Arial" w:hAnsi="Arial" w:cs="Arial"/>
          <w:szCs w:val="24"/>
        </w:rPr>
        <w:t>En relación con la pensión de sobrevivientes, indicó que al ocurrir la muerte del señor Wilson Giraldo Ríos mientras prestaba sus servicios como maestro de obra, debía ser considerada como un accidente de trabajo y como</w:t>
      </w:r>
      <w:r w:rsidR="003A1167">
        <w:rPr>
          <w:rFonts w:ascii="Arial" w:hAnsi="Arial" w:cs="Arial"/>
          <w:szCs w:val="24"/>
        </w:rPr>
        <w:t xml:space="preserve"> los demandados admitieron que </w:t>
      </w:r>
      <w:r>
        <w:rPr>
          <w:rFonts w:ascii="Arial" w:hAnsi="Arial" w:cs="Arial"/>
          <w:szCs w:val="24"/>
        </w:rPr>
        <w:t xml:space="preserve">él no fue afiliado a la seguridad social, dada la relación contractual que los unió; </w:t>
      </w:r>
      <w:r w:rsidR="00FA4C29">
        <w:rPr>
          <w:rFonts w:ascii="Arial" w:hAnsi="Arial" w:cs="Arial"/>
          <w:szCs w:val="24"/>
        </w:rPr>
        <w:t>conforme al artículo 91 del Decreto 1295 de 1994, debía responder por las prestaciones allí consagradas, entre ellas, la de sobrevivientes.</w:t>
      </w:r>
    </w:p>
    <w:p w:rsidR="00FA4C29" w:rsidRDefault="00FA4C29" w:rsidP="00016E46">
      <w:pPr>
        <w:spacing w:line="276" w:lineRule="auto"/>
        <w:jc w:val="both"/>
        <w:rPr>
          <w:rFonts w:ascii="Arial" w:hAnsi="Arial" w:cs="Arial"/>
          <w:szCs w:val="24"/>
        </w:rPr>
      </w:pPr>
    </w:p>
    <w:p w:rsidR="00FA4C29" w:rsidRPr="00FA4C29" w:rsidRDefault="00FA4C29" w:rsidP="00016E46">
      <w:pPr>
        <w:spacing w:line="276" w:lineRule="auto"/>
        <w:jc w:val="both"/>
        <w:rPr>
          <w:rFonts w:ascii="Arial" w:hAnsi="Arial" w:cs="Arial"/>
          <w:szCs w:val="24"/>
        </w:rPr>
      </w:pPr>
      <w:r w:rsidRPr="003422D7">
        <w:rPr>
          <w:rFonts w:ascii="Arial" w:hAnsi="Arial" w:cs="Arial"/>
          <w:szCs w:val="24"/>
        </w:rPr>
        <w:t xml:space="preserve">De otro lado, conforme al artículo 216 del </w:t>
      </w:r>
      <w:proofErr w:type="spellStart"/>
      <w:r w:rsidRPr="003422D7">
        <w:rPr>
          <w:rFonts w:ascii="Arial" w:hAnsi="Arial" w:cs="Arial"/>
          <w:szCs w:val="24"/>
        </w:rPr>
        <w:t>C.S.T</w:t>
      </w:r>
      <w:proofErr w:type="spellEnd"/>
      <w:r w:rsidRPr="003422D7">
        <w:rPr>
          <w:rFonts w:ascii="Arial" w:hAnsi="Arial" w:cs="Arial"/>
          <w:szCs w:val="24"/>
        </w:rPr>
        <w:t>., encontró que el empleador incurrió en culpa leve, que consiste en la omisión de la conducta debida para prever y evitar el daño, se manifiesta por la imprudencia, negligencia, impericia o inobservancia de reglamentos o deberes, al no haber suministrado los elementos de seguridad para trabajo en alturas.</w:t>
      </w:r>
    </w:p>
    <w:p w:rsidR="00723D1F" w:rsidRPr="00723D1F" w:rsidRDefault="00723D1F" w:rsidP="00723D1F"/>
    <w:p w:rsidR="000130DB" w:rsidRPr="000130DB" w:rsidRDefault="00850A23" w:rsidP="00C50A5D">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w:t>
      </w:r>
      <w:r w:rsidR="00824EE6">
        <w:rPr>
          <w:rFonts w:ascii="Arial" w:hAnsi="Arial" w:cs="Arial"/>
          <w:b/>
          <w:color w:val="000000"/>
          <w:szCs w:val="24"/>
          <w:lang w:eastAsia="es-CO"/>
        </w:rPr>
        <w:t xml:space="preserve"> </w:t>
      </w:r>
      <w:r w:rsidR="000130DB" w:rsidRPr="000130DB">
        <w:rPr>
          <w:rFonts w:ascii="Arial" w:hAnsi="Arial" w:cs="Arial"/>
          <w:b/>
          <w:color w:val="000000"/>
          <w:szCs w:val="24"/>
          <w:lang w:eastAsia="es-CO"/>
        </w:rPr>
        <w:t>l</w:t>
      </w:r>
      <w:r w:rsidR="00824EE6">
        <w:rPr>
          <w:rFonts w:ascii="Arial" w:hAnsi="Arial" w:cs="Arial"/>
          <w:b/>
          <w:color w:val="000000"/>
          <w:szCs w:val="24"/>
          <w:lang w:eastAsia="es-CO"/>
        </w:rPr>
        <w:t>os</w:t>
      </w:r>
      <w:r w:rsidR="000130DB" w:rsidRPr="000130DB">
        <w:rPr>
          <w:rFonts w:ascii="Arial" w:hAnsi="Arial" w:cs="Arial"/>
          <w:b/>
          <w:color w:val="000000"/>
          <w:szCs w:val="24"/>
          <w:lang w:eastAsia="es-CO"/>
        </w:rPr>
        <w:t xml:space="preserve"> recurso</w:t>
      </w:r>
      <w:r w:rsidR="00824EE6">
        <w:rPr>
          <w:rFonts w:ascii="Arial" w:hAnsi="Arial" w:cs="Arial"/>
          <w:b/>
          <w:color w:val="000000"/>
          <w:szCs w:val="24"/>
          <w:lang w:eastAsia="es-CO"/>
        </w:rPr>
        <w:t>s</w:t>
      </w:r>
      <w:r w:rsidR="000130DB" w:rsidRPr="000130DB">
        <w:rPr>
          <w:rFonts w:ascii="Arial" w:hAnsi="Arial" w:cs="Arial"/>
          <w:b/>
          <w:color w:val="000000"/>
          <w:szCs w:val="24"/>
          <w:lang w:eastAsia="es-CO"/>
        </w:rPr>
        <w:t xml:space="preserve"> de apelación</w:t>
      </w:r>
    </w:p>
    <w:p w:rsidR="00C50A5D" w:rsidRDefault="00C50A5D" w:rsidP="00C50A5D">
      <w:pPr>
        <w:spacing w:line="276" w:lineRule="auto"/>
        <w:jc w:val="both"/>
        <w:rPr>
          <w:rFonts w:ascii="Arial" w:hAnsi="Arial" w:cs="Arial"/>
          <w:color w:val="000000"/>
          <w:szCs w:val="24"/>
          <w:lang w:eastAsia="es-CO"/>
        </w:rPr>
      </w:pPr>
    </w:p>
    <w:p w:rsidR="003F6444" w:rsidRDefault="00EA3525" w:rsidP="00583C4A">
      <w:pPr>
        <w:spacing w:line="276" w:lineRule="auto"/>
        <w:jc w:val="both"/>
        <w:rPr>
          <w:rFonts w:ascii="Arial" w:hAnsi="Arial" w:cs="Arial"/>
          <w:color w:val="000000"/>
          <w:szCs w:val="24"/>
          <w:lang w:eastAsia="es-CO"/>
        </w:rPr>
      </w:pPr>
      <w:r>
        <w:rPr>
          <w:rFonts w:ascii="Arial" w:hAnsi="Arial" w:cs="Arial"/>
          <w:color w:val="000000"/>
          <w:szCs w:val="24"/>
          <w:lang w:eastAsia="es-CO"/>
        </w:rPr>
        <w:t>La apoderada</w:t>
      </w:r>
      <w:r w:rsidR="000130DB">
        <w:rPr>
          <w:rFonts w:ascii="Arial" w:hAnsi="Arial" w:cs="Arial"/>
          <w:color w:val="000000"/>
          <w:szCs w:val="24"/>
          <w:lang w:eastAsia="es-CO"/>
        </w:rPr>
        <w:t xml:space="preserve"> judicial de </w:t>
      </w:r>
      <w:r w:rsidR="00565AB6">
        <w:rPr>
          <w:rFonts w:ascii="Arial" w:hAnsi="Arial" w:cs="Arial"/>
          <w:color w:val="000000"/>
          <w:szCs w:val="24"/>
          <w:lang w:eastAsia="es-CO"/>
        </w:rPr>
        <w:t>la parte actora</w:t>
      </w:r>
      <w:r w:rsidR="00583C4A">
        <w:rPr>
          <w:rFonts w:ascii="Arial" w:hAnsi="Arial" w:cs="Arial"/>
          <w:color w:val="000000"/>
          <w:szCs w:val="24"/>
          <w:lang w:eastAsia="es-CO"/>
        </w:rPr>
        <w:t xml:space="preserve">, presentó su inconformidad </w:t>
      </w:r>
      <w:r w:rsidR="00565AB6">
        <w:rPr>
          <w:rFonts w:ascii="Arial" w:hAnsi="Arial" w:cs="Arial"/>
          <w:color w:val="000000"/>
          <w:szCs w:val="24"/>
          <w:lang w:eastAsia="es-CO"/>
        </w:rPr>
        <w:t xml:space="preserve">frente a la </w:t>
      </w:r>
      <w:r w:rsidR="00D96A1C">
        <w:rPr>
          <w:rFonts w:ascii="Arial" w:hAnsi="Arial" w:cs="Arial"/>
          <w:color w:val="000000"/>
          <w:szCs w:val="24"/>
          <w:lang w:eastAsia="es-CO"/>
        </w:rPr>
        <w:t xml:space="preserve">negativa a reconocer la </w:t>
      </w:r>
      <w:r w:rsidR="00565AB6">
        <w:rPr>
          <w:rFonts w:ascii="Arial" w:hAnsi="Arial" w:cs="Arial"/>
          <w:color w:val="000000"/>
          <w:szCs w:val="24"/>
          <w:lang w:eastAsia="es-CO"/>
        </w:rPr>
        <w:t>indemnización moratoria, toda vez que se probó que hubo mala fe en el propietario de la obra al no haber cancelado las prestaciones al momento de haber terminado el vínculo laboral.</w:t>
      </w:r>
    </w:p>
    <w:p w:rsidR="00565AB6" w:rsidRDefault="00565AB6" w:rsidP="00583C4A">
      <w:pPr>
        <w:spacing w:line="276" w:lineRule="auto"/>
        <w:jc w:val="both"/>
        <w:rPr>
          <w:rFonts w:ascii="Arial" w:hAnsi="Arial" w:cs="Arial"/>
          <w:color w:val="000000"/>
          <w:szCs w:val="24"/>
          <w:lang w:eastAsia="es-CO"/>
        </w:rPr>
      </w:pPr>
    </w:p>
    <w:p w:rsidR="00583C4A" w:rsidRDefault="00565AB6" w:rsidP="00583C4A">
      <w:pPr>
        <w:spacing w:line="276" w:lineRule="auto"/>
        <w:jc w:val="both"/>
        <w:rPr>
          <w:rFonts w:ascii="Arial" w:hAnsi="Arial" w:cs="Arial"/>
          <w:color w:val="000000"/>
          <w:szCs w:val="24"/>
          <w:lang w:eastAsia="es-CO"/>
        </w:rPr>
      </w:pPr>
      <w:r>
        <w:rPr>
          <w:rFonts w:ascii="Arial" w:hAnsi="Arial" w:cs="Arial"/>
          <w:color w:val="000000"/>
          <w:szCs w:val="24"/>
          <w:lang w:eastAsia="es-CO"/>
        </w:rPr>
        <w:t>Y respecto a la pensión del menor, solicita que se agregue –sic- por esta Corporación, que la misma debe llegar hasta los 25 años, en caso de que el beneficiario siga estudiando.</w:t>
      </w:r>
    </w:p>
    <w:p w:rsidR="00862025" w:rsidRDefault="00862025" w:rsidP="00583C4A">
      <w:pPr>
        <w:spacing w:line="276" w:lineRule="auto"/>
        <w:jc w:val="both"/>
        <w:rPr>
          <w:rFonts w:ascii="Arial" w:hAnsi="Arial" w:cs="Arial"/>
          <w:color w:val="000000"/>
          <w:szCs w:val="24"/>
          <w:lang w:eastAsia="es-CO"/>
        </w:rPr>
      </w:pPr>
    </w:p>
    <w:p w:rsidR="00B71201" w:rsidRDefault="00583C4A" w:rsidP="00583C4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w:t>
      </w:r>
      <w:r w:rsidR="00B71201">
        <w:rPr>
          <w:rFonts w:ascii="Arial" w:hAnsi="Arial" w:cs="Arial"/>
          <w:color w:val="000000"/>
          <w:szCs w:val="24"/>
          <w:lang w:eastAsia="es-CO"/>
        </w:rPr>
        <w:t xml:space="preserve">el vocero judicial de los demandados argumentó que </w:t>
      </w:r>
      <w:r w:rsidR="00D96A1C">
        <w:rPr>
          <w:rFonts w:ascii="Arial" w:hAnsi="Arial" w:cs="Arial"/>
          <w:color w:val="000000"/>
          <w:szCs w:val="24"/>
          <w:lang w:eastAsia="es-CO"/>
        </w:rPr>
        <w:t>se le dio una errada valoración al contrato de prestación de se</w:t>
      </w:r>
      <w:r w:rsidR="00B97ED5">
        <w:rPr>
          <w:rFonts w:ascii="Arial" w:hAnsi="Arial" w:cs="Arial"/>
          <w:color w:val="000000"/>
          <w:szCs w:val="24"/>
          <w:lang w:eastAsia="es-CO"/>
        </w:rPr>
        <w:t xml:space="preserve">rvicios suscrito el 03/03/2014 </w:t>
      </w:r>
      <w:r w:rsidR="00B97ED5">
        <w:rPr>
          <w:rFonts w:ascii="Arial" w:hAnsi="Arial" w:cs="Arial"/>
          <w:color w:val="000000"/>
          <w:szCs w:val="24"/>
          <w:lang w:eastAsia="es-CO"/>
        </w:rPr>
        <w:lastRenderedPageBreak/>
        <w:t xml:space="preserve">entre </w:t>
      </w:r>
      <w:r w:rsidR="00D96A1C">
        <w:rPr>
          <w:rFonts w:ascii="Arial" w:hAnsi="Arial" w:cs="Arial"/>
          <w:color w:val="000000"/>
          <w:szCs w:val="24"/>
          <w:lang w:eastAsia="es-CO"/>
        </w:rPr>
        <w:t>l</w:t>
      </w:r>
      <w:r w:rsidR="00B97ED5">
        <w:rPr>
          <w:rFonts w:ascii="Arial" w:hAnsi="Arial" w:cs="Arial"/>
          <w:color w:val="000000"/>
          <w:szCs w:val="24"/>
          <w:lang w:eastAsia="es-CO"/>
        </w:rPr>
        <w:t>os</w:t>
      </w:r>
      <w:r w:rsidR="00D96A1C">
        <w:rPr>
          <w:rFonts w:ascii="Arial" w:hAnsi="Arial" w:cs="Arial"/>
          <w:color w:val="000000"/>
          <w:szCs w:val="24"/>
          <w:lang w:eastAsia="es-CO"/>
        </w:rPr>
        <w:t xml:space="preserve"> señor</w:t>
      </w:r>
      <w:r w:rsidR="00B97ED5">
        <w:rPr>
          <w:rFonts w:ascii="Arial" w:hAnsi="Arial" w:cs="Arial"/>
          <w:color w:val="000000"/>
          <w:szCs w:val="24"/>
          <w:lang w:eastAsia="es-CO"/>
        </w:rPr>
        <w:t>es</w:t>
      </w:r>
      <w:r w:rsidR="00D96A1C">
        <w:rPr>
          <w:rFonts w:ascii="Arial" w:hAnsi="Arial" w:cs="Arial"/>
          <w:color w:val="000000"/>
          <w:szCs w:val="24"/>
          <w:lang w:eastAsia="es-CO"/>
        </w:rPr>
        <w:t xml:space="preserve"> Ezequiel de Jes</w:t>
      </w:r>
      <w:r w:rsidR="00B97ED5">
        <w:rPr>
          <w:rFonts w:ascii="Arial" w:hAnsi="Arial" w:cs="Arial"/>
          <w:color w:val="000000"/>
          <w:szCs w:val="24"/>
          <w:lang w:eastAsia="es-CO"/>
        </w:rPr>
        <w:t xml:space="preserve">ús Amador y el hoy causante Wilson Giraldo Ríos como contratista independiente, </w:t>
      </w:r>
      <w:r w:rsidR="00D96A1C">
        <w:rPr>
          <w:rFonts w:ascii="Arial" w:hAnsi="Arial" w:cs="Arial"/>
          <w:color w:val="000000"/>
          <w:szCs w:val="24"/>
          <w:lang w:eastAsia="es-CO"/>
        </w:rPr>
        <w:t xml:space="preserve">porque se desestimó lo plasmado en </w:t>
      </w:r>
      <w:r w:rsidR="00F4705F">
        <w:rPr>
          <w:rFonts w:ascii="Arial" w:hAnsi="Arial" w:cs="Arial"/>
          <w:color w:val="000000"/>
          <w:szCs w:val="24"/>
          <w:lang w:eastAsia="es-CO"/>
        </w:rPr>
        <w:t>él, es decir, que se trataba de una contratación de carácter civil</w:t>
      </w:r>
      <w:r w:rsidR="00B97ED5">
        <w:rPr>
          <w:rFonts w:ascii="Arial" w:hAnsi="Arial" w:cs="Arial"/>
          <w:color w:val="000000"/>
          <w:szCs w:val="24"/>
          <w:lang w:eastAsia="es-CO"/>
        </w:rPr>
        <w:t>, para la ejecución de las obras all</w:t>
      </w:r>
      <w:r w:rsidR="005076E5">
        <w:rPr>
          <w:rFonts w:ascii="Arial" w:hAnsi="Arial" w:cs="Arial"/>
          <w:color w:val="000000"/>
          <w:szCs w:val="24"/>
          <w:lang w:eastAsia="es-CO"/>
        </w:rPr>
        <w:t xml:space="preserve">í discriminadas; documento que goza de plena validez porque sus firmas no fueron indubitadas, cumple con los requisitos previstos en el artículo 1495 del C.C., además, las partes eran capaces, no hubo vicios del consentimiento </w:t>
      </w:r>
      <w:r w:rsidR="00263D3B">
        <w:rPr>
          <w:rFonts w:ascii="Arial" w:hAnsi="Arial" w:cs="Arial"/>
          <w:color w:val="000000"/>
          <w:szCs w:val="24"/>
          <w:lang w:eastAsia="es-CO"/>
        </w:rPr>
        <w:t>y tampoco tuvo objeto ilícito.</w:t>
      </w:r>
      <w:r w:rsidR="005E04F6">
        <w:rPr>
          <w:rFonts w:ascii="Arial" w:hAnsi="Arial" w:cs="Arial"/>
          <w:color w:val="000000"/>
          <w:szCs w:val="24"/>
          <w:lang w:eastAsia="es-CO"/>
        </w:rPr>
        <w:t xml:space="preserve"> </w:t>
      </w:r>
    </w:p>
    <w:p w:rsidR="005156B4" w:rsidRDefault="005156B4" w:rsidP="00583C4A">
      <w:pPr>
        <w:spacing w:line="276" w:lineRule="auto"/>
        <w:jc w:val="both"/>
        <w:rPr>
          <w:rFonts w:ascii="Arial" w:hAnsi="Arial" w:cs="Arial"/>
          <w:color w:val="000000"/>
          <w:szCs w:val="24"/>
          <w:lang w:eastAsia="es-CO"/>
        </w:rPr>
      </w:pPr>
    </w:p>
    <w:p w:rsidR="005E04F6" w:rsidRDefault="005E04F6" w:rsidP="00583C4A">
      <w:pPr>
        <w:spacing w:line="276" w:lineRule="auto"/>
        <w:jc w:val="both"/>
        <w:rPr>
          <w:rFonts w:ascii="Arial" w:hAnsi="Arial" w:cs="Arial"/>
          <w:color w:val="000000"/>
          <w:szCs w:val="24"/>
          <w:lang w:eastAsia="es-CO"/>
        </w:rPr>
      </w:pPr>
      <w:r>
        <w:rPr>
          <w:rFonts w:ascii="Arial" w:hAnsi="Arial" w:cs="Arial"/>
          <w:color w:val="000000"/>
          <w:szCs w:val="24"/>
          <w:lang w:eastAsia="es-CO"/>
        </w:rPr>
        <w:t>Si bien los testigos refirieron conocer del contrato, los valores y las labores desarrolladas, debe tenerse en cuenta que tan solo fueron dos declarantes, quienes no pueden tenerse en cuenta porque no son creíbles, al punto que cuando se absolvió respecto de la pensión de sobrevivencia, el a-quo resaltó que uno de ellos se percibía favorecedor de la parte demandante y el otro, que se refería a supuestos o creencias; en consecuencia, deben desecharse los testimonios como base de las condenas emitidas.</w:t>
      </w:r>
    </w:p>
    <w:p w:rsidR="005E04F6" w:rsidRDefault="005E04F6" w:rsidP="00583C4A">
      <w:pPr>
        <w:spacing w:line="276" w:lineRule="auto"/>
        <w:jc w:val="both"/>
        <w:rPr>
          <w:rFonts w:ascii="Arial" w:hAnsi="Arial" w:cs="Arial"/>
          <w:color w:val="000000"/>
          <w:szCs w:val="24"/>
          <w:lang w:eastAsia="es-CO"/>
        </w:rPr>
      </w:pPr>
    </w:p>
    <w:p w:rsidR="005E04F6" w:rsidRDefault="005E04F6" w:rsidP="00583C4A">
      <w:pPr>
        <w:spacing w:line="276" w:lineRule="auto"/>
        <w:jc w:val="both"/>
        <w:rPr>
          <w:rFonts w:ascii="Arial" w:hAnsi="Arial" w:cs="Arial"/>
          <w:color w:val="000000"/>
          <w:szCs w:val="24"/>
          <w:lang w:eastAsia="es-CO"/>
        </w:rPr>
      </w:pPr>
      <w:r>
        <w:rPr>
          <w:rFonts w:ascii="Arial" w:hAnsi="Arial" w:cs="Arial"/>
          <w:color w:val="000000"/>
          <w:szCs w:val="24"/>
          <w:lang w:eastAsia="es-CO"/>
        </w:rPr>
        <w:t>Nadie en la actuaci</w:t>
      </w:r>
      <w:r w:rsidR="003A289D">
        <w:rPr>
          <w:rFonts w:ascii="Arial" w:hAnsi="Arial" w:cs="Arial"/>
          <w:color w:val="000000"/>
          <w:szCs w:val="24"/>
          <w:lang w:eastAsia="es-CO"/>
        </w:rPr>
        <w:t>ón, señala haber visto a los trabajadores recibiendo órdenes, instrucciones del sacerdote demandado Israel Amador Ávila, pagando salarios; luego no hay razón para que se le tenga como único responsable de las condenas.</w:t>
      </w:r>
    </w:p>
    <w:p w:rsidR="003A289D" w:rsidRDefault="003A289D" w:rsidP="00583C4A">
      <w:pPr>
        <w:spacing w:line="276" w:lineRule="auto"/>
        <w:jc w:val="both"/>
        <w:rPr>
          <w:rFonts w:ascii="Arial" w:hAnsi="Arial" w:cs="Arial"/>
          <w:color w:val="000000"/>
          <w:szCs w:val="24"/>
          <w:lang w:eastAsia="es-CO"/>
        </w:rPr>
      </w:pPr>
    </w:p>
    <w:p w:rsidR="003A289D" w:rsidRDefault="00391418" w:rsidP="00583C4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acuerdo con el contrato allegado, Ezequiel Amador Ávila, fue un contratista independiente en los términos del artículo 34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 en caso de que hubiese quedado acreditada la existencia de un contrato de trabajo, máxime cuando el sace</w:t>
      </w:r>
      <w:r w:rsidR="00B04B62">
        <w:rPr>
          <w:rFonts w:ascii="Arial" w:hAnsi="Arial" w:cs="Arial"/>
          <w:color w:val="000000"/>
          <w:szCs w:val="24"/>
          <w:lang w:eastAsia="es-CO"/>
        </w:rPr>
        <w:t>rdote nunca se acercó a la obra;</w:t>
      </w:r>
      <w:r>
        <w:rPr>
          <w:rFonts w:ascii="Arial" w:hAnsi="Arial" w:cs="Arial"/>
          <w:color w:val="000000"/>
          <w:szCs w:val="24"/>
          <w:lang w:eastAsia="es-CO"/>
        </w:rPr>
        <w:t xml:space="preserve"> su actividad o labor no tiene nada que ver con las desarrolladas por el causante y no se probó que el inmueble en que se ejecutaron las mismas fuera de su propiedad.</w:t>
      </w:r>
    </w:p>
    <w:p w:rsidR="00391418" w:rsidRDefault="00391418" w:rsidP="00583C4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 la condena por perjuicios materiales </w:t>
      </w:r>
      <w:r w:rsidR="00846A30">
        <w:rPr>
          <w:rFonts w:ascii="Arial" w:hAnsi="Arial" w:cs="Arial"/>
          <w:color w:val="000000"/>
          <w:szCs w:val="24"/>
          <w:lang w:eastAsia="es-CO"/>
        </w:rPr>
        <w:t>solicita su revocatoria y refiere que la condena impuesta va más allá de lo solicitado en la demanda, porque ellos no se probaron y en la demanda no se dijo por qué se generaba el lucro cesante consolidado y futuro</w:t>
      </w:r>
      <w:r w:rsidR="00296BC8">
        <w:rPr>
          <w:rFonts w:ascii="Arial" w:hAnsi="Arial" w:cs="Arial"/>
          <w:color w:val="000000"/>
          <w:szCs w:val="24"/>
          <w:lang w:eastAsia="es-CO"/>
        </w:rPr>
        <w:t>, ni los morales</w:t>
      </w:r>
      <w:r w:rsidR="00F75803">
        <w:rPr>
          <w:rFonts w:ascii="Arial" w:hAnsi="Arial" w:cs="Arial"/>
          <w:color w:val="000000"/>
          <w:szCs w:val="24"/>
          <w:lang w:eastAsia="es-CO"/>
        </w:rPr>
        <w:t>;</w:t>
      </w:r>
      <w:r w:rsidR="00846A30">
        <w:rPr>
          <w:rFonts w:ascii="Arial" w:hAnsi="Arial" w:cs="Arial"/>
          <w:color w:val="000000"/>
          <w:szCs w:val="24"/>
          <w:lang w:eastAsia="es-CO"/>
        </w:rPr>
        <w:t xml:space="preserve"> además respecto del </w:t>
      </w:r>
      <w:r w:rsidR="00296BC8">
        <w:rPr>
          <w:rFonts w:ascii="Arial" w:hAnsi="Arial" w:cs="Arial"/>
          <w:color w:val="000000"/>
          <w:szCs w:val="24"/>
          <w:lang w:eastAsia="es-CO"/>
        </w:rPr>
        <w:t>futuro</w:t>
      </w:r>
      <w:r w:rsidR="00846A30">
        <w:rPr>
          <w:rFonts w:ascii="Arial" w:hAnsi="Arial" w:cs="Arial"/>
          <w:color w:val="000000"/>
          <w:szCs w:val="24"/>
          <w:lang w:eastAsia="es-CO"/>
        </w:rPr>
        <w:t>, se tasó con la probabilidad de vida, lo que constituye una doble condena, al haberse accedido a la pensión de sobrevivientes. Subsidiariamente se reduzcan, inclusive los morales que fueron impuestos aunque en la parte considerativa nada se dijo al respecto.</w:t>
      </w:r>
    </w:p>
    <w:p w:rsidR="00846A30" w:rsidRDefault="00846A30" w:rsidP="00583C4A">
      <w:pPr>
        <w:spacing w:line="276" w:lineRule="auto"/>
        <w:jc w:val="both"/>
        <w:rPr>
          <w:rFonts w:ascii="Arial" w:hAnsi="Arial" w:cs="Arial"/>
          <w:color w:val="000000"/>
          <w:szCs w:val="24"/>
          <w:lang w:eastAsia="es-CO"/>
        </w:rPr>
      </w:pPr>
    </w:p>
    <w:p w:rsidR="00846A30" w:rsidRDefault="00846A30" w:rsidP="00583C4A">
      <w:pPr>
        <w:spacing w:line="276" w:lineRule="auto"/>
        <w:jc w:val="both"/>
        <w:rPr>
          <w:rFonts w:ascii="Arial" w:hAnsi="Arial" w:cs="Arial"/>
          <w:color w:val="000000"/>
          <w:szCs w:val="24"/>
          <w:lang w:eastAsia="es-CO"/>
        </w:rPr>
      </w:pPr>
      <w:r>
        <w:rPr>
          <w:rFonts w:ascii="Arial" w:hAnsi="Arial" w:cs="Arial"/>
          <w:color w:val="000000"/>
          <w:szCs w:val="24"/>
          <w:lang w:eastAsia="es-CO"/>
        </w:rPr>
        <w:t>Por último, cuestiona que la condena se haya impuesto a la sucesión del causante, no obstante la parte actora esté c</w:t>
      </w:r>
      <w:r w:rsidR="005407EC">
        <w:rPr>
          <w:rFonts w:ascii="Arial" w:hAnsi="Arial" w:cs="Arial"/>
          <w:color w:val="000000"/>
          <w:szCs w:val="24"/>
          <w:lang w:eastAsia="es-CO"/>
        </w:rPr>
        <w:t>ompuesta por personas naturales, entre ellas la cónyuge del causante que no tuvo derecho a la pensión se sobrevivientes, por lo que tampoco lo tendría de la indemnización por perjuicios.</w:t>
      </w:r>
    </w:p>
    <w:p w:rsidR="005E04F6" w:rsidRDefault="005E04F6" w:rsidP="00583C4A">
      <w:pPr>
        <w:spacing w:line="276" w:lineRule="auto"/>
        <w:jc w:val="both"/>
        <w:rPr>
          <w:rFonts w:ascii="Arial" w:hAnsi="Arial" w:cs="Arial"/>
          <w:color w:val="000000"/>
          <w:szCs w:val="24"/>
          <w:lang w:eastAsia="es-CO"/>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B04B62" w:rsidRDefault="00B04B62" w:rsidP="00CE4314">
      <w:pPr>
        <w:shd w:val="clear" w:color="auto" w:fill="FFFFFF"/>
        <w:spacing w:line="276" w:lineRule="auto"/>
        <w:jc w:val="center"/>
        <w:rPr>
          <w:rFonts w:ascii="Arial" w:hAnsi="Arial" w:cs="Arial"/>
          <w:b/>
          <w:szCs w:val="24"/>
        </w:rPr>
      </w:pPr>
    </w:p>
    <w:p w:rsidR="00B04B62" w:rsidRDefault="00B04B62" w:rsidP="00D90509">
      <w:pPr>
        <w:shd w:val="clear" w:color="auto" w:fill="FFFFFF"/>
        <w:tabs>
          <w:tab w:val="left" w:pos="5197"/>
        </w:tabs>
        <w:spacing w:line="276" w:lineRule="auto"/>
        <w:jc w:val="both"/>
        <w:rPr>
          <w:rFonts w:ascii="Arial" w:hAnsi="Arial" w:cs="Arial"/>
          <w:b/>
          <w:szCs w:val="24"/>
        </w:rPr>
      </w:pPr>
      <w:r>
        <w:rPr>
          <w:rFonts w:ascii="Arial" w:hAnsi="Arial" w:cs="Arial"/>
          <w:szCs w:val="24"/>
        </w:rPr>
        <w:t xml:space="preserve">Al tenor del artículo 66A del Código Procesal del Trabajo y de la Seguridad Social, </w:t>
      </w:r>
      <w:r w:rsidR="00C100B1">
        <w:rPr>
          <w:rFonts w:ascii="Arial" w:hAnsi="Arial" w:cs="Arial"/>
          <w:szCs w:val="24"/>
        </w:rPr>
        <w:t xml:space="preserve">solo se conocerá por </w:t>
      </w:r>
      <w:r>
        <w:rPr>
          <w:rFonts w:ascii="Arial" w:hAnsi="Arial" w:cs="Arial"/>
          <w:szCs w:val="24"/>
        </w:rPr>
        <w:t xml:space="preserve">esta Sala los puntos objeto de apelación, </w:t>
      </w:r>
      <w:r w:rsidR="00C100B1">
        <w:rPr>
          <w:rFonts w:ascii="Arial" w:hAnsi="Arial" w:cs="Arial"/>
          <w:szCs w:val="24"/>
        </w:rPr>
        <w:t xml:space="preserve">por lo que desde ya se informa </w:t>
      </w:r>
      <w:r w:rsidR="00D90509">
        <w:rPr>
          <w:rFonts w:ascii="Arial" w:hAnsi="Arial" w:cs="Arial"/>
          <w:szCs w:val="24"/>
        </w:rPr>
        <w:t xml:space="preserve">que no lo fue la negativa al reconocimiento de la pensión de sobrevivientes </w:t>
      </w:r>
      <w:proofErr w:type="gramStart"/>
      <w:r w:rsidR="00D90509">
        <w:rPr>
          <w:rFonts w:ascii="Arial" w:hAnsi="Arial" w:cs="Arial"/>
          <w:szCs w:val="24"/>
        </w:rPr>
        <w:t>a la</w:t>
      </w:r>
      <w:proofErr w:type="gramEnd"/>
      <w:r w:rsidR="00D90509">
        <w:rPr>
          <w:rFonts w:ascii="Arial" w:hAnsi="Arial" w:cs="Arial"/>
          <w:szCs w:val="24"/>
        </w:rPr>
        <w:t xml:space="preserve"> cónyuge.</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A61828">
        <w:rPr>
          <w:rFonts w:ascii="Arial" w:hAnsi="Arial" w:cs="Arial"/>
          <w:b/>
          <w:sz w:val="24"/>
          <w:szCs w:val="24"/>
        </w:rPr>
        <w:t xml:space="preserve"> </w:t>
      </w:r>
      <w:r w:rsidR="000126BB">
        <w:rPr>
          <w:rFonts w:ascii="Arial" w:hAnsi="Arial" w:cs="Arial"/>
          <w:b/>
          <w:sz w:val="24"/>
          <w:szCs w:val="24"/>
        </w:rPr>
        <w:t>l</w:t>
      </w:r>
      <w:r w:rsidR="00A61828">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A61828">
        <w:rPr>
          <w:rFonts w:ascii="Arial" w:hAnsi="Arial" w:cs="Arial"/>
          <w:b/>
          <w:sz w:val="24"/>
          <w:szCs w:val="24"/>
        </w:rPr>
        <w:t>s</w:t>
      </w:r>
      <w:r w:rsidRPr="00982149">
        <w:rPr>
          <w:rFonts w:ascii="Arial" w:hAnsi="Arial" w:cs="Arial"/>
          <w:b/>
          <w:sz w:val="24"/>
          <w:szCs w:val="24"/>
        </w:rPr>
        <w:t xml:space="preserve"> jurídico</w:t>
      </w:r>
      <w:r w:rsidR="00A61828">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lastRenderedPageBreak/>
        <w:t xml:space="preserve">Visto el recuento anterior, la Sala formula </w:t>
      </w:r>
      <w:r w:rsidR="00A61828">
        <w:rPr>
          <w:rFonts w:ascii="Arial" w:hAnsi="Arial" w:cs="Arial"/>
          <w:color w:val="000000"/>
          <w:szCs w:val="24"/>
          <w:lang w:eastAsia="es-CO"/>
        </w:rPr>
        <w:t>los</w:t>
      </w:r>
      <w:r w:rsidR="000126BB">
        <w:rPr>
          <w:rFonts w:ascii="Arial" w:hAnsi="Arial" w:cs="Arial"/>
          <w:color w:val="000000"/>
          <w:szCs w:val="24"/>
          <w:lang w:eastAsia="es-CO"/>
        </w:rPr>
        <w:t xml:space="preserve"> siguiente</w:t>
      </w:r>
      <w:r w:rsidR="00A61828">
        <w:rPr>
          <w:rFonts w:ascii="Arial" w:hAnsi="Arial" w:cs="Arial"/>
          <w:color w:val="000000"/>
          <w:szCs w:val="24"/>
          <w:lang w:eastAsia="es-CO"/>
        </w:rPr>
        <w:t>s</w:t>
      </w:r>
      <w:r w:rsidR="000126BB">
        <w:rPr>
          <w:rFonts w:ascii="Arial" w:hAnsi="Arial" w:cs="Arial"/>
          <w:color w:val="000000"/>
          <w:szCs w:val="24"/>
          <w:lang w:eastAsia="es-CO"/>
        </w:rPr>
        <w:t xml:space="preserve"> </w:t>
      </w:r>
      <w:r w:rsidR="009E4F19">
        <w:rPr>
          <w:rFonts w:ascii="Arial" w:hAnsi="Arial" w:cs="Arial"/>
          <w:color w:val="000000"/>
          <w:szCs w:val="24"/>
          <w:lang w:eastAsia="es-CO"/>
        </w:rPr>
        <w:t>interrogante</w:t>
      </w:r>
      <w:r w:rsidR="00A61828">
        <w:rPr>
          <w:rFonts w:ascii="Arial" w:hAnsi="Arial" w:cs="Arial"/>
          <w:color w:val="000000"/>
          <w:szCs w:val="24"/>
          <w:lang w:eastAsia="es-CO"/>
        </w:rPr>
        <w:t>s</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5B6B01" w:rsidRPr="00E41F11" w:rsidRDefault="005B6B01" w:rsidP="005B6B01">
      <w:pPr>
        <w:tabs>
          <w:tab w:val="left" w:pos="0"/>
          <w:tab w:val="left" w:pos="8647"/>
        </w:tabs>
        <w:suppressAutoHyphens/>
        <w:spacing w:line="276" w:lineRule="auto"/>
        <w:jc w:val="both"/>
        <w:rPr>
          <w:rFonts w:ascii="Arial" w:hAnsi="Arial" w:cs="Arial"/>
          <w:iCs/>
          <w:szCs w:val="24"/>
        </w:rPr>
      </w:pPr>
      <w:r w:rsidRPr="00E41F11">
        <w:rPr>
          <w:rFonts w:ascii="Arial" w:hAnsi="Arial" w:cs="Arial"/>
          <w:szCs w:val="24"/>
        </w:rPr>
        <w:t xml:space="preserve">1.1. ¿Existió un contrato de trabajo entre el señor </w:t>
      </w:r>
      <w:r w:rsidR="00D630C1" w:rsidRPr="00E41F11">
        <w:rPr>
          <w:rFonts w:ascii="Arial" w:hAnsi="Arial" w:cs="Arial"/>
          <w:szCs w:val="24"/>
        </w:rPr>
        <w:t xml:space="preserve">Wilson Giraldo Ríos </w:t>
      </w:r>
      <w:r w:rsidRPr="00E41F11">
        <w:rPr>
          <w:rFonts w:ascii="Arial" w:hAnsi="Arial" w:cs="Arial"/>
          <w:szCs w:val="24"/>
        </w:rPr>
        <w:t xml:space="preserve">y </w:t>
      </w:r>
      <w:r w:rsidR="00D630C1" w:rsidRPr="00E41F11">
        <w:rPr>
          <w:rFonts w:ascii="Arial" w:hAnsi="Arial" w:cs="Arial"/>
          <w:szCs w:val="24"/>
        </w:rPr>
        <w:t xml:space="preserve">el </w:t>
      </w:r>
      <w:r w:rsidRPr="00E41F11">
        <w:rPr>
          <w:rFonts w:ascii="Arial" w:hAnsi="Arial" w:cs="Arial"/>
          <w:szCs w:val="24"/>
        </w:rPr>
        <w:t xml:space="preserve">señor </w:t>
      </w:r>
      <w:r w:rsidR="00D630C1" w:rsidRPr="00E41F11">
        <w:rPr>
          <w:rFonts w:ascii="Arial" w:hAnsi="Arial" w:cs="Arial"/>
          <w:szCs w:val="24"/>
        </w:rPr>
        <w:t>José Israel Amador Ávila</w:t>
      </w:r>
      <w:r w:rsidRPr="00E41F11">
        <w:rPr>
          <w:rFonts w:ascii="Arial" w:hAnsi="Arial" w:cs="Arial"/>
          <w:iCs/>
          <w:szCs w:val="24"/>
        </w:rPr>
        <w:t>?</w:t>
      </w:r>
    </w:p>
    <w:p w:rsidR="00D630C1" w:rsidRPr="00E41F11" w:rsidRDefault="00D630C1" w:rsidP="005B6B01">
      <w:pPr>
        <w:tabs>
          <w:tab w:val="left" w:pos="0"/>
          <w:tab w:val="left" w:pos="8647"/>
        </w:tabs>
        <w:suppressAutoHyphens/>
        <w:spacing w:line="276" w:lineRule="auto"/>
        <w:jc w:val="both"/>
        <w:rPr>
          <w:rFonts w:ascii="Arial" w:hAnsi="Arial" w:cs="Arial"/>
          <w:iCs/>
          <w:szCs w:val="24"/>
        </w:rPr>
      </w:pPr>
    </w:p>
    <w:p w:rsidR="00D630C1" w:rsidRDefault="00E41F11" w:rsidP="005B6B01">
      <w:pPr>
        <w:tabs>
          <w:tab w:val="left" w:pos="0"/>
          <w:tab w:val="left" w:pos="8647"/>
        </w:tabs>
        <w:suppressAutoHyphens/>
        <w:spacing w:line="276" w:lineRule="auto"/>
        <w:jc w:val="both"/>
        <w:rPr>
          <w:rFonts w:ascii="Arial" w:hAnsi="Arial" w:cs="Arial"/>
          <w:szCs w:val="24"/>
        </w:rPr>
      </w:pPr>
      <w:r w:rsidRPr="00E41F11">
        <w:rPr>
          <w:rFonts w:ascii="Arial" w:hAnsi="Arial" w:cs="Arial"/>
          <w:iCs/>
          <w:szCs w:val="24"/>
        </w:rPr>
        <w:t xml:space="preserve">1.2. La muerte del señor </w:t>
      </w:r>
      <w:r w:rsidRPr="00E41F11">
        <w:rPr>
          <w:rFonts w:ascii="Arial" w:hAnsi="Arial" w:cs="Arial"/>
          <w:szCs w:val="24"/>
        </w:rPr>
        <w:t>Wilson Giraldo Ríos generó los perjuicios materiales y morales que se invocan en la demanda</w:t>
      </w:r>
      <w:proofErr w:type="gramStart"/>
      <w:r w:rsidRPr="00E41F11">
        <w:rPr>
          <w:rFonts w:ascii="Arial" w:hAnsi="Arial" w:cs="Arial"/>
          <w:szCs w:val="24"/>
        </w:rPr>
        <w:t>?</w:t>
      </w:r>
      <w:proofErr w:type="gramEnd"/>
    </w:p>
    <w:p w:rsidR="00E41F11" w:rsidRDefault="00E41F11" w:rsidP="005B6B01">
      <w:pPr>
        <w:tabs>
          <w:tab w:val="left" w:pos="0"/>
          <w:tab w:val="left" w:pos="8647"/>
        </w:tabs>
        <w:suppressAutoHyphens/>
        <w:spacing w:line="276" w:lineRule="auto"/>
        <w:jc w:val="both"/>
        <w:rPr>
          <w:rFonts w:ascii="Arial" w:hAnsi="Arial" w:cs="Arial"/>
          <w:szCs w:val="24"/>
        </w:rPr>
      </w:pPr>
    </w:p>
    <w:p w:rsidR="00E41F11" w:rsidRDefault="00E41F11" w:rsidP="005B6B01">
      <w:pPr>
        <w:tabs>
          <w:tab w:val="left" w:pos="0"/>
          <w:tab w:val="left" w:pos="8647"/>
        </w:tabs>
        <w:suppressAutoHyphens/>
        <w:spacing w:line="276" w:lineRule="auto"/>
        <w:jc w:val="both"/>
        <w:rPr>
          <w:rFonts w:ascii="Arial" w:hAnsi="Arial" w:cs="Arial"/>
          <w:szCs w:val="24"/>
        </w:rPr>
      </w:pPr>
      <w:r>
        <w:rPr>
          <w:rFonts w:ascii="Arial" w:hAnsi="Arial" w:cs="Arial"/>
          <w:szCs w:val="24"/>
        </w:rPr>
        <w:t>1.3. Hay lugar a ordenar el reconocimiento de la pensión de sobrevivientes a favor del joven Brandon Giraldo García, hasta que cumpla los 25 años de edad</w:t>
      </w:r>
      <w:proofErr w:type="gramStart"/>
      <w:r>
        <w:rPr>
          <w:rFonts w:ascii="Arial" w:hAnsi="Arial" w:cs="Arial"/>
          <w:szCs w:val="24"/>
        </w:rPr>
        <w:t>?</w:t>
      </w:r>
      <w:proofErr w:type="gramEnd"/>
    </w:p>
    <w:p w:rsidR="00E41F11" w:rsidRDefault="00E41F11" w:rsidP="005B6B01">
      <w:pPr>
        <w:tabs>
          <w:tab w:val="left" w:pos="0"/>
          <w:tab w:val="left" w:pos="8647"/>
        </w:tabs>
        <w:suppressAutoHyphens/>
        <w:spacing w:line="276" w:lineRule="auto"/>
        <w:jc w:val="both"/>
        <w:rPr>
          <w:rFonts w:ascii="Arial" w:hAnsi="Arial" w:cs="Arial"/>
          <w:szCs w:val="24"/>
        </w:rPr>
      </w:pPr>
    </w:p>
    <w:p w:rsidR="00E41F11" w:rsidRPr="001E4CBA" w:rsidRDefault="00E41F11" w:rsidP="005B6B01">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1.4. Las condenas emitidas por el a-quo en relación con el pago de acreencias de carácter salarial, prestacional e indemnizatorio, debían ser impuestas a favor de la masa </w:t>
      </w:r>
      <w:proofErr w:type="spellStart"/>
      <w:r>
        <w:rPr>
          <w:rFonts w:ascii="Arial" w:hAnsi="Arial" w:cs="Arial"/>
          <w:szCs w:val="24"/>
        </w:rPr>
        <w:t>sucesoral</w:t>
      </w:r>
      <w:proofErr w:type="spellEnd"/>
      <w:r>
        <w:rPr>
          <w:rFonts w:ascii="Arial" w:hAnsi="Arial" w:cs="Arial"/>
          <w:szCs w:val="24"/>
        </w:rPr>
        <w:t xml:space="preserve"> del causante Wilson Giraldo Ríos, pese a que las pretensiones de la demanda no se presentaron de esa forma</w:t>
      </w:r>
      <w:proofErr w:type="gramStart"/>
      <w:r>
        <w:rPr>
          <w:rFonts w:ascii="Arial" w:hAnsi="Arial" w:cs="Arial"/>
          <w:szCs w:val="24"/>
        </w:rPr>
        <w:t>?</w:t>
      </w:r>
      <w:proofErr w:type="gramEnd"/>
    </w:p>
    <w:p w:rsidR="005B6B01" w:rsidRDefault="005B6B01" w:rsidP="005B6B01">
      <w:pPr>
        <w:shd w:val="clear" w:color="auto" w:fill="FFFFFF"/>
        <w:spacing w:line="276" w:lineRule="auto"/>
        <w:contextualSpacing/>
        <w:jc w:val="both"/>
        <w:rPr>
          <w:rFonts w:ascii="Arial" w:hAnsi="Arial" w:cs="Arial"/>
          <w:iCs/>
          <w:szCs w:val="24"/>
        </w:rPr>
      </w:pPr>
    </w:p>
    <w:p w:rsidR="005B6B01" w:rsidRDefault="005B6B01" w:rsidP="005B6B01">
      <w:pPr>
        <w:pStyle w:val="Textoindependiente"/>
        <w:spacing w:line="276" w:lineRule="auto"/>
        <w:contextualSpacing/>
        <w:rPr>
          <w:b/>
          <w:iCs/>
          <w:szCs w:val="24"/>
        </w:rPr>
      </w:pPr>
      <w:r w:rsidRPr="003773EE">
        <w:rPr>
          <w:b/>
          <w:iCs/>
          <w:szCs w:val="24"/>
        </w:rPr>
        <w:t>2. Solución a</w:t>
      </w:r>
      <w:r w:rsidR="006219D5">
        <w:rPr>
          <w:b/>
          <w:iCs/>
          <w:szCs w:val="24"/>
        </w:rPr>
        <w:t xml:space="preserve"> </w:t>
      </w:r>
      <w:r w:rsidRPr="003773EE">
        <w:rPr>
          <w:b/>
          <w:iCs/>
          <w:szCs w:val="24"/>
        </w:rPr>
        <w:t>l</w:t>
      </w:r>
      <w:r w:rsidR="006219D5">
        <w:rPr>
          <w:b/>
          <w:iCs/>
          <w:szCs w:val="24"/>
        </w:rPr>
        <w:t xml:space="preserve">os </w:t>
      </w:r>
      <w:r w:rsidRPr="003773EE">
        <w:rPr>
          <w:b/>
          <w:iCs/>
          <w:szCs w:val="24"/>
        </w:rPr>
        <w:t>problema</w:t>
      </w:r>
      <w:r w:rsidR="006219D5">
        <w:rPr>
          <w:b/>
          <w:iCs/>
          <w:szCs w:val="24"/>
        </w:rPr>
        <w:t>s</w:t>
      </w:r>
      <w:r w:rsidRPr="003773EE">
        <w:rPr>
          <w:b/>
          <w:iCs/>
          <w:szCs w:val="24"/>
        </w:rPr>
        <w:t xml:space="preserve"> jurídico</w:t>
      </w:r>
      <w:r w:rsidR="006219D5">
        <w:rPr>
          <w:b/>
          <w:iCs/>
          <w:szCs w:val="24"/>
        </w:rPr>
        <w:t>s</w:t>
      </w:r>
      <w:r w:rsidRPr="00312238">
        <w:rPr>
          <w:b/>
          <w:iCs/>
          <w:szCs w:val="24"/>
        </w:rPr>
        <w:t xml:space="preserve"> </w:t>
      </w:r>
    </w:p>
    <w:p w:rsidR="005B6B01" w:rsidRDefault="005B6B01" w:rsidP="005B6B01">
      <w:pPr>
        <w:pStyle w:val="Textoindependiente"/>
        <w:spacing w:line="276" w:lineRule="auto"/>
        <w:contextualSpacing/>
        <w:rPr>
          <w:b/>
          <w:iCs/>
          <w:szCs w:val="24"/>
        </w:rPr>
      </w:pPr>
    </w:p>
    <w:p w:rsidR="005B6B01" w:rsidRPr="003C6321" w:rsidRDefault="005B6B01" w:rsidP="005B6B01">
      <w:pPr>
        <w:pStyle w:val="Textoindependiente"/>
        <w:spacing w:line="276" w:lineRule="auto"/>
        <w:contextualSpacing/>
        <w:rPr>
          <w:iCs/>
          <w:szCs w:val="24"/>
        </w:rPr>
      </w:pPr>
      <w:r w:rsidRPr="003C6321">
        <w:rPr>
          <w:iCs/>
          <w:szCs w:val="24"/>
        </w:rPr>
        <w:t>Con el propósito de dar solución a</w:t>
      </w:r>
      <w:r w:rsidR="006219D5">
        <w:rPr>
          <w:iCs/>
          <w:szCs w:val="24"/>
        </w:rPr>
        <w:t xml:space="preserve"> </w:t>
      </w:r>
      <w:r w:rsidRPr="003C6321">
        <w:rPr>
          <w:iCs/>
          <w:szCs w:val="24"/>
        </w:rPr>
        <w:t>l</w:t>
      </w:r>
      <w:r w:rsidR="006219D5">
        <w:rPr>
          <w:iCs/>
          <w:szCs w:val="24"/>
        </w:rPr>
        <w:t>os</w:t>
      </w:r>
      <w:r w:rsidRPr="003C6321">
        <w:rPr>
          <w:iCs/>
          <w:szCs w:val="24"/>
        </w:rPr>
        <w:t xml:space="preserve"> anterior</w:t>
      </w:r>
      <w:r w:rsidR="006219D5">
        <w:rPr>
          <w:iCs/>
          <w:szCs w:val="24"/>
        </w:rPr>
        <w:t>es</w:t>
      </w:r>
      <w:r w:rsidRPr="003C6321">
        <w:rPr>
          <w:iCs/>
          <w:szCs w:val="24"/>
        </w:rPr>
        <w:t xml:space="preserve"> interrogante</w:t>
      </w:r>
      <w:r w:rsidR="006219D5">
        <w:rPr>
          <w:iCs/>
          <w:szCs w:val="24"/>
        </w:rPr>
        <w:t>s</w:t>
      </w:r>
      <w:r w:rsidRPr="003C6321">
        <w:rPr>
          <w:iCs/>
          <w:szCs w:val="24"/>
        </w:rPr>
        <w:t>, se considera necesario precisar lo siguiente:</w:t>
      </w:r>
    </w:p>
    <w:p w:rsidR="005B6B01" w:rsidRPr="003C6321" w:rsidRDefault="005B6B01" w:rsidP="005B6B01">
      <w:pPr>
        <w:pStyle w:val="Textoindependiente"/>
        <w:spacing w:line="276" w:lineRule="auto"/>
        <w:contextualSpacing/>
        <w:rPr>
          <w:iCs/>
          <w:szCs w:val="24"/>
        </w:rPr>
      </w:pPr>
    </w:p>
    <w:p w:rsidR="005B6B01" w:rsidRPr="0096767D" w:rsidRDefault="005B6B01" w:rsidP="005B6B01">
      <w:pPr>
        <w:suppressAutoHyphens/>
        <w:overflowPunct w:val="0"/>
        <w:autoSpaceDE w:val="0"/>
        <w:autoSpaceDN w:val="0"/>
        <w:adjustRightInd w:val="0"/>
        <w:spacing w:line="276" w:lineRule="auto"/>
        <w:jc w:val="both"/>
        <w:textAlignment w:val="baseline"/>
        <w:rPr>
          <w:rFonts w:ascii="Arial" w:hAnsi="Arial" w:cs="Arial"/>
          <w:b/>
          <w:szCs w:val="24"/>
        </w:rPr>
      </w:pPr>
      <w:r w:rsidRPr="00DD3F98">
        <w:rPr>
          <w:rFonts w:ascii="Arial" w:eastAsia="Arial" w:hAnsi="Arial" w:cs="Arial"/>
          <w:b/>
          <w:szCs w:val="24"/>
        </w:rPr>
        <w:t xml:space="preserve">2.1. </w:t>
      </w:r>
      <w:r>
        <w:rPr>
          <w:rFonts w:ascii="Arial" w:hAnsi="Arial" w:cs="Arial"/>
          <w:b/>
          <w:szCs w:val="24"/>
        </w:rPr>
        <w:t>E</w:t>
      </w:r>
      <w:r w:rsidRPr="0096767D">
        <w:rPr>
          <w:rFonts w:ascii="Arial" w:hAnsi="Arial" w:cs="Arial"/>
          <w:b/>
          <w:szCs w:val="24"/>
        </w:rPr>
        <w:t xml:space="preserve">lementos </w:t>
      </w:r>
      <w:r>
        <w:rPr>
          <w:rFonts w:ascii="Arial" w:hAnsi="Arial" w:cs="Arial"/>
          <w:b/>
          <w:szCs w:val="24"/>
        </w:rPr>
        <w:t>del contrato de trabajo y sus diferencias con el contrato civil  de obra</w:t>
      </w:r>
    </w:p>
    <w:p w:rsidR="005B6B01" w:rsidRDefault="005B6B01" w:rsidP="005B6B01">
      <w:pPr>
        <w:spacing w:line="276" w:lineRule="auto"/>
        <w:jc w:val="both"/>
        <w:rPr>
          <w:rFonts w:ascii="Arial" w:hAnsi="Arial" w:cs="Arial"/>
          <w:szCs w:val="24"/>
        </w:rPr>
      </w:pPr>
    </w:p>
    <w:p w:rsidR="005B6B01" w:rsidRDefault="005B6B01" w:rsidP="005B6B01">
      <w:pPr>
        <w:spacing w:line="276" w:lineRule="auto"/>
        <w:jc w:val="both"/>
        <w:rPr>
          <w:rFonts w:ascii="Arial" w:hAnsi="Arial" w:cs="Arial"/>
          <w:b/>
          <w:szCs w:val="24"/>
        </w:rPr>
      </w:pPr>
      <w:r>
        <w:rPr>
          <w:rFonts w:ascii="Arial" w:hAnsi="Arial" w:cs="Arial"/>
          <w:b/>
          <w:szCs w:val="24"/>
        </w:rPr>
        <w:t>2.1</w:t>
      </w:r>
      <w:r w:rsidRPr="009E5D6A">
        <w:rPr>
          <w:rFonts w:ascii="Arial" w:hAnsi="Arial" w:cs="Arial"/>
          <w:b/>
          <w:szCs w:val="24"/>
        </w:rPr>
        <w:t>.1 Fundamento jurídico</w:t>
      </w:r>
    </w:p>
    <w:p w:rsidR="00544C11" w:rsidRPr="009E5D6A" w:rsidRDefault="00544C11" w:rsidP="005B6B01">
      <w:pPr>
        <w:spacing w:line="276" w:lineRule="auto"/>
        <w:jc w:val="both"/>
        <w:rPr>
          <w:rFonts w:ascii="Arial" w:hAnsi="Arial" w:cs="Arial"/>
          <w:b/>
          <w:szCs w:val="24"/>
        </w:rPr>
      </w:pPr>
    </w:p>
    <w:p w:rsidR="005B6B01" w:rsidRPr="0096767D" w:rsidRDefault="005B6B01" w:rsidP="005B6B01">
      <w:pPr>
        <w:spacing w:line="276" w:lineRule="auto"/>
        <w:jc w:val="both"/>
        <w:rPr>
          <w:rFonts w:ascii="Arial" w:eastAsiaTheme="minorHAnsi" w:hAnsi="Arial" w:cs="Arial"/>
          <w:szCs w:val="24"/>
        </w:rPr>
      </w:pPr>
      <w:r>
        <w:rPr>
          <w:rFonts w:ascii="Arial" w:eastAsiaTheme="minorHAnsi" w:hAnsi="Arial" w:cs="Arial"/>
          <w:szCs w:val="24"/>
        </w:rPr>
        <w:t>L</w:t>
      </w:r>
      <w:r w:rsidRPr="0096767D">
        <w:rPr>
          <w:rFonts w:ascii="Arial" w:eastAsiaTheme="minorHAnsi" w:hAnsi="Arial" w:cs="Arial"/>
          <w:szCs w:val="24"/>
        </w:rPr>
        <w:t xml:space="preserve">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la continua subordinación o dependencia respecto del empleador, que</w:t>
      </w:r>
      <w:r>
        <w:rPr>
          <w:rFonts w:ascii="Arial" w:eastAsiaTheme="minorHAnsi" w:hAnsi="Arial" w:cs="Arial"/>
          <w:szCs w:val="24"/>
        </w:rPr>
        <w:t xml:space="preserve"> lo</w:t>
      </w:r>
      <w:r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 xml:space="preserve">artículo 23 </w:t>
      </w:r>
      <w:proofErr w:type="spellStart"/>
      <w:r w:rsidRPr="0096767D">
        <w:rPr>
          <w:rFonts w:ascii="Arial" w:eastAsiaTheme="minorHAnsi" w:hAnsi="Arial" w:cs="Arial"/>
          <w:iCs/>
          <w:szCs w:val="24"/>
        </w:rPr>
        <w:t>C.S</w:t>
      </w:r>
      <w:proofErr w:type="spellEnd"/>
      <w:r w:rsidRPr="0096767D">
        <w:rPr>
          <w:rFonts w:ascii="Arial" w:eastAsiaTheme="minorHAnsi" w:hAnsi="Arial" w:cs="Arial"/>
          <w:iCs/>
          <w:szCs w:val="24"/>
        </w:rPr>
        <w:t>. del T.</w:t>
      </w:r>
      <w:r w:rsidRPr="0096767D">
        <w:rPr>
          <w:rFonts w:ascii="Arial" w:eastAsiaTheme="minorHAnsi" w:hAnsi="Arial" w:cs="Arial"/>
          <w:szCs w:val="24"/>
        </w:rPr>
        <w:t>).</w:t>
      </w:r>
    </w:p>
    <w:p w:rsidR="005B6B01" w:rsidRPr="0096767D" w:rsidRDefault="005B6B01" w:rsidP="005B6B01">
      <w:pPr>
        <w:spacing w:line="276" w:lineRule="auto"/>
        <w:jc w:val="both"/>
        <w:rPr>
          <w:rFonts w:ascii="Arial" w:eastAsiaTheme="minorHAnsi" w:hAnsi="Arial" w:cs="Arial"/>
          <w:szCs w:val="24"/>
        </w:rPr>
      </w:pPr>
    </w:p>
    <w:p w:rsidR="00544C11" w:rsidRPr="00531EFA" w:rsidRDefault="00544C11" w:rsidP="00544C11">
      <w:pPr>
        <w:spacing w:line="276" w:lineRule="auto"/>
        <w:jc w:val="both"/>
        <w:rPr>
          <w:rFonts w:ascii="Arial" w:eastAsia="Arial" w:hAnsi="Arial" w:cs="Arial"/>
          <w:szCs w:val="26"/>
        </w:rPr>
      </w:pPr>
      <w:r w:rsidRPr="00531EFA">
        <w:rPr>
          <w:rFonts w:ascii="Arial" w:eastAsiaTheme="minorHAnsi" w:hAnsi="Arial" w:cs="Arial"/>
          <w:szCs w:val="24"/>
        </w:rPr>
        <w:t>Estos</w:t>
      </w:r>
      <w:r>
        <w:rPr>
          <w:rFonts w:ascii="Arial" w:eastAsiaTheme="minorHAnsi" w:hAnsi="Arial" w:cs="Arial"/>
          <w:szCs w:val="24"/>
        </w:rPr>
        <w:t xml:space="preserve"> requisitos los debe acreditar </w:t>
      </w:r>
      <w:r w:rsidRPr="00531EFA">
        <w:rPr>
          <w:rFonts w:ascii="Arial" w:eastAsiaTheme="minorHAnsi" w:hAnsi="Arial" w:cs="Arial"/>
          <w:szCs w:val="24"/>
        </w:rPr>
        <w:t>l</w:t>
      </w:r>
      <w:r>
        <w:rPr>
          <w:rFonts w:ascii="Arial" w:eastAsiaTheme="minorHAnsi" w:hAnsi="Arial" w:cs="Arial"/>
          <w:szCs w:val="24"/>
        </w:rPr>
        <w:t>a</w:t>
      </w:r>
      <w:r w:rsidRPr="00531EFA">
        <w:rPr>
          <w:rFonts w:ascii="Arial" w:eastAsiaTheme="minorHAnsi" w:hAnsi="Arial" w:cs="Arial"/>
          <w:szCs w:val="24"/>
        </w:rPr>
        <w:t xml:space="preserve"> demandant</w:t>
      </w:r>
      <w:r>
        <w:rPr>
          <w:rFonts w:ascii="Arial" w:eastAsiaTheme="minorHAnsi" w:hAnsi="Arial" w:cs="Arial"/>
          <w:szCs w:val="24"/>
        </w:rPr>
        <w:t>e, de conformidad con el art. 167 del Código General del Proceso</w:t>
      </w:r>
      <w:r w:rsidRPr="00531EFA">
        <w:rPr>
          <w:rFonts w:ascii="Arial" w:eastAsiaTheme="minorHAnsi" w:hAnsi="Arial" w:cs="Arial"/>
          <w:szCs w:val="24"/>
        </w:rPr>
        <w:t>, vigente para la época de la sentencia, que se aplica por remisión del artículo 145 del C. P. del T. y de la S.S.; carga</w:t>
      </w:r>
      <w:r w:rsidRPr="00531EFA">
        <w:rPr>
          <w:rFonts w:ascii="Arial" w:eastAsiaTheme="minorHAnsi" w:hAnsi="Arial" w:cs="Arial"/>
          <w:iCs/>
          <w:szCs w:val="24"/>
        </w:rPr>
        <w:t xml:space="preserve"> probatoria que se atenúa con</w:t>
      </w:r>
      <w:r w:rsidRPr="00531EFA">
        <w:rPr>
          <w:rFonts w:ascii="Arial" w:eastAsia="Arial" w:hAnsi="Arial" w:cs="Arial"/>
          <w:szCs w:val="26"/>
        </w:rPr>
        <w:t xml:space="preserve"> las presunciones legales, afirmaciones o negaciones indefinidas, que están exentas de prueba.</w:t>
      </w:r>
    </w:p>
    <w:p w:rsidR="00544C11" w:rsidRPr="00531EFA" w:rsidRDefault="00544C11" w:rsidP="00544C11">
      <w:pPr>
        <w:spacing w:line="276" w:lineRule="auto"/>
        <w:jc w:val="both"/>
        <w:rPr>
          <w:rFonts w:ascii="Arial" w:eastAsia="Arial" w:hAnsi="Arial" w:cs="Arial"/>
          <w:color w:val="000000"/>
          <w:szCs w:val="26"/>
        </w:rPr>
      </w:pPr>
    </w:p>
    <w:p w:rsidR="00544C11" w:rsidRPr="00531EFA" w:rsidRDefault="00544C11" w:rsidP="00544C11">
      <w:pPr>
        <w:spacing w:after="120" w:line="276" w:lineRule="auto"/>
        <w:jc w:val="both"/>
        <w:rPr>
          <w:rFonts w:ascii="Arial" w:eastAsia="Arial" w:hAnsi="Arial" w:cs="Arial"/>
          <w:szCs w:val="26"/>
        </w:rPr>
      </w:pPr>
      <w:r w:rsidRPr="00531EFA">
        <w:rPr>
          <w:rFonts w:ascii="Arial" w:eastAsia="Arial" w:hAnsi="Arial" w:cs="Arial"/>
          <w:szCs w:val="26"/>
        </w:rPr>
        <w:t xml:space="preserve">Bien. En materia laboral el artículo 24 del </w:t>
      </w:r>
      <w:proofErr w:type="spellStart"/>
      <w:r w:rsidRPr="00531EFA">
        <w:rPr>
          <w:rFonts w:ascii="Arial" w:eastAsia="Arial" w:hAnsi="Arial" w:cs="Arial"/>
          <w:szCs w:val="26"/>
        </w:rPr>
        <w:t>CST</w:t>
      </w:r>
      <w:proofErr w:type="spellEnd"/>
      <w:r w:rsidRPr="00531EFA">
        <w:rPr>
          <w:rFonts w:ascii="Arial" w:eastAsia="Arial" w:hAnsi="Arial" w:cs="Arial"/>
          <w:szCs w:val="26"/>
        </w:rPr>
        <w:t xml:space="preserve"> consagra la presunción del contrato de trabajo con solo demostrar la prestación personal del servicio; así mismo el </w:t>
      </w:r>
      <w:r>
        <w:rPr>
          <w:rFonts w:ascii="Arial" w:eastAsia="Arial" w:hAnsi="Arial" w:cs="Arial"/>
          <w:szCs w:val="26"/>
        </w:rPr>
        <w:t>numeral 2 del canon</w:t>
      </w:r>
      <w:r w:rsidRPr="00531EFA">
        <w:rPr>
          <w:rFonts w:ascii="Arial" w:eastAsia="Arial" w:hAnsi="Arial" w:cs="Arial"/>
          <w:szCs w:val="26"/>
        </w:rPr>
        <w:t xml:space="preserve"> 77 </w:t>
      </w:r>
      <w:r>
        <w:rPr>
          <w:rFonts w:ascii="Arial" w:eastAsia="Arial" w:hAnsi="Arial" w:cs="Arial"/>
          <w:szCs w:val="26"/>
        </w:rPr>
        <w:t xml:space="preserve">y 59 </w:t>
      </w:r>
      <w:r w:rsidRPr="00531EFA">
        <w:rPr>
          <w:rFonts w:ascii="Arial" w:eastAsia="Arial" w:hAnsi="Arial" w:cs="Arial"/>
          <w:szCs w:val="26"/>
        </w:rPr>
        <w:t xml:space="preserve">del </w:t>
      </w:r>
      <w:proofErr w:type="spellStart"/>
      <w:r w:rsidRPr="00531EFA">
        <w:rPr>
          <w:rFonts w:ascii="Arial" w:eastAsia="Arial" w:hAnsi="Arial" w:cs="Arial"/>
          <w:szCs w:val="26"/>
        </w:rPr>
        <w:t>CPTSS</w:t>
      </w:r>
      <w:proofErr w:type="spellEnd"/>
      <w:r w:rsidRPr="00531EFA">
        <w:rPr>
          <w:rFonts w:ascii="Arial" w:eastAsia="Arial" w:hAnsi="Arial" w:cs="Arial"/>
          <w:szCs w:val="26"/>
        </w:rPr>
        <w:t xml:space="preserve"> menciona</w:t>
      </w:r>
      <w:r>
        <w:rPr>
          <w:rFonts w:ascii="Arial" w:eastAsia="Arial" w:hAnsi="Arial" w:cs="Arial"/>
          <w:szCs w:val="26"/>
        </w:rPr>
        <w:t>n</w:t>
      </w:r>
      <w:r w:rsidRPr="00531EFA">
        <w:rPr>
          <w:rFonts w:ascii="Arial" w:eastAsia="Arial" w:hAnsi="Arial" w:cs="Arial"/>
          <w:szCs w:val="26"/>
        </w:rPr>
        <w:t xml:space="preserve"> que se presumirán ciertos los hechos de la demanda</w:t>
      </w:r>
      <w:r>
        <w:rPr>
          <w:rFonts w:ascii="Arial" w:eastAsia="Arial" w:hAnsi="Arial" w:cs="Arial"/>
          <w:szCs w:val="26"/>
        </w:rPr>
        <w:t xml:space="preserve"> </w:t>
      </w:r>
      <w:r w:rsidRPr="00531EFA">
        <w:rPr>
          <w:rFonts w:ascii="Arial" w:eastAsia="Arial" w:hAnsi="Arial" w:cs="Arial"/>
          <w:szCs w:val="26"/>
        </w:rPr>
        <w:t xml:space="preserve">susceptibles de confesión en </w:t>
      </w:r>
      <w:r>
        <w:rPr>
          <w:rFonts w:ascii="Arial" w:eastAsia="Arial" w:hAnsi="Arial" w:cs="Arial"/>
          <w:szCs w:val="26"/>
        </w:rPr>
        <w:t>los</w:t>
      </w:r>
      <w:r w:rsidRPr="00531EFA">
        <w:rPr>
          <w:rFonts w:ascii="Arial" w:eastAsia="Arial" w:hAnsi="Arial" w:cs="Arial"/>
          <w:szCs w:val="26"/>
        </w:rPr>
        <w:t xml:space="preserve"> evento</w:t>
      </w:r>
      <w:r>
        <w:rPr>
          <w:rFonts w:ascii="Arial" w:eastAsia="Arial" w:hAnsi="Arial" w:cs="Arial"/>
          <w:szCs w:val="26"/>
        </w:rPr>
        <w:t>s</w:t>
      </w:r>
      <w:r w:rsidRPr="00531EFA">
        <w:rPr>
          <w:rFonts w:ascii="Arial" w:eastAsia="Arial" w:hAnsi="Arial" w:cs="Arial"/>
          <w:szCs w:val="26"/>
        </w:rPr>
        <w:t xml:space="preserve"> de no comparecer la parte demandada</w:t>
      </w:r>
      <w:r>
        <w:rPr>
          <w:rFonts w:ascii="Arial" w:eastAsia="Arial" w:hAnsi="Arial" w:cs="Arial"/>
          <w:szCs w:val="26"/>
        </w:rPr>
        <w:t xml:space="preserve"> a la audiencia de conciliación</w:t>
      </w:r>
      <w:r>
        <w:rPr>
          <w:rStyle w:val="Refdenotaalpie"/>
          <w:rFonts w:ascii="Arial" w:eastAsia="Arial" w:hAnsi="Arial" w:cs="Arial"/>
          <w:szCs w:val="26"/>
        </w:rPr>
        <w:footnoteReference w:id="1"/>
      </w:r>
      <w:r>
        <w:rPr>
          <w:rFonts w:ascii="Arial" w:eastAsia="Arial" w:hAnsi="Arial" w:cs="Arial"/>
          <w:szCs w:val="26"/>
        </w:rPr>
        <w:t xml:space="preserve"> o al interrogatorio al que ha sido citado por la parte contraria; lo que da lugar a la confesión ficta.</w:t>
      </w:r>
    </w:p>
    <w:p w:rsidR="00544C11" w:rsidRDefault="00544C11" w:rsidP="00544C11">
      <w:pPr>
        <w:spacing w:line="276" w:lineRule="auto"/>
        <w:jc w:val="both"/>
        <w:rPr>
          <w:rFonts w:ascii="Arial" w:eastAsia="Arial" w:hAnsi="Arial" w:cs="Arial"/>
          <w:szCs w:val="26"/>
        </w:rPr>
      </w:pPr>
    </w:p>
    <w:p w:rsidR="00544C11" w:rsidRDefault="00544C11" w:rsidP="00544C11">
      <w:pPr>
        <w:spacing w:line="276" w:lineRule="auto"/>
        <w:jc w:val="both"/>
        <w:rPr>
          <w:rFonts w:ascii="Arial" w:eastAsia="Arial" w:hAnsi="Arial" w:cs="Arial"/>
          <w:szCs w:val="26"/>
        </w:rPr>
      </w:pPr>
      <w:r w:rsidRPr="00531EFA">
        <w:rPr>
          <w:rFonts w:ascii="Arial" w:eastAsia="Arial" w:hAnsi="Arial" w:cs="Arial"/>
          <w:szCs w:val="26"/>
        </w:rPr>
        <w:t xml:space="preserve">Entonces, de </w:t>
      </w:r>
      <w:r>
        <w:rPr>
          <w:rFonts w:ascii="Arial" w:eastAsia="Arial" w:hAnsi="Arial" w:cs="Arial"/>
          <w:szCs w:val="26"/>
        </w:rPr>
        <w:t xml:space="preserve">operar en contra de la parte demandada la </w:t>
      </w:r>
      <w:r w:rsidRPr="00531EFA">
        <w:rPr>
          <w:rFonts w:ascii="Arial" w:eastAsia="Arial" w:hAnsi="Arial" w:cs="Arial"/>
          <w:szCs w:val="26"/>
        </w:rPr>
        <w:t xml:space="preserve">confesión </w:t>
      </w:r>
      <w:r>
        <w:rPr>
          <w:rFonts w:ascii="Arial" w:eastAsia="Arial" w:hAnsi="Arial" w:cs="Arial"/>
          <w:szCs w:val="26"/>
        </w:rPr>
        <w:t>ficta</w:t>
      </w:r>
      <w:r w:rsidRPr="00531EFA">
        <w:rPr>
          <w:rFonts w:ascii="Arial" w:eastAsia="Arial" w:hAnsi="Arial" w:cs="Arial"/>
          <w:szCs w:val="26"/>
        </w:rPr>
        <w:t xml:space="preserve">, le corresponderá a </w:t>
      </w:r>
      <w:r>
        <w:rPr>
          <w:rFonts w:ascii="Arial" w:eastAsia="Arial" w:hAnsi="Arial" w:cs="Arial"/>
          <w:szCs w:val="26"/>
        </w:rPr>
        <w:t>ella d</w:t>
      </w:r>
      <w:r w:rsidRPr="00531EFA">
        <w:rPr>
          <w:rFonts w:ascii="Arial" w:eastAsia="Arial" w:hAnsi="Arial" w:cs="Arial"/>
          <w:szCs w:val="26"/>
        </w:rPr>
        <w:t xml:space="preserve">esvirtuarla con los medios de prueba que tenga a su alcance, que de no hacerlo, será suficiente, sin más esfuerzos de la parte demandante, para que prosperen sus pretensiones, </w:t>
      </w:r>
      <w:r>
        <w:rPr>
          <w:rFonts w:ascii="Arial" w:eastAsia="Arial" w:hAnsi="Arial" w:cs="Arial"/>
          <w:szCs w:val="26"/>
        </w:rPr>
        <w:t xml:space="preserve">si con ella se </w:t>
      </w:r>
      <w:r w:rsidRPr="00531EFA">
        <w:rPr>
          <w:rFonts w:ascii="Arial" w:eastAsia="Arial" w:hAnsi="Arial" w:cs="Arial"/>
          <w:szCs w:val="26"/>
        </w:rPr>
        <w:t>acredita</w:t>
      </w:r>
      <w:r>
        <w:rPr>
          <w:rFonts w:ascii="Arial" w:eastAsia="Arial" w:hAnsi="Arial" w:cs="Arial"/>
          <w:szCs w:val="26"/>
        </w:rPr>
        <w:t xml:space="preserve">ron </w:t>
      </w:r>
      <w:r w:rsidRPr="00531EFA">
        <w:rPr>
          <w:rFonts w:ascii="Arial" w:eastAsia="Arial" w:hAnsi="Arial" w:cs="Arial"/>
          <w:szCs w:val="26"/>
        </w:rPr>
        <w:t>todos los requisitos de la acción que se depreca en la demanda.</w:t>
      </w:r>
    </w:p>
    <w:p w:rsidR="00BD4792" w:rsidRDefault="00BD4792" w:rsidP="00544C11">
      <w:pPr>
        <w:spacing w:line="276" w:lineRule="auto"/>
        <w:jc w:val="both"/>
        <w:rPr>
          <w:rFonts w:ascii="Arial" w:eastAsia="Arial" w:hAnsi="Arial" w:cs="Arial"/>
          <w:szCs w:val="26"/>
        </w:rPr>
      </w:pPr>
    </w:p>
    <w:p w:rsidR="00BD4792" w:rsidRPr="003C6321" w:rsidRDefault="00BD4792" w:rsidP="00BD4792">
      <w:pPr>
        <w:spacing w:after="120" w:line="276" w:lineRule="auto"/>
        <w:contextualSpacing/>
        <w:jc w:val="both"/>
        <w:rPr>
          <w:rFonts w:ascii="Arial" w:eastAsia="Arial" w:hAnsi="Arial" w:cs="Arial"/>
          <w:szCs w:val="24"/>
        </w:rPr>
      </w:pPr>
      <w:r>
        <w:rPr>
          <w:rFonts w:ascii="Arial" w:eastAsia="Arial" w:hAnsi="Arial" w:cs="Arial"/>
          <w:szCs w:val="24"/>
        </w:rPr>
        <w:t xml:space="preserve">Por su parte, la Corte Suprema de Justicia, Sala de Casación Laboral en </w:t>
      </w:r>
      <w:r w:rsidRPr="003C6321">
        <w:rPr>
          <w:rFonts w:ascii="Arial" w:eastAsia="Arial" w:hAnsi="Arial" w:cs="Arial"/>
          <w:szCs w:val="24"/>
        </w:rPr>
        <w:t xml:space="preserve">sentencias del  8 de abril de 1954 y 18 de marzo de 1960, definió el contrato civil de obra, así: </w:t>
      </w:r>
    </w:p>
    <w:p w:rsidR="00BD4792" w:rsidRPr="003C6321" w:rsidRDefault="00BD4792" w:rsidP="00BD4792">
      <w:pPr>
        <w:spacing w:after="120" w:line="276" w:lineRule="auto"/>
        <w:contextualSpacing/>
        <w:jc w:val="both"/>
        <w:rPr>
          <w:rFonts w:ascii="Arial" w:eastAsia="Arial" w:hAnsi="Arial" w:cs="Arial"/>
          <w:szCs w:val="24"/>
        </w:rPr>
      </w:pPr>
    </w:p>
    <w:p w:rsidR="00BD4792" w:rsidRPr="00E82969" w:rsidRDefault="00BD4792" w:rsidP="00BD4792">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“En los contratos de obra se trata de una obligación de resultado y no de medio, es decir, que lo que el operario promete es una obra producida y no la energía directa de su trabajo, lo cual permite que el contrato pueda ejecutarse por personas distintas al mismo contratista; los riesgos en la ejecución del contrato corren por cuenta del operario; el operario debe realizar la obra con su propios medios, es decir, que debe poner los materiales y suministrar los elementos y maquinarias indispensables para la obra; y la dirección de la obra corresponde al operario, lo que implica su actuación independiente, no subordinada al dueño de la obra.</w:t>
      </w:r>
    </w:p>
    <w:p w:rsidR="00BD4792" w:rsidRPr="00E82969" w:rsidRDefault="00BD4792" w:rsidP="00BD4792">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 xml:space="preserve"> </w:t>
      </w:r>
    </w:p>
    <w:p w:rsidR="00BD4792" w:rsidRPr="00E82969" w:rsidRDefault="00BD4792" w:rsidP="00BD4792">
      <w:pPr>
        <w:ind w:left="708"/>
        <w:contextualSpacing/>
        <w:jc w:val="both"/>
        <w:rPr>
          <w:rFonts w:ascii="Arial" w:hAnsi="Arial" w:cs="Arial"/>
          <w:bCs/>
          <w:i/>
          <w:iCs/>
          <w:sz w:val="22"/>
          <w:szCs w:val="22"/>
          <w:lang w:val="es-CO"/>
        </w:rPr>
      </w:pPr>
      <w:r w:rsidRPr="00E82969">
        <w:rPr>
          <w:rFonts w:ascii="Arial" w:hAnsi="Arial" w:cs="Arial"/>
          <w:bCs/>
          <w:i/>
          <w:iCs/>
          <w:sz w:val="22"/>
          <w:szCs w:val="22"/>
          <w:lang w:val="es-CO"/>
        </w:rPr>
        <w:t>“El hecho de que en un contrato se diga que el contratista deberá ejecutar los trabajos de acuerdo con los pliegos de cargos, y de especificaciones suministradas por la otra parte, no constituye más que un sometimiento de orden estrictamente objetivo, que no puede confundirse con la subordinación personal, subjetiva, que ca</w:t>
      </w:r>
      <w:r>
        <w:rPr>
          <w:rFonts w:ascii="Arial" w:hAnsi="Arial" w:cs="Arial"/>
          <w:bCs/>
          <w:i/>
          <w:iCs/>
          <w:sz w:val="22"/>
          <w:szCs w:val="22"/>
          <w:lang w:val="es-CO"/>
        </w:rPr>
        <w:t xml:space="preserve">racteriza la relación laboral” </w:t>
      </w:r>
      <w:r w:rsidRPr="00E82969">
        <w:rPr>
          <w:rFonts w:ascii="Arial" w:hAnsi="Arial" w:cs="Arial"/>
          <w:bCs/>
          <w:i/>
          <w:iCs/>
          <w:sz w:val="22"/>
          <w:szCs w:val="22"/>
          <w:lang w:val="es-CO"/>
        </w:rPr>
        <w:t xml:space="preserve"> </w:t>
      </w:r>
    </w:p>
    <w:p w:rsidR="00BD4792" w:rsidRPr="003C6321" w:rsidRDefault="00BD4792" w:rsidP="00BD4792">
      <w:pPr>
        <w:spacing w:after="120" w:line="276" w:lineRule="auto"/>
        <w:contextualSpacing/>
        <w:jc w:val="both"/>
        <w:rPr>
          <w:rFonts w:ascii="Arial" w:eastAsia="Arial" w:hAnsi="Arial" w:cs="Arial"/>
          <w:b/>
          <w:szCs w:val="24"/>
        </w:rPr>
      </w:pPr>
    </w:p>
    <w:p w:rsidR="00BD4792" w:rsidRDefault="00BD4792" w:rsidP="00BD4792">
      <w:pPr>
        <w:pStyle w:val="Sinespaciado"/>
        <w:spacing w:line="276" w:lineRule="auto"/>
        <w:jc w:val="both"/>
        <w:rPr>
          <w:rFonts w:ascii="Arial" w:hAnsi="Arial" w:cs="Arial"/>
          <w:sz w:val="24"/>
          <w:szCs w:val="24"/>
        </w:rPr>
      </w:pPr>
      <w:r>
        <w:rPr>
          <w:rFonts w:ascii="Arial" w:hAnsi="Arial" w:cs="Arial"/>
          <w:sz w:val="24"/>
          <w:szCs w:val="24"/>
        </w:rPr>
        <w:t xml:space="preserve">Conforme con lo anterior, </w:t>
      </w:r>
      <w:r w:rsidRPr="00781CF7">
        <w:rPr>
          <w:rFonts w:ascii="Arial" w:hAnsi="Arial" w:cs="Arial"/>
          <w:sz w:val="24"/>
          <w:szCs w:val="24"/>
        </w:rPr>
        <w:t xml:space="preserve">en </w:t>
      </w:r>
      <w:r>
        <w:rPr>
          <w:rFonts w:ascii="Arial" w:hAnsi="Arial" w:cs="Arial"/>
          <w:sz w:val="24"/>
          <w:szCs w:val="24"/>
        </w:rPr>
        <w:t xml:space="preserve">los </w:t>
      </w:r>
      <w:r w:rsidRPr="00781CF7">
        <w:rPr>
          <w:rFonts w:ascii="Arial" w:hAnsi="Arial" w:cs="Arial"/>
          <w:sz w:val="24"/>
          <w:szCs w:val="24"/>
        </w:rPr>
        <w:t xml:space="preserve">convenios de naturaleza civil o comercial, </w:t>
      </w:r>
      <w:r>
        <w:rPr>
          <w:rFonts w:ascii="Arial" w:hAnsi="Arial" w:cs="Arial"/>
          <w:sz w:val="24"/>
          <w:szCs w:val="24"/>
        </w:rPr>
        <w:t xml:space="preserve">el contratante puede </w:t>
      </w:r>
      <w:r w:rsidRPr="00781CF7">
        <w:rPr>
          <w:rFonts w:ascii="Arial" w:hAnsi="Arial" w:cs="Arial"/>
          <w:sz w:val="24"/>
          <w:szCs w:val="24"/>
        </w:rPr>
        <w:t>ejercer vigilancia, supervisión y control</w:t>
      </w:r>
      <w:r>
        <w:rPr>
          <w:rFonts w:ascii="Arial" w:hAnsi="Arial" w:cs="Arial"/>
          <w:sz w:val="24"/>
          <w:szCs w:val="24"/>
        </w:rPr>
        <w:t xml:space="preserve">, </w:t>
      </w:r>
      <w:r w:rsidRPr="00781CF7">
        <w:rPr>
          <w:rFonts w:ascii="Arial" w:hAnsi="Arial" w:cs="Arial"/>
          <w:sz w:val="24"/>
          <w:szCs w:val="24"/>
        </w:rPr>
        <w:t>facultad</w:t>
      </w:r>
      <w:r>
        <w:rPr>
          <w:rFonts w:ascii="Arial" w:hAnsi="Arial" w:cs="Arial"/>
          <w:sz w:val="24"/>
          <w:szCs w:val="24"/>
        </w:rPr>
        <w:t>es</w:t>
      </w:r>
      <w:r w:rsidRPr="00781CF7">
        <w:rPr>
          <w:rFonts w:ascii="Arial" w:hAnsi="Arial" w:cs="Arial"/>
          <w:sz w:val="24"/>
          <w:szCs w:val="24"/>
        </w:rPr>
        <w:t xml:space="preserve">, </w:t>
      </w:r>
      <w:r>
        <w:rPr>
          <w:rFonts w:ascii="Arial" w:hAnsi="Arial" w:cs="Arial"/>
          <w:sz w:val="24"/>
          <w:szCs w:val="24"/>
        </w:rPr>
        <w:t xml:space="preserve">que sin duda resultan </w:t>
      </w:r>
      <w:r w:rsidRPr="00781CF7">
        <w:rPr>
          <w:rFonts w:ascii="Arial" w:hAnsi="Arial" w:cs="Arial"/>
          <w:sz w:val="24"/>
          <w:szCs w:val="24"/>
        </w:rPr>
        <w:t xml:space="preserve">inescindible a la naturaleza misma de la contratación, pues no tiene sentido que quien contrata la realización de una obra o la prestación de un servicio no pueda tan siquiera vigilar la ejecución de lo contratado. </w:t>
      </w:r>
    </w:p>
    <w:p w:rsidR="00B862CB" w:rsidRDefault="00B862CB" w:rsidP="00BD4792">
      <w:pPr>
        <w:pStyle w:val="Sinespaciado"/>
        <w:spacing w:line="276" w:lineRule="auto"/>
        <w:jc w:val="both"/>
        <w:rPr>
          <w:rFonts w:ascii="Arial" w:hAnsi="Arial" w:cs="Arial"/>
          <w:sz w:val="24"/>
          <w:szCs w:val="24"/>
        </w:rPr>
      </w:pPr>
    </w:p>
    <w:p w:rsidR="00B862CB" w:rsidRPr="00781CF7" w:rsidRDefault="00B862CB" w:rsidP="00B862CB">
      <w:pPr>
        <w:pStyle w:val="Sinespaciado"/>
        <w:spacing w:line="276" w:lineRule="auto"/>
        <w:jc w:val="both"/>
        <w:rPr>
          <w:rFonts w:ascii="Arial" w:hAnsi="Arial" w:cs="Arial"/>
          <w:sz w:val="24"/>
          <w:szCs w:val="24"/>
        </w:rPr>
      </w:pPr>
      <w:r w:rsidRPr="00781CF7">
        <w:rPr>
          <w:rFonts w:ascii="Arial" w:hAnsi="Arial" w:cs="Arial"/>
          <w:sz w:val="24"/>
          <w:szCs w:val="24"/>
        </w:rPr>
        <w:t>Lo que no puede hacerse, sin la consecuencia de mutar la naturaleza de lo convenido, es romper la autonomía del contratista, imponiéndole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w:t>
      </w:r>
    </w:p>
    <w:p w:rsidR="00B862CB" w:rsidRPr="00781CF7" w:rsidRDefault="00B862CB" w:rsidP="00B862CB">
      <w:pPr>
        <w:pStyle w:val="Sinespaciado"/>
        <w:spacing w:line="276" w:lineRule="auto"/>
        <w:jc w:val="both"/>
        <w:rPr>
          <w:rFonts w:ascii="Arial" w:hAnsi="Arial" w:cs="Arial"/>
          <w:sz w:val="24"/>
          <w:szCs w:val="24"/>
        </w:rPr>
      </w:pPr>
    </w:p>
    <w:p w:rsidR="00B862CB" w:rsidRPr="00781CF7" w:rsidRDefault="00B862CB" w:rsidP="00B862CB">
      <w:pPr>
        <w:pStyle w:val="Sinespaciado"/>
        <w:spacing w:line="276" w:lineRule="auto"/>
        <w:jc w:val="both"/>
        <w:rPr>
          <w:rFonts w:ascii="Arial" w:hAnsi="Arial" w:cs="Arial"/>
          <w:sz w:val="24"/>
          <w:szCs w:val="24"/>
        </w:rPr>
      </w:pPr>
      <w:r w:rsidRPr="00781CF7">
        <w:rPr>
          <w:rFonts w:ascii="Arial" w:hAnsi="Arial" w:cs="Arial"/>
          <w:sz w:val="24"/>
          <w:szCs w:val="24"/>
        </w:rPr>
        <w:t>Es pues claro, que la subordinación derivada de un contrato de trabajo, es especial e implica una sujeción del trabajador al empleador en todas las condiciones de la ejecución del contrato, lo que se traduce en la imposibilidad de autonomía del trabajador, mientras que la sujeción que existe entre contratista y contratante en un contrato civil  o comercial en ningún caso puede desvirtuar la independencia que tiene el primero.</w:t>
      </w:r>
    </w:p>
    <w:p w:rsidR="00BD4792" w:rsidRDefault="00BD4792" w:rsidP="00544C11">
      <w:pPr>
        <w:spacing w:line="276" w:lineRule="auto"/>
        <w:jc w:val="both"/>
        <w:rPr>
          <w:rFonts w:ascii="Arial" w:eastAsia="Arial" w:hAnsi="Arial" w:cs="Arial"/>
          <w:szCs w:val="26"/>
        </w:rPr>
      </w:pPr>
    </w:p>
    <w:p w:rsidR="00544C11" w:rsidRDefault="00544C11" w:rsidP="00544C1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544C11" w:rsidRDefault="00544C11" w:rsidP="00544C11">
      <w:pPr>
        <w:suppressAutoHyphens/>
        <w:overflowPunct w:val="0"/>
        <w:autoSpaceDE w:val="0"/>
        <w:autoSpaceDN w:val="0"/>
        <w:adjustRightInd w:val="0"/>
        <w:spacing w:line="276" w:lineRule="auto"/>
        <w:jc w:val="both"/>
        <w:textAlignment w:val="baseline"/>
        <w:rPr>
          <w:rFonts w:ascii="Arial" w:hAnsi="Arial" w:cs="Arial"/>
          <w:b/>
          <w:szCs w:val="24"/>
        </w:rPr>
      </w:pPr>
    </w:p>
    <w:p w:rsidR="00544C11" w:rsidRDefault="00544C11" w:rsidP="00544C11">
      <w:pPr>
        <w:spacing w:line="276" w:lineRule="auto"/>
        <w:jc w:val="both"/>
        <w:rPr>
          <w:rFonts w:ascii="Arial" w:hAnsi="Arial" w:cs="Arial"/>
          <w:szCs w:val="24"/>
        </w:rPr>
      </w:pPr>
      <w:r w:rsidRPr="00531EFA">
        <w:rPr>
          <w:rFonts w:ascii="Arial" w:hAnsi="Arial" w:cs="Arial"/>
          <w:szCs w:val="24"/>
        </w:rPr>
        <w:t>De manera liminar</w:t>
      </w:r>
      <w:r>
        <w:rPr>
          <w:rFonts w:ascii="Arial" w:hAnsi="Arial" w:cs="Arial"/>
          <w:szCs w:val="24"/>
        </w:rPr>
        <w:t xml:space="preserve"> </w:t>
      </w:r>
      <w:r w:rsidRPr="00531EFA">
        <w:rPr>
          <w:rFonts w:ascii="Arial" w:hAnsi="Arial" w:cs="Arial"/>
          <w:szCs w:val="24"/>
        </w:rPr>
        <w:t>debe advertirse</w:t>
      </w:r>
      <w:r>
        <w:rPr>
          <w:rFonts w:ascii="Arial" w:eastAsia="Arial" w:hAnsi="Arial" w:cs="Arial"/>
          <w:szCs w:val="26"/>
        </w:rPr>
        <w:t xml:space="preserve"> que</w:t>
      </w:r>
      <w:r w:rsidRPr="00531EFA">
        <w:rPr>
          <w:rFonts w:ascii="Arial" w:eastAsia="Arial" w:hAnsi="Arial" w:cs="Arial"/>
          <w:szCs w:val="26"/>
        </w:rPr>
        <w:t xml:space="preserve"> para que </w:t>
      </w:r>
      <w:r>
        <w:rPr>
          <w:rFonts w:ascii="Arial" w:eastAsia="Arial" w:hAnsi="Arial" w:cs="Arial"/>
          <w:szCs w:val="26"/>
        </w:rPr>
        <w:t xml:space="preserve">haya lugar a </w:t>
      </w:r>
      <w:r w:rsidRPr="00531EFA">
        <w:rPr>
          <w:rFonts w:ascii="Arial" w:eastAsia="Arial" w:hAnsi="Arial" w:cs="Arial"/>
          <w:szCs w:val="26"/>
        </w:rPr>
        <w:t xml:space="preserve">la </w:t>
      </w:r>
      <w:r>
        <w:rPr>
          <w:rFonts w:ascii="Arial" w:eastAsia="Arial" w:hAnsi="Arial" w:cs="Arial"/>
          <w:szCs w:val="26"/>
        </w:rPr>
        <w:t>confesión ficta</w:t>
      </w:r>
      <w:r w:rsidRPr="00531EFA">
        <w:rPr>
          <w:rFonts w:ascii="Arial" w:eastAsia="Arial" w:hAnsi="Arial" w:cs="Arial"/>
          <w:szCs w:val="26"/>
        </w:rPr>
        <w:t xml:space="preserve">, </w:t>
      </w:r>
      <w:r>
        <w:rPr>
          <w:rFonts w:ascii="Arial" w:eastAsia="Arial" w:hAnsi="Arial" w:cs="Arial"/>
          <w:szCs w:val="26"/>
        </w:rPr>
        <w:t xml:space="preserve">ya por inasistencia a la audiencia de conciliación o a rendir interrogatorio solicitado </w:t>
      </w:r>
      <w:r>
        <w:rPr>
          <w:rFonts w:ascii="Arial" w:eastAsia="Arial" w:hAnsi="Arial" w:cs="Arial"/>
          <w:szCs w:val="26"/>
        </w:rPr>
        <w:lastRenderedPageBreak/>
        <w:t xml:space="preserve">por la parte contraria (artículos 77 y 59 </w:t>
      </w:r>
      <w:proofErr w:type="spellStart"/>
      <w:r>
        <w:rPr>
          <w:rFonts w:ascii="Arial" w:eastAsia="Arial" w:hAnsi="Arial" w:cs="Arial"/>
          <w:szCs w:val="26"/>
        </w:rPr>
        <w:t>CPTSS</w:t>
      </w:r>
      <w:proofErr w:type="spellEnd"/>
      <w:r>
        <w:rPr>
          <w:rFonts w:ascii="Arial" w:eastAsia="Arial" w:hAnsi="Arial" w:cs="Arial"/>
          <w:szCs w:val="26"/>
        </w:rPr>
        <w:t xml:space="preserve">), </w:t>
      </w:r>
      <w:r w:rsidRPr="00531EFA">
        <w:rPr>
          <w:rFonts w:ascii="Arial" w:eastAsia="Arial" w:hAnsi="Arial" w:cs="Arial"/>
          <w:szCs w:val="26"/>
        </w:rPr>
        <w:t xml:space="preserve">es necesario que el funcionario judicial de manera concreta mencione en el acta los hechos </w:t>
      </w:r>
      <w:r>
        <w:rPr>
          <w:rFonts w:ascii="Arial" w:eastAsia="Arial" w:hAnsi="Arial" w:cs="Arial"/>
          <w:szCs w:val="26"/>
        </w:rPr>
        <w:t>que</w:t>
      </w:r>
      <w:r w:rsidRPr="00531EFA">
        <w:rPr>
          <w:rFonts w:ascii="Arial" w:hAnsi="Arial" w:cs="Arial"/>
          <w:szCs w:val="24"/>
        </w:rPr>
        <w:t xml:space="preserve"> presume ciertos</w:t>
      </w:r>
      <w:r w:rsidR="006219D5">
        <w:rPr>
          <w:rFonts w:ascii="Arial" w:hAnsi="Arial" w:cs="Arial"/>
          <w:szCs w:val="24"/>
        </w:rPr>
        <w:t>,</w:t>
      </w:r>
      <w:r w:rsidRPr="00531EFA">
        <w:rPr>
          <w:rFonts w:ascii="Arial" w:hAnsi="Arial" w:cs="Arial"/>
          <w:szCs w:val="24"/>
        </w:rPr>
        <w:t xml:space="preserve"> </w:t>
      </w:r>
      <w:r w:rsidRPr="00531EFA">
        <w:rPr>
          <w:rFonts w:ascii="Arial" w:eastAsia="Arial" w:hAnsi="Arial" w:cs="Arial"/>
          <w:szCs w:val="26"/>
        </w:rPr>
        <w:t>exigencia sobre la que se ha pronunciado el órgano de cierre de esta especialidad</w:t>
      </w:r>
      <w:r w:rsidRPr="00531EFA">
        <w:rPr>
          <w:rFonts w:ascii="Arial" w:hAnsi="Arial" w:cs="Arial"/>
          <w:szCs w:val="24"/>
        </w:rPr>
        <w:t>, con el fin de que la parte en la que recae la sanción tenga claridad sobre ellos y pueda desvirtuarlos, teniendo en cuenta que puede ser infirmada al valorarse junto con los demás medios probatorios.</w:t>
      </w:r>
    </w:p>
    <w:p w:rsidR="00544C11" w:rsidRPr="00531EFA" w:rsidRDefault="00544C11" w:rsidP="00544C11">
      <w:pPr>
        <w:spacing w:line="276" w:lineRule="auto"/>
        <w:jc w:val="both"/>
        <w:rPr>
          <w:rFonts w:ascii="Arial" w:hAnsi="Arial" w:cs="Arial"/>
          <w:szCs w:val="24"/>
        </w:rPr>
      </w:pPr>
    </w:p>
    <w:p w:rsidR="00544C11" w:rsidRDefault="00544C11" w:rsidP="00544C11">
      <w:pPr>
        <w:spacing w:line="276" w:lineRule="auto"/>
        <w:jc w:val="both"/>
        <w:rPr>
          <w:rFonts w:ascii="Arial" w:hAnsi="Arial" w:cs="Arial"/>
          <w:szCs w:val="24"/>
        </w:rPr>
      </w:pPr>
      <w:r>
        <w:rPr>
          <w:rFonts w:ascii="Arial" w:hAnsi="Arial" w:cs="Arial"/>
          <w:szCs w:val="24"/>
        </w:rPr>
        <w:t>Y precisamente se observa dentro de esta actuación, que el juez en la audiencia de trámite y juzgamiento realizada el 09/12/2015 (</w:t>
      </w:r>
      <w:proofErr w:type="spellStart"/>
      <w:r>
        <w:rPr>
          <w:rFonts w:ascii="Arial" w:hAnsi="Arial" w:cs="Arial"/>
          <w:szCs w:val="24"/>
        </w:rPr>
        <w:t>fl</w:t>
      </w:r>
      <w:proofErr w:type="spellEnd"/>
      <w:r>
        <w:rPr>
          <w:rFonts w:ascii="Arial" w:hAnsi="Arial" w:cs="Arial"/>
          <w:szCs w:val="24"/>
        </w:rPr>
        <w:t>. 88</w:t>
      </w:r>
      <w:r w:rsidRPr="00B80A96">
        <w:rPr>
          <w:rFonts w:ascii="Arial" w:hAnsi="Arial" w:cs="Arial"/>
          <w:szCs w:val="24"/>
        </w:rPr>
        <w:t>)</w:t>
      </w:r>
      <w:r>
        <w:rPr>
          <w:rFonts w:ascii="Arial" w:hAnsi="Arial" w:cs="Arial"/>
          <w:szCs w:val="24"/>
        </w:rPr>
        <w:t>, ante la inasistencia de la parte demandada, los hizo merecedores de la sanción de tenerse por ciertos los hechos de la demanda susceptibles de confesión; de tal manera, que se tiene por probado por confesión ficta de los dos demandados</w:t>
      </w:r>
      <w:r w:rsidR="00C069F5">
        <w:rPr>
          <w:rFonts w:ascii="Arial" w:hAnsi="Arial" w:cs="Arial"/>
          <w:szCs w:val="24"/>
        </w:rPr>
        <w:t>, en relación con la modalidad contractual que los unió, los siguientes supuestos fácticos</w:t>
      </w:r>
      <w:r w:rsidRPr="00B80A96">
        <w:rPr>
          <w:rFonts w:ascii="Arial" w:hAnsi="Arial" w:cs="Arial"/>
          <w:szCs w:val="24"/>
        </w:rPr>
        <w:t xml:space="preserve">: </w:t>
      </w:r>
    </w:p>
    <w:p w:rsidR="00544C11" w:rsidRDefault="00544C11" w:rsidP="00544C11">
      <w:pPr>
        <w:spacing w:line="276" w:lineRule="auto"/>
        <w:jc w:val="both"/>
        <w:rPr>
          <w:rFonts w:ascii="Arial" w:hAnsi="Arial" w:cs="Arial"/>
          <w:szCs w:val="24"/>
        </w:rPr>
      </w:pPr>
    </w:p>
    <w:p w:rsidR="00C069F5" w:rsidRDefault="007B78C3" w:rsidP="00544C11">
      <w:pPr>
        <w:spacing w:line="276" w:lineRule="auto"/>
        <w:jc w:val="both"/>
        <w:rPr>
          <w:rFonts w:ascii="Arial" w:hAnsi="Arial" w:cs="Arial"/>
          <w:szCs w:val="24"/>
        </w:rPr>
      </w:pPr>
      <w:r>
        <w:rPr>
          <w:rFonts w:ascii="Arial" w:hAnsi="Arial" w:cs="Arial"/>
          <w:szCs w:val="24"/>
        </w:rPr>
        <w:t>(i) E</w:t>
      </w:r>
      <w:r w:rsidRPr="006516E0">
        <w:rPr>
          <w:rFonts w:ascii="Arial" w:hAnsi="Arial" w:cs="Arial"/>
          <w:szCs w:val="24"/>
        </w:rPr>
        <w:t>l señor José Israel Amador Ávila encargó de la administración a su hermano E</w:t>
      </w:r>
      <w:r>
        <w:rPr>
          <w:rFonts w:ascii="Arial" w:hAnsi="Arial" w:cs="Arial"/>
          <w:szCs w:val="24"/>
        </w:rPr>
        <w:t xml:space="preserve">zequiel </w:t>
      </w:r>
      <w:r w:rsidRPr="006516E0">
        <w:rPr>
          <w:rFonts w:ascii="Arial" w:hAnsi="Arial" w:cs="Arial"/>
          <w:szCs w:val="24"/>
        </w:rPr>
        <w:t>Amador</w:t>
      </w:r>
      <w:r>
        <w:rPr>
          <w:rFonts w:ascii="Arial" w:hAnsi="Arial" w:cs="Arial"/>
          <w:szCs w:val="24"/>
        </w:rPr>
        <w:t xml:space="preserve"> Ávila; (ii)</w:t>
      </w:r>
      <w:r w:rsidRPr="006516E0">
        <w:rPr>
          <w:rFonts w:ascii="Arial" w:hAnsi="Arial" w:cs="Arial"/>
          <w:szCs w:val="24"/>
        </w:rPr>
        <w:t xml:space="preserve"> Wilson</w:t>
      </w:r>
      <w:r>
        <w:rPr>
          <w:rFonts w:ascii="Arial" w:hAnsi="Arial" w:cs="Arial"/>
          <w:szCs w:val="24"/>
        </w:rPr>
        <w:t xml:space="preserve"> Giraldo Ríos</w:t>
      </w:r>
      <w:r w:rsidRPr="006516E0">
        <w:rPr>
          <w:rFonts w:ascii="Arial" w:hAnsi="Arial" w:cs="Arial"/>
          <w:szCs w:val="24"/>
        </w:rPr>
        <w:t xml:space="preserve"> fue contratado por el administrador d</w:t>
      </w:r>
      <w:r>
        <w:rPr>
          <w:rFonts w:ascii="Arial" w:hAnsi="Arial" w:cs="Arial"/>
          <w:szCs w:val="24"/>
        </w:rPr>
        <w:t>e la obra E</w:t>
      </w:r>
      <w:r w:rsidRPr="006516E0">
        <w:rPr>
          <w:rFonts w:ascii="Arial" w:hAnsi="Arial" w:cs="Arial"/>
          <w:szCs w:val="24"/>
        </w:rPr>
        <w:t>zequiel</w:t>
      </w:r>
      <w:r>
        <w:rPr>
          <w:rFonts w:ascii="Arial" w:hAnsi="Arial" w:cs="Arial"/>
          <w:szCs w:val="24"/>
        </w:rPr>
        <w:t xml:space="preserve"> Amador Ávila</w:t>
      </w:r>
      <w:r w:rsidRPr="006516E0">
        <w:rPr>
          <w:rFonts w:ascii="Arial" w:hAnsi="Arial" w:cs="Arial"/>
          <w:szCs w:val="24"/>
        </w:rPr>
        <w:t xml:space="preserve">, la cual se hizo en forma verbal; </w:t>
      </w:r>
      <w:r>
        <w:rPr>
          <w:rFonts w:ascii="Arial" w:hAnsi="Arial" w:cs="Arial"/>
          <w:szCs w:val="24"/>
        </w:rPr>
        <w:t xml:space="preserve">(iii) </w:t>
      </w:r>
      <w:r w:rsidRPr="006516E0">
        <w:rPr>
          <w:rFonts w:ascii="Arial" w:hAnsi="Arial" w:cs="Arial"/>
          <w:szCs w:val="24"/>
        </w:rPr>
        <w:t xml:space="preserve">Wilson </w:t>
      </w:r>
      <w:r>
        <w:rPr>
          <w:rFonts w:ascii="Arial" w:hAnsi="Arial" w:cs="Arial"/>
          <w:szCs w:val="24"/>
        </w:rPr>
        <w:t>Giraldo Ríos</w:t>
      </w:r>
      <w:r w:rsidRPr="006516E0">
        <w:rPr>
          <w:rFonts w:ascii="Arial" w:hAnsi="Arial" w:cs="Arial"/>
          <w:szCs w:val="24"/>
        </w:rPr>
        <w:t xml:space="preserve"> inició labores el día el 15</w:t>
      </w:r>
      <w:r>
        <w:rPr>
          <w:rFonts w:ascii="Arial" w:hAnsi="Arial" w:cs="Arial"/>
          <w:szCs w:val="24"/>
        </w:rPr>
        <w:t>/02/2014</w:t>
      </w:r>
      <w:r w:rsidR="006268C9">
        <w:rPr>
          <w:rFonts w:ascii="Arial" w:hAnsi="Arial" w:cs="Arial"/>
          <w:szCs w:val="24"/>
        </w:rPr>
        <w:t>, la que ejecutaba</w:t>
      </w:r>
      <w:r w:rsidRPr="006516E0">
        <w:rPr>
          <w:rFonts w:ascii="Arial" w:hAnsi="Arial" w:cs="Arial"/>
          <w:szCs w:val="24"/>
        </w:rPr>
        <w:t xml:space="preserve"> todos los días de </w:t>
      </w:r>
      <w:r>
        <w:rPr>
          <w:rFonts w:ascii="Arial" w:hAnsi="Arial" w:cs="Arial"/>
          <w:szCs w:val="24"/>
        </w:rPr>
        <w:t>l</w:t>
      </w:r>
      <w:r w:rsidRPr="006516E0">
        <w:rPr>
          <w:rFonts w:ascii="Arial" w:hAnsi="Arial" w:cs="Arial"/>
          <w:szCs w:val="24"/>
        </w:rPr>
        <w:t>a semana en un horario de 7</w:t>
      </w:r>
      <w:r w:rsidR="00C069F5">
        <w:rPr>
          <w:rFonts w:ascii="Arial" w:hAnsi="Arial" w:cs="Arial"/>
          <w:szCs w:val="24"/>
        </w:rPr>
        <w:t xml:space="preserve">:00 a.m. </w:t>
      </w:r>
      <w:r w:rsidRPr="006516E0">
        <w:rPr>
          <w:rFonts w:ascii="Arial" w:hAnsi="Arial" w:cs="Arial"/>
          <w:szCs w:val="24"/>
        </w:rPr>
        <w:t>a</w:t>
      </w:r>
      <w:r w:rsidR="00C069F5">
        <w:rPr>
          <w:rFonts w:ascii="Arial" w:hAnsi="Arial" w:cs="Arial"/>
          <w:szCs w:val="24"/>
        </w:rPr>
        <w:t xml:space="preserve"> 6:00 p.m.</w:t>
      </w:r>
      <w:r w:rsidRPr="006516E0">
        <w:rPr>
          <w:rFonts w:ascii="Arial" w:hAnsi="Arial" w:cs="Arial"/>
          <w:szCs w:val="24"/>
        </w:rPr>
        <w:t xml:space="preserve">, con descanso de una hora al medio día; </w:t>
      </w:r>
      <w:r w:rsidR="00C069F5">
        <w:rPr>
          <w:rFonts w:ascii="Arial" w:hAnsi="Arial" w:cs="Arial"/>
          <w:szCs w:val="24"/>
        </w:rPr>
        <w:t xml:space="preserve">(iv) </w:t>
      </w:r>
      <w:r w:rsidRPr="006516E0">
        <w:rPr>
          <w:rFonts w:ascii="Arial" w:hAnsi="Arial" w:cs="Arial"/>
          <w:szCs w:val="24"/>
        </w:rPr>
        <w:t>Wilson</w:t>
      </w:r>
      <w:r w:rsidR="00C069F5">
        <w:rPr>
          <w:rFonts w:ascii="Arial" w:hAnsi="Arial" w:cs="Arial"/>
          <w:szCs w:val="24"/>
        </w:rPr>
        <w:t xml:space="preserve"> Giraldo Ríos</w:t>
      </w:r>
      <w:r w:rsidRPr="006516E0">
        <w:rPr>
          <w:rFonts w:ascii="Arial" w:hAnsi="Arial" w:cs="Arial"/>
          <w:szCs w:val="24"/>
        </w:rPr>
        <w:t xml:space="preserve"> </w:t>
      </w:r>
      <w:r w:rsidR="00C069F5">
        <w:rPr>
          <w:rFonts w:ascii="Arial" w:hAnsi="Arial" w:cs="Arial"/>
          <w:szCs w:val="24"/>
        </w:rPr>
        <w:t>recibía de salario la suma de $250.000</w:t>
      </w:r>
      <w:r w:rsidRPr="006516E0">
        <w:rPr>
          <w:rFonts w:ascii="Arial" w:hAnsi="Arial" w:cs="Arial"/>
          <w:szCs w:val="24"/>
        </w:rPr>
        <w:t xml:space="preserve"> semanales y </w:t>
      </w:r>
      <w:r w:rsidR="00C069F5">
        <w:rPr>
          <w:rFonts w:ascii="Arial" w:hAnsi="Arial" w:cs="Arial"/>
          <w:szCs w:val="24"/>
        </w:rPr>
        <w:t>$1.000.000</w:t>
      </w:r>
      <w:r w:rsidRPr="006516E0">
        <w:rPr>
          <w:rFonts w:ascii="Arial" w:hAnsi="Arial" w:cs="Arial"/>
          <w:szCs w:val="24"/>
        </w:rPr>
        <w:t xml:space="preserve"> mensuales</w:t>
      </w:r>
      <w:r w:rsidR="00DE34EB">
        <w:rPr>
          <w:rFonts w:ascii="Arial" w:hAnsi="Arial" w:cs="Arial"/>
          <w:szCs w:val="24"/>
        </w:rPr>
        <w:t>.</w:t>
      </w:r>
    </w:p>
    <w:p w:rsidR="00C069F5" w:rsidRDefault="00C069F5" w:rsidP="00544C11">
      <w:pPr>
        <w:spacing w:line="276" w:lineRule="auto"/>
        <w:jc w:val="both"/>
        <w:rPr>
          <w:rFonts w:ascii="Arial" w:hAnsi="Arial" w:cs="Arial"/>
          <w:szCs w:val="24"/>
        </w:rPr>
      </w:pPr>
    </w:p>
    <w:p w:rsidR="00E63CEA" w:rsidRDefault="00B7552B" w:rsidP="00B7552B">
      <w:pPr>
        <w:autoSpaceDE w:val="0"/>
        <w:autoSpaceDN w:val="0"/>
        <w:adjustRightInd w:val="0"/>
        <w:spacing w:line="276" w:lineRule="auto"/>
        <w:jc w:val="both"/>
        <w:rPr>
          <w:rFonts w:ascii="Arial" w:hAnsi="Arial" w:cs="Arial"/>
          <w:szCs w:val="24"/>
        </w:rPr>
      </w:pPr>
      <w:r>
        <w:rPr>
          <w:rFonts w:ascii="Arial" w:hAnsi="Arial" w:cs="Arial"/>
          <w:szCs w:val="24"/>
        </w:rPr>
        <w:t xml:space="preserve">Aunado a lo anterior, </w:t>
      </w:r>
      <w:r w:rsidR="00E63CEA">
        <w:rPr>
          <w:rFonts w:ascii="Arial" w:hAnsi="Arial" w:cs="Arial"/>
          <w:szCs w:val="24"/>
        </w:rPr>
        <w:t>el señor Ezequiel Amador Ávila, al dar respuesta a la demanda, aceptó que</w:t>
      </w:r>
      <w:r w:rsidR="00450D52">
        <w:rPr>
          <w:rFonts w:ascii="Arial" w:hAnsi="Arial" w:cs="Arial"/>
          <w:szCs w:val="24"/>
        </w:rPr>
        <w:t xml:space="preserve"> suscribió un contrato con</w:t>
      </w:r>
      <w:r w:rsidR="00E63CEA">
        <w:rPr>
          <w:rFonts w:ascii="Arial" w:hAnsi="Arial" w:cs="Arial"/>
          <w:szCs w:val="24"/>
        </w:rPr>
        <w:t xml:space="preserve"> </w:t>
      </w:r>
      <w:r w:rsidR="00E63CEA" w:rsidRPr="006516E0">
        <w:rPr>
          <w:rFonts w:ascii="Arial" w:hAnsi="Arial" w:cs="Arial"/>
          <w:szCs w:val="24"/>
        </w:rPr>
        <w:t>Wilson</w:t>
      </w:r>
      <w:r w:rsidR="00E63CEA">
        <w:rPr>
          <w:rFonts w:ascii="Arial" w:hAnsi="Arial" w:cs="Arial"/>
          <w:szCs w:val="24"/>
        </w:rPr>
        <w:t xml:space="preserve"> Giraldo Ríos</w:t>
      </w:r>
      <w:r w:rsidR="00450D52">
        <w:rPr>
          <w:rFonts w:ascii="Arial" w:hAnsi="Arial" w:cs="Arial"/>
          <w:szCs w:val="24"/>
        </w:rPr>
        <w:t>, que inició el 03/03/2014 y cuyos servicios fueron prestados entre el lunes y el sábado al medio día.</w:t>
      </w:r>
    </w:p>
    <w:p w:rsidR="00B7552B" w:rsidRDefault="00450D52" w:rsidP="00B7552B">
      <w:pPr>
        <w:autoSpaceDE w:val="0"/>
        <w:autoSpaceDN w:val="0"/>
        <w:adjustRightInd w:val="0"/>
        <w:spacing w:line="276" w:lineRule="auto"/>
        <w:jc w:val="both"/>
        <w:rPr>
          <w:rFonts w:ascii="Arial" w:hAnsi="Arial" w:cs="Arial"/>
          <w:szCs w:val="24"/>
        </w:rPr>
      </w:pPr>
      <w:r>
        <w:rPr>
          <w:rFonts w:ascii="Arial" w:hAnsi="Arial" w:cs="Arial"/>
          <w:szCs w:val="24"/>
        </w:rPr>
        <w:t xml:space="preserve">Por su  parte, en </w:t>
      </w:r>
      <w:r w:rsidR="00B7552B">
        <w:rPr>
          <w:rFonts w:ascii="Arial" w:hAnsi="Arial" w:cs="Arial"/>
          <w:szCs w:val="24"/>
        </w:rPr>
        <w:t>la contestación que a la demanda realizó el señor José Israel Amador Ávila, fue presentada de manera extemporánea, por lo tanto, tal conducta, se tuvo como indicio grave en su contra.</w:t>
      </w:r>
    </w:p>
    <w:p w:rsidR="0084452E" w:rsidRDefault="0084452E" w:rsidP="00B7552B">
      <w:pPr>
        <w:autoSpaceDE w:val="0"/>
        <w:autoSpaceDN w:val="0"/>
        <w:adjustRightInd w:val="0"/>
        <w:spacing w:line="276" w:lineRule="auto"/>
        <w:jc w:val="both"/>
        <w:rPr>
          <w:rFonts w:ascii="Arial" w:hAnsi="Arial" w:cs="Arial"/>
          <w:szCs w:val="24"/>
        </w:rPr>
      </w:pPr>
    </w:p>
    <w:p w:rsidR="009F2D61" w:rsidRDefault="00E63CEA" w:rsidP="00B7552B">
      <w:pPr>
        <w:autoSpaceDE w:val="0"/>
        <w:autoSpaceDN w:val="0"/>
        <w:adjustRightInd w:val="0"/>
        <w:spacing w:line="276" w:lineRule="auto"/>
        <w:jc w:val="both"/>
        <w:rPr>
          <w:rFonts w:ascii="Arial" w:hAnsi="Arial" w:cs="Arial"/>
          <w:szCs w:val="24"/>
        </w:rPr>
      </w:pPr>
      <w:r>
        <w:rPr>
          <w:rFonts w:ascii="Arial" w:hAnsi="Arial" w:cs="Arial"/>
          <w:szCs w:val="24"/>
        </w:rPr>
        <w:t>A</w:t>
      </w:r>
      <w:r w:rsidR="00450D52">
        <w:rPr>
          <w:rFonts w:ascii="Arial" w:hAnsi="Arial" w:cs="Arial"/>
          <w:szCs w:val="24"/>
        </w:rPr>
        <w:t xml:space="preserve">sí las cosas, al no existir dubitación de la prestación personal del servicio del señor Wilson Giraldo Ríos, nace a su favor la presunción de existencia del contrato prevista en el artículo 24 del </w:t>
      </w:r>
      <w:proofErr w:type="spellStart"/>
      <w:r w:rsidR="00450D52">
        <w:rPr>
          <w:rFonts w:ascii="Arial" w:hAnsi="Arial" w:cs="Arial"/>
          <w:szCs w:val="24"/>
        </w:rPr>
        <w:t>C.S.T</w:t>
      </w:r>
      <w:proofErr w:type="spellEnd"/>
      <w:r w:rsidR="00450D52">
        <w:rPr>
          <w:rFonts w:ascii="Arial" w:hAnsi="Arial" w:cs="Arial"/>
          <w:szCs w:val="24"/>
        </w:rPr>
        <w:t xml:space="preserve">., el que en concordancia con la confesión ficta, ha de entenderse realizado con ambos demandados. </w:t>
      </w:r>
    </w:p>
    <w:p w:rsidR="00B7552B" w:rsidRDefault="00B7552B" w:rsidP="00B7552B">
      <w:pPr>
        <w:autoSpaceDE w:val="0"/>
        <w:autoSpaceDN w:val="0"/>
        <w:adjustRightInd w:val="0"/>
        <w:spacing w:line="276" w:lineRule="auto"/>
        <w:jc w:val="both"/>
        <w:rPr>
          <w:rFonts w:ascii="Arial" w:hAnsi="Arial" w:cs="Arial"/>
          <w:szCs w:val="24"/>
        </w:rPr>
      </w:pPr>
    </w:p>
    <w:p w:rsidR="00544C11" w:rsidRDefault="00544C11" w:rsidP="00544C11">
      <w:pPr>
        <w:autoSpaceDE w:val="0"/>
        <w:autoSpaceDN w:val="0"/>
        <w:adjustRightInd w:val="0"/>
        <w:spacing w:line="276" w:lineRule="auto"/>
        <w:jc w:val="both"/>
        <w:rPr>
          <w:rFonts w:ascii="Arial" w:hAnsi="Arial" w:cs="Arial"/>
          <w:szCs w:val="24"/>
        </w:rPr>
      </w:pPr>
      <w:r w:rsidRPr="00CB432B">
        <w:rPr>
          <w:rFonts w:ascii="Arial" w:hAnsi="Arial" w:cs="Arial"/>
          <w:szCs w:val="24"/>
        </w:rPr>
        <w:t xml:space="preserve">Conforme a lo anterior, esta Sala entrará a determinar si los </w:t>
      </w:r>
      <w:r w:rsidR="003F0D83">
        <w:rPr>
          <w:rFonts w:ascii="Arial" w:hAnsi="Arial" w:cs="Arial"/>
          <w:szCs w:val="24"/>
        </w:rPr>
        <w:t xml:space="preserve">hechos </w:t>
      </w:r>
      <w:r w:rsidRPr="00CB432B">
        <w:rPr>
          <w:rFonts w:ascii="Arial" w:hAnsi="Arial" w:cs="Arial"/>
          <w:szCs w:val="24"/>
        </w:rPr>
        <w:t xml:space="preserve">que se dieron por probados, en razón </w:t>
      </w:r>
      <w:r w:rsidR="00DC3EAA">
        <w:rPr>
          <w:rFonts w:ascii="Arial" w:hAnsi="Arial" w:cs="Arial"/>
          <w:szCs w:val="24"/>
        </w:rPr>
        <w:t>de la presunción y de la</w:t>
      </w:r>
      <w:r w:rsidRPr="00CB432B">
        <w:rPr>
          <w:rFonts w:ascii="Arial" w:hAnsi="Arial" w:cs="Arial"/>
          <w:szCs w:val="24"/>
        </w:rPr>
        <w:t xml:space="preserve"> sanción procesal</w:t>
      </w:r>
      <w:r>
        <w:rPr>
          <w:rFonts w:ascii="Arial" w:hAnsi="Arial" w:cs="Arial"/>
          <w:szCs w:val="24"/>
        </w:rPr>
        <w:t xml:space="preserve">, </w:t>
      </w:r>
      <w:r w:rsidRPr="00CB432B">
        <w:rPr>
          <w:rFonts w:ascii="Arial" w:hAnsi="Arial" w:cs="Arial"/>
          <w:szCs w:val="24"/>
        </w:rPr>
        <w:t>que constituye prueba de confesión, se desvirtuaron con los documentos y testimoni</w:t>
      </w:r>
      <w:r w:rsidR="00DC3EAA">
        <w:rPr>
          <w:rFonts w:ascii="Arial" w:hAnsi="Arial" w:cs="Arial"/>
          <w:szCs w:val="24"/>
        </w:rPr>
        <w:t xml:space="preserve">os </w:t>
      </w:r>
      <w:r w:rsidRPr="00CB432B">
        <w:rPr>
          <w:rFonts w:ascii="Arial" w:hAnsi="Arial" w:cs="Arial"/>
          <w:szCs w:val="24"/>
        </w:rPr>
        <w:t>aportados al proceso</w:t>
      </w:r>
      <w:r>
        <w:rPr>
          <w:rFonts w:ascii="Arial" w:hAnsi="Arial" w:cs="Arial"/>
          <w:szCs w:val="24"/>
        </w:rPr>
        <w:t>.</w:t>
      </w:r>
    </w:p>
    <w:p w:rsidR="00B7552B" w:rsidRDefault="00B7552B" w:rsidP="00544C11">
      <w:pPr>
        <w:autoSpaceDE w:val="0"/>
        <w:autoSpaceDN w:val="0"/>
        <w:adjustRightInd w:val="0"/>
        <w:spacing w:line="276" w:lineRule="auto"/>
        <w:jc w:val="both"/>
        <w:rPr>
          <w:rFonts w:ascii="Arial" w:hAnsi="Arial" w:cs="Arial"/>
          <w:szCs w:val="24"/>
        </w:rPr>
      </w:pPr>
    </w:p>
    <w:p w:rsidR="006866AF" w:rsidRDefault="00FC4607" w:rsidP="00FC4607">
      <w:pPr>
        <w:suppressAutoHyphens/>
        <w:overflowPunct w:val="0"/>
        <w:autoSpaceDE w:val="0"/>
        <w:autoSpaceDN w:val="0"/>
        <w:adjustRightInd w:val="0"/>
        <w:spacing w:line="276" w:lineRule="auto"/>
        <w:jc w:val="both"/>
        <w:textAlignment w:val="baseline"/>
        <w:rPr>
          <w:rFonts w:ascii="Arial" w:hAnsi="Arial" w:cs="Arial"/>
          <w:b/>
          <w:szCs w:val="24"/>
        </w:rPr>
      </w:pPr>
      <w:r w:rsidRPr="00CB432B">
        <w:rPr>
          <w:rFonts w:ascii="Arial" w:hAnsi="Arial" w:cs="Arial"/>
          <w:szCs w:val="24"/>
        </w:rPr>
        <w:t>En cuanto a la documental</w:t>
      </w:r>
      <w:r>
        <w:rPr>
          <w:rFonts w:ascii="Arial" w:hAnsi="Arial" w:cs="Arial"/>
          <w:szCs w:val="24"/>
        </w:rPr>
        <w:t xml:space="preserve"> allegada por </w:t>
      </w:r>
      <w:r w:rsidR="00B7552B">
        <w:rPr>
          <w:rFonts w:ascii="Arial" w:hAnsi="Arial" w:cs="Arial"/>
          <w:szCs w:val="24"/>
        </w:rPr>
        <w:t>el codemanda</w:t>
      </w:r>
      <w:r w:rsidR="001A0607">
        <w:rPr>
          <w:rFonts w:ascii="Arial" w:hAnsi="Arial" w:cs="Arial"/>
          <w:szCs w:val="24"/>
        </w:rPr>
        <w:t>do Ezequiel Amador Ávila</w:t>
      </w:r>
      <w:r w:rsidRPr="00CB432B">
        <w:rPr>
          <w:rFonts w:ascii="Arial" w:hAnsi="Arial" w:cs="Arial"/>
          <w:szCs w:val="24"/>
        </w:rPr>
        <w:t xml:space="preserve">, </w:t>
      </w:r>
      <w:r w:rsidR="006866AF">
        <w:rPr>
          <w:rFonts w:ascii="Arial" w:hAnsi="Arial" w:cs="Arial"/>
          <w:szCs w:val="24"/>
        </w:rPr>
        <w:t xml:space="preserve">se </w:t>
      </w:r>
      <w:r w:rsidR="00763F8C">
        <w:rPr>
          <w:rFonts w:ascii="Arial" w:hAnsi="Arial" w:cs="Arial"/>
          <w:szCs w:val="24"/>
        </w:rPr>
        <w:t>encuentra el escrito</w:t>
      </w:r>
      <w:r w:rsidR="006866AF">
        <w:rPr>
          <w:rFonts w:ascii="Arial" w:hAnsi="Arial" w:cs="Arial"/>
          <w:szCs w:val="24"/>
        </w:rPr>
        <w:t xml:space="preserve"> visible a folio 48 del cuaderno de primer grado, que aparentemente constituye el contrato suscrito entre los señores Wilson Giraldo Ramírez y Ezequiel Amador, en el cual se plasmó como objeto, </w:t>
      </w:r>
      <w:r w:rsidR="006866AF" w:rsidRPr="00763F8C">
        <w:rPr>
          <w:rFonts w:ascii="Arial" w:hAnsi="Arial" w:cs="Arial"/>
          <w:i/>
          <w:szCs w:val="24"/>
        </w:rPr>
        <w:t>levantar paredes en el cuarto piso, vaciar vigas para instalar cuchillas y cerchas</w:t>
      </w:r>
      <w:r w:rsidR="00763F8C" w:rsidRPr="00763F8C">
        <w:rPr>
          <w:rFonts w:ascii="Arial" w:hAnsi="Arial" w:cs="Arial"/>
          <w:i/>
          <w:szCs w:val="24"/>
        </w:rPr>
        <w:t xml:space="preserve"> para entechar</w:t>
      </w:r>
      <w:r w:rsidR="00763F8C">
        <w:rPr>
          <w:rFonts w:ascii="Arial" w:hAnsi="Arial" w:cs="Arial"/>
          <w:szCs w:val="24"/>
        </w:rPr>
        <w:t xml:space="preserve">; </w:t>
      </w:r>
      <w:r w:rsidR="00763F8C" w:rsidRPr="009812D1">
        <w:rPr>
          <w:rFonts w:ascii="Arial" w:hAnsi="Arial" w:cs="Arial"/>
          <w:b/>
          <w:szCs w:val="24"/>
        </w:rPr>
        <w:t>el cual era autorizado por el padre y bajo el mando de Ezequiel Amador.</w:t>
      </w:r>
    </w:p>
    <w:p w:rsidR="00904A3A" w:rsidRDefault="00904A3A" w:rsidP="00FC4607">
      <w:pPr>
        <w:suppressAutoHyphens/>
        <w:overflowPunct w:val="0"/>
        <w:autoSpaceDE w:val="0"/>
        <w:autoSpaceDN w:val="0"/>
        <w:adjustRightInd w:val="0"/>
        <w:spacing w:line="276" w:lineRule="auto"/>
        <w:jc w:val="both"/>
        <w:textAlignment w:val="baseline"/>
        <w:rPr>
          <w:rFonts w:ascii="Arial" w:hAnsi="Arial" w:cs="Arial"/>
          <w:b/>
          <w:szCs w:val="24"/>
        </w:rPr>
      </w:pPr>
    </w:p>
    <w:p w:rsidR="00904A3A" w:rsidRPr="00904A3A" w:rsidRDefault="00904A3A" w:rsidP="00FC4607">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 xml:space="preserve">Del análisis </w:t>
      </w:r>
      <w:r w:rsidR="00E807E5">
        <w:rPr>
          <w:rFonts w:ascii="Arial" w:hAnsi="Arial" w:cs="Arial"/>
          <w:szCs w:val="24"/>
        </w:rPr>
        <w:t xml:space="preserve">insular </w:t>
      </w:r>
      <w:r>
        <w:rPr>
          <w:rFonts w:ascii="Arial" w:hAnsi="Arial" w:cs="Arial"/>
          <w:szCs w:val="24"/>
        </w:rPr>
        <w:t xml:space="preserve">de este escrito, </w:t>
      </w:r>
      <w:r w:rsidR="00B905A4">
        <w:rPr>
          <w:rFonts w:ascii="Arial" w:hAnsi="Arial" w:cs="Arial"/>
          <w:szCs w:val="24"/>
        </w:rPr>
        <w:t xml:space="preserve">pueden obtenerse dos deducciones, que el padre </w:t>
      </w:r>
      <w:r w:rsidR="008C293B">
        <w:rPr>
          <w:rFonts w:ascii="Arial" w:hAnsi="Arial" w:cs="Arial"/>
          <w:szCs w:val="24"/>
        </w:rPr>
        <w:t>José</w:t>
      </w:r>
      <w:r w:rsidR="00B905A4">
        <w:rPr>
          <w:rFonts w:ascii="Arial" w:hAnsi="Arial" w:cs="Arial"/>
          <w:szCs w:val="24"/>
        </w:rPr>
        <w:t xml:space="preserve"> Israel Amador Ávila, a</w:t>
      </w:r>
      <w:r w:rsidR="008C293B">
        <w:rPr>
          <w:rFonts w:ascii="Arial" w:hAnsi="Arial" w:cs="Arial"/>
          <w:szCs w:val="24"/>
        </w:rPr>
        <w:t>utorizó o delegó a su hermano la facultad de contratar a Wilson Giraldo Ríos o que, lo autorizó para construir en su predio y por cuenta propia.</w:t>
      </w:r>
    </w:p>
    <w:p w:rsidR="00904A3A" w:rsidRPr="009812D1" w:rsidRDefault="00904A3A" w:rsidP="00FC4607">
      <w:pPr>
        <w:suppressAutoHyphens/>
        <w:overflowPunct w:val="0"/>
        <w:autoSpaceDE w:val="0"/>
        <w:autoSpaceDN w:val="0"/>
        <w:adjustRightInd w:val="0"/>
        <w:spacing w:line="276" w:lineRule="auto"/>
        <w:jc w:val="both"/>
        <w:textAlignment w:val="baseline"/>
        <w:rPr>
          <w:rFonts w:ascii="Arial" w:hAnsi="Arial" w:cs="Arial"/>
          <w:b/>
          <w:szCs w:val="24"/>
        </w:rPr>
      </w:pPr>
    </w:p>
    <w:p w:rsidR="00384433" w:rsidRDefault="000D0D38" w:rsidP="00FC4607">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De otro lado, en </w:t>
      </w:r>
      <w:r w:rsidR="00E807E5">
        <w:rPr>
          <w:rFonts w:ascii="Arial" w:hAnsi="Arial" w:cs="Arial"/>
          <w:szCs w:val="24"/>
        </w:rPr>
        <w:t>la contestación de la demanda</w:t>
      </w:r>
      <w:r>
        <w:rPr>
          <w:rFonts w:ascii="Arial" w:hAnsi="Arial" w:cs="Arial"/>
          <w:szCs w:val="24"/>
        </w:rPr>
        <w:t xml:space="preserve"> allegada por Ezequiel Amador Ávila</w:t>
      </w:r>
      <w:r w:rsidR="00E807E5">
        <w:rPr>
          <w:rFonts w:ascii="Arial" w:hAnsi="Arial" w:cs="Arial"/>
          <w:szCs w:val="24"/>
        </w:rPr>
        <w:t xml:space="preserve">, </w:t>
      </w:r>
      <w:r w:rsidR="00384433">
        <w:rPr>
          <w:rFonts w:ascii="Arial" w:hAnsi="Arial" w:cs="Arial"/>
          <w:szCs w:val="24"/>
        </w:rPr>
        <w:t xml:space="preserve">en la cual </w:t>
      </w:r>
      <w:r>
        <w:rPr>
          <w:rFonts w:ascii="Arial" w:hAnsi="Arial" w:cs="Arial"/>
          <w:szCs w:val="24"/>
        </w:rPr>
        <w:t xml:space="preserve">su apoderado le </w:t>
      </w:r>
      <w:r w:rsidR="00384433">
        <w:rPr>
          <w:rFonts w:ascii="Arial" w:hAnsi="Arial" w:cs="Arial"/>
          <w:szCs w:val="24"/>
        </w:rPr>
        <w:t xml:space="preserve">asigna la condición de contratista independiente, esto es, la figura establecida en el artículo 34 del </w:t>
      </w:r>
      <w:proofErr w:type="spellStart"/>
      <w:r w:rsidR="00384433">
        <w:rPr>
          <w:rFonts w:ascii="Arial" w:hAnsi="Arial" w:cs="Arial"/>
          <w:szCs w:val="24"/>
        </w:rPr>
        <w:t>C.S.T</w:t>
      </w:r>
      <w:proofErr w:type="spellEnd"/>
      <w:r w:rsidR="00384433">
        <w:rPr>
          <w:rFonts w:ascii="Arial" w:hAnsi="Arial" w:cs="Arial"/>
          <w:szCs w:val="24"/>
        </w:rPr>
        <w:t xml:space="preserve">., </w:t>
      </w:r>
      <w:r w:rsidR="00A13E85">
        <w:rPr>
          <w:rFonts w:ascii="Arial" w:hAnsi="Arial" w:cs="Arial"/>
          <w:szCs w:val="24"/>
        </w:rPr>
        <w:t xml:space="preserve">inmediatamente debe inmiscuirse una tercera persona, que es el </w:t>
      </w:r>
      <w:r>
        <w:rPr>
          <w:rFonts w:ascii="Arial" w:hAnsi="Arial" w:cs="Arial"/>
          <w:szCs w:val="24"/>
        </w:rPr>
        <w:t xml:space="preserve">beneficiario de la obra, </w:t>
      </w:r>
      <w:r w:rsidR="00A13E85">
        <w:rPr>
          <w:rFonts w:ascii="Arial" w:hAnsi="Arial" w:cs="Arial"/>
          <w:szCs w:val="24"/>
        </w:rPr>
        <w:t xml:space="preserve">que en el caso concreto, sería su </w:t>
      </w:r>
      <w:r>
        <w:rPr>
          <w:rFonts w:ascii="Arial" w:hAnsi="Arial" w:cs="Arial"/>
          <w:szCs w:val="24"/>
        </w:rPr>
        <w:t>hermano José Israel</w:t>
      </w:r>
      <w:r w:rsidR="00A13E85">
        <w:rPr>
          <w:rFonts w:ascii="Arial" w:hAnsi="Arial" w:cs="Arial"/>
          <w:szCs w:val="24"/>
        </w:rPr>
        <w:t xml:space="preserve"> Amador; sin embargo, </w:t>
      </w:r>
      <w:r>
        <w:rPr>
          <w:rFonts w:ascii="Arial" w:hAnsi="Arial" w:cs="Arial"/>
          <w:szCs w:val="24"/>
        </w:rPr>
        <w:t xml:space="preserve">es inexistente </w:t>
      </w:r>
      <w:r w:rsidR="00A13E85">
        <w:rPr>
          <w:rFonts w:ascii="Arial" w:hAnsi="Arial" w:cs="Arial"/>
          <w:szCs w:val="24"/>
        </w:rPr>
        <w:t>medio probatorio que permita constatar esa circunstancia.</w:t>
      </w:r>
    </w:p>
    <w:p w:rsidR="00A13E85" w:rsidRDefault="00A13E85" w:rsidP="00FC4607">
      <w:pPr>
        <w:suppressAutoHyphens/>
        <w:overflowPunct w:val="0"/>
        <w:autoSpaceDE w:val="0"/>
        <w:autoSpaceDN w:val="0"/>
        <w:adjustRightInd w:val="0"/>
        <w:spacing w:line="276" w:lineRule="auto"/>
        <w:jc w:val="both"/>
        <w:textAlignment w:val="baseline"/>
        <w:rPr>
          <w:rFonts w:ascii="Arial" w:hAnsi="Arial" w:cs="Arial"/>
          <w:szCs w:val="24"/>
        </w:rPr>
      </w:pPr>
    </w:p>
    <w:p w:rsidR="00A13E85" w:rsidRDefault="00A13E85" w:rsidP="00FC4607">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Así mismo</w:t>
      </w:r>
      <w:r w:rsidR="00444740">
        <w:rPr>
          <w:rFonts w:ascii="Arial" w:hAnsi="Arial" w:cs="Arial"/>
          <w:szCs w:val="24"/>
        </w:rPr>
        <w:t xml:space="preserve">, se expresó que </w:t>
      </w:r>
      <w:r>
        <w:rPr>
          <w:rFonts w:ascii="Arial" w:hAnsi="Arial" w:cs="Arial"/>
          <w:szCs w:val="24"/>
        </w:rPr>
        <w:t xml:space="preserve">Ezequiel Amador inició las obras de construcción o remodelación en la propiedad del sacerdote José Israel Amador, en razón de que el primero tiene la condición de desplazado de la violencia, y solo fue la intención del segundo, de ayudarle </w:t>
      </w:r>
      <w:r w:rsidR="00B01DD6">
        <w:rPr>
          <w:rFonts w:ascii="Arial" w:hAnsi="Arial" w:cs="Arial"/>
          <w:szCs w:val="24"/>
        </w:rPr>
        <w:t>para que tuviera donde albergarse</w:t>
      </w:r>
      <w:r w:rsidR="00444740">
        <w:rPr>
          <w:rFonts w:ascii="Arial" w:hAnsi="Arial" w:cs="Arial"/>
          <w:szCs w:val="24"/>
        </w:rPr>
        <w:t>, reiterándose que actúo como contratista independiente, sin relación alguna con su hermano; lo que a todas luces constituye una contradicción.</w:t>
      </w:r>
    </w:p>
    <w:p w:rsidR="00384433" w:rsidRDefault="00384433" w:rsidP="00FC4607">
      <w:pPr>
        <w:suppressAutoHyphens/>
        <w:overflowPunct w:val="0"/>
        <w:autoSpaceDE w:val="0"/>
        <w:autoSpaceDN w:val="0"/>
        <w:adjustRightInd w:val="0"/>
        <w:spacing w:line="276" w:lineRule="auto"/>
        <w:jc w:val="both"/>
        <w:textAlignment w:val="baseline"/>
        <w:rPr>
          <w:rFonts w:ascii="Arial" w:hAnsi="Arial" w:cs="Arial"/>
          <w:szCs w:val="24"/>
        </w:rPr>
      </w:pPr>
    </w:p>
    <w:p w:rsidR="00E807E5" w:rsidRDefault="00A13E85" w:rsidP="00FC4607">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Es evidente entonces, que </w:t>
      </w:r>
      <w:r w:rsidR="00444740">
        <w:rPr>
          <w:rFonts w:ascii="Arial" w:hAnsi="Arial" w:cs="Arial"/>
          <w:szCs w:val="24"/>
        </w:rPr>
        <w:t xml:space="preserve">con lo hasta aquí analizado, </w:t>
      </w:r>
      <w:r>
        <w:rPr>
          <w:rFonts w:ascii="Arial" w:hAnsi="Arial" w:cs="Arial"/>
          <w:szCs w:val="24"/>
        </w:rPr>
        <w:t xml:space="preserve">no se tiene certeza acerca de la calidad </w:t>
      </w:r>
      <w:r w:rsidR="00D97972">
        <w:rPr>
          <w:rFonts w:ascii="Arial" w:hAnsi="Arial" w:cs="Arial"/>
          <w:szCs w:val="24"/>
        </w:rPr>
        <w:t xml:space="preserve">de contratista con la que se dice actuó </w:t>
      </w:r>
      <w:r w:rsidR="00444740">
        <w:rPr>
          <w:rFonts w:ascii="Arial" w:hAnsi="Arial" w:cs="Arial"/>
          <w:szCs w:val="24"/>
        </w:rPr>
        <w:t xml:space="preserve">Ezequiel Amador </w:t>
      </w:r>
      <w:r w:rsidR="00AF612C">
        <w:rPr>
          <w:rFonts w:ascii="Arial" w:hAnsi="Arial" w:cs="Arial"/>
          <w:szCs w:val="24"/>
        </w:rPr>
        <w:t xml:space="preserve">Ávila, </w:t>
      </w:r>
      <w:r w:rsidR="00D97972">
        <w:rPr>
          <w:rFonts w:ascii="Arial" w:hAnsi="Arial" w:cs="Arial"/>
          <w:szCs w:val="24"/>
        </w:rPr>
        <w:t xml:space="preserve">como tampoco la de contratista independiente del señor Wilson Giraldo Ríos, </w:t>
      </w:r>
      <w:r w:rsidR="00AF612C">
        <w:rPr>
          <w:rFonts w:ascii="Arial" w:hAnsi="Arial" w:cs="Arial"/>
          <w:szCs w:val="24"/>
        </w:rPr>
        <w:t>por lo que sigue imperando la confesión ficta que a manera de sanción procesal, aplicó el juzgador de primer grado.</w:t>
      </w:r>
    </w:p>
    <w:p w:rsidR="00E807E5" w:rsidRDefault="00E807E5" w:rsidP="00FC4607">
      <w:pPr>
        <w:suppressAutoHyphens/>
        <w:overflowPunct w:val="0"/>
        <w:autoSpaceDE w:val="0"/>
        <w:autoSpaceDN w:val="0"/>
        <w:adjustRightInd w:val="0"/>
        <w:spacing w:line="276" w:lineRule="auto"/>
        <w:jc w:val="both"/>
        <w:textAlignment w:val="baseline"/>
        <w:rPr>
          <w:rFonts w:ascii="Arial" w:hAnsi="Arial" w:cs="Arial"/>
          <w:szCs w:val="24"/>
        </w:rPr>
      </w:pPr>
    </w:p>
    <w:p w:rsidR="006866AF" w:rsidRDefault="0000748F" w:rsidP="00527EBF">
      <w:pPr>
        <w:pStyle w:val="Textoindependiente"/>
        <w:spacing w:line="276" w:lineRule="auto"/>
        <w:rPr>
          <w:szCs w:val="24"/>
        </w:rPr>
      </w:pPr>
      <w:r>
        <w:rPr>
          <w:szCs w:val="24"/>
        </w:rPr>
        <w:t xml:space="preserve">Por el contrario, reafirma la subordinación del actor en relación solo con el señor José Israel Amador Ávila, </w:t>
      </w:r>
      <w:r w:rsidR="00444740">
        <w:rPr>
          <w:szCs w:val="24"/>
        </w:rPr>
        <w:t>el contenido del</w:t>
      </w:r>
      <w:r w:rsidR="00763F8C" w:rsidRPr="0061060F">
        <w:rPr>
          <w:szCs w:val="24"/>
        </w:rPr>
        <w:t xml:space="preserve"> acuerdo contractual, se indicó que el </w:t>
      </w:r>
      <w:r w:rsidR="00763F8C">
        <w:rPr>
          <w:szCs w:val="24"/>
        </w:rPr>
        <w:t xml:space="preserve">valor del mismo, sería de </w:t>
      </w:r>
      <w:r w:rsidR="00763F8C" w:rsidRPr="0061060F">
        <w:rPr>
          <w:szCs w:val="24"/>
        </w:rPr>
        <w:t>$</w:t>
      </w:r>
      <w:r w:rsidR="00763F8C">
        <w:rPr>
          <w:szCs w:val="24"/>
        </w:rPr>
        <w:t>1´500.000, que se</w:t>
      </w:r>
      <w:r w:rsidR="00CF2379">
        <w:rPr>
          <w:szCs w:val="24"/>
        </w:rPr>
        <w:t>rían</w:t>
      </w:r>
      <w:r w:rsidR="00763F8C">
        <w:rPr>
          <w:szCs w:val="24"/>
        </w:rPr>
        <w:t xml:space="preserve"> ca</w:t>
      </w:r>
      <w:r w:rsidR="00CF2379">
        <w:rPr>
          <w:szCs w:val="24"/>
        </w:rPr>
        <w:t>ncelados cada ocho días, por días laborados cada uno a $40.000, hasta completar la suma referida inicialmente</w:t>
      </w:r>
      <w:r w:rsidR="00527EBF">
        <w:rPr>
          <w:i/>
          <w:szCs w:val="24"/>
        </w:rPr>
        <w:t xml:space="preserve">, </w:t>
      </w:r>
      <w:r w:rsidR="00527EBF">
        <w:rPr>
          <w:szCs w:val="24"/>
        </w:rPr>
        <w:t>que si bien no hay correspondencia aritmética, se insiste, demuestra el elemento de subordinación indicado.</w:t>
      </w:r>
    </w:p>
    <w:p w:rsidR="0084452E" w:rsidRDefault="0084452E" w:rsidP="00527EBF">
      <w:pPr>
        <w:pStyle w:val="Textoindependiente"/>
        <w:spacing w:line="276" w:lineRule="auto"/>
        <w:rPr>
          <w:szCs w:val="24"/>
        </w:rPr>
      </w:pPr>
    </w:p>
    <w:p w:rsidR="004422FC" w:rsidRDefault="00CF2379" w:rsidP="00135839">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r>
        <w:rPr>
          <w:rFonts w:ascii="Arial" w:hAnsi="Arial" w:cs="Arial"/>
          <w:szCs w:val="24"/>
        </w:rPr>
        <w:t xml:space="preserve">Precisamente, </w:t>
      </w:r>
      <w:r w:rsidR="007C633F">
        <w:rPr>
          <w:rFonts w:ascii="Arial" w:hAnsi="Arial" w:cs="Arial"/>
          <w:szCs w:val="24"/>
        </w:rPr>
        <w:t xml:space="preserve">fueron aportados </w:t>
      </w:r>
      <w:r w:rsidR="00B862CB">
        <w:rPr>
          <w:rFonts w:ascii="Arial" w:hAnsi="Arial" w:cs="Arial"/>
          <w:szCs w:val="24"/>
        </w:rPr>
        <w:t xml:space="preserve">6 </w:t>
      </w:r>
      <w:r w:rsidR="00FC4607">
        <w:rPr>
          <w:rFonts w:ascii="Arial" w:hAnsi="Arial" w:cs="Arial"/>
          <w:szCs w:val="24"/>
        </w:rPr>
        <w:t xml:space="preserve">recibos </w:t>
      </w:r>
      <w:r w:rsidR="007C633F" w:rsidRPr="007C633F">
        <w:rPr>
          <w:rFonts w:ascii="Arial" w:hAnsi="Arial" w:cs="Arial"/>
          <w:i/>
          <w:szCs w:val="24"/>
        </w:rPr>
        <w:t>-</w:t>
      </w:r>
      <w:r w:rsidR="00FC4607" w:rsidRPr="007C633F">
        <w:rPr>
          <w:rFonts w:ascii="Arial" w:hAnsi="Arial" w:cs="Arial"/>
          <w:i/>
          <w:szCs w:val="24"/>
        </w:rPr>
        <w:t xml:space="preserve">folios </w:t>
      </w:r>
      <w:r w:rsidR="001A0607" w:rsidRPr="007C633F">
        <w:rPr>
          <w:rFonts w:ascii="Arial" w:hAnsi="Arial" w:cs="Arial"/>
          <w:i/>
          <w:szCs w:val="24"/>
        </w:rPr>
        <w:t>45 del cd. 1</w:t>
      </w:r>
      <w:r w:rsidR="007C633F" w:rsidRPr="007C633F">
        <w:rPr>
          <w:rFonts w:ascii="Arial" w:hAnsi="Arial" w:cs="Arial"/>
          <w:i/>
          <w:szCs w:val="24"/>
        </w:rPr>
        <w:t>-</w:t>
      </w:r>
      <w:r w:rsidR="00FC4607">
        <w:rPr>
          <w:rFonts w:ascii="Arial" w:hAnsi="Arial" w:cs="Arial"/>
          <w:szCs w:val="24"/>
        </w:rPr>
        <w:t>,</w:t>
      </w:r>
      <w:r w:rsidR="00B862CB">
        <w:rPr>
          <w:rFonts w:ascii="Arial" w:hAnsi="Arial" w:cs="Arial"/>
          <w:szCs w:val="24"/>
        </w:rPr>
        <w:t xml:space="preserve"> que </w:t>
      </w:r>
      <w:r w:rsidR="00FC4607">
        <w:rPr>
          <w:rFonts w:ascii="Arial" w:hAnsi="Arial" w:cs="Arial"/>
          <w:szCs w:val="24"/>
        </w:rPr>
        <w:t xml:space="preserve"> </w:t>
      </w:r>
      <w:r w:rsidR="00FC4607">
        <w:rPr>
          <w:rFonts w:ascii="Arial" w:eastAsiaTheme="minorHAnsi" w:hAnsi="Arial" w:cs="Arial"/>
          <w:szCs w:val="24"/>
          <w:lang w:val="es-ES" w:eastAsia="en-US"/>
        </w:rPr>
        <w:t xml:space="preserve">reflejan los pagos </w:t>
      </w:r>
      <w:r w:rsidR="001A0607">
        <w:rPr>
          <w:rFonts w:ascii="Arial" w:eastAsiaTheme="minorHAnsi" w:hAnsi="Arial" w:cs="Arial"/>
          <w:szCs w:val="24"/>
          <w:lang w:val="es-ES" w:eastAsia="en-US"/>
        </w:rPr>
        <w:t xml:space="preserve">semanales </w:t>
      </w:r>
      <w:r w:rsidR="00FC4607">
        <w:rPr>
          <w:rFonts w:ascii="Arial" w:eastAsiaTheme="minorHAnsi" w:hAnsi="Arial" w:cs="Arial"/>
          <w:szCs w:val="24"/>
          <w:lang w:val="es-ES" w:eastAsia="en-US"/>
        </w:rPr>
        <w:t xml:space="preserve">que </w:t>
      </w:r>
      <w:r w:rsidR="00E807E5">
        <w:rPr>
          <w:rFonts w:ascii="Arial" w:eastAsiaTheme="minorHAnsi" w:hAnsi="Arial" w:cs="Arial"/>
          <w:szCs w:val="24"/>
          <w:lang w:val="es-ES" w:eastAsia="en-US"/>
        </w:rPr>
        <w:t xml:space="preserve">realizó Ezequiel Amador Ávila </w:t>
      </w:r>
      <w:r w:rsidR="001A0607">
        <w:rPr>
          <w:rFonts w:ascii="Arial" w:eastAsiaTheme="minorHAnsi" w:hAnsi="Arial" w:cs="Arial"/>
          <w:szCs w:val="24"/>
          <w:lang w:val="es-ES" w:eastAsia="en-US"/>
        </w:rPr>
        <w:t>a</w:t>
      </w:r>
      <w:r w:rsidR="00E807E5">
        <w:rPr>
          <w:rFonts w:ascii="Arial" w:eastAsiaTheme="minorHAnsi" w:hAnsi="Arial" w:cs="Arial"/>
          <w:szCs w:val="24"/>
          <w:lang w:val="es-ES" w:eastAsia="en-US"/>
        </w:rPr>
        <w:t xml:space="preserve"> </w:t>
      </w:r>
      <w:r w:rsidR="001A0607">
        <w:rPr>
          <w:rFonts w:ascii="Arial" w:eastAsiaTheme="minorHAnsi" w:hAnsi="Arial" w:cs="Arial"/>
          <w:szCs w:val="24"/>
          <w:lang w:val="es-ES" w:eastAsia="en-US"/>
        </w:rPr>
        <w:t>Wilson Giraldo Ríos durante los meses de marzo y abril de 2014</w:t>
      </w:r>
      <w:r w:rsidR="00FC4607">
        <w:rPr>
          <w:rFonts w:ascii="Arial" w:eastAsiaTheme="minorHAnsi" w:hAnsi="Arial" w:cs="Arial"/>
          <w:szCs w:val="24"/>
          <w:lang w:val="es-ES" w:eastAsia="en-US"/>
        </w:rPr>
        <w:t>; los que tienen por concepto</w:t>
      </w:r>
      <w:r w:rsidR="00B862CB">
        <w:rPr>
          <w:rFonts w:ascii="Arial" w:eastAsiaTheme="minorHAnsi" w:hAnsi="Arial" w:cs="Arial"/>
          <w:szCs w:val="24"/>
          <w:lang w:val="es-ES" w:eastAsia="en-US"/>
        </w:rPr>
        <w:t>, en su mayoría</w:t>
      </w:r>
      <w:r w:rsidR="00FC4607">
        <w:rPr>
          <w:rFonts w:ascii="Arial" w:eastAsiaTheme="minorHAnsi" w:hAnsi="Arial" w:cs="Arial"/>
          <w:szCs w:val="24"/>
          <w:lang w:val="es-ES" w:eastAsia="en-US"/>
        </w:rPr>
        <w:t xml:space="preserve"> </w:t>
      </w:r>
      <w:r w:rsidR="00FC4607" w:rsidRPr="00862025">
        <w:rPr>
          <w:rFonts w:ascii="Arial" w:eastAsiaTheme="minorHAnsi" w:hAnsi="Arial" w:cs="Arial"/>
          <w:i/>
          <w:szCs w:val="24"/>
          <w:lang w:val="es-ES" w:eastAsia="en-US"/>
        </w:rPr>
        <w:t>“</w:t>
      </w:r>
      <w:r w:rsidR="00B862CB" w:rsidRPr="00862025">
        <w:rPr>
          <w:rFonts w:ascii="Arial" w:eastAsiaTheme="minorHAnsi" w:hAnsi="Arial" w:cs="Arial"/>
          <w:i/>
          <w:szCs w:val="24"/>
          <w:lang w:val="es-ES" w:eastAsia="en-US"/>
        </w:rPr>
        <w:t>mano de obra construcción</w:t>
      </w:r>
      <w:r w:rsidR="00B862CB">
        <w:rPr>
          <w:rFonts w:ascii="Arial" w:eastAsiaTheme="minorHAnsi" w:hAnsi="Arial" w:cs="Arial"/>
          <w:szCs w:val="24"/>
          <w:lang w:val="es-ES" w:eastAsia="en-US"/>
        </w:rPr>
        <w:t>”</w:t>
      </w:r>
      <w:r w:rsidR="00FC4607">
        <w:rPr>
          <w:rFonts w:ascii="Arial" w:eastAsiaTheme="minorHAnsi" w:hAnsi="Arial" w:cs="Arial"/>
          <w:szCs w:val="24"/>
          <w:lang w:val="es-ES" w:eastAsia="en-US"/>
        </w:rPr>
        <w:t xml:space="preserve">, </w:t>
      </w:r>
      <w:r w:rsidR="00B862CB">
        <w:rPr>
          <w:rFonts w:ascii="Arial" w:eastAsiaTheme="minorHAnsi" w:hAnsi="Arial" w:cs="Arial"/>
          <w:szCs w:val="24"/>
          <w:lang w:val="es-ES" w:eastAsia="en-US"/>
        </w:rPr>
        <w:t>por valores de</w:t>
      </w:r>
      <w:r w:rsidR="00FC4607">
        <w:rPr>
          <w:rFonts w:ascii="Arial" w:eastAsiaTheme="minorHAnsi" w:hAnsi="Arial" w:cs="Arial"/>
          <w:szCs w:val="24"/>
          <w:lang w:val="es-ES" w:eastAsia="en-US"/>
        </w:rPr>
        <w:t xml:space="preserve"> $</w:t>
      </w:r>
      <w:r w:rsidR="00B862CB">
        <w:rPr>
          <w:rFonts w:ascii="Arial" w:eastAsiaTheme="minorHAnsi" w:hAnsi="Arial" w:cs="Arial"/>
          <w:szCs w:val="24"/>
          <w:lang w:val="es-ES" w:eastAsia="en-US"/>
        </w:rPr>
        <w:t>240.</w:t>
      </w:r>
      <w:r w:rsidR="00FC4607">
        <w:rPr>
          <w:rFonts w:ascii="Arial" w:eastAsiaTheme="minorHAnsi" w:hAnsi="Arial" w:cs="Arial"/>
          <w:szCs w:val="24"/>
          <w:lang w:val="es-ES" w:eastAsia="en-US"/>
        </w:rPr>
        <w:t>000, $</w:t>
      </w:r>
      <w:r w:rsidR="00B862CB">
        <w:rPr>
          <w:rFonts w:ascii="Arial" w:eastAsiaTheme="minorHAnsi" w:hAnsi="Arial" w:cs="Arial"/>
          <w:szCs w:val="24"/>
          <w:lang w:val="es-ES" w:eastAsia="en-US"/>
        </w:rPr>
        <w:t xml:space="preserve">100.000 y </w:t>
      </w:r>
      <w:r w:rsidR="00FC4607">
        <w:rPr>
          <w:rFonts w:ascii="Arial" w:eastAsiaTheme="minorHAnsi" w:hAnsi="Arial" w:cs="Arial"/>
          <w:szCs w:val="24"/>
          <w:lang w:val="es-ES" w:eastAsia="en-US"/>
        </w:rPr>
        <w:t>$</w:t>
      </w:r>
      <w:r w:rsidR="00B862CB">
        <w:rPr>
          <w:rFonts w:ascii="Arial" w:eastAsiaTheme="minorHAnsi" w:hAnsi="Arial" w:cs="Arial"/>
          <w:szCs w:val="24"/>
          <w:lang w:val="es-ES" w:eastAsia="en-US"/>
        </w:rPr>
        <w:t>120</w:t>
      </w:r>
      <w:r w:rsidR="00FC4607">
        <w:rPr>
          <w:rFonts w:ascii="Arial" w:eastAsiaTheme="minorHAnsi" w:hAnsi="Arial" w:cs="Arial"/>
          <w:szCs w:val="24"/>
          <w:lang w:val="es-ES" w:eastAsia="en-US"/>
        </w:rPr>
        <w:t>.000</w:t>
      </w:r>
      <w:r w:rsidR="00135839">
        <w:rPr>
          <w:rFonts w:ascii="Arial" w:eastAsiaTheme="minorHAnsi" w:hAnsi="Arial" w:cs="Arial"/>
          <w:szCs w:val="24"/>
          <w:lang w:val="es-ES" w:eastAsia="en-US"/>
        </w:rPr>
        <w:t xml:space="preserve">; documentos </w:t>
      </w:r>
      <w:r w:rsidR="00FC4607">
        <w:rPr>
          <w:rFonts w:ascii="Arial" w:eastAsiaTheme="minorHAnsi" w:hAnsi="Arial" w:cs="Arial"/>
          <w:szCs w:val="24"/>
          <w:lang w:val="es-ES" w:eastAsia="en-US"/>
        </w:rPr>
        <w:t>que reafirman la prestación personal del servicio subordina</w:t>
      </w:r>
      <w:r w:rsidR="00E807E5">
        <w:rPr>
          <w:rFonts w:ascii="Arial" w:eastAsiaTheme="minorHAnsi" w:hAnsi="Arial" w:cs="Arial"/>
          <w:szCs w:val="24"/>
          <w:lang w:val="es-ES" w:eastAsia="en-US"/>
        </w:rPr>
        <w:t>do del último</w:t>
      </w:r>
      <w:r w:rsidR="00135839">
        <w:rPr>
          <w:rFonts w:ascii="Arial" w:eastAsiaTheme="minorHAnsi" w:hAnsi="Arial" w:cs="Arial"/>
          <w:szCs w:val="24"/>
          <w:lang w:val="es-ES" w:eastAsia="en-US"/>
        </w:rPr>
        <w:t>, entre los que se aprecia el cumplimiento de horario</w:t>
      </w:r>
      <w:r w:rsidR="00FC4607">
        <w:rPr>
          <w:rFonts w:ascii="Arial" w:eastAsiaTheme="minorHAnsi" w:hAnsi="Arial" w:cs="Arial"/>
          <w:szCs w:val="24"/>
          <w:lang w:val="es-ES" w:eastAsia="en-US"/>
        </w:rPr>
        <w:t xml:space="preserve">, dada la manera regular y prolongada con que se hicieron los pagos </w:t>
      </w:r>
      <w:r w:rsidR="00135839">
        <w:rPr>
          <w:rFonts w:ascii="Arial" w:eastAsiaTheme="minorHAnsi" w:hAnsi="Arial" w:cs="Arial"/>
          <w:szCs w:val="24"/>
          <w:lang w:val="es-ES" w:eastAsia="en-US"/>
        </w:rPr>
        <w:t>y las cuantías de los mismos</w:t>
      </w:r>
      <w:r w:rsidR="004422FC">
        <w:rPr>
          <w:rFonts w:ascii="Arial" w:eastAsiaTheme="minorHAnsi" w:hAnsi="Arial" w:cs="Arial"/>
          <w:szCs w:val="24"/>
          <w:lang w:val="es-ES" w:eastAsia="en-US"/>
        </w:rPr>
        <w:t>.</w:t>
      </w:r>
    </w:p>
    <w:p w:rsidR="004422FC" w:rsidRDefault="004422FC" w:rsidP="00135839">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p>
    <w:p w:rsidR="00CF2379" w:rsidRDefault="000C3F04" w:rsidP="00135839">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r>
        <w:rPr>
          <w:rFonts w:ascii="Arial" w:eastAsiaTheme="minorHAnsi" w:hAnsi="Arial" w:cs="Arial"/>
          <w:szCs w:val="24"/>
          <w:lang w:val="es-ES" w:eastAsia="en-US"/>
        </w:rPr>
        <w:t>Sobre este punto</w:t>
      </w:r>
      <w:r w:rsidR="00135839">
        <w:rPr>
          <w:rFonts w:ascii="Arial" w:eastAsiaTheme="minorHAnsi" w:hAnsi="Arial" w:cs="Arial"/>
          <w:szCs w:val="24"/>
          <w:lang w:val="es-ES" w:eastAsia="en-US"/>
        </w:rPr>
        <w:t xml:space="preserve">, </w:t>
      </w:r>
      <w:r w:rsidR="004422FC">
        <w:rPr>
          <w:rFonts w:ascii="Arial" w:eastAsiaTheme="minorHAnsi" w:hAnsi="Arial" w:cs="Arial"/>
          <w:szCs w:val="24"/>
          <w:lang w:val="es-ES" w:eastAsia="en-US"/>
        </w:rPr>
        <w:t xml:space="preserve">cabe indicar como lo hizo el a-quo, que por simple operación aritmética puede concluirse que </w:t>
      </w:r>
      <w:r w:rsidR="00862025">
        <w:rPr>
          <w:rFonts w:ascii="Arial" w:eastAsiaTheme="minorHAnsi" w:hAnsi="Arial" w:cs="Arial"/>
          <w:szCs w:val="24"/>
          <w:lang w:val="es-ES" w:eastAsia="en-US"/>
        </w:rPr>
        <w:t>el pago que en cada uno de ellos se registró corresponde al número de días laborados por el fallecido Wilson Giraldo Ríos</w:t>
      </w:r>
      <w:r w:rsidR="00C41361">
        <w:rPr>
          <w:rFonts w:ascii="Arial" w:eastAsiaTheme="minorHAnsi" w:hAnsi="Arial" w:cs="Arial"/>
          <w:szCs w:val="24"/>
          <w:lang w:val="es-ES" w:eastAsia="en-US"/>
        </w:rPr>
        <w:t xml:space="preserve"> en la respectiva semana, pues las fechas en que se hicieron corresponden, según</w:t>
      </w:r>
      <w:r w:rsidR="004422FC">
        <w:rPr>
          <w:rFonts w:ascii="Arial" w:eastAsiaTheme="minorHAnsi" w:hAnsi="Arial" w:cs="Arial"/>
          <w:szCs w:val="24"/>
          <w:lang w:val="es-ES" w:eastAsia="en-US"/>
        </w:rPr>
        <w:t xml:space="preserve"> el calendario de esa anualidad</w:t>
      </w:r>
      <w:r w:rsidR="00C41361">
        <w:rPr>
          <w:rFonts w:ascii="Arial" w:eastAsiaTheme="minorHAnsi" w:hAnsi="Arial" w:cs="Arial"/>
          <w:szCs w:val="24"/>
          <w:lang w:val="es-ES" w:eastAsia="en-US"/>
        </w:rPr>
        <w:t xml:space="preserve"> a los días sábados</w:t>
      </w:r>
      <w:r w:rsidR="005518DA">
        <w:rPr>
          <w:rFonts w:ascii="Arial" w:eastAsiaTheme="minorHAnsi" w:hAnsi="Arial" w:cs="Arial"/>
          <w:szCs w:val="24"/>
          <w:lang w:val="es-ES" w:eastAsia="en-US"/>
        </w:rPr>
        <w:t xml:space="preserve">, lo que permite inferir que se le pagaba por el trabajo desarrollado entre el lunes y </w:t>
      </w:r>
      <w:r>
        <w:rPr>
          <w:rFonts w:ascii="Arial" w:eastAsiaTheme="minorHAnsi" w:hAnsi="Arial" w:cs="Arial"/>
          <w:szCs w:val="24"/>
          <w:lang w:val="es-ES" w:eastAsia="en-US"/>
        </w:rPr>
        <w:t xml:space="preserve">el </w:t>
      </w:r>
      <w:r w:rsidR="005518DA">
        <w:rPr>
          <w:rFonts w:ascii="Arial" w:eastAsiaTheme="minorHAnsi" w:hAnsi="Arial" w:cs="Arial"/>
          <w:szCs w:val="24"/>
          <w:lang w:val="es-ES" w:eastAsia="en-US"/>
        </w:rPr>
        <w:t>sábado, es decir, 6 días a razón de $40.000, que genera un total de $240.000.</w:t>
      </w:r>
    </w:p>
    <w:p w:rsidR="000C3F04" w:rsidRDefault="000C3F04" w:rsidP="00135839">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p>
    <w:p w:rsidR="000C3F04" w:rsidRDefault="000C3F04" w:rsidP="00135839">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r>
        <w:rPr>
          <w:rFonts w:ascii="Arial" w:eastAsiaTheme="minorHAnsi" w:hAnsi="Arial" w:cs="Arial"/>
          <w:szCs w:val="24"/>
          <w:lang w:val="es-ES" w:eastAsia="en-US"/>
        </w:rPr>
        <w:lastRenderedPageBreak/>
        <w:t>De ahí que el pago que se registra por valor de $120.000 el 16/04/2014, que fue el miércoles de Semana Santa, comprenda los días lunes a miércoles, porque durante los días santos no se prestó el servicio.</w:t>
      </w:r>
      <w:r w:rsidR="00585631">
        <w:rPr>
          <w:rFonts w:ascii="Arial" w:eastAsiaTheme="minorHAnsi" w:hAnsi="Arial" w:cs="Arial"/>
          <w:szCs w:val="24"/>
          <w:lang w:val="es-ES" w:eastAsia="en-US"/>
        </w:rPr>
        <w:t xml:space="preserve"> Ahora, el pago que por $100.000 se realizó el 08/03/2014, puede deducirse que corresponde a dos días y medio de trabajo, es decir, 6, 7 y 8 de marzo; lo que permite además extraer que esa fue la fecha en que se empezó a ejecutar el con</w:t>
      </w:r>
      <w:r w:rsidR="00E22FB8">
        <w:rPr>
          <w:rFonts w:ascii="Arial" w:eastAsiaTheme="minorHAnsi" w:hAnsi="Arial" w:cs="Arial"/>
          <w:szCs w:val="24"/>
          <w:lang w:val="es-ES" w:eastAsia="en-US"/>
        </w:rPr>
        <w:t>trato suscrito entre las partes y no como lo sostuvo el a-quo, 03/03/2014.</w:t>
      </w:r>
    </w:p>
    <w:p w:rsidR="00924E69" w:rsidRDefault="00924E69" w:rsidP="00135839">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p>
    <w:p w:rsidR="008654AD" w:rsidRDefault="00D72FF0" w:rsidP="008654AD">
      <w:pPr>
        <w:spacing w:line="276" w:lineRule="auto"/>
        <w:jc w:val="both"/>
        <w:rPr>
          <w:rFonts w:ascii="Arial" w:hAnsi="Arial" w:cs="Arial"/>
          <w:i/>
          <w:szCs w:val="24"/>
        </w:rPr>
      </w:pPr>
      <w:r>
        <w:rPr>
          <w:rFonts w:ascii="Arial" w:eastAsiaTheme="minorHAnsi" w:hAnsi="Arial" w:cs="Arial"/>
          <w:szCs w:val="24"/>
          <w:lang w:val="es-ES" w:eastAsia="en-US"/>
        </w:rPr>
        <w:t xml:space="preserve">Por su parte, </w:t>
      </w:r>
      <w:r w:rsidR="00E22FB8">
        <w:rPr>
          <w:rFonts w:ascii="Arial" w:eastAsiaTheme="minorHAnsi" w:hAnsi="Arial" w:cs="Arial"/>
          <w:szCs w:val="24"/>
          <w:lang w:val="es-ES" w:eastAsia="en-US"/>
        </w:rPr>
        <w:t>la prueba testimonial, concret</w:t>
      </w:r>
      <w:r>
        <w:rPr>
          <w:rFonts w:ascii="Arial" w:eastAsiaTheme="minorHAnsi" w:hAnsi="Arial" w:cs="Arial"/>
          <w:szCs w:val="24"/>
          <w:lang w:val="es-ES" w:eastAsia="en-US"/>
        </w:rPr>
        <w:t xml:space="preserve">amente </w:t>
      </w:r>
      <w:r w:rsidR="00236981">
        <w:rPr>
          <w:rFonts w:ascii="Arial" w:eastAsiaTheme="minorHAnsi" w:hAnsi="Arial" w:cs="Arial"/>
          <w:szCs w:val="24"/>
          <w:lang w:val="es-ES" w:eastAsia="en-US"/>
        </w:rPr>
        <w:t xml:space="preserve">lo manifestado por los </w:t>
      </w:r>
      <w:r w:rsidR="00E22FB8">
        <w:rPr>
          <w:rFonts w:ascii="Arial" w:eastAsiaTheme="minorHAnsi" w:hAnsi="Arial" w:cs="Arial"/>
          <w:szCs w:val="24"/>
          <w:lang w:val="es-ES" w:eastAsia="en-US"/>
        </w:rPr>
        <w:t>señor</w:t>
      </w:r>
      <w:r w:rsidR="00236981">
        <w:rPr>
          <w:rFonts w:ascii="Arial" w:eastAsiaTheme="minorHAnsi" w:hAnsi="Arial" w:cs="Arial"/>
          <w:szCs w:val="24"/>
          <w:lang w:val="es-ES" w:eastAsia="en-US"/>
        </w:rPr>
        <w:t>es</w:t>
      </w:r>
      <w:r w:rsidR="00E22FB8">
        <w:rPr>
          <w:rFonts w:ascii="Arial" w:eastAsiaTheme="minorHAnsi" w:hAnsi="Arial" w:cs="Arial"/>
          <w:szCs w:val="24"/>
          <w:lang w:val="es-ES" w:eastAsia="en-US"/>
        </w:rPr>
        <w:t xml:space="preserve"> </w:t>
      </w:r>
      <w:r w:rsidR="00236981">
        <w:rPr>
          <w:rFonts w:ascii="Arial" w:eastAsiaTheme="minorHAnsi" w:hAnsi="Arial" w:cs="Arial"/>
          <w:szCs w:val="24"/>
          <w:lang w:val="es-ES" w:eastAsia="en-US"/>
        </w:rPr>
        <w:t xml:space="preserve">Carlos Enrique Jiménez Moreno y Edwin Geovanny Agudelo Marín, </w:t>
      </w:r>
      <w:r w:rsidR="008654AD">
        <w:rPr>
          <w:rFonts w:ascii="Arial" w:eastAsiaTheme="minorHAnsi" w:hAnsi="Arial" w:cs="Arial"/>
          <w:szCs w:val="24"/>
          <w:lang w:val="es-ES" w:eastAsia="en-US"/>
        </w:rPr>
        <w:t>el primero dijo que “</w:t>
      </w:r>
      <w:r w:rsidR="008654AD" w:rsidRPr="008654AD">
        <w:rPr>
          <w:rFonts w:ascii="Arial" w:eastAsiaTheme="minorHAnsi" w:hAnsi="Arial" w:cs="Arial"/>
          <w:i/>
          <w:szCs w:val="24"/>
          <w:lang w:val="es-ES" w:eastAsia="en-US"/>
        </w:rPr>
        <w:t>cierto día lo vi</w:t>
      </w:r>
      <w:r w:rsidR="008654AD">
        <w:rPr>
          <w:rFonts w:ascii="Arial" w:eastAsiaTheme="minorHAnsi" w:hAnsi="Arial" w:cs="Arial"/>
          <w:szCs w:val="24"/>
          <w:lang w:val="es-ES" w:eastAsia="en-US"/>
        </w:rPr>
        <w:t xml:space="preserve"> </w:t>
      </w:r>
      <w:r w:rsidR="008654AD">
        <w:rPr>
          <w:rStyle w:val="Refdenotaalpie"/>
          <w:rFonts w:ascii="Arial" w:eastAsiaTheme="minorHAnsi" w:hAnsi="Arial" w:cs="Arial"/>
          <w:szCs w:val="24"/>
          <w:lang w:val="es-ES" w:eastAsia="en-US"/>
        </w:rPr>
        <w:footnoteReference w:id="2"/>
      </w:r>
      <w:r w:rsidR="008654AD">
        <w:rPr>
          <w:rFonts w:ascii="Arial" w:eastAsiaTheme="minorHAnsi" w:hAnsi="Arial" w:cs="Arial"/>
          <w:szCs w:val="24"/>
          <w:lang w:val="es-ES" w:eastAsia="en-US"/>
        </w:rPr>
        <w:t xml:space="preserve"> </w:t>
      </w:r>
      <w:r w:rsidR="008654AD" w:rsidRPr="008654AD">
        <w:rPr>
          <w:rFonts w:ascii="Arial" w:eastAsiaTheme="minorHAnsi" w:hAnsi="Arial" w:cs="Arial"/>
          <w:i/>
          <w:szCs w:val="24"/>
          <w:lang w:val="es-ES" w:eastAsia="en-US"/>
        </w:rPr>
        <w:t>trabajando</w:t>
      </w:r>
      <w:r w:rsidR="008654AD">
        <w:rPr>
          <w:rFonts w:ascii="Arial" w:hAnsi="Arial" w:cs="Arial"/>
          <w:i/>
          <w:szCs w:val="24"/>
        </w:rPr>
        <w:t>, nos saludamos el bajó</w:t>
      </w:r>
      <w:r w:rsidR="008654AD" w:rsidRPr="008654AD">
        <w:rPr>
          <w:rFonts w:ascii="Arial" w:hAnsi="Arial" w:cs="Arial"/>
          <w:i/>
          <w:szCs w:val="24"/>
        </w:rPr>
        <w:t xml:space="preserve">, yo estaba sin trabajo y le dije que si había trabajito para mí, porque con hogar hay que hacerle a todo y me dijo que para el trabajo había que hablar con don Ezequiel, pero que don Ezequiel tenía </w:t>
      </w:r>
      <w:r w:rsidR="008654AD">
        <w:rPr>
          <w:rFonts w:ascii="Arial" w:hAnsi="Arial" w:cs="Arial"/>
          <w:i/>
          <w:szCs w:val="24"/>
        </w:rPr>
        <w:t>pedirle permiso a</w:t>
      </w:r>
      <w:r w:rsidR="008654AD" w:rsidRPr="008654AD">
        <w:rPr>
          <w:rFonts w:ascii="Arial" w:hAnsi="Arial" w:cs="Arial"/>
          <w:i/>
          <w:szCs w:val="24"/>
        </w:rPr>
        <w:t>l padre que era el encargado</w:t>
      </w:r>
      <w:r w:rsidR="008654AD">
        <w:rPr>
          <w:rFonts w:ascii="Arial" w:hAnsi="Arial" w:cs="Arial"/>
          <w:i/>
          <w:szCs w:val="24"/>
        </w:rPr>
        <w:t xml:space="preserve">” </w:t>
      </w:r>
      <w:r w:rsidR="008654AD">
        <w:rPr>
          <w:rFonts w:ascii="Arial" w:hAnsi="Arial" w:cs="Arial"/>
          <w:szCs w:val="24"/>
        </w:rPr>
        <w:t>y, el segundo, quien también prestó sus servicios en la misma construcción “</w:t>
      </w:r>
      <w:r w:rsidR="008654AD" w:rsidRPr="008654AD">
        <w:rPr>
          <w:rFonts w:ascii="Arial" w:hAnsi="Arial" w:cs="Arial"/>
          <w:i/>
          <w:szCs w:val="24"/>
        </w:rPr>
        <w:t>el que nos ayudaba y coordinaba  fue don Ezequiel pero nos decía que la obra era del padre acá presente</w:t>
      </w:r>
      <w:r>
        <w:rPr>
          <w:rFonts w:ascii="Arial" w:hAnsi="Arial" w:cs="Arial"/>
          <w:i/>
          <w:szCs w:val="24"/>
        </w:rPr>
        <w:t>”.</w:t>
      </w:r>
    </w:p>
    <w:p w:rsidR="00D72FF0" w:rsidRDefault="00D72FF0" w:rsidP="008654AD">
      <w:pPr>
        <w:spacing w:line="276" w:lineRule="auto"/>
        <w:jc w:val="both"/>
        <w:rPr>
          <w:rFonts w:ascii="Arial" w:hAnsi="Arial" w:cs="Arial"/>
          <w:i/>
          <w:szCs w:val="24"/>
        </w:rPr>
      </w:pPr>
    </w:p>
    <w:p w:rsidR="00473847" w:rsidRDefault="00D72FF0" w:rsidP="008654AD">
      <w:pPr>
        <w:spacing w:line="276" w:lineRule="auto"/>
        <w:jc w:val="both"/>
        <w:rPr>
          <w:rFonts w:ascii="Arial" w:hAnsi="Arial" w:cs="Arial"/>
          <w:szCs w:val="24"/>
        </w:rPr>
      </w:pPr>
      <w:r>
        <w:rPr>
          <w:rFonts w:ascii="Arial" w:hAnsi="Arial" w:cs="Arial"/>
          <w:szCs w:val="24"/>
        </w:rPr>
        <w:t>También indicó este último testigo que quien les suministraba los materiales y algunas herramientas y les pagaba, era don Ezequiel.</w:t>
      </w:r>
    </w:p>
    <w:p w:rsidR="009812D1" w:rsidRDefault="009812D1" w:rsidP="008654AD">
      <w:pPr>
        <w:spacing w:line="276" w:lineRule="auto"/>
        <w:jc w:val="both"/>
        <w:rPr>
          <w:rFonts w:ascii="Arial" w:hAnsi="Arial" w:cs="Arial"/>
          <w:szCs w:val="24"/>
        </w:rPr>
      </w:pPr>
    </w:p>
    <w:p w:rsidR="009812D1" w:rsidRDefault="009812D1" w:rsidP="008654AD">
      <w:pPr>
        <w:spacing w:line="276" w:lineRule="auto"/>
        <w:jc w:val="both"/>
        <w:rPr>
          <w:rFonts w:ascii="Arial" w:hAnsi="Arial" w:cs="Arial"/>
          <w:szCs w:val="24"/>
        </w:rPr>
      </w:pPr>
      <w:r>
        <w:rPr>
          <w:rFonts w:ascii="Arial" w:hAnsi="Arial" w:cs="Arial"/>
          <w:szCs w:val="24"/>
        </w:rPr>
        <w:t xml:space="preserve">Al </w:t>
      </w:r>
      <w:r w:rsidR="002D6C7D">
        <w:rPr>
          <w:rFonts w:ascii="Arial" w:hAnsi="Arial" w:cs="Arial"/>
          <w:szCs w:val="24"/>
        </w:rPr>
        <w:t>volver a</w:t>
      </w:r>
      <w:r>
        <w:rPr>
          <w:rFonts w:ascii="Arial" w:hAnsi="Arial" w:cs="Arial"/>
          <w:szCs w:val="24"/>
        </w:rPr>
        <w:t>l contenido del contrato celebrado entre los señores Wilson Giraldo Ramírez y Ezequiel Amador, llama la atención que se hubiere plasmado que el pago se haría cada 8 días, pero por los días laborados, lo que permite inferir que el fallecido debía asistir a trabajar todos los días, so pena de no recibir su pago, lo que va en contravía de un contrato civil de prestación de servicios.</w:t>
      </w:r>
    </w:p>
    <w:p w:rsidR="00E71E05" w:rsidRDefault="00E71E05" w:rsidP="008654AD">
      <w:pPr>
        <w:spacing w:line="276" w:lineRule="auto"/>
        <w:jc w:val="both"/>
        <w:rPr>
          <w:rFonts w:ascii="Arial" w:hAnsi="Arial" w:cs="Arial"/>
          <w:szCs w:val="24"/>
        </w:rPr>
      </w:pPr>
    </w:p>
    <w:p w:rsidR="009812D1" w:rsidRDefault="009812D1" w:rsidP="008654AD">
      <w:pPr>
        <w:spacing w:line="276" w:lineRule="auto"/>
        <w:jc w:val="both"/>
        <w:rPr>
          <w:rFonts w:ascii="Arial" w:hAnsi="Arial" w:cs="Arial"/>
          <w:szCs w:val="24"/>
        </w:rPr>
      </w:pPr>
      <w:r>
        <w:rPr>
          <w:rFonts w:ascii="Arial" w:hAnsi="Arial" w:cs="Arial"/>
          <w:szCs w:val="24"/>
        </w:rPr>
        <w:t xml:space="preserve">Es que los supuestos de hecho de que dan cuenta los medios probatorios allegados al proceso, una vez analizados en conjunto, permiten aseverar sin dubitación alguna, que Wilson Giraldo Ríos </w:t>
      </w:r>
      <w:r w:rsidR="0000748F">
        <w:rPr>
          <w:rFonts w:ascii="Arial" w:hAnsi="Arial" w:cs="Arial"/>
          <w:szCs w:val="24"/>
        </w:rPr>
        <w:t>prestó sus servicios con subordinación respecto a José Israel Amador Ávila, dado que Ezequiel Amador Ávila, era su intermediario.</w:t>
      </w:r>
    </w:p>
    <w:p w:rsidR="009812D1" w:rsidRDefault="009812D1" w:rsidP="008654AD">
      <w:pPr>
        <w:spacing w:line="276" w:lineRule="auto"/>
        <w:jc w:val="both"/>
        <w:rPr>
          <w:rFonts w:ascii="Arial" w:hAnsi="Arial" w:cs="Arial"/>
          <w:szCs w:val="24"/>
        </w:rPr>
      </w:pPr>
    </w:p>
    <w:p w:rsidR="00135839" w:rsidRDefault="00473847" w:rsidP="00C44902">
      <w:pPr>
        <w:spacing w:line="276" w:lineRule="auto"/>
        <w:jc w:val="both"/>
        <w:rPr>
          <w:rFonts w:ascii="Arial" w:hAnsi="Arial" w:cs="Arial"/>
          <w:szCs w:val="24"/>
        </w:rPr>
      </w:pPr>
      <w:r>
        <w:rPr>
          <w:rFonts w:ascii="Arial" w:hAnsi="Arial" w:cs="Arial"/>
          <w:szCs w:val="24"/>
        </w:rPr>
        <w:t xml:space="preserve">Todo </w:t>
      </w:r>
      <w:r w:rsidR="00C44902">
        <w:rPr>
          <w:rFonts w:ascii="Arial" w:hAnsi="Arial" w:cs="Arial"/>
          <w:szCs w:val="24"/>
        </w:rPr>
        <w:t xml:space="preserve">lo anterior, confirma que </w:t>
      </w:r>
      <w:r w:rsidR="00C44902" w:rsidRPr="00CB432B">
        <w:rPr>
          <w:rFonts w:ascii="Arial" w:hAnsi="Arial" w:cs="Arial"/>
          <w:szCs w:val="24"/>
        </w:rPr>
        <w:t xml:space="preserve">los </w:t>
      </w:r>
      <w:r w:rsidR="00C44902">
        <w:rPr>
          <w:rFonts w:ascii="Arial" w:hAnsi="Arial" w:cs="Arial"/>
          <w:szCs w:val="24"/>
        </w:rPr>
        <w:t xml:space="preserve">hechos </w:t>
      </w:r>
      <w:r w:rsidR="00C44902" w:rsidRPr="00CB432B">
        <w:rPr>
          <w:rFonts w:ascii="Arial" w:hAnsi="Arial" w:cs="Arial"/>
          <w:szCs w:val="24"/>
        </w:rPr>
        <w:t>que se dieron por probados, en razón a la sanción procesal</w:t>
      </w:r>
      <w:r w:rsidR="00C44902">
        <w:rPr>
          <w:rFonts w:ascii="Arial" w:hAnsi="Arial" w:cs="Arial"/>
          <w:szCs w:val="24"/>
        </w:rPr>
        <w:t>, en realidad así sucedieron</w:t>
      </w:r>
      <w:r w:rsidR="0000748F">
        <w:rPr>
          <w:rFonts w:ascii="Arial" w:hAnsi="Arial" w:cs="Arial"/>
          <w:szCs w:val="24"/>
        </w:rPr>
        <w:t>, por lo menos frente a José Israel Amador Ávila</w:t>
      </w:r>
      <w:r w:rsidR="00C44902">
        <w:rPr>
          <w:rFonts w:ascii="Arial" w:hAnsi="Arial" w:cs="Arial"/>
          <w:szCs w:val="24"/>
        </w:rPr>
        <w:t xml:space="preserve">; por lo tanto, al fungir el señor Ezequiel Amador Ávila como administrador de la obra en la que se desempeñó el señor Wilson Giraldo Ríos, en los términos del artículo 32 del </w:t>
      </w:r>
      <w:proofErr w:type="spellStart"/>
      <w:r w:rsidR="00C44902">
        <w:rPr>
          <w:rFonts w:ascii="Arial" w:hAnsi="Arial" w:cs="Arial"/>
          <w:szCs w:val="24"/>
        </w:rPr>
        <w:t>C.S.T</w:t>
      </w:r>
      <w:proofErr w:type="spellEnd"/>
      <w:r w:rsidR="00C44902">
        <w:rPr>
          <w:rFonts w:ascii="Arial" w:hAnsi="Arial" w:cs="Arial"/>
          <w:szCs w:val="24"/>
        </w:rPr>
        <w:t>.</w:t>
      </w:r>
      <w:r w:rsidR="0024509D">
        <w:rPr>
          <w:rStyle w:val="Refdenotaalpie"/>
          <w:rFonts w:ascii="Arial" w:hAnsi="Arial" w:cs="Arial"/>
          <w:szCs w:val="24"/>
        </w:rPr>
        <w:footnoteReference w:id="3"/>
      </w:r>
      <w:r w:rsidR="00C44902">
        <w:rPr>
          <w:rFonts w:ascii="Arial" w:hAnsi="Arial" w:cs="Arial"/>
          <w:szCs w:val="24"/>
        </w:rPr>
        <w:t>, ostentó la condición de representante del señor José Israel Amador Ávila, quien debe ser considerado como el verdadero emplead</w:t>
      </w:r>
      <w:r w:rsidR="00196CA4">
        <w:rPr>
          <w:rFonts w:ascii="Arial" w:hAnsi="Arial" w:cs="Arial"/>
          <w:szCs w:val="24"/>
        </w:rPr>
        <w:t>or de aquel, sin que se</w:t>
      </w:r>
      <w:r w:rsidR="00CC4887">
        <w:rPr>
          <w:rFonts w:ascii="Arial" w:hAnsi="Arial" w:cs="Arial"/>
          <w:szCs w:val="24"/>
        </w:rPr>
        <w:t>a</w:t>
      </w:r>
      <w:r w:rsidR="00196CA4">
        <w:rPr>
          <w:rFonts w:ascii="Arial" w:hAnsi="Arial" w:cs="Arial"/>
          <w:szCs w:val="24"/>
        </w:rPr>
        <w:t xml:space="preserve"> necesario que en esa calidad hubiera dado órdenes o instrucciones</w:t>
      </w:r>
      <w:r w:rsidR="00CC4887">
        <w:rPr>
          <w:rFonts w:ascii="Arial" w:hAnsi="Arial" w:cs="Arial"/>
          <w:szCs w:val="24"/>
        </w:rPr>
        <w:t xml:space="preserve"> de manera directa o personal</w:t>
      </w:r>
      <w:r w:rsidR="00196CA4">
        <w:rPr>
          <w:rFonts w:ascii="Arial" w:hAnsi="Arial" w:cs="Arial"/>
          <w:szCs w:val="24"/>
        </w:rPr>
        <w:t xml:space="preserve"> a su trabajador, pues ha de entenderse que las mismas se cumplían a través del administrador. </w:t>
      </w:r>
    </w:p>
    <w:p w:rsidR="00C44902" w:rsidRDefault="00C44902" w:rsidP="00C44902">
      <w:pPr>
        <w:spacing w:line="276" w:lineRule="auto"/>
        <w:jc w:val="both"/>
        <w:rPr>
          <w:rFonts w:ascii="Arial" w:eastAsiaTheme="minorHAnsi" w:hAnsi="Arial" w:cs="Arial"/>
          <w:szCs w:val="24"/>
          <w:lang w:val="es-ES" w:eastAsia="en-US"/>
        </w:rPr>
      </w:pPr>
    </w:p>
    <w:p w:rsidR="00CF2379" w:rsidRDefault="00DD130C" w:rsidP="00CF2379">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En este orden de ideas, los argumentos de la apelación en relación con la verdadera existencia de un contrato de prestación de servicios entre</w:t>
      </w:r>
      <w:r w:rsidRPr="00DD130C">
        <w:rPr>
          <w:rFonts w:ascii="Arial" w:hAnsi="Arial" w:cs="Arial"/>
          <w:szCs w:val="24"/>
        </w:rPr>
        <w:t xml:space="preserve"> </w:t>
      </w:r>
      <w:r>
        <w:rPr>
          <w:rFonts w:ascii="Arial" w:hAnsi="Arial" w:cs="Arial"/>
          <w:szCs w:val="24"/>
        </w:rPr>
        <w:t>Wilson Giraldo Ramírez y Ezequiel Amador</w:t>
      </w:r>
      <w:r>
        <w:rPr>
          <w:rFonts w:ascii="Arial" w:eastAsiaTheme="minorHAnsi" w:hAnsi="Arial" w:cs="Arial"/>
          <w:szCs w:val="24"/>
          <w:lang w:val="es-ES" w:eastAsia="en-US"/>
        </w:rPr>
        <w:t>, no lograron ser acreditados en el curso de proceso y por lo tanto, se desestimarán.</w:t>
      </w:r>
    </w:p>
    <w:p w:rsidR="00DD130C" w:rsidRDefault="00DD130C" w:rsidP="00CF2379">
      <w:pPr>
        <w:spacing w:line="276" w:lineRule="auto"/>
        <w:jc w:val="both"/>
        <w:rPr>
          <w:rFonts w:ascii="Arial" w:eastAsiaTheme="minorHAnsi" w:hAnsi="Arial" w:cs="Arial"/>
          <w:szCs w:val="24"/>
          <w:lang w:val="es-ES" w:eastAsia="en-US"/>
        </w:rPr>
      </w:pPr>
    </w:p>
    <w:p w:rsidR="00DD130C" w:rsidRPr="00DD130C" w:rsidRDefault="00DD130C" w:rsidP="00CF2379">
      <w:pPr>
        <w:spacing w:line="276" w:lineRule="auto"/>
        <w:jc w:val="both"/>
        <w:rPr>
          <w:rFonts w:ascii="Arial" w:eastAsiaTheme="minorHAnsi" w:hAnsi="Arial" w:cs="Arial"/>
          <w:b/>
          <w:szCs w:val="24"/>
          <w:lang w:val="es-ES" w:eastAsia="en-US"/>
        </w:rPr>
      </w:pPr>
      <w:r w:rsidRPr="00DD130C">
        <w:rPr>
          <w:rFonts w:ascii="Arial" w:eastAsiaTheme="minorHAnsi" w:hAnsi="Arial" w:cs="Arial"/>
          <w:b/>
          <w:szCs w:val="24"/>
          <w:lang w:val="es-ES" w:eastAsia="en-US"/>
        </w:rPr>
        <w:t xml:space="preserve">2.2. Indemnización de perjuicios por la muerte de un trabajador derivada de la culpa </w:t>
      </w:r>
      <w:r w:rsidR="006219D5">
        <w:rPr>
          <w:rFonts w:ascii="Arial" w:eastAsiaTheme="minorHAnsi" w:hAnsi="Arial" w:cs="Arial"/>
          <w:b/>
          <w:szCs w:val="24"/>
          <w:lang w:val="es-ES" w:eastAsia="en-US"/>
        </w:rPr>
        <w:t xml:space="preserve">plena </w:t>
      </w:r>
      <w:r w:rsidRPr="00DD130C">
        <w:rPr>
          <w:rFonts w:ascii="Arial" w:eastAsiaTheme="minorHAnsi" w:hAnsi="Arial" w:cs="Arial"/>
          <w:b/>
          <w:szCs w:val="24"/>
          <w:lang w:val="es-ES" w:eastAsia="en-US"/>
        </w:rPr>
        <w:t xml:space="preserve">del empleador </w:t>
      </w:r>
    </w:p>
    <w:p w:rsidR="00CF2379" w:rsidRDefault="00CF2379" w:rsidP="00CF2379">
      <w:pPr>
        <w:spacing w:line="276" w:lineRule="auto"/>
        <w:jc w:val="both"/>
        <w:rPr>
          <w:rFonts w:ascii="Arial" w:eastAsiaTheme="minorHAnsi" w:hAnsi="Arial" w:cs="Arial"/>
          <w:szCs w:val="24"/>
          <w:lang w:val="es-ES" w:eastAsia="en-US"/>
        </w:rPr>
      </w:pPr>
    </w:p>
    <w:p w:rsidR="0024509D" w:rsidRDefault="00204E5A" w:rsidP="00CF2379">
      <w:pPr>
        <w:spacing w:line="276" w:lineRule="auto"/>
        <w:jc w:val="both"/>
        <w:rPr>
          <w:rFonts w:ascii="Arial" w:eastAsiaTheme="minorHAnsi" w:hAnsi="Arial" w:cs="Arial"/>
          <w:szCs w:val="24"/>
          <w:lang w:val="es-ES" w:eastAsia="en-US"/>
        </w:rPr>
      </w:pPr>
      <w:r>
        <w:rPr>
          <w:rFonts w:ascii="Arial" w:hAnsi="Arial" w:cs="Arial"/>
          <w:color w:val="000000"/>
          <w:szCs w:val="24"/>
          <w:lang w:eastAsia="es-CO"/>
        </w:rPr>
        <w:t>Debe precisarse que el apoderado de los demandados solo mostró su inconformidad re</w:t>
      </w:r>
      <w:r w:rsidR="00D82CC5">
        <w:rPr>
          <w:rFonts w:ascii="Arial" w:hAnsi="Arial" w:cs="Arial"/>
          <w:color w:val="000000"/>
          <w:szCs w:val="24"/>
          <w:lang w:eastAsia="es-CO"/>
        </w:rPr>
        <w:t>specto a la condena por perjuicios materiales</w:t>
      </w:r>
      <w:r w:rsidR="00C11E06">
        <w:rPr>
          <w:rFonts w:ascii="Arial" w:hAnsi="Arial" w:cs="Arial"/>
          <w:color w:val="000000"/>
          <w:szCs w:val="24"/>
          <w:lang w:eastAsia="es-CO"/>
        </w:rPr>
        <w:t xml:space="preserve"> y morales</w:t>
      </w:r>
      <w:r>
        <w:rPr>
          <w:rFonts w:ascii="Arial" w:hAnsi="Arial" w:cs="Arial"/>
          <w:color w:val="000000"/>
          <w:szCs w:val="24"/>
          <w:lang w:eastAsia="es-CO"/>
        </w:rPr>
        <w:t xml:space="preserve">, por cuanto </w:t>
      </w:r>
      <w:r w:rsidR="00C11E06">
        <w:rPr>
          <w:rFonts w:ascii="Arial" w:hAnsi="Arial" w:cs="Arial"/>
          <w:color w:val="000000"/>
          <w:szCs w:val="24"/>
          <w:lang w:eastAsia="es-CO"/>
        </w:rPr>
        <w:t>la impuesta</w:t>
      </w:r>
      <w:r>
        <w:rPr>
          <w:rFonts w:ascii="Arial" w:hAnsi="Arial" w:cs="Arial"/>
          <w:color w:val="000000"/>
          <w:szCs w:val="24"/>
          <w:lang w:eastAsia="es-CO"/>
        </w:rPr>
        <w:t xml:space="preserve"> excedió lo </w:t>
      </w:r>
      <w:r w:rsidR="00D82CC5">
        <w:rPr>
          <w:rFonts w:ascii="Arial" w:hAnsi="Arial" w:cs="Arial"/>
          <w:color w:val="000000"/>
          <w:szCs w:val="24"/>
          <w:lang w:eastAsia="es-CO"/>
        </w:rPr>
        <w:t>solicitado en la demanda,</w:t>
      </w:r>
      <w:r w:rsidR="00C11E06">
        <w:rPr>
          <w:rFonts w:ascii="Arial" w:hAnsi="Arial" w:cs="Arial"/>
          <w:color w:val="000000"/>
          <w:szCs w:val="24"/>
          <w:lang w:eastAsia="es-CO"/>
        </w:rPr>
        <w:t xml:space="preserve"> </w:t>
      </w:r>
      <w:r>
        <w:rPr>
          <w:rFonts w:ascii="Arial" w:hAnsi="Arial" w:cs="Arial"/>
          <w:color w:val="000000"/>
          <w:szCs w:val="24"/>
          <w:lang w:eastAsia="es-CO"/>
        </w:rPr>
        <w:t xml:space="preserve">más no </w:t>
      </w:r>
      <w:r w:rsidR="00C11E06">
        <w:rPr>
          <w:rFonts w:ascii="Arial" w:hAnsi="Arial" w:cs="Arial"/>
          <w:color w:val="000000"/>
          <w:szCs w:val="24"/>
          <w:lang w:eastAsia="es-CO"/>
        </w:rPr>
        <w:t>cuestionó la causa que los generó, esto es, la culpa grave del empleador en el accidente de trabajo que sufrió el señor Wilson Giraldo Ríos; por lo que frente a ello la Sala no efectuará alguna disquisición.</w:t>
      </w:r>
    </w:p>
    <w:p w:rsidR="0024509D" w:rsidRDefault="0024509D" w:rsidP="00CF2379">
      <w:pPr>
        <w:spacing w:line="276" w:lineRule="auto"/>
        <w:jc w:val="both"/>
        <w:rPr>
          <w:rFonts w:ascii="Arial" w:eastAsiaTheme="minorHAnsi" w:hAnsi="Arial" w:cs="Arial"/>
          <w:szCs w:val="24"/>
          <w:lang w:val="es-ES" w:eastAsia="en-US"/>
        </w:rPr>
      </w:pPr>
    </w:p>
    <w:p w:rsidR="00CF2379" w:rsidRDefault="00DD130C" w:rsidP="00CF2379">
      <w:pPr>
        <w:spacing w:line="276" w:lineRule="auto"/>
        <w:jc w:val="both"/>
        <w:rPr>
          <w:rFonts w:ascii="Arial" w:hAnsi="Arial" w:cs="Arial"/>
          <w:b/>
          <w:szCs w:val="24"/>
        </w:rPr>
      </w:pPr>
      <w:r w:rsidRPr="00DD130C">
        <w:rPr>
          <w:rFonts w:ascii="Arial" w:hAnsi="Arial" w:cs="Arial"/>
          <w:b/>
          <w:szCs w:val="24"/>
        </w:rPr>
        <w:t xml:space="preserve">2.2.1. Fundamento </w:t>
      </w:r>
      <w:r w:rsidR="00903C63" w:rsidRPr="00DD130C">
        <w:rPr>
          <w:rFonts w:ascii="Arial" w:hAnsi="Arial" w:cs="Arial"/>
          <w:b/>
          <w:szCs w:val="24"/>
        </w:rPr>
        <w:t>jurídico</w:t>
      </w:r>
    </w:p>
    <w:p w:rsidR="00903C63" w:rsidRDefault="00903C63" w:rsidP="00CF2379">
      <w:pPr>
        <w:spacing w:line="276" w:lineRule="auto"/>
        <w:jc w:val="both"/>
        <w:rPr>
          <w:rFonts w:ascii="Arial" w:hAnsi="Arial" w:cs="Arial"/>
          <w:b/>
          <w:szCs w:val="24"/>
        </w:rPr>
      </w:pPr>
    </w:p>
    <w:p w:rsidR="00B17C34" w:rsidRPr="00071106" w:rsidRDefault="00B17C34" w:rsidP="00CF2379">
      <w:pPr>
        <w:spacing w:line="276" w:lineRule="auto"/>
        <w:jc w:val="both"/>
        <w:rPr>
          <w:rFonts w:ascii="Arial" w:hAnsi="Arial" w:cs="Arial"/>
          <w:i/>
        </w:rPr>
      </w:pPr>
      <w:r w:rsidRPr="00071106">
        <w:rPr>
          <w:rFonts w:ascii="Arial" w:hAnsi="Arial" w:cs="Arial"/>
        </w:rPr>
        <w:t>El pago de una indemnización de daños o perjuicios al trabajador y/o familiares, cuando por culpa del empleador se causa o se presenta un accidente de trabajo o enfermedad profesional, tiene su génesis en el artículo 216 del Código Sustantivo del Trabajo que indica “</w:t>
      </w:r>
      <w:r w:rsidRPr="00071106">
        <w:rPr>
          <w:rFonts w:ascii="Arial" w:hAnsi="Arial" w:cs="Arial"/>
          <w:i/>
        </w:rPr>
        <w:t xml:space="preserve">Cuando exista culpa suficiente comprobada del empleador en la ocurrencia del accidente de trabajo o de la enfermedad profesional, está obligado a la indemnización total y ordinaria por </w:t>
      </w:r>
      <w:r w:rsidR="0005412E" w:rsidRPr="00071106">
        <w:rPr>
          <w:rFonts w:ascii="Arial" w:hAnsi="Arial" w:cs="Arial"/>
          <w:i/>
        </w:rPr>
        <w:t>perjuicios…”</w:t>
      </w:r>
    </w:p>
    <w:p w:rsidR="00B17C34" w:rsidRDefault="00B17C34" w:rsidP="008E6289">
      <w:pPr>
        <w:spacing w:line="276" w:lineRule="auto"/>
        <w:jc w:val="both"/>
      </w:pPr>
    </w:p>
    <w:p w:rsidR="00B17C34" w:rsidRPr="00D83A53" w:rsidRDefault="008E6289" w:rsidP="00D83A53">
      <w:pPr>
        <w:spacing w:line="276" w:lineRule="auto"/>
        <w:jc w:val="both"/>
        <w:rPr>
          <w:rFonts w:ascii="Arial" w:hAnsi="Arial" w:cs="Arial"/>
        </w:rPr>
      </w:pPr>
      <w:r w:rsidRPr="00D83A53">
        <w:rPr>
          <w:rFonts w:ascii="Arial" w:hAnsi="Arial" w:cs="Arial"/>
        </w:rPr>
        <w:t xml:space="preserve">Dicha indemnización comprende los perjuicios morales por el dolor, la angustia, el sentimiento de pérdida del trabajador, y los materiales, que </w:t>
      </w:r>
      <w:r w:rsidR="0000748F">
        <w:rPr>
          <w:rFonts w:ascii="Arial" w:hAnsi="Arial" w:cs="Arial"/>
        </w:rPr>
        <w:t xml:space="preserve">refieren </w:t>
      </w:r>
      <w:r w:rsidRPr="00D83A53">
        <w:rPr>
          <w:rFonts w:ascii="Arial" w:hAnsi="Arial" w:cs="Arial"/>
        </w:rPr>
        <w:t>el daño emergente y el lucro cesante</w:t>
      </w:r>
      <w:r w:rsidR="00D83A53" w:rsidRPr="00D83A53">
        <w:rPr>
          <w:rFonts w:ascii="Arial" w:hAnsi="Arial" w:cs="Arial"/>
        </w:rPr>
        <w:t xml:space="preserve">, </w:t>
      </w:r>
      <w:r w:rsidRPr="00D83A53">
        <w:rPr>
          <w:rFonts w:ascii="Arial" w:hAnsi="Arial" w:cs="Arial"/>
        </w:rPr>
        <w:t>consolidado</w:t>
      </w:r>
      <w:r w:rsidR="00D83A53" w:rsidRPr="00D83A53">
        <w:rPr>
          <w:rFonts w:ascii="Arial" w:hAnsi="Arial" w:cs="Arial"/>
        </w:rPr>
        <w:t xml:space="preserve"> (desde la fecha de la desvinculación laboral y el fallo</w:t>
      </w:r>
      <w:r w:rsidRPr="00D83A53">
        <w:rPr>
          <w:rFonts w:ascii="Arial" w:hAnsi="Arial" w:cs="Arial"/>
        </w:rPr>
        <w:t>)</w:t>
      </w:r>
      <w:r w:rsidR="00D83A53" w:rsidRPr="00D83A53">
        <w:rPr>
          <w:rFonts w:ascii="Arial" w:hAnsi="Arial" w:cs="Arial"/>
        </w:rPr>
        <w:t xml:space="preserve"> y futuro (a </w:t>
      </w:r>
      <w:r w:rsidR="00D83A53" w:rsidRPr="00D83A53">
        <w:rPr>
          <w:rFonts w:ascii="Arial" w:hAnsi="Arial" w:cs="Arial"/>
          <w:szCs w:val="24"/>
        </w:rPr>
        <w:t>partir de la fecha de la providencia y hasta el cumplimiento de la e</w:t>
      </w:r>
      <w:r w:rsidR="00967665">
        <w:rPr>
          <w:rFonts w:ascii="Arial" w:hAnsi="Arial" w:cs="Arial"/>
          <w:szCs w:val="24"/>
        </w:rPr>
        <w:t>xpectativa probable de vida</w:t>
      </w:r>
      <w:r w:rsidR="000A2D7F">
        <w:rPr>
          <w:rFonts w:ascii="Arial" w:hAnsi="Arial" w:cs="Arial"/>
          <w:szCs w:val="24"/>
        </w:rPr>
        <w:t xml:space="preserve"> del fallecido</w:t>
      </w:r>
      <w:r w:rsidR="0000748F">
        <w:rPr>
          <w:rFonts w:ascii="Arial" w:hAnsi="Arial" w:cs="Arial"/>
          <w:szCs w:val="24"/>
        </w:rPr>
        <w:t xml:space="preserve"> en principio o del beneficiario o límite establecido por la Ley</w:t>
      </w:r>
      <w:r w:rsidR="00D83A53" w:rsidRPr="00D83A53">
        <w:rPr>
          <w:rFonts w:ascii="Arial" w:hAnsi="Arial" w:cs="Arial"/>
        </w:rPr>
        <w:t>)</w:t>
      </w:r>
      <w:r w:rsidR="000A2D7F">
        <w:rPr>
          <w:rFonts w:ascii="Arial" w:hAnsi="Arial" w:cs="Arial"/>
        </w:rPr>
        <w:t>.</w:t>
      </w:r>
    </w:p>
    <w:p w:rsidR="008E6289" w:rsidRPr="008E6289" w:rsidRDefault="008E6289" w:rsidP="00CF2379">
      <w:pPr>
        <w:spacing w:line="276" w:lineRule="auto"/>
        <w:jc w:val="both"/>
        <w:rPr>
          <w:rFonts w:ascii="Arial" w:hAnsi="Arial" w:cs="Arial"/>
        </w:rPr>
      </w:pPr>
      <w:r w:rsidRPr="008E6289">
        <w:rPr>
          <w:rFonts w:ascii="Arial" w:hAnsi="Arial" w:cs="Arial"/>
        </w:rPr>
        <w:t>Al respecto, la Sala de Casación Laboral de la Corte Suprema de Justicia</w:t>
      </w:r>
      <w:r>
        <w:rPr>
          <w:rStyle w:val="Refdenotaalpie"/>
          <w:rFonts w:ascii="Arial" w:hAnsi="Arial" w:cs="Arial"/>
        </w:rPr>
        <w:footnoteReference w:id="4"/>
      </w:r>
      <w:r w:rsidRPr="008E6289">
        <w:rPr>
          <w:rFonts w:ascii="Arial" w:hAnsi="Arial" w:cs="Arial"/>
        </w:rPr>
        <w:t xml:space="preserve">, ha indicado: </w:t>
      </w:r>
    </w:p>
    <w:p w:rsidR="003F0D83" w:rsidRDefault="003F0D83" w:rsidP="00544C11">
      <w:pPr>
        <w:autoSpaceDE w:val="0"/>
        <w:autoSpaceDN w:val="0"/>
        <w:adjustRightInd w:val="0"/>
        <w:spacing w:line="276" w:lineRule="auto"/>
        <w:jc w:val="both"/>
      </w:pPr>
    </w:p>
    <w:p w:rsidR="008E6289" w:rsidRPr="00E41EBF" w:rsidRDefault="00E41EBF" w:rsidP="00E41EBF">
      <w:pPr>
        <w:ind w:left="283" w:right="283" w:firstLine="709"/>
        <w:jc w:val="both"/>
        <w:rPr>
          <w:rFonts w:ascii="Arial" w:hAnsi="Arial" w:cs="Arial"/>
          <w:i/>
          <w:sz w:val="22"/>
          <w:szCs w:val="22"/>
        </w:rPr>
      </w:pPr>
      <w:r>
        <w:rPr>
          <w:rFonts w:ascii="Arial" w:hAnsi="Arial" w:cs="Arial"/>
          <w:i/>
          <w:sz w:val="22"/>
          <w:szCs w:val="22"/>
        </w:rPr>
        <w:t>“</w:t>
      </w:r>
      <w:r w:rsidR="008E6289" w:rsidRPr="00E41EBF">
        <w:rPr>
          <w:rFonts w:ascii="Arial" w:hAnsi="Arial" w:cs="Arial"/>
          <w:i/>
          <w:sz w:val="22"/>
          <w:szCs w:val="22"/>
        </w:rPr>
        <w:t>Sobre el lucro cesante consolidado y futuro, al que se contrae la inconformidad del recurrente, esta Corte ha admitido que, para determinarlo, el juzgador se sustente en las fórmulas matemáticas que ha aceptado la jurisprudencia y con fundamento en los criterios jurídicos que ha adoptado, teniendo en cuenta la edad del trabajador al momento del accidente, expectativa de vida del damnificado, salario devengado, entre otras variables.</w:t>
      </w:r>
    </w:p>
    <w:p w:rsidR="008E6289" w:rsidRPr="00E41EBF" w:rsidRDefault="008E6289" w:rsidP="00E41EBF">
      <w:pPr>
        <w:ind w:left="283" w:right="283" w:firstLine="360"/>
        <w:jc w:val="both"/>
        <w:rPr>
          <w:rFonts w:ascii="Arial" w:hAnsi="Arial" w:cs="Arial"/>
          <w:i/>
          <w:sz w:val="22"/>
          <w:szCs w:val="22"/>
        </w:rPr>
      </w:pPr>
    </w:p>
    <w:p w:rsidR="008E6289" w:rsidRDefault="008E6289" w:rsidP="00E41EBF">
      <w:pPr>
        <w:autoSpaceDE w:val="0"/>
        <w:autoSpaceDN w:val="0"/>
        <w:adjustRightInd w:val="0"/>
        <w:ind w:left="283" w:right="283"/>
        <w:jc w:val="both"/>
        <w:rPr>
          <w:rFonts w:ascii="Arial" w:hAnsi="Arial" w:cs="Arial"/>
          <w:i/>
          <w:sz w:val="22"/>
          <w:szCs w:val="22"/>
        </w:rPr>
      </w:pPr>
      <w:r w:rsidRPr="00E41EBF">
        <w:rPr>
          <w:rFonts w:ascii="Arial" w:hAnsi="Arial" w:cs="Arial"/>
          <w:i/>
          <w:sz w:val="22"/>
          <w:szCs w:val="22"/>
        </w:rPr>
        <w:t xml:space="preserve">Así, en sentencia CSJ </w:t>
      </w:r>
      <w:proofErr w:type="spellStart"/>
      <w:r w:rsidRPr="00E41EBF">
        <w:rPr>
          <w:rFonts w:ascii="Arial" w:hAnsi="Arial" w:cs="Arial"/>
          <w:i/>
          <w:sz w:val="22"/>
          <w:szCs w:val="22"/>
        </w:rPr>
        <w:t>SL</w:t>
      </w:r>
      <w:proofErr w:type="spellEnd"/>
      <w:r w:rsidRPr="00E41EBF">
        <w:rPr>
          <w:rFonts w:ascii="Arial" w:hAnsi="Arial" w:cs="Arial"/>
          <w:i/>
          <w:sz w:val="22"/>
          <w:szCs w:val="22"/>
        </w:rPr>
        <w:t xml:space="preserve">, 4 jul. 2007, rad. 27501, </w:t>
      </w:r>
      <w:proofErr w:type="gramStart"/>
      <w:r w:rsidRPr="00E41EBF">
        <w:rPr>
          <w:rFonts w:ascii="Arial" w:hAnsi="Arial" w:cs="Arial"/>
          <w:i/>
          <w:sz w:val="22"/>
          <w:szCs w:val="22"/>
        </w:rPr>
        <w:t>esta</w:t>
      </w:r>
      <w:proofErr w:type="gramEnd"/>
      <w:r w:rsidRPr="00E41EBF">
        <w:rPr>
          <w:rFonts w:ascii="Arial" w:hAnsi="Arial" w:cs="Arial"/>
          <w:i/>
          <w:sz w:val="22"/>
          <w:szCs w:val="22"/>
        </w:rPr>
        <w:t xml:space="preserve"> Sala de Casación Laboral aceptó, como lo plantea la censura, acoger la fórmula que había adoptado la Sala de Casación Civil</w:t>
      </w:r>
      <w:r w:rsidR="00F7436B">
        <w:rPr>
          <w:rStyle w:val="Refdenotaalpie"/>
          <w:rFonts w:ascii="Arial" w:hAnsi="Arial" w:cs="Arial"/>
          <w:i/>
          <w:sz w:val="22"/>
          <w:szCs w:val="22"/>
        </w:rPr>
        <w:footnoteReference w:id="5"/>
      </w:r>
      <w:r w:rsidRPr="00E41EBF">
        <w:rPr>
          <w:rFonts w:ascii="Arial" w:hAnsi="Arial" w:cs="Arial"/>
          <w:i/>
          <w:sz w:val="22"/>
          <w:szCs w:val="22"/>
        </w:rPr>
        <w:t xml:space="preserve"> de la Corte para calcular estos conceptos indemnizatorios</w:t>
      </w:r>
      <w:r w:rsidR="00E41EBF">
        <w:rPr>
          <w:rFonts w:ascii="Arial" w:hAnsi="Arial" w:cs="Arial"/>
          <w:i/>
          <w:sz w:val="22"/>
          <w:szCs w:val="22"/>
        </w:rPr>
        <w:t>”.</w:t>
      </w:r>
    </w:p>
    <w:p w:rsidR="00967665" w:rsidRDefault="00967665" w:rsidP="00E41EBF">
      <w:pPr>
        <w:autoSpaceDE w:val="0"/>
        <w:autoSpaceDN w:val="0"/>
        <w:adjustRightInd w:val="0"/>
        <w:ind w:left="283" w:right="283"/>
        <w:jc w:val="both"/>
        <w:rPr>
          <w:rFonts w:ascii="Arial" w:hAnsi="Arial" w:cs="Arial"/>
          <w:i/>
          <w:sz w:val="22"/>
          <w:szCs w:val="22"/>
        </w:rPr>
      </w:pPr>
    </w:p>
    <w:p w:rsidR="00967665" w:rsidRDefault="00967665" w:rsidP="00967665">
      <w:pPr>
        <w:autoSpaceDE w:val="0"/>
        <w:autoSpaceDN w:val="0"/>
        <w:adjustRightInd w:val="0"/>
        <w:ind w:right="283"/>
        <w:jc w:val="both"/>
        <w:rPr>
          <w:rFonts w:ascii="Arial" w:hAnsi="Arial" w:cs="Arial"/>
          <w:i/>
          <w:sz w:val="22"/>
          <w:szCs w:val="22"/>
        </w:rPr>
      </w:pPr>
    </w:p>
    <w:p w:rsidR="00967665" w:rsidRDefault="00967665" w:rsidP="00E42E2A">
      <w:pPr>
        <w:autoSpaceDE w:val="0"/>
        <w:autoSpaceDN w:val="0"/>
        <w:adjustRightInd w:val="0"/>
        <w:spacing w:line="276" w:lineRule="auto"/>
        <w:ind w:right="283"/>
        <w:jc w:val="both"/>
        <w:rPr>
          <w:rFonts w:ascii="Arial" w:hAnsi="Arial" w:cs="Arial"/>
          <w:szCs w:val="24"/>
        </w:rPr>
      </w:pPr>
      <w:r w:rsidRPr="00967665">
        <w:rPr>
          <w:rFonts w:ascii="Arial" w:hAnsi="Arial" w:cs="Arial"/>
          <w:szCs w:val="24"/>
        </w:rPr>
        <w:lastRenderedPageBreak/>
        <w:t>En la misma providencia, se hace alusi</w:t>
      </w:r>
      <w:r>
        <w:rPr>
          <w:rFonts w:ascii="Arial" w:hAnsi="Arial" w:cs="Arial"/>
          <w:szCs w:val="24"/>
        </w:rPr>
        <w:t xml:space="preserve">ón </w:t>
      </w:r>
      <w:r w:rsidR="0000748F">
        <w:rPr>
          <w:rFonts w:ascii="Arial" w:hAnsi="Arial" w:cs="Arial"/>
          <w:szCs w:val="24"/>
        </w:rPr>
        <w:t xml:space="preserve">a que debe aumentarse el 25% por concepto de prestaciones sociales, para luego deducir </w:t>
      </w:r>
      <w:r>
        <w:rPr>
          <w:rFonts w:ascii="Arial" w:hAnsi="Arial" w:cs="Arial"/>
          <w:szCs w:val="24"/>
        </w:rPr>
        <w:t>el 25%</w:t>
      </w:r>
      <w:r w:rsidR="008617E7">
        <w:rPr>
          <w:rFonts w:ascii="Arial" w:hAnsi="Arial" w:cs="Arial"/>
          <w:szCs w:val="24"/>
        </w:rPr>
        <w:t>, que corresponde a los gastos personales del fallecido.</w:t>
      </w:r>
    </w:p>
    <w:p w:rsidR="00E42E2A" w:rsidRDefault="00E42E2A" w:rsidP="00E42E2A">
      <w:pPr>
        <w:autoSpaceDE w:val="0"/>
        <w:autoSpaceDN w:val="0"/>
        <w:adjustRightInd w:val="0"/>
        <w:spacing w:line="276" w:lineRule="auto"/>
        <w:ind w:right="283"/>
        <w:jc w:val="both"/>
        <w:rPr>
          <w:rFonts w:ascii="Arial" w:hAnsi="Arial" w:cs="Arial"/>
          <w:szCs w:val="24"/>
        </w:rPr>
      </w:pPr>
    </w:p>
    <w:p w:rsidR="00E42E2A" w:rsidRDefault="00E42E2A" w:rsidP="00E42E2A">
      <w:pPr>
        <w:autoSpaceDE w:val="0"/>
        <w:autoSpaceDN w:val="0"/>
        <w:adjustRightInd w:val="0"/>
        <w:spacing w:line="276" w:lineRule="auto"/>
        <w:ind w:right="283"/>
        <w:jc w:val="both"/>
        <w:rPr>
          <w:rFonts w:ascii="Arial" w:eastAsia="MS Mincho" w:hAnsi="Arial" w:cs="Arial"/>
          <w:szCs w:val="24"/>
        </w:rPr>
      </w:pPr>
      <w:r w:rsidRPr="00E42E2A">
        <w:rPr>
          <w:rFonts w:ascii="Arial" w:hAnsi="Arial" w:cs="Arial"/>
          <w:szCs w:val="24"/>
        </w:rPr>
        <w:t xml:space="preserve">Ahora, respecto </w:t>
      </w:r>
      <w:r w:rsidRPr="00E42E2A">
        <w:rPr>
          <w:rFonts w:ascii="Arial" w:eastAsia="MS Mincho" w:hAnsi="Arial" w:cs="Arial"/>
          <w:szCs w:val="24"/>
          <w:lang w:val="es-ES"/>
        </w:rPr>
        <w:t xml:space="preserve">al perjuicio moral, el mismo se tasa con base en el </w:t>
      </w:r>
      <w:r w:rsidRPr="00E42E2A">
        <w:rPr>
          <w:rFonts w:ascii="Arial" w:eastAsia="MS Mincho" w:hAnsi="Arial" w:cs="Arial"/>
          <w:szCs w:val="24"/>
        </w:rPr>
        <w:t>“</w:t>
      </w:r>
      <w:proofErr w:type="spellStart"/>
      <w:r w:rsidRPr="00E42E2A">
        <w:rPr>
          <w:rFonts w:ascii="Arial" w:eastAsia="MS Mincho" w:hAnsi="Arial" w:cs="Arial"/>
          <w:i/>
          <w:szCs w:val="24"/>
        </w:rPr>
        <w:t>arbitrium</w:t>
      </w:r>
      <w:proofErr w:type="spellEnd"/>
      <w:r w:rsidRPr="00E42E2A">
        <w:rPr>
          <w:rFonts w:ascii="Arial" w:eastAsia="MS Mincho" w:hAnsi="Arial" w:cs="Arial"/>
          <w:i/>
          <w:szCs w:val="24"/>
        </w:rPr>
        <w:t xml:space="preserve"> </w:t>
      </w:r>
      <w:proofErr w:type="spellStart"/>
      <w:r w:rsidRPr="00E42E2A">
        <w:rPr>
          <w:rFonts w:ascii="Arial" w:eastAsia="MS Mincho" w:hAnsi="Arial" w:cs="Arial"/>
          <w:i/>
          <w:szCs w:val="24"/>
        </w:rPr>
        <w:t>judicis</w:t>
      </w:r>
      <w:proofErr w:type="spellEnd"/>
      <w:r w:rsidRPr="00E42E2A">
        <w:rPr>
          <w:rFonts w:ascii="Arial" w:eastAsia="MS Mincho" w:hAnsi="Arial" w:cs="Arial"/>
          <w:i/>
          <w:szCs w:val="24"/>
        </w:rPr>
        <w:t>”</w:t>
      </w:r>
      <w:r w:rsidRPr="00E42E2A">
        <w:rPr>
          <w:rFonts w:ascii="Arial" w:eastAsia="MS Mincho" w:hAnsi="Arial" w:cs="Arial"/>
          <w:szCs w:val="24"/>
        </w:rPr>
        <w:t>, según se dijo</w:t>
      </w:r>
      <w:r w:rsidR="00904B9A">
        <w:rPr>
          <w:rFonts w:ascii="Arial" w:eastAsia="MS Mincho" w:hAnsi="Arial" w:cs="Arial"/>
          <w:szCs w:val="24"/>
        </w:rPr>
        <w:t xml:space="preserve"> entre otras, </w:t>
      </w:r>
      <w:r w:rsidRPr="00E42E2A">
        <w:rPr>
          <w:rFonts w:ascii="Arial" w:eastAsia="MS Mincho" w:hAnsi="Arial" w:cs="Arial"/>
          <w:szCs w:val="24"/>
        </w:rPr>
        <w:t xml:space="preserve">en </w:t>
      </w:r>
      <w:r w:rsidR="00904B9A">
        <w:rPr>
          <w:rFonts w:ascii="Arial" w:eastAsia="MS Mincho" w:hAnsi="Arial" w:cs="Arial"/>
          <w:szCs w:val="24"/>
        </w:rPr>
        <w:t xml:space="preserve">la </w:t>
      </w:r>
      <w:r w:rsidRPr="00E42E2A">
        <w:rPr>
          <w:rFonts w:ascii="Arial" w:eastAsia="MS Mincho" w:hAnsi="Arial" w:cs="Arial"/>
          <w:szCs w:val="24"/>
        </w:rPr>
        <w:t xml:space="preserve">sentencia CSJ </w:t>
      </w:r>
      <w:proofErr w:type="spellStart"/>
      <w:r w:rsidRPr="00E42E2A">
        <w:rPr>
          <w:rFonts w:ascii="Arial" w:eastAsia="MS Mincho" w:hAnsi="Arial" w:cs="Arial"/>
          <w:szCs w:val="24"/>
        </w:rPr>
        <w:t>SL</w:t>
      </w:r>
      <w:proofErr w:type="spellEnd"/>
      <w:r w:rsidRPr="00E42E2A">
        <w:rPr>
          <w:rFonts w:ascii="Arial" w:eastAsia="MS Mincho" w:hAnsi="Arial" w:cs="Arial"/>
          <w:szCs w:val="24"/>
        </w:rPr>
        <w:t>, 30 Oct. 2012, rad. 39631, se deben tener en cuenta las condiciones de la lesión y el entorno social.</w:t>
      </w:r>
    </w:p>
    <w:p w:rsidR="001E3C9E" w:rsidRDefault="001E3C9E" w:rsidP="00E42E2A">
      <w:pPr>
        <w:autoSpaceDE w:val="0"/>
        <w:autoSpaceDN w:val="0"/>
        <w:adjustRightInd w:val="0"/>
        <w:spacing w:line="276" w:lineRule="auto"/>
        <w:ind w:right="283"/>
        <w:jc w:val="both"/>
        <w:rPr>
          <w:rFonts w:ascii="Arial" w:eastAsia="MS Mincho" w:hAnsi="Arial" w:cs="Arial"/>
          <w:szCs w:val="24"/>
        </w:rPr>
      </w:pPr>
    </w:p>
    <w:p w:rsidR="001E3C9E" w:rsidRPr="001E3C9E" w:rsidRDefault="001E3C9E" w:rsidP="001E3C9E">
      <w:pPr>
        <w:spacing w:line="276" w:lineRule="auto"/>
        <w:ind w:firstLine="2"/>
        <w:jc w:val="both"/>
        <w:rPr>
          <w:rFonts w:ascii="Arial" w:hAnsi="Arial" w:cs="Arial"/>
          <w:szCs w:val="24"/>
        </w:rPr>
      </w:pPr>
      <w:r w:rsidRPr="001E3C9E">
        <w:rPr>
          <w:rFonts w:ascii="Arial" w:eastAsia="MS Mincho" w:hAnsi="Arial" w:cs="Arial"/>
          <w:szCs w:val="24"/>
        </w:rPr>
        <w:t xml:space="preserve">Finalmente, esa misma Corporación en sentencia </w:t>
      </w:r>
      <w:r w:rsidRPr="001E3C9E">
        <w:rPr>
          <w:rFonts w:ascii="Arial" w:hAnsi="Arial" w:cs="Arial"/>
          <w:szCs w:val="24"/>
        </w:rPr>
        <w:t xml:space="preserve">SL15114-2017, radicación N° 63629 del 20/09/2017, reitera la tesis que ha sostenido de manera pacífica, en cuanto a </w:t>
      </w:r>
      <w:r w:rsidRPr="001E3C9E">
        <w:rPr>
          <w:rFonts w:ascii="Arial" w:hAnsi="Arial" w:cs="Arial"/>
          <w:szCs w:val="24"/>
          <w:lang w:val="es-CO"/>
        </w:rPr>
        <w:t xml:space="preserve">la </w:t>
      </w:r>
      <w:r w:rsidRPr="001E3C9E">
        <w:rPr>
          <w:rFonts w:ascii="Arial" w:hAnsi="Arial" w:cs="Arial"/>
          <w:szCs w:val="24"/>
        </w:rPr>
        <w:t>compatibilidad de la pensión de sobrevivientes por la muerte del afiliado, con la reparación plena de perjuicios por la ocurrencia de un accidente de trabajo</w:t>
      </w:r>
      <w:r>
        <w:rPr>
          <w:rFonts w:ascii="Arial" w:hAnsi="Arial" w:cs="Arial"/>
          <w:szCs w:val="24"/>
        </w:rPr>
        <w:t>.</w:t>
      </w:r>
      <w:r w:rsidRPr="001E3C9E">
        <w:rPr>
          <w:rFonts w:ascii="Arial" w:hAnsi="Arial" w:cs="Arial"/>
          <w:szCs w:val="24"/>
        </w:rPr>
        <w:t xml:space="preserve"> </w:t>
      </w:r>
    </w:p>
    <w:p w:rsidR="001E3C9E" w:rsidRPr="00E42E2A" w:rsidRDefault="001E3C9E" w:rsidP="00E42E2A">
      <w:pPr>
        <w:autoSpaceDE w:val="0"/>
        <w:autoSpaceDN w:val="0"/>
        <w:adjustRightInd w:val="0"/>
        <w:spacing w:line="276" w:lineRule="auto"/>
        <w:ind w:right="283"/>
        <w:jc w:val="both"/>
        <w:rPr>
          <w:rFonts w:ascii="Arial" w:eastAsia="MS Mincho" w:hAnsi="Arial" w:cs="Arial"/>
          <w:szCs w:val="24"/>
          <w:lang w:val="es-CO"/>
        </w:rPr>
      </w:pPr>
    </w:p>
    <w:p w:rsidR="00544C11" w:rsidRPr="00967665" w:rsidRDefault="00967665" w:rsidP="005B6B01">
      <w:pPr>
        <w:pStyle w:val="Sinespaciado"/>
        <w:spacing w:line="276" w:lineRule="auto"/>
        <w:jc w:val="both"/>
        <w:rPr>
          <w:rFonts w:ascii="Arial" w:hAnsi="Arial" w:cs="Arial"/>
          <w:b/>
          <w:sz w:val="24"/>
          <w:szCs w:val="24"/>
        </w:rPr>
      </w:pPr>
      <w:r w:rsidRPr="00967665">
        <w:rPr>
          <w:rFonts w:ascii="Arial" w:hAnsi="Arial" w:cs="Arial"/>
          <w:b/>
          <w:sz w:val="24"/>
          <w:szCs w:val="24"/>
        </w:rPr>
        <w:t>2.2.2. Fundamento fáctico</w:t>
      </w:r>
    </w:p>
    <w:p w:rsidR="00544C11" w:rsidRDefault="00544C11" w:rsidP="005B6B01">
      <w:pPr>
        <w:pStyle w:val="Sinespaciado"/>
        <w:spacing w:line="276" w:lineRule="auto"/>
        <w:jc w:val="both"/>
        <w:rPr>
          <w:rFonts w:ascii="Arial" w:hAnsi="Arial" w:cs="Arial"/>
          <w:sz w:val="24"/>
          <w:szCs w:val="24"/>
        </w:rPr>
      </w:pPr>
    </w:p>
    <w:p w:rsidR="00544C11" w:rsidRDefault="007D3BA6" w:rsidP="005B6B01">
      <w:pPr>
        <w:pStyle w:val="Sinespaciado"/>
        <w:spacing w:line="276" w:lineRule="auto"/>
        <w:jc w:val="both"/>
        <w:rPr>
          <w:rFonts w:ascii="Arial" w:hAnsi="Arial" w:cs="Arial"/>
          <w:sz w:val="24"/>
          <w:szCs w:val="24"/>
        </w:rPr>
      </w:pPr>
      <w:r>
        <w:rPr>
          <w:rFonts w:ascii="Arial" w:hAnsi="Arial" w:cs="Arial"/>
          <w:sz w:val="24"/>
          <w:szCs w:val="24"/>
        </w:rPr>
        <w:t xml:space="preserve">Conforme a las pretensiones de la demanda, quienes buscan el reconocimiento de la indemnización de perjuicios </w:t>
      </w:r>
      <w:r w:rsidR="004D582B">
        <w:rPr>
          <w:rFonts w:ascii="Arial" w:hAnsi="Arial" w:cs="Arial"/>
          <w:sz w:val="24"/>
          <w:szCs w:val="24"/>
        </w:rPr>
        <w:t xml:space="preserve">materiales </w:t>
      </w:r>
      <w:r>
        <w:rPr>
          <w:rFonts w:ascii="Arial" w:hAnsi="Arial" w:cs="Arial"/>
          <w:sz w:val="24"/>
          <w:szCs w:val="24"/>
        </w:rPr>
        <w:t xml:space="preserve">son </w:t>
      </w:r>
      <w:r w:rsidRPr="007D3BA6">
        <w:rPr>
          <w:rFonts w:ascii="Arial" w:hAnsi="Arial" w:cs="Arial"/>
          <w:sz w:val="24"/>
          <w:szCs w:val="24"/>
        </w:rPr>
        <w:t xml:space="preserve">María </w:t>
      </w:r>
      <w:proofErr w:type="spellStart"/>
      <w:r w:rsidRPr="007D3BA6">
        <w:rPr>
          <w:rFonts w:ascii="Arial" w:hAnsi="Arial" w:cs="Arial"/>
          <w:sz w:val="24"/>
          <w:szCs w:val="24"/>
        </w:rPr>
        <w:t>Janedt</w:t>
      </w:r>
      <w:proofErr w:type="spellEnd"/>
      <w:r w:rsidRPr="007D3BA6">
        <w:rPr>
          <w:rFonts w:ascii="Arial" w:hAnsi="Arial" w:cs="Arial"/>
          <w:sz w:val="24"/>
          <w:szCs w:val="24"/>
        </w:rPr>
        <w:t xml:space="preserve"> García Giraldo </w:t>
      </w:r>
      <w:r>
        <w:rPr>
          <w:rFonts w:ascii="Arial" w:hAnsi="Arial" w:cs="Arial"/>
          <w:sz w:val="24"/>
          <w:szCs w:val="24"/>
        </w:rPr>
        <w:t>(c</w:t>
      </w:r>
      <w:r w:rsidR="004D582B">
        <w:rPr>
          <w:rFonts w:ascii="Arial" w:hAnsi="Arial" w:cs="Arial"/>
          <w:sz w:val="24"/>
          <w:szCs w:val="24"/>
        </w:rPr>
        <w:t>ónyuge),</w:t>
      </w:r>
      <w:r w:rsidRPr="007D3BA6">
        <w:rPr>
          <w:rFonts w:ascii="Arial" w:hAnsi="Arial" w:cs="Arial"/>
          <w:sz w:val="24"/>
          <w:szCs w:val="24"/>
        </w:rPr>
        <w:t xml:space="preserve"> </w:t>
      </w:r>
      <w:r w:rsidR="004D582B">
        <w:rPr>
          <w:rFonts w:ascii="Arial" w:hAnsi="Arial" w:cs="Arial"/>
          <w:sz w:val="24"/>
          <w:szCs w:val="24"/>
        </w:rPr>
        <w:t xml:space="preserve">Brandon </w:t>
      </w:r>
      <w:r w:rsidRPr="007D3BA6">
        <w:rPr>
          <w:rFonts w:ascii="Arial" w:hAnsi="Arial" w:cs="Arial"/>
          <w:sz w:val="24"/>
          <w:szCs w:val="24"/>
        </w:rPr>
        <w:t>García</w:t>
      </w:r>
      <w:r w:rsidR="004D582B">
        <w:rPr>
          <w:rFonts w:ascii="Arial" w:hAnsi="Arial" w:cs="Arial"/>
          <w:sz w:val="24"/>
          <w:szCs w:val="24"/>
        </w:rPr>
        <w:t xml:space="preserve"> </w:t>
      </w:r>
      <w:r w:rsidR="004D582B" w:rsidRPr="007D3BA6">
        <w:rPr>
          <w:rFonts w:ascii="Arial" w:hAnsi="Arial" w:cs="Arial"/>
          <w:sz w:val="24"/>
          <w:szCs w:val="24"/>
        </w:rPr>
        <w:t>Giraldo</w:t>
      </w:r>
      <w:r>
        <w:rPr>
          <w:rFonts w:ascii="Arial" w:hAnsi="Arial" w:cs="Arial"/>
          <w:sz w:val="24"/>
          <w:szCs w:val="24"/>
        </w:rPr>
        <w:t xml:space="preserve"> (hijo</w:t>
      </w:r>
      <w:r w:rsidR="004D582B">
        <w:rPr>
          <w:rFonts w:ascii="Arial" w:hAnsi="Arial" w:cs="Arial"/>
          <w:sz w:val="24"/>
          <w:szCs w:val="24"/>
        </w:rPr>
        <w:t xml:space="preserve"> menor</w:t>
      </w:r>
      <w:r>
        <w:rPr>
          <w:rFonts w:ascii="Arial" w:hAnsi="Arial" w:cs="Arial"/>
          <w:sz w:val="24"/>
          <w:szCs w:val="24"/>
        </w:rPr>
        <w:t>)</w:t>
      </w:r>
      <w:r w:rsidR="004D582B">
        <w:rPr>
          <w:rFonts w:ascii="Arial" w:hAnsi="Arial" w:cs="Arial"/>
          <w:sz w:val="24"/>
          <w:szCs w:val="24"/>
        </w:rPr>
        <w:t xml:space="preserve"> y, morales, además de los dos anteriores, </w:t>
      </w:r>
      <w:proofErr w:type="spellStart"/>
      <w:r w:rsidR="004D582B">
        <w:rPr>
          <w:rFonts w:ascii="Arial" w:hAnsi="Arial" w:cs="Arial"/>
          <w:sz w:val="24"/>
          <w:szCs w:val="24"/>
        </w:rPr>
        <w:t>Stiven</w:t>
      </w:r>
      <w:proofErr w:type="spellEnd"/>
      <w:r w:rsidR="004D582B">
        <w:rPr>
          <w:rFonts w:ascii="Arial" w:hAnsi="Arial" w:cs="Arial"/>
          <w:sz w:val="24"/>
          <w:szCs w:val="24"/>
        </w:rPr>
        <w:t xml:space="preserve"> Giraldo García (hijo mayor),  Sergio Giraldo Ospina (nieto), </w:t>
      </w:r>
      <w:r w:rsidRPr="007D3BA6">
        <w:rPr>
          <w:rFonts w:ascii="Arial" w:hAnsi="Arial" w:cs="Arial"/>
          <w:sz w:val="24"/>
          <w:szCs w:val="24"/>
        </w:rPr>
        <w:t>María Ríos Duque</w:t>
      </w:r>
      <w:r>
        <w:rPr>
          <w:rFonts w:ascii="Arial" w:hAnsi="Arial" w:cs="Arial"/>
          <w:sz w:val="24"/>
          <w:szCs w:val="24"/>
        </w:rPr>
        <w:t xml:space="preserve"> (madre)</w:t>
      </w:r>
      <w:r w:rsidRPr="007D3BA6">
        <w:rPr>
          <w:rFonts w:ascii="Arial" w:hAnsi="Arial" w:cs="Arial"/>
          <w:sz w:val="24"/>
          <w:szCs w:val="24"/>
        </w:rPr>
        <w:t>, Erika, Luz Adriana y José Iván Giraldo Ríos</w:t>
      </w:r>
      <w:r w:rsidR="001F67E9">
        <w:rPr>
          <w:rFonts w:ascii="Arial" w:hAnsi="Arial" w:cs="Arial"/>
          <w:sz w:val="24"/>
          <w:szCs w:val="24"/>
        </w:rPr>
        <w:t xml:space="preserve"> (hermanos), por lo tanto, debían acreditar </w:t>
      </w:r>
      <w:r w:rsidR="0087775A">
        <w:rPr>
          <w:rFonts w:ascii="Arial" w:hAnsi="Arial" w:cs="Arial"/>
          <w:sz w:val="24"/>
          <w:szCs w:val="24"/>
        </w:rPr>
        <w:t xml:space="preserve">que </w:t>
      </w:r>
      <w:r w:rsidR="001F67E9">
        <w:rPr>
          <w:rFonts w:ascii="Arial" w:hAnsi="Arial" w:cs="Arial"/>
          <w:sz w:val="24"/>
          <w:szCs w:val="24"/>
        </w:rPr>
        <w:t>por el fallecimiento del señor Wilson Giraldo R</w:t>
      </w:r>
      <w:r w:rsidR="0087775A">
        <w:rPr>
          <w:rFonts w:ascii="Arial" w:hAnsi="Arial" w:cs="Arial"/>
          <w:sz w:val="24"/>
          <w:szCs w:val="24"/>
        </w:rPr>
        <w:t xml:space="preserve">íos </w:t>
      </w:r>
      <w:r w:rsidR="0087775A" w:rsidRPr="0087775A">
        <w:rPr>
          <w:rFonts w:ascii="Arial" w:hAnsi="Arial" w:cs="Arial"/>
          <w:sz w:val="24"/>
          <w:szCs w:val="24"/>
        </w:rPr>
        <w:t>se habían visto afectadas sus condiciones normales de subsistencia o convivencia en su esfera familiar y moral</w:t>
      </w:r>
      <w:r w:rsidR="0087775A">
        <w:rPr>
          <w:rFonts w:ascii="Arial" w:hAnsi="Arial" w:cs="Arial"/>
          <w:sz w:val="24"/>
          <w:szCs w:val="24"/>
        </w:rPr>
        <w:t>.</w:t>
      </w:r>
    </w:p>
    <w:p w:rsidR="001E6FE9" w:rsidRDefault="001E6FE9" w:rsidP="005B6B01">
      <w:pPr>
        <w:pStyle w:val="Sinespaciado"/>
        <w:spacing w:line="276" w:lineRule="auto"/>
        <w:jc w:val="both"/>
        <w:rPr>
          <w:rFonts w:ascii="Arial" w:hAnsi="Arial" w:cs="Arial"/>
          <w:sz w:val="24"/>
          <w:szCs w:val="24"/>
        </w:rPr>
      </w:pPr>
    </w:p>
    <w:p w:rsidR="001E6FE9" w:rsidRDefault="001E6FE9" w:rsidP="001E6FE9">
      <w:pPr>
        <w:pStyle w:val="Sinespaciado"/>
        <w:spacing w:line="276" w:lineRule="auto"/>
        <w:jc w:val="both"/>
        <w:rPr>
          <w:rFonts w:ascii="Arial" w:hAnsi="Arial" w:cs="Arial"/>
          <w:sz w:val="24"/>
          <w:szCs w:val="24"/>
        </w:rPr>
      </w:pPr>
      <w:r w:rsidRPr="001E6FE9">
        <w:rPr>
          <w:rFonts w:ascii="Arial" w:hAnsi="Arial" w:cs="Arial"/>
          <w:sz w:val="24"/>
          <w:szCs w:val="24"/>
        </w:rPr>
        <w:t>Recuérdese que ante la inasistencia de la parte demandada a absolver interrogatorio de parte se tuvieron por probado</w:t>
      </w:r>
      <w:r>
        <w:rPr>
          <w:rFonts w:ascii="Arial" w:hAnsi="Arial" w:cs="Arial"/>
          <w:sz w:val="24"/>
          <w:szCs w:val="24"/>
        </w:rPr>
        <w:t xml:space="preserve">s mediante </w:t>
      </w:r>
      <w:r w:rsidRPr="001E6FE9">
        <w:rPr>
          <w:rFonts w:ascii="Arial" w:hAnsi="Arial" w:cs="Arial"/>
          <w:sz w:val="24"/>
          <w:szCs w:val="24"/>
        </w:rPr>
        <w:t xml:space="preserve">confesión ficta, </w:t>
      </w:r>
      <w:r w:rsidR="004D582B">
        <w:rPr>
          <w:rFonts w:ascii="Arial" w:hAnsi="Arial" w:cs="Arial"/>
          <w:sz w:val="24"/>
          <w:szCs w:val="24"/>
        </w:rPr>
        <w:t xml:space="preserve">los </w:t>
      </w:r>
      <w:r w:rsidRPr="001E6FE9">
        <w:rPr>
          <w:rFonts w:ascii="Arial" w:hAnsi="Arial" w:cs="Arial"/>
          <w:sz w:val="24"/>
          <w:szCs w:val="24"/>
        </w:rPr>
        <w:t>supuestos fácticos</w:t>
      </w:r>
      <w:r w:rsidR="00F42505">
        <w:rPr>
          <w:rFonts w:ascii="Arial" w:hAnsi="Arial" w:cs="Arial"/>
          <w:sz w:val="24"/>
          <w:szCs w:val="24"/>
        </w:rPr>
        <w:t xml:space="preserve">, </w:t>
      </w:r>
      <w:r w:rsidR="00FB26D2">
        <w:rPr>
          <w:rFonts w:ascii="Arial" w:hAnsi="Arial" w:cs="Arial"/>
          <w:sz w:val="24"/>
          <w:szCs w:val="24"/>
        </w:rPr>
        <w:t>relacionados con la calidad de cónyuge</w:t>
      </w:r>
      <w:r w:rsidR="0087775A">
        <w:rPr>
          <w:rFonts w:ascii="Arial" w:hAnsi="Arial" w:cs="Arial"/>
          <w:sz w:val="24"/>
          <w:szCs w:val="24"/>
        </w:rPr>
        <w:t xml:space="preserve">s de </w:t>
      </w:r>
      <w:r w:rsidR="00FB26D2" w:rsidRPr="00FB26D2">
        <w:rPr>
          <w:rFonts w:ascii="Arial" w:hAnsi="Arial" w:cs="Arial"/>
          <w:sz w:val="24"/>
          <w:szCs w:val="24"/>
        </w:rPr>
        <w:t xml:space="preserve">María </w:t>
      </w:r>
      <w:proofErr w:type="spellStart"/>
      <w:r w:rsidR="00FB26D2" w:rsidRPr="00FB26D2">
        <w:rPr>
          <w:rFonts w:ascii="Arial" w:hAnsi="Arial" w:cs="Arial"/>
          <w:sz w:val="24"/>
          <w:szCs w:val="24"/>
        </w:rPr>
        <w:t>Janedt</w:t>
      </w:r>
      <w:proofErr w:type="spellEnd"/>
      <w:r w:rsidR="00FB26D2" w:rsidRPr="00FB26D2">
        <w:rPr>
          <w:rFonts w:ascii="Arial" w:hAnsi="Arial" w:cs="Arial"/>
          <w:sz w:val="24"/>
          <w:szCs w:val="24"/>
        </w:rPr>
        <w:t xml:space="preserve"> García Giraldo</w:t>
      </w:r>
      <w:r w:rsidR="0087775A">
        <w:rPr>
          <w:rFonts w:ascii="Arial" w:hAnsi="Arial" w:cs="Arial"/>
          <w:sz w:val="24"/>
          <w:szCs w:val="24"/>
        </w:rPr>
        <w:t xml:space="preserve">  y Wilson Giraldo Ríos, la procreación de Brandon Giraldo García y que se vieron afectados material y moralmente por la muerte de aquel; así mismo, que la madre y hermanos del </w:t>
      </w:r>
      <w:proofErr w:type="spellStart"/>
      <w:r w:rsidR="0087775A">
        <w:rPr>
          <w:rFonts w:ascii="Arial" w:hAnsi="Arial" w:cs="Arial"/>
          <w:sz w:val="24"/>
          <w:szCs w:val="24"/>
        </w:rPr>
        <w:t>obitado</w:t>
      </w:r>
      <w:proofErr w:type="spellEnd"/>
      <w:r w:rsidR="0087775A">
        <w:rPr>
          <w:rFonts w:ascii="Arial" w:hAnsi="Arial" w:cs="Arial"/>
          <w:sz w:val="24"/>
          <w:szCs w:val="24"/>
        </w:rPr>
        <w:t xml:space="preserve"> sufrieron lo indecible moralmente por </w:t>
      </w:r>
      <w:r w:rsidR="0087775A" w:rsidRPr="00557FE5">
        <w:rPr>
          <w:rFonts w:ascii="Arial" w:hAnsi="Arial" w:cs="Arial"/>
          <w:sz w:val="24"/>
          <w:szCs w:val="24"/>
        </w:rPr>
        <w:t xml:space="preserve">su ausencia; sin embargo, </w:t>
      </w:r>
      <w:r w:rsidR="00903449" w:rsidRPr="00557FE5">
        <w:rPr>
          <w:rFonts w:ascii="Arial" w:hAnsi="Arial" w:cs="Arial"/>
          <w:sz w:val="24"/>
          <w:szCs w:val="24"/>
        </w:rPr>
        <w:t xml:space="preserve">para que opere dicha medio probatorio se requiere entre otros, que el confesante tenga capacidad para hacer la confesión, la cual deberá versar sobre los hechos personales o ajenos conocidos que produzcan consecuencias jurídicas adversas o favorables a su contrincante y puedan ser acreditados a través de ese medio persuasivo; exigencia que no se cumple en este caso, por cuanto se trata de hechos y </w:t>
      </w:r>
      <w:r w:rsidR="00F85D11" w:rsidRPr="00557FE5">
        <w:rPr>
          <w:rFonts w:ascii="Arial" w:hAnsi="Arial" w:cs="Arial"/>
          <w:sz w:val="24"/>
          <w:szCs w:val="24"/>
        </w:rPr>
        <w:t>circunstancias</w:t>
      </w:r>
      <w:r w:rsidR="00903449" w:rsidRPr="00557FE5">
        <w:rPr>
          <w:rFonts w:ascii="Arial" w:hAnsi="Arial" w:cs="Arial"/>
          <w:sz w:val="24"/>
          <w:szCs w:val="24"/>
        </w:rPr>
        <w:t xml:space="preserve"> ajenas a la esfera de los demandados.</w:t>
      </w:r>
    </w:p>
    <w:p w:rsidR="007123CF" w:rsidRDefault="007123CF" w:rsidP="001E6FE9">
      <w:pPr>
        <w:pStyle w:val="Sinespaciado"/>
        <w:spacing w:line="276" w:lineRule="auto"/>
        <w:jc w:val="both"/>
        <w:rPr>
          <w:rFonts w:ascii="Arial" w:hAnsi="Arial" w:cs="Arial"/>
          <w:sz w:val="24"/>
          <w:szCs w:val="24"/>
        </w:rPr>
      </w:pPr>
    </w:p>
    <w:p w:rsidR="007123CF" w:rsidRPr="00557FE5" w:rsidRDefault="007123CF" w:rsidP="001E6FE9">
      <w:pPr>
        <w:pStyle w:val="Sinespaciado"/>
        <w:spacing w:line="276" w:lineRule="auto"/>
        <w:jc w:val="both"/>
        <w:rPr>
          <w:rFonts w:ascii="Arial" w:hAnsi="Arial" w:cs="Arial"/>
          <w:sz w:val="24"/>
          <w:szCs w:val="24"/>
        </w:rPr>
      </w:pPr>
      <w:r>
        <w:rPr>
          <w:rFonts w:ascii="Arial" w:hAnsi="Arial" w:cs="Arial"/>
          <w:sz w:val="24"/>
          <w:szCs w:val="24"/>
        </w:rPr>
        <w:t>En consecuencia, los demandantes debían acreditar fehacientemente que</w:t>
      </w:r>
      <w:r w:rsidR="002D6CA1">
        <w:rPr>
          <w:rFonts w:ascii="Arial" w:hAnsi="Arial" w:cs="Arial"/>
          <w:sz w:val="24"/>
          <w:szCs w:val="24"/>
        </w:rPr>
        <w:t xml:space="preserve"> sufrieron los daños materiales, que implica acreditar la dependencia económica respecto del causante </w:t>
      </w:r>
      <w:r>
        <w:rPr>
          <w:rFonts w:ascii="Arial" w:hAnsi="Arial" w:cs="Arial"/>
          <w:sz w:val="24"/>
          <w:szCs w:val="24"/>
        </w:rPr>
        <w:t>y</w:t>
      </w:r>
      <w:r w:rsidR="002D6CA1">
        <w:rPr>
          <w:rFonts w:ascii="Arial" w:hAnsi="Arial" w:cs="Arial"/>
          <w:sz w:val="24"/>
          <w:szCs w:val="24"/>
        </w:rPr>
        <w:t xml:space="preserve">, la afectación </w:t>
      </w:r>
      <w:r>
        <w:rPr>
          <w:rFonts w:ascii="Arial" w:hAnsi="Arial" w:cs="Arial"/>
          <w:sz w:val="24"/>
          <w:szCs w:val="24"/>
        </w:rPr>
        <w:t>moral</w:t>
      </w:r>
      <w:r w:rsidR="002D6CA1">
        <w:rPr>
          <w:rFonts w:ascii="Arial" w:hAnsi="Arial" w:cs="Arial"/>
          <w:sz w:val="24"/>
          <w:szCs w:val="24"/>
        </w:rPr>
        <w:t xml:space="preserve"> como lo indicaron en </w:t>
      </w:r>
      <w:r>
        <w:rPr>
          <w:rFonts w:ascii="Arial" w:hAnsi="Arial" w:cs="Arial"/>
          <w:sz w:val="24"/>
          <w:szCs w:val="24"/>
        </w:rPr>
        <w:t xml:space="preserve">la demanda. </w:t>
      </w:r>
    </w:p>
    <w:p w:rsidR="00544C11" w:rsidRDefault="00544C11" w:rsidP="005B6B01">
      <w:pPr>
        <w:pStyle w:val="Sinespaciado"/>
        <w:spacing w:line="276" w:lineRule="auto"/>
        <w:jc w:val="both"/>
        <w:rPr>
          <w:rFonts w:ascii="Arial" w:hAnsi="Arial" w:cs="Arial"/>
          <w:sz w:val="24"/>
          <w:szCs w:val="24"/>
        </w:rPr>
      </w:pPr>
    </w:p>
    <w:p w:rsidR="000F0F3C" w:rsidRDefault="000F0F3C" w:rsidP="00F42505">
      <w:pPr>
        <w:spacing w:line="276" w:lineRule="auto"/>
        <w:jc w:val="both"/>
        <w:rPr>
          <w:rFonts w:ascii="Arial" w:hAnsi="Arial" w:cs="Arial"/>
          <w:szCs w:val="24"/>
        </w:rPr>
      </w:pPr>
      <w:r>
        <w:rPr>
          <w:rFonts w:ascii="Arial" w:hAnsi="Arial" w:cs="Arial"/>
          <w:szCs w:val="24"/>
        </w:rPr>
        <w:t xml:space="preserve">Respecto de la señora María </w:t>
      </w:r>
      <w:proofErr w:type="spellStart"/>
      <w:r>
        <w:rPr>
          <w:rFonts w:ascii="Arial" w:hAnsi="Arial" w:cs="Arial"/>
          <w:szCs w:val="24"/>
        </w:rPr>
        <w:t>Janedt</w:t>
      </w:r>
      <w:proofErr w:type="spellEnd"/>
      <w:r>
        <w:rPr>
          <w:rFonts w:ascii="Arial" w:hAnsi="Arial" w:cs="Arial"/>
          <w:szCs w:val="24"/>
        </w:rPr>
        <w:t xml:space="preserve"> García Giraldo, acogiendo la </w:t>
      </w:r>
      <w:r w:rsidR="00014851">
        <w:rPr>
          <w:rFonts w:ascii="Arial" w:hAnsi="Arial" w:cs="Arial"/>
          <w:szCs w:val="24"/>
        </w:rPr>
        <w:t xml:space="preserve">conclusión </w:t>
      </w:r>
      <w:r>
        <w:rPr>
          <w:rFonts w:ascii="Arial" w:hAnsi="Arial" w:cs="Arial"/>
          <w:szCs w:val="24"/>
        </w:rPr>
        <w:t xml:space="preserve">del a-quo en cuanto ella no era beneficiaria de la pensión de sobrevivientes causada por el deceso de su esposo, por cuanto no existía convivencia entre ellos dentro de los dos años anteriores a su muerte, </w:t>
      </w:r>
      <w:r w:rsidR="00014851">
        <w:rPr>
          <w:rFonts w:ascii="Arial" w:hAnsi="Arial" w:cs="Arial"/>
          <w:szCs w:val="24"/>
        </w:rPr>
        <w:t xml:space="preserve">ni </w:t>
      </w:r>
      <w:r w:rsidR="00226BC1">
        <w:rPr>
          <w:rFonts w:ascii="Arial" w:hAnsi="Arial" w:cs="Arial"/>
          <w:szCs w:val="24"/>
        </w:rPr>
        <w:t xml:space="preserve">solidaridad, ayuda o apoyo mutuos; se generan dos consecuencias, la primera que no dependía económicamente de él y </w:t>
      </w:r>
      <w:r w:rsidR="00226BC1">
        <w:rPr>
          <w:rFonts w:ascii="Arial" w:hAnsi="Arial" w:cs="Arial"/>
          <w:szCs w:val="24"/>
        </w:rPr>
        <w:lastRenderedPageBreak/>
        <w:t xml:space="preserve">por lo tanto, no puede apreciarse que sufrió un perjuicio material y, tampoco moral en tanto no sostenía vida marital </w:t>
      </w:r>
      <w:r w:rsidR="00014851">
        <w:rPr>
          <w:rFonts w:ascii="Arial" w:hAnsi="Arial" w:cs="Arial"/>
          <w:szCs w:val="24"/>
        </w:rPr>
        <w:t xml:space="preserve">ni de ningún otro tipo </w:t>
      </w:r>
      <w:r w:rsidR="00226BC1">
        <w:rPr>
          <w:rFonts w:ascii="Arial" w:hAnsi="Arial" w:cs="Arial"/>
          <w:szCs w:val="24"/>
        </w:rPr>
        <w:t xml:space="preserve">con quien </w:t>
      </w:r>
      <w:r w:rsidR="00DD5792">
        <w:rPr>
          <w:rFonts w:ascii="Arial" w:hAnsi="Arial" w:cs="Arial"/>
          <w:szCs w:val="24"/>
        </w:rPr>
        <w:t xml:space="preserve">fue </w:t>
      </w:r>
      <w:r w:rsidR="00AD44EE">
        <w:rPr>
          <w:rFonts w:ascii="Arial" w:hAnsi="Arial" w:cs="Arial"/>
          <w:szCs w:val="24"/>
        </w:rPr>
        <w:t xml:space="preserve">su </w:t>
      </w:r>
      <w:r w:rsidR="00226BC1">
        <w:rPr>
          <w:rFonts w:ascii="Arial" w:hAnsi="Arial" w:cs="Arial"/>
          <w:szCs w:val="24"/>
        </w:rPr>
        <w:t>cónyuge, por lo que no pudo</w:t>
      </w:r>
      <w:r w:rsidR="008E19C9">
        <w:rPr>
          <w:rFonts w:ascii="Arial" w:hAnsi="Arial" w:cs="Arial"/>
          <w:szCs w:val="24"/>
        </w:rPr>
        <w:t xml:space="preserve"> verse afectada con su ausencia. Intelección que </w:t>
      </w:r>
      <w:r w:rsidR="00DD5792">
        <w:rPr>
          <w:rFonts w:ascii="Arial" w:hAnsi="Arial" w:cs="Arial"/>
          <w:szCs w:val="24"/>
        </w:rPr>
        <w:t xml:space="preserve">además </w:t>
      </w:r>
      <w:r w:rsidR="008E19C9">
        <w:rPr>
          <w:rFonts w:ascii="Arial" w:hAnsi="Arial" w:cs="Arial"/>
          <w:szCs w:val="24"/>
        </w:rPr>
        <w:t>encuentra sustento en el testimonio de Edwin Geovanny Agudelo, quien relató la decepción que tuvo el causante al regresar de España y encontrar que ella tenía dos hijos con otra persona.</w:t>
      </w:r>
    </w:p>
    <w:p w:rsidR="00226BC1" w:rsidRDefault="00226BC1" w:rsidP="00F42505">
      <w:pPr>
        <w:spacing w:line="276" w:lineRule="auto"/>
        <w:jc w:val="both"/>
        <w:rPr>
          <w:rFonts w:ascii="Arial" w:hAnsi="Arial" w:cs="Arial"/>
          <w:szCs w:val="24"/>
        </w:rPr>
      </w:pPr>
    </w:p>
    <w:p w:rsidR="003D7753" w:rsidRDefault="00226BC1" w:rsidP="00F42505">
      <w:pPr>
        <w:spacing w:line="276" w:lineRule="auto"/>
        <w:jc w:val="both"/>
        <w:rPr>
          <w:rFonts w:ascii="Arial" w:hAnsi="Arial" w:cs="Arial"/>
          <w:szCs w:val="24"/>
        </w:rPr>
      </w:pPr>
      <w:r>
        <w:rPr>
          <w:rFonts w:ascii="Arial" w:hAnsi="Arial" w:cs="Arial"/>
          <w:szCs w:val="24"/>
        </w:rPr>
        <w:t>Respecto</w:t>
      </w:r>
      <w:r w:rsidR="00AD44EE">
        <w:rPr>
          <w:rFonts w:ascii="Arial" w:hAnsi="Arial" w:cs="Arial"/>
          <w:szCs w:val="24"/>
        </w:rPr>
        <w:t xml:space="preserve"> a</w:t>
      </w:r>
      <w:r>
        <w:rPr>
          <w:rFonts w:ascii="Arial" w:hAnsi="Arial" w:cs="Arial"/>
          <w:szCs w:val="24"/>
        </w:rPr>
        <w:t xml:space="preserve"> los hijos del fallecido, </w:t>
      </w:r>
      <w:proofErr w:type="spellStart"/>
      <w:r>
        <w:rPr>
          <w:rFonts w:ascii="Arial" w:hAnsi="Arial" w:cs="Arial"/>
          <w:szCs w:val="24"/>
        </w:rPr>
        <w:t>Stiven</w:t>
      </w:r>
      <w:proofErr w:type="spellEnd"/>
      <w:r>
        <w:rPr>
          <w:rFonts w:ascii="Arial" w:hAnsi="Arial" w:cs="Arial"/>
          <w:szCs w:val="24"/>
        </w:rPr>
        <w:t xml:space="preserve"> y Brandon, </w:t>
      </w:r>
      <w:r w:rsidR="00C139F2">
        <w:rPr>
          <w:rFonts w:ascii="Arial" w:hAnsi="Arial" w:cs="Arial"/>
          <w:szCs w:val="24"/>
        </w:rPr>
        <w:t>nacidos el 28/09/1995 y el 12/09/1998, puede colegirse que a la fecha de muerte de su progenitor -</w:t>
      </w:r>
      <w:r w:rsidR="00C139F2" w:rsidRPr="003D7753">
        <w:rPr>
          <w:rFonts w:ascii="Arial" w:hAnsi="Arial" w:cs="Arial"/>
          <w:i/>
          <w:szCs w:val="24"/>
        </w:rPr>
        <w:t>21/04/2014</w:t>
      </w:r>
      <w:r w:rsidR="00C139F2">
        <w:rPr>
          <w:rFonts w:ascii="Arial" w:hAnsi="Arial" w:cs="Arial"/>
          <w:szCs w:val="24"/>
        </w:rPr>
        <w:t xml:space="preserve">- el primero </w:t>
      </w:r>
      <w:r w:rsidR="003D7753">
        <w:rPr>
          <w:rFonts w:ascii="Arial" w:hAnsi="Arial" w:cs="Arial"/>
          <w:szCs w:val="24"/>
        </w:rPr>
        <w:t>contaba con 18 años de edad cumplidos y el segundo con 16 años</w:t>
      </w:r>
      <w:r w:rsidR="00C139F2">
        <w:rPr>
          <w:rFonts w:ascii="Arial" w:hAnsi="Arial" w:cs="Arial"/>
          <w:szCs w:val="24"/>
        </w:rPr>
        <w:t xml:space="preserve">, por lo que </w:t>
      </w:r>
      <w:r w:rsidR="003D7753">
        <w:rPr>
          <w:rFonts w:ascii="Arial" w:hAnsi="Arial" w:cs="Arial"/>
          <w:szCs w:val="24"/>
        </w:rPr>
        <w:t xml:space="preserve">al ser menores de 25 años, </w:t>
      </w:r>
      <w:r w:rsidR="00014851">
        <w:rPr>
          <w:rFonts w:ascii="Arial" w:hAnsi="Arial" w:cs="Arial"/>
          <w:szCs w:val="24"/>
        </w:rPr>
        <w:t xml:space="preserve">puede inferirse </w:t>
      </w:r>
      <w:r w:rsidR="00DD5792">
        <w:rPr>
          <w:rFonts w:ascii="Arial" w:hAnsi="Arial" w:cs="Arial"/>
          <w:szCs w:val="24"/>
        </w:rPr>
        <w:t>que dependían económicamente de su progenitor, por lo que se a</w:t>
      </w:r>
      <w:r w:rsidR="00014851">
        <w:rPr>
          <w:rFonts w:ascii="Arial" w:hAnsi="Arial" w:cs="Arial"/>
          <w:szCs w:val="24"/>
        </w:rPr>
        <w:t>bre paso la condena a su favor, criterio sostenido por la Sala de Casación Civil, con ponencia del doctor Ariel Salazar Ramírez, en sentencia del 09/07/2012.</w:t>
      </w:r>
    </w:p>
    <w:p w:rsidR="00DD5792" w:rsidRDefault="00DD5792" w:rsidP="00F42505">
      <w:pPr>
        <w:spacing w:line="276" w:lineRule="auto"/>
        <w:jc w:val="both"/>
        <w:rPr>
          <w:rFonts w:ascii="Arial" w:hAnsi="Arial" w:cs="Arial"/>
          <w:szCs w:val="24"/>
        </w:rPr>
      </w:pPr>
    </w:p>
    <w:p w:rsidR="00DD5792" w:rsidRDefault="001F0A06" w:rsidP="00F42505">
      <w:pPr>
        <w:spacing w:line="276" w:lineRule="auto"/>
        <w:jc w:val="both"/>
        <w:rPr>
          <w:rFonts w:ascii="Arial" w:hAnsi="Arial" w:cs="Arial"/>
          <w:szCs w:val="24"/>
        </w:rPr>
      </w:pPr>
      <w:r>
        <w:rPr>
          <w:rFonts w:ascii="Arial" w:hAnsi="Arial" w:cs="Arial"/>
          <w:szCs w:val="24"/>
        </w:rPr>
        <w:t>Sin embargo, como el a-</w:t>
      </w:r>
      <w:r w:rsidR="00DD5792">
        <w:rPr>
          <w:rFonts w:ascii="Arial" w:hAnsi="Arial" w:cs="Arial"/>
          <w:szCs w:val="24"/>
        </w:rPr>
        <w:t xml:space="preserve">quo solo emitió esa orden a favor de Brandon Giraldo García y la parte actora  no la apeló, es improcedente extender la condena a favor de </w:t>
      </w:r>
      <w:proofErr w:type="spellStart"/>
      <w:r w:rsidR="00DD5792">
        <w:rPr>
          <w:rFonts w:ascii="Arial" w:hAnsi="Arial" w:cs="Arial"/>
          <w:szCs w:val="24"/>
        </w:rPr>
        <w:t>Stiven</w:t>
      </w:r>
      <w:proofErr w:type="spellEnd"/>
      <w:r w:rsidR="00DD5792">
        <w:rPr>
          <w:rFonts w:ascii="Arial" w:hAnsi="Arial" w:cs="Arial"/>
          <w:szCs w:val="24"/>
        </w:rPr>
        <w:t xml:space="preserve"> Giraldo García.</w:t>
      </w:r>
    </w:p>
    <w:p w:rsidR="00AD44EE" w:rsidRDefault="00AD44EE" w:rsidP="00F42505">
      <w:pPr>
        <w:spacing w:line="276" w:lineRule="auto"/>
        <w:jc w:val="both"/>
        <w:rPr>
          <w:rFonts w:ascii="Arial" w:hAnsi="Arial" w:cs="Arial"/>
          <w:szCs w:val="24"/>
        </w:rPr>
      </w:pPr>
    </w:p>
    <w:p w:rsidR="000A2D7F" w:rsidRDefault="00E36F46" w:rsidP="00F42505">
      <w:pPr>
        <w:spacing w:line="276" w:lineRule="auto"/>
        <w:jc w:val="both"/>
        <w:rPr>
          <w:rFonts w:ascii="Arial" w:hAnsi="Arial" w:cs="Arial"/>
          <w:szCs w:val="24"/>
        </w:rPr>
      </w:pPr>
      <w:r>
        <w:rPr>
          <w:rFonts w:ascii="Arial" w:hAnsi="Arial" w:cs="Arial"/>
          <w:szCs w:val="24"/>
        </w:rPr>
        <w:t>Con todo lo dicho</w:t>
      </w:r>
      <w:r w:rsidR="001F1C05">
        <w:rPr>
          <w:rFonts w:ascii="Arial" w:hAnsi="Arial" w:cs="Arial"/>
          <w:szCs w:val="24"/>
        </w:rPr>
        <w:t xml:space="preserve"> y antes de proceder con las liquidaciones</w:t>
      </w:r>
      <w:r>
        <w:rPr>
          <w:rFonts w:ascii="Arial" w:hAnsi="Arial" w:cs="Arial"/>
          <w:szCs w:val="24"/>
        </w:rPr>
        <w:t xml:space="preserve">, </w:t>
      </w:r>
      <w:r w:rsidR="000A2D7F">
        <w:rPr>
          <w:rFonts w:ascii="Arial" w:hAnsi="Arial" w:cs="Arial"/>
          <w:szCs w:val="24"/>
        </w:rPr>
        <w:t>es del c</w:t>
      </w:r>
      <w:r w:rsidR="001F1C05">
        <w:rPr>
          <w:rFonts w:ascii="Arial" w:hAnsi="Arial" w:cs="Arial"/>
          <w:szCs w:val="24"/>
        </w:rPr>
        <w:t xml:space="preserve">aso aclarar que para la </w:t>
      </w:r>
      <w:r w:rsidR="000A2D7F">
        <w:rPr>
          <w:rFonts w:ascii="Arial" w:hAnsi="Arial" w:cs="Arial"/>
          <w:szCs w:val="24"/>
        </w:rPr>
        <w:t>del daño material</w:t>
      </w:r>
      <w:r w:rsidR="003D05E9">
        <w:rPr>
          <w:rFonts w:ascii="Arial" w:hAnsi="Arial" w:cs="Arial"/>
          <w:szCs w:val="24"/>
        </w:rPr>
        <w:t xml:space="preserve"> futuro </w:t>
      </w:r>
      <w:r w:rsidR="000A2D7F">
        <w:rPr>
          <w:rFonts w:ascii="Arial" w:hAnsi="Arial" w:cs="Arial"/>
          <w:szCs w:val="24"/>
        </w:rPr>
        <w:t>a favor de Brandon Giraldo García</w:t>
      </w:r>
      <w:r w:rsidR="0000748F">
        <w:rPr>
          <w:rFonts w:ascii="Arial" w:hAnsi="Arial" w:cs="Arial"/>
          <w:szCs w:val="24"/>
        </w:rPr>
        <w:t xml:space="preserve"> –hijo-</w:t>
      </w:r>
      <w:r w:rsidR="000A2D7F">
        <w:rPr>
          <w:rFonts w:ascii="Arial" w:hAnsi="Arial" w:cs="Arial"/>
          <w:szCs w:val="24"/>
        </w:rPr>
        <w:t>, es</w:t>
      </w:r>
      <w:r w:rsidR="00DD5792">
        <w:rPr>
          <w:rFonts w:ascii="Arial" w:hAnsi="Arial" w:cs="Arial"/>
          <w:szCs w:val="24"/>
        </w:rPr>
        <w:t xml:space="preserve"> evidente </w:t>
      </w:r>
      <w:r>
        <w:rPr>
          <w:rFonts w:ascii="Arial" w:hAnsi="Arial" w:cs="Arial"/>
          <w:szCs w:val="24"/>
        </w:rPr>
        <w:t>el erro</w:t>
      </w:r>
      <w:r w:rsidR="003D05E9">
        <w:rPr>
          <w:rFonts w:ascii="Arial" w:hAnsi="Arial" w:cs="Arial"/>
          <w:szCs w:val="24"/>
        </w:rPr>
        <w:t>r</w:t>
      </w:r>
      <w:r>
        <w:rPr>
          <w:rFonts w:ascii="Arial" w:hAnsi="Arial" w:cs="Arial"/>
          <w:szCs w:val="24"/>
        </w:rPr>
        <w:t xml:space="preserve"> </w:t>
      </w:r>
      <w:r w:rsidR="00DD5792">
        <w:rPr>
          <w:rFonts w:ascii="Arial" w:hAnsi="Arial" w:cs="Arial"/>
          <w:szCs w:val="24"/>
        </w:rPr>
        <w:t>en que incurrió la primera instancia</w:t>
      </w:r>
      <w:r w:rsidR="000A2D7F">
        <w:rPr>
          <w:rFonts w:ascii="Arial" w:hAnsi="Arial" w:cs="Arial"/>
          <w:szCs w:val="24"/>
        </w:rPr>
        <w:t xml:space="preserve"> </w:t>
      </w:r>
      <w:r w:rsidR="00DD5792">
        <w:rPr>
          <w:rFonts w:ascii="Arial" w:hAnsi="Arial" w:cs="Arial"/>
          <w:szCs w:val="24"/>
        </w:rPr>
        <w:t xml:space="preserve">al </w:t>
      </w:r>
      <w:r w:rsidR="000A2D7F">
        <w:rPr>
          <w:rFonts w:ascii="Arial" w:hAnsi="Arial" w:cs="Arial"/>
          <w:szCs w:val="24"/>
        </w:rPr>
        <w:t>calcul</w:t>
      </w:r>
      <w:r w:rsidR="00DD5792">
        <w:rPr>
          <w:rFonts w:ascii="Arial" w:hAnsi="Arial" w:cs="Arial"/>
          <w:szCs w:val="24"/>
        </w:rPr>
        <w:t>arla</w:t>
      </w:r>
      <w:r w:rsidR="000A2D7F">
        <w:rPr>
          <w:rFonts w:ascii="Arial" w:hAnsi="Arial" w:cs="Arial"/>
          <w:szCs w:val="24"/>
        </w:rPr>
        <w:t xml:space="preserve"> con base en la expectativa de vida </w:t>
      </w:r>
      <w:r w:rsidR="003D7753">
        <w:rPr>
          <w:rFonts w:ascii="Arial" w:hAnsi="Arial" w:cs="Arial"/>
          <w:szCs w:val="24"/>
        </w:rPr>
        <w:t>del fallecido</w:t>
      </w:r>
      <w:r w:rsidR="00DD5792">
        <w:rPr>
          <w:rFonts w:ascii="Arial" w:hAnsi="Arial" w:cs="Arial"/>
          <w:szCs w:val="24"/>
        </w:rPr>
        <w:t xml:space="preserve">, esto es, a razón de </w:t>
      </w:r>
      <w:r w:rsidR="003D05E9">
        <w:rPr>
          <w:rFonts w:ascii="Arial" w:hAnsi="Arial" w:cs="Arial"/>
          <w:szCs w:val="24"/>
        </w:rPr>
        <w:t>30,3</w:t>
      </w:r>
      <w:r w:rsidR="00DD5792">
        <w:rPr>
          <w:rFonts w:ascii="Arial" w:hAnsi="Arial" w:cs="Arial"/>
          <w:szCs w:val="24"/>
        </w:rPr>
        <w:t xml:space="preserve"> años</w:t>
      </w:r>
      <w:r w:rsidR="003D05E9">
        <w:rPr>
          <w:rFonts w:ascii="Arial" w:hAnsi="Arial" w:cs="Arial"/>
          <w:szCs w:val="24"/>
        </w:rPr>
        <w:t xml:space="preserve"> o 360,3 meses</w:t>
      </w:r>
      <w:r w:rsidR="00DD5792">
        <w:rPr>
          <w:rFonts w:ascii="Arial" w:hAnsi="Arial" w:cs="Arial"/>
          <w:szCs w:val="24"/>
        </w:rPr>
        <w:t xml:space="preserve">, porque debía realizarse hasta el momento en que pueda </w:t>
      </w:r>
      <w:r>
        <w:rPr>
          <w:rFonts w:ascii="Arial" w:hAnsi="Arial" w:cs="Arial"/>
          <w:szCs w:val="24"/>
        </w:rPr>
        <w:t xml:space="preserve">predicarse </w:t>
      </w:r>
      <w:r w:rsidR="00DD5792">
        <w:rPr>
          <w:rFonts w:ascii="Arial" w:hAnsi="Arial" w:cs="Arial"/>
          <w:szCs w:val="24"/>
        </w:rPr>
        <w:t>la dependencia económica</w:t>
      </w:r>
      <w:r w:rsidR="00AD44EE">
        <w:rPr>
          <w:rFonts w:ascii="Arial" w:hAnsi="Arial" w:cs="Arial"/>
          <w:szCs w:val="24"/>
        </w:rPr>
        <w:t xml:space="preserve"> del beneficiario</w:t>
      </w:r>
      <w:r w:rsidR="00DD5792">
        <w:rPr>
          <w:rFonts w:ascii="Arial" w:hAnsi="Arial" w:cs="Arial"/>
          <w:szCs w:val="24"/>
        </w:rPr>
        <w:t xml:space="preserve">, la cual se </w:t>
      </w:r>
      <w:r>
        <w:rPr>
          <w:rFonts w:ascii="Arial" w:hAnsi="Arial" w:cs="Arial"/>
          <w:szCs w:val="24"/>
        </w:rPr>
        <w:t xml:space="preserve">infiere </w:t>
      </w:r>
      <w:r w:rsidR="00DD5792">
        <w:rPr>
          <w:rFonts w:ascii="Arial" w:hAnsi="Arial" w:cs="Arial"/>
          <w:szCs w:val="24"/>
        </w:rPr>
        <w:t>hasta los 25 años</w:t>
      </w:r>
      <w:r w:rsidR="00F56F5E">
        <w:rPr>
          <w:rStyle w:val="Refdenotaalpie"/>
          <w:rFonts w:ascii="Arial" w:hAnsi="Arial" w:cs="Arial"/>
          <w:szCs w:val="24"/>
        </w:rPr>
        <w:footnoteReference w:id="6"/>
      </w:r>
      <w:r>
        <w:rPr>
          <w:rFonts w:ascii="Arial" w:hAnsi="Arial" w:cs="Arial"/>
          <w:szCs w:val="24"/>
        </w:rPr>
        <w:t>, dado que hasta esta, el padre vela por su establecimiento, según el artículo</w:t>
      </w:r>
      <w:r w:rsidR="004C2673">
        <w:rPr>
          <w:rFonts w:ascii="Arial" w:hAnsi="Arial" w:cs="Arial"/>
          <w:szCs w:val="24"/>
        </w:rPr>
        <w:t xml:space="preserve"> 257</w:t>
      </w:r>
      <w:r>
        <w:rPr>
          <w:rFonts w:ascii="Arial" w:hAnsi="Arial" w:cs="Arial"/>
          <w:szCs w:val="24"/>
        </w:rPr>
        <w:t xml:space="preserve"> del Código Civil.</w:t>
      </w:r>
      <w:r w:rsidR="000C134D">
        <w:rPr>
          <w:rFonts w:ascii="Arial" w:hAnsi="Arial" w:cs="Arial"/>
          <w:szCs w:val="24"/>
        </w:rPr>
        <w:t xml:space="preserve"> </w:t>
      </w:r>
    </w:p>
    <w:p w:rsidR="001F1C05" w:rsidRDefault="001F1C05" w:rsidP="00F42505">
      <w:pPr>
        <w:spacing w:line="276" w:lineRule="auto"/>
        <w:jc w:val="both"/>
        <w:rPr>
          <w:rFonts w:ascii="Arial" w:hAnsi="Arial" w:cs="Arial"/>
          <w:szCs w:val="24"/>
        </w:rPr>
      </w:pPr>
    </w:p>
    <w:p w:rsidR="001F1C05" w:rsidRDefault="000C134D" w:rsidP="001F1C05">
      <w:pPr>
        <w:spacing w:line="276" w:lineRule="auto"/>
        <w:jc w:val="both"/>
        <w:rPr>
          <w:rFonts w:ascii="Arial" w:hAnsi="Arial" w:cs="Arial"/>
          <w:szCs w:val="24"/>
        </w:rPr>
      </w:pPr>
      <w:r>
        <w:rPr>
          <w:rFonts w:ascii="Arial" w:hAnsi="Arial" w:cs="Arial"/>
          <w:szCs w:val="24"/>
        </w:rPr>
        <w:t xml:space="preserve">De tal manera que </w:t>
      </w:r>
      <w:r w:rsidR="001F1C05">
        <w:rPr>
          <w:rFonts w:ascii="Arial" w:hAnsi="Arial" w:cs="Arial"/>
          <w:szCs w:val="24"/>
        </w:rPr>
        <w:t>la liquidación del perjuicio</w:t>
      </w:r>
      <w:r w:rsidR="00884149">
        <w:rPr>
          <w:rFonts w:ascii="Arial" w:hAnsi="Arial" w:cs="Arial"/>
          <w:szCs w:val="24"/>
        </w:rPr>
        <w:t xml:space="preserve"> material en modalidad de lucro cesante </w:t>
      </w:r>
      <w:r w:rsidR="001F1C05">
        <w:rPr>
          <w:rFonts w:ascii="Arial" w:hAnsi="Arial" w:cs="Arial"/>
          <w:szCs w:val="24"/>
        </w:rPr>
        <w:t xml:space="preserve">consolidado, por el periodo comprendido entre la fecha de la muerte del señor Wilson Giraldo Ríos -21/04/2014- y la fecha de emisión de esta decisión -31/10/2017-, asciende a </w:t>
      </w:r>
      <w:r w:rsidR="006219D5">
        <w:rPr>
          <w:rFonts w:ascii="Arial" w:hAnsi="Arial" w:cs="Arial"/>
          <w:szCs w:val="24"/>
        </w:rPr>
        <w:t>$</w:t>
      </w:r>
      <w:r w:rsidR="00646223">
        <w:rPr>
          <w:rFonts w:ascii="Arial" w:hAnsi="Arial" w:cs="Arial"/>
          <w:szCs w:val="24"/>
        </w:rPr>
        <w:t>52´995.450,44</w:t>
      </w:r>
      <w:r w:rsidR="001F1C05">
        <w:rPr>
          <w:rFonts w:ascii="Arial" w:hAnsi="Arial" w:cs="Arial"/>
          <w:szCs w:val="24"/>
        </w:rPr>
        <w:t xml:space="preserve">. </w:t>
      </w:r>
    </w:p>
    <w:p w:rsidR="001F1C05" w:rsidRDefault="001F1C05" w:rsidP="00F42505">
      <w:pPr>
        <w:spacing w:line="276" w:lineRule="auto"/>
        <w:jc w:val="both"/>
        <w:rPr>
          <w:rFonts w:ascii="Arial" w:hAnsi="Arial" w:cs="Arial"/>
          <w:szCs w:val="24"/>
        </w:rPr>
      </w:pPr>
    </w:p>
    <w:p w:rsidR="00884149" w:rsidRDefault="001F1C05" w:rsidP="00F42505">
      <w:pPr>
        <w:spacing w:line="276" w:lineRule="auto"/>
        <w:jc w:val="both"/>
        <w:rPr>
          <w:rFonts w:ascii="Arial" w:hAnsi="Arial" w:cs="Arial"/>
          <w:szCs w:val="24"/>
        </w:rPr>
      </w:pPr>
      <w:r>
        <w:rPr>
          <w:rFonts w:ascii="Arial" w:hAnsi="Arial" w:cs="Arial"/>
          <w:szCs w:val="24"/>
        </w:rPr>
        <w:t>Ahora, la liquidación de</w:t>
      </w:r>
      <w:r w:rsidR="00884149">
        <w:rPr>
          <w:rFonts w:ascii="Arial" w:hAnsi="Arial" w:cs="Arial"/>
          <w:szCs w:val="24"/>
        </w:rPr>
        <w:t xml:space="preserve"> dicho </w:t>
      </w:r>
      <w:r>
        <w:rPr>
          <w:rFonts w:ascii="Arial" w:hAnsi="Arial" w:cs="Arial"/>
          <w:szCs w:val="24"/>
        </w:rPr>
        <w:t xml:space="preserve">perjuicio </w:t>
      </w:r>
      <w:r w:rsidR="00884149">
        <w:rPr>
          <w:rFonts w:ascii="Arial" w:hAnsi="Arial" w:cs="Arial"/>
          <w:szCs w:val="24"/>
        </w:rPr>
        <w:t xml:space="preserve">pero a </w:t>
      </w:r>
      <w:r>
        <w:rPr>
          <w:rFonts w:ascii="Arial" w:hAnsi="Arial" w:cs="Arial"/>
          <w:szCs w:val="24"/>
        </w:rPr>
        <w:t xml:space="preserve">futuro, </w:t>
      </w:r>
      <w:r w:rsidR="00884149">
        <w:rPr>
          <w:rFonts w:ascii="Arial" w:hAnsi="Arial" w:cs="Arial"/>
          <w:szCs w:val="24"/>
        </w:rPr>
        <w:t>debe tener como hitos, el día siguiente a la emisión de esta providencia y e</w:t>
      </w:r>
      <w:r w:rsidR="000C134D">
        <w:rPr>
          <w:rFonts w:ascii="Arial" w:hAnsi="Arial" w:cs="Arial"/>
          <w:szCs w:val="24"/>
        </w:rPr>
        <w:t xml:space="preserve">l 12/09/2023 calenda en la que su hijo Brandon Giraldo García, </w:t>
      </w:r>
      <w:r w:rsidR="00AD44EE">
        <w:rPr>
          <w:rFonts w:ascii="Arial" w:hAnsi="Arial" w:cs="Arial"/>
          <w:szCs w:val="24"/>
        </w:rPr>
        <w:t>cumplirá</w:t>
      </w:r>
      <w:r w:rsidR="000C134D">
        <w:rPr>
          <w:rFonts w:ascii="Arial" w:hAnsi="Arial" w:cs="Arial"/>
          <w:szCs w:val="24"/>
        </w:rPr>
        <w:t xml:space="preserve"> los 25 años de edad, </w:t>
      </w:r>
      <w:r w:rsidR="006219D5">
        <w:rPr>
          <w:rFonts w:ascii="Arial" w:hAnsi="Arial" w:cs="Arial"/>
          <w:szCs w:val="24"/>
        </w:rPr>
        <w:t>lo</w:t>
      </w:r>
      <w:r w:rsidR="00C04037">
        <w:rPr>
          <w:rFonts w:ascii="Arial" w:hAnsi="Arial" w:cs="Arial"/>
          <w:szCs w:val="24"/>
        </w:rPr>
        <w:t xml:space="preserve"> cual </w:t>
      </w:r>
      <w:r w:rsidR="00884149">
        <w:rPr>
          <w:rFonts w:ascii="Arial" w:hAnsi="Arial" w:cs="Arial"/>
          <w:szCs w:val="24"/>
        </w:rPr>
        <w:t>arroja un total de $</w:t>
      </w:r>
      <w:r w:rsidR="00646223">
        <w:rPr>
          <w:rFonts w:ascii="Arial" w:hAnsi="Arial" w:cs="Arial"/>
          <w:szCs w:val="24"/>
        </w:rPr>
        <w:t>67´180.717,02</w:t>
      </w:r>
      <w:r w:rsidR="00884149">
        <w:rPr>
          <w:rFonts w:ascii="Arial" w:hAnsi="Arial" w:cs="Arial"/>
          <w:szCs w:val="24"/>
        </w:rPr>
        <w:t>.</w:t>
      </w:r>
    </w:p>
    <w:p w:rsidR="004901E7" w:rsidRDefault="004901E7" w:rsidP="00F42505">
      <w:pPr>
        <w:spacing w:line="276" w:lineRule="auto"/>
        <w:jc w:val="both"/>
        <w:rPr>
          <w:rFonts w:ascii="Arial" w:hAnsi="Arial" w:cs="Arial"/>
          <w:szCs w:val="24"/>
        </w:rPr>
      </w:pPr>
    </w:p>
    <w:p w:rsidR="004901E7" w:rsidRDefault="004901E7" w:rsidP="00F42505">
      <w:pPr>
        <w:spacing w:line="276" w:lineRule="auto"/>
        <w:jc w:val="both"/>
        <w:rPr>
          <w:rFonts w:ascii="Arial" w:hAnsi="Arial" w:cs="Arial"/>
          <w:szCs w:val="24"/>
        </w:rPr>
      </w:pPr>
      <w:r>
        <w:rPr>
          <w:rFonts w:ascii="Arial" w:hAnsi="Arial" w:cs="Arial"/>
          <w:szCs w:val="24"/>
        </w:rPr>
        <w:t>En total, se genera por concepto de perjuicios materiales a favor del Brandon Giraldo García, al suma de $</w:t>
      </w:r>
      <w:r w:rsidR="00646223">
        <w:rPr>
          <w:rFonts w:ascii="Arial" w:hAnsi="Arial" w:cs="Arial"/>
          <w:szCs w:val="24"/>
        </w:rPr>
        <w:t>120´176.167,46</w:t>
      </w:r>
      <w:r>
        <w:rPr>
          <w:rFonts w:ascii="Arial" w:hAnsi="Arial" w:cs="Arial"/>
          <w:szCs w:val="24"/>
        </w:rPr>
        <w:t>, monto inferior al determinado en la instancia anterior, por lo que se modificará el numeral segundo de la parte resolutiva de la sentencia apelada.</w:t>
      </w:r>
    </w:p>
    <w:p w:rsidR="00884149" w:rsidRDefault="00884149" w:rsidP="00F42505">
      <w:pPr>
        <w:spacing w:line="276" w:lineRule="auto"/>
        <w:jc w:val="both"/>
        <w:rPr>
          <w:rFonts w:ascii="Arial" w:hAnsi="Arial" w:cs="Arial"/>
          <w:szCs w:val="24"/>
        </w:rPr>
      </w:pPr>
    </w:p>
    <w:p w:rsidR="000C134D" w:rsidRDefault="00884149" w:rsidP="00F42505">
      <w:pPr>
        <w:spacing w:line="276" w:lineRule="auto"/>
        <w:jc w:val="both"/>
        <w:rPr>
          <w:rFonts w:ascii="Arial" w:hAnsi="Arial" w:cs="Arial"/>
          <w:szCs w:val="24"/>
        </w:rPr>
      </w:pPr>
      <w:r>
        <w:rPr>
          <w:rFonts w:ascii="Arial" w:hAnsi="Arial" w:cs="Arial"/>
          <w:szCs w:val="24"/>
        </w:rPr>
        <w:t xml:space="preserve">En ambos casos, se tomó </w:t>
      </w:r>
      <w:r w:rsidR="004C2673">
        <w:rPr>
          <w:rFonts w:ascii="Arial" w:hAnsi="Arial" w:cs="Arial"/>
          <w:szCs w:val="24"/>
        </w:rPr>
        <w:t xml:space="preserve">el </w:t>
      </w:r>
      <w:r w:rsidR="000F246F">
        <w:rPr>
          <w:rFonts w:ascii="Arial" w:hAnsi="Arial" w:cs="Arial"/>
          <w:szCs w:val="24"/>
        </w:rPr>
        <w:t>monto</w:t>
      </w:r>
      <w:r w:rsidR="00694550">
        <w:rPr>
          <w:rFonts w:ascii="Arial" w:hAnsi="Arial" w:cs="Arial"/>
          <w:szCs w:val="24"/>
        </w:rPr>
        <w:t xml:space="preserve"> </w:t>
      </w:r>
      <w:r w:rsidR="004C2673">
        <w:rPr>
          <w:rFonts w:ascii="Arial" w:hAnsi="Arial" w:cs="Arial"/>
          <w:szCs w:val="24"/>
        </w:rPr>
        <w:t>hallado por el juez</w:t>
      </w:r>
      <w:r w:rsidR="00694550">
        <w:rPr>
          <w:rFonts w:ascii="Arial" w:hAnsi="Arial" w:cs="Arial"/>
          <w:szCs w:val="24"/>
        </w:rPr>
        <w:t xml:space="preserve"> de primer grado</w:t>
      </w:r>
      <w:r w:rsidR="006219D5">
        <w:rPr>
          <w:rFonts w:ascii="Arial" w:hAnsi="Arial" w:cs="Arial"/>
          <w:szCs w:val="24"/>
        </w:rPr>
        <w:t>,</w:t>
      </w:r>
      <w:r w:rsidR="004C2673">
        <w:rPr>
          <w:rFonts w:ascii="Arial" w:hAnsi="Arial" w:cs="Arial"/>
          <w:szCs w:val="24"/>
        </w:rPr>
        <w:t xml:space="preserve"> al n</w:t>
      </w:r>
      <w:r>
        <w:rPr>
          <w:rFonts w:ascii="Arial" w:hAnsi="Arial" w:cs="Arial"/>
          <w:szCs w:val="24"/>
        </w:rPr>
        <w:t xml:space="preserve">o ser discutido por el apelante y las sumas generadas, corresponden a </w:t>
      </w:r>
      <w:r w:rsidR="00C04037">
        <w:rPr>
          <w:rFonts w:ascii="Arial" w:hAnsi="Arial" w:cs="Arial"/>
          <w:szCs w:val="24"/>
        </w:rPr>
        <w:t>la</w:t>
      </w:r>
      <w:r>
        <w:rPr>
          <w:rFonts w:ascii="Arial" w:hAnsi="Arial" w:cs="Arial"/>
          <w:szCs w:val="24"/>
        </w:rPr>
        <w:t xml:space="preserve">s liquidaciones </w:t>
      </w:r>
      <w:r w:rsidR="00C04037">
        <w:rPr>
          <w:rFonts w:ascii="Arial" w:hAnsi="Arial" w:cs="Arial"/>
          <w:szCs w:val="24"/>
        </w:rPr>
        <w:t>que hace parte integral del acta que se suscriba con ocasión de esta diligencia</w:t>
      </w:r>
      <w:r w:rsidR="00AC70F8">
        <w:rPr>
          <w:rFonts w:ascii="Arial" w:hAnsi="Arial" w:cs="Arial"/>
          <w:szCs w:val="24"/>
        </w:rPr>
        <w:t>.</w:t>
      </w:r>
      <w:r w:rsidR="000C134D">
        <w:rPr>
          <w:rFonts w:ascii="Arial" w:hAnsi="Arial" w:cs="Arial"/>
          <w:szCs w:val="24"/>
        </w:rPr>
        <w:t xml:space="preserve"> </w:t>
      </w:r>
    </w:p>
    <w:p w:rsidR="000A2D7F" w:rsidRDefault="000A2D7F" w:rsidP="00F42505">
      <w:pPr>
        <w:spacing w:line="276" w:lineRule="auto"/>
        <w:jc w:val="both"/>
        <w:rPr>
          <w:rFonts w:ascii="Arial" w:hAnsi="Arial" w:cs="Arial"/>
          <w:szCs w:val="24"/>
        </w:rPr>
      </w:pPr>
    </w:p>
    <w:p w:rsidR="00C256F9" w:rsidRDefault="00C256F9" w:rsidP="00F42505">
      <w:pPr>
        <w:spacing w:line="276" w:lineRule="auto"/>
        <w:jc w:val="both"/>
        <w:rPr>
          <w:rFonts w:ascii="Arial" w:hAnsi="Arial" w:cs="Arial"/>
          <w:szCs w:val="24"/>
        </w:rPr>
      </w:pPr>
      <w:r>
        <w:rPr>
          <w:rFonts w:ascii="Arial" w:hAnsi="Arial" w:cs="Arial"/>
          <w:szCs w:val="24"/>
        </w:rPr>
        <w:t xml:space="preserve">En relación con los perjuicios morales, </w:t>
      </w:r>
      <w:r w:rsidR="00C04037">
        <w:rPr>
          <w:rFonts w:ascii="Arial" w:hAnsi="Arial" w:cs="Arial"/>
          <w:szCs w:val="24"/>
        </w:rPr>
        <w:t xml:space="preserve">se ha establecido </w:t>
      </w:r>
      <w:r w:rsidR="004C2673">
        <w:rPr>
          <w:rFonts w:ascii="Arial" w:hAnsi="Arial" w:cs="Arial"/>
          <w:szCs w:val="24"/>
        </w:rPr>
        <w:t xml:space="preserve">jurisprudencialmente </w:t>
      </w:r>
      <w:r w:rsidR="00C04037">
        <w:rPr>
          <w:rFonts w:ascii="Arial" w:hAnsi="Arial" w:cs="Arial"/>
          <w:szCs w:val="24"/>
        </w:rPr>
        <w:t>una presunción</w:t>
      </w:r>
      <w:r w:rsidR="00B10D9C">
        <w:rPr>
          <w:rFonts w:ascii="Arial" w:hAnsi="Arial" w:cs="Arial"/>
          <w:szCs w:val="24"/>
        </w:rPr>
        <w:t xml:space="preserve"> de hecho</w:t>
      </w:r>
      <w:r w:rsidR="004C2673">
        <w:rPr>
          <w:rFonts w:ascii="Arial" w:hAnsi="Arial" w:cs="Arial"/>
          <w:szCs w:val="24"/>
        </w:rPr>
        <w:t xml:space="preserve"> –indicio-</w:t>
      </w:r>
      <w:r w:rsidR="00B10D9C">
        <w:rPr>
          <w:rFonts w:ascii="Arial" w:hAnsi="Arial" w:cs="Arial"/>
          <w:szCs w:val="24"/>
        </w:rPr>
        <w:t xml:space="preserve">, que por tal calificativo admite prueba en contrario, </w:t>
      </w:r>
      <w:r w:rsidR="00C04037">
        <w:rPr>
          <w:rFonts w:ascii="Arial" w:hAnsi="Arial" w:cs="Arial"/>
          <w:szCs w:val="24"/>
        </w:rPr>
        <w:t>en cabe</w:t>
      </w:r>
      <w:r w:rsidR="00B10D9C">
        <w:rPr>
          <w:rFonts w:ascii="Arial" w:hAnsi="Arial" w:cs="Arial"/>
          <w:szCs w:val="24"/>
        </w:rPr>
        <w:t>za de ciertas personas</w:t>
      </w:r>
      <w:r w:rsidR="004C2673">
        <w:rPr>
          <w:rFonts w:ascii="Arial" w:hAnsi="Arial" w:cs="Arial"/>
          <w:szCs w:val="24"/>
        </w:rPr>
        <w:t xml:space="preserve"> cercanas a la</w:t>
      </w:r>
      <w:r w:rsidR="00C04037">
        <w:rPr>
          <w:rFonts w:ascii="Arial" w:hAnsi="Arial" w:cs="Arial"/>
          <w:szCs w:val="24"/>
        </w:rPr>
        <w:t xml:space="preserve"> víctima, </w:t>
      </w:r>
      <w:r w:rsidR="00F8687D">
        <w:rPr>
          <w:rFonts w:ascii="Arial" w:hAnsi="Arial" w:cs="Arial"/>
          <w:szCs w:val="24"/>
        </w:rPr>
        <w:t>por lo que les basta probar el parentesco para inferirse el daño moral</w:t>
      </w:r>
      <w:r w:rsidR="00B10D9C">
        <w:rPr>
          <w:rFonts w:ascii="Arial" w:hAnsi="Arial" w:cs="Arial"/>
          <w:szCs w:val="24"/>
        </w:rPr>
        <w:t xml:space="preserve">, como lo son los padres, hijos, cónyuge, compañero (a) permanente, abuelos y hermanos. </w:t>
      </w:r>
    </w:p>
    <w:p w:rsidR="00C139F2" w:rsidRDefault="00C139F2" w:rsidP="00F42505">
      <w:pPr>
        <w:spacing w:line="276" w:lineRule="auto"/>
        <w:jc w:val="both"/>
        <w:rPr>
          <w:rFonts w:ascii="Arial" w:hAnsi="Arial" w:cs="Arial"/>
          <w:szCs w:val="24"/>
        </w:rPr>
      </w:pPr>
    </w:p>
    <w:p w:rsidR="00544C11" w:rsidRDefault="00B10D9C" w:rsidP="005B6B01">
      <w:pPr>
        <w:pStyle w:val="Sinespaciado"/>
        <w:spacing w:line="276" w:lineRule="auto"/>
        <w:jc w:val="both"/>
        <w:rPr>
          <w:rFonts w:ascii="Arial" w:hAnsi="Arial" w:cs="Arial"/>
          <w:sz w:val="24"/>
          <w:szCs w:val="24"/>
        </w:rPr>
      </w:pPr>
      <w:r>
        <w:rPr>
          <w:rFonts w:ascii="Arial" w:hAnsi="Arial" w:cs="Arial"/>
          <w:sz w:val="24"/>
          <w:szCs w:val="24"/>
        </w:rPr>
        <w:t>Por</w:t>
      </w:r>
      <w:r w:rsidR="00973DED">
        <w:rPr>
          <w:rFonts w:ascii="Arial" w:hAnsi="Arial" w:cs="Arial"/>
          <w:sz w:val="24"/>
          <w:szCs w:val="24"/>
        </w:rPr>
        <w:t xml:space="preserve"> lo tanto, como los demandantes –</w:t>
      </w:r>
      <w:r w:rsidR="00973DED" w:rsidRPr="00973DED">
        <w:rPr>
          <w:rFonts w:ascii="Arial" w:hAnsi="Arial" w:cs="Arial"/>
          <w:i/>
          <w:sz w:val="24"/>
          <w:szCs w:val="24"/>
        </w:rPr>
        <w:t xml:space="preserve">excepto la cónyuge María </w:t>
      </w:r>
      <w:proofErr w:type="spellStart"/>
      <w:r w:rsidR="00973DED" w:rsidRPr="00973DED">
        <w:rPr>
          <w:rFonts w:ascii="Arial" w:hAnsi="Arial" w:cs="Arial"/>
          <w:i/>
          <w:sz w:val="24"/>
          <w:szCs w:val="24"/>
        </w:rPr>
        <w:t>Janedt</w:t>
      </w:r>
      <w:proofErr w:type="spellEnd"/>
      <w:r w:rsidR="00973DED" w:rsidRPr="00973DED">
        <w:rPr>
          <w:rFonts w:ascii="Arial" w:hAnsi="Arial" w:cs="Arial"/>
          <w:i/>
          <w:sz w:val="24"/>
          <w:szCs w:val="24"/>
        </w:rPr>
        <w:t xml:space="preserve"> García, atendiendo lo expuesto </w:t>
      </w:r>
      <w:proofErr w:type="spellStart"/>
      <w:r w:rsidR="00973DED" w:rsidRPr="00973DED">
        <w:rPr>
          <w:rFonts w:ascii="Arial" w:hAnsi="Arial" w:cs="Arial"/>
          <w:i/>
          <w:sz w:val="24"/>
          <w:szCs w:val="24"/>
        </w:rPr>
        <w:t>anteladamente</w:t>
      </w:r>
      <w:proofErr w:type="spellEnd"/>
      <w:r w:rsidR="00973DED" w:rsidRPr="00973DED">
        <w:rPr>
          <w:rFonts w:ascii="Arial" w:hAnsi="Arial" w:cs="Arial"/>
          <w:i/>
          <w:sz w:val="24"/>
          <w:szCs w:val="24"/>
        </w:rPr>
        <w:t>-</w:t>
      </w:r>
      <w:r w:rsidR="00973DED">
        <w:rPr>
          <w:rFonts w:ascii="Arial" w:hAnsi="Arial" w:cs="Arial"/>
          <w:sz w:val="24"/>
          <w:szCs w:val="24"/>
        </w:rPr>
        <w:t xml:space="preserve">,  </w:t>
      </w:r>
      <w:r>
        <w:rPr>
          <w:rFonts w:ascii="Arial" w:hAnsi="Arial" w:cs="Arial"/>
          <w:sz w:val="24"/>
          <w:szCs w:val="24"/>
        </w:rPr>
        <w:t>lograron acreditar con los registros civiles de nacimiento</w:t>
      </w:r>
      <w:r w:rsidR="0000748F">
        <w:rPr>
          <w:rFonts w:ascii="Arial" w:hAnsi="Arial" w:cs="Arial"/>
          <w:sz w:val="24"/>
          <w:szCs w:val="24"/>
        </w:rPr>
        <w:t>,</w:t>
      </w:r>
      <w:r>
        <w:rPr>
          <w:rFonts w:ascii="Arial" w:hAnsi="Arial" w:cs="Arial"/>
          <w:sz w:val="24"/>
          <w:szCs w:val="24"/>
        </w:rPr>
        <w:t xml:space="preserve"> que ane</w:t>
      </w:r>
      <w:r w:rsidR="005324C9">
        <w:rPr>
          <w:rFonts w:ascii="Arial" w:hAnsi="Arial" w:cs="Arial"/>
          <w:sz w:val="24"/>
          <w:szCs w:val="24"/>
        </w:rPr>
        <w:t>xaron a la demanda</w:t>
      </w:r>
      <w:r w:rsidR="0000748F">
        <w:rPr>
          <w:rFonts w:ascii="Arial" w:hAnsi="Arial" w:cs="Arial"/>
          <w:sz w:val="24"/>
          <w:szCs w:val="24"/>
        </w:rPr>
        <w:t>,</w:t>
      </w:r>
      <w:r w:rsidR="005324C9">
        <w:rPr>
          <w:rFonts w:ascii="Arial" w:hAnsi="Arial" w:cs="Arial"/>
          <w:sz w:val="24"/>
          <w:szCs w:val="24"/>
        </w:rPr>
        <w:t xml:space="preserve"> que ostentan tales </w:t>
      </w:r>
      <w:r>
        <w:rPr>
          <w:rFonts w:ascii="Arial" w:hAnsi="Arial" w:cs="Arial"/>
          <w:sz w:val="24"/>
          <w:szCs w:val="24"/>
        </w:rPr>
        <w:t>calidad</w:t>
      </w:r>
      <w:r w:rsidR="005324C9">
        <w:rPr>
          <w:rFonts w:ascii="Arial" w:hAnsi="Arial" w:cs="Arial"/>
          <w:sz w:val="24"/>
          <w:szCs w:val="24"/>
        </w:rPr>
        <w:t xml:space="preserve">es, </w:t>
      </w:r>
      <w:r w:rsidR="0000748F">
        <w:rPr>
          <w:rFonts w:ascii="Arial" w:hAnsi="Arial" w:cs="Arial"/>
          <w:sz w:val="24"/>
          <w:szCs w:val="24"/>
        </w:rPr>
        <w:t xml:space="preserve">por lo que </w:t>
      </w:r>
      <w:r w:rsidR="005324C9">
        <w:rPr>
          <w:rFonts w:ascii="Arial" w:hAnsi="Arial" w:cs="Arial"/>
          <w:sz w:val="24"/>
          <w:szCs w:val="24"/>
        </w:rPr>
        <w:t>indiciariamente puede tenerse como probado que padecieron tristeza, congoja y dolor por la muerte del Wilson Giraldo R</w:t>
      </w:r>
      <w:r w:rsidR="006219D5">
        <w:rPr>
          <w:rFonts w:ascii="Arial" w:hAnsi="Arial" w:cs="Arial"/>
          <w:sz w:val="24"/>
          <w:szCs w:val="24"/>
        </w:rPr>
        <w:t>íos, circunstancia</w:t>
      </w:r>
      <w:r w:rsidR="009B0D18">
        <w:rPr>
          <w:rFonts w:ascii="Arial" w:hAnsi="Arial" w:cs="Arial"/>
          <w:sz w:val="24"/>
          <w:szCs w:val="24"/>
        </w:rPr>
        <w:t xml:space="preserve"> que no logr</w:t>
      </w:r>
      <w:r w:rsidR="006219D5">
        <w:rPr>
          <w:rFonts w:ascii="Arial" w:hAnsi="Arial" w:cs="Arial"/>
          <w:sz w:val="24"/>
          <w:szCs w:val="24"/>
        </w:rPr>
        <w:t>ó</w:t>
      </w:r>
      <w:r w:rsidR="009B0D18">
        <w:rPr>
          <w:rFonts w:ascii="Arial" w:hAnsi="Arial" w:cs="Arial"/>
          <w:sz w:val="24"/>
          <w:szCs w:val="24"/>
        </w:rPr>
        <w:t xml:space="preserve"> ser desvirtuadas por los demandados.</w:t>
      </w:r>
    </w:p>
    <w:p w:rsidR="009B0D18" w:rsidRDefault="009B0D18" w:rsidP="005B6B01">
      <w:pPr>
        <w:pStyle w:val="Sinespaciado"/>
        <w:spacing w:line="276" w:lineRule="auto"/>
        <w:jc w:val="both"/>
        <w:rPr>
          <w:rFonts w:ascii="Arial" w:hAnsi="Arial" w:cs="Arial"/>
          <w:sz w:val="24"/>
          <w:szCs w:val="24"/>
        </w:rPr>
      </w:pPr>
    </w:p>
    <w:p w:rsidR="009B0D18" w:rsidRDefault="009B0D18" w:rsidP="005B6B01">
      <w:pPr>
        <w:pStyle w:val="Sinespaciado"/>
        <w:spacing w:line="276" w:lineRule="auto"/>
        <w:jc w:val="both"/>
        <w:rPr>
          <w:rFonts w:ascii="Arial" w:hAnsi="Arial" w:cs="Arial"/>
          <w:sz w:val="24"/>
          <w:szCs w:val="24"/>
        </w:rPr>
      </w:pPr>
      <w:r>
        <w:rPr>
          <w:rFonts w:ascii="Arial" w:hAnsi="Arial" w:cs="Arial"/>
          <w:sz w:val="24"/>
          <w:szCs w:val="24"/>
        </w:rPr>
        <w:t>Ahora, en relación con la cuantificación de los mismos, en reciente pronunciamiento, el órgano de cierre de esta especialidad</w:t>
      </w:r>
      <w:r>
        <w:rPr>
          <w:rStyle w:val="Refdenotaalpie"/>
          <w:rFonts w:ascii="Arial" w:hAnsi="Arial" w:cs="Arial"/>
          <w:sz w:val="24"/>
          <w:szCs w:val="24"/>
        </w:rPr>
        <w:footnoteReference w:id="7"/>
      </w:r>
      <w:r>
        <w:rPr>
          <w:rFonts w:ascii="Arial" w:hAnsi="Arial" w:cs="Arial"/>
          <w:sz w:val="24"/>
          <w:szCs w:val="24"/>
        </w:rPr>
        <w:t xml:space="preserve">, </w:t>
      </w:r>
      <w:r w:rsidR="009D5C6C">
        <w:rPr>
          <w:rFonts w:ascii="Arial" w:hAnsi="Arial" w:cs="Arial"/>
          <w:sz w:val="24"/>
          <w:szCs w:val="24"/>
        </w:rPr>
        <w:t>concedió por este concepto la suma de $50´000.000</w:t>
      </w:r>
      <w:r w:rsidR="00694550">
        <w:rPr>
          <w:rFonts w:ascii="Arial" w:hAnsi="Arial" w:cs="Arial"/>
          <w:sz w:val="24"/>
          <w:szCs w:val="24"/>
        </w:rPr>
        <w:t>, para cada uno de los parientes más cercanos, entendiéndose como tal (cónyuge e hijos). No obstante, a partir de allí y condicionada a la proximidad</w:t>
      </w:r>
      <w:r w:rsidR="003A1167">
        <w:rPr>
          <w:rFonts w:ascii="Arial" w:hAnsi="Arial" w:cs="Arial"/>
          <w:sz w:val="24"/>
          <w:szCs w:val="24"/>
        </w:rPr>
        <w:t xml:space="preserve"> con la víctima o afectado directo, puede reducirse, de ahí </w:t>
      </w:r>
      <w:r w:rsidR="009D5C6C">
        <w:rPr>
          <w:rFonts w:ascii="Arial" w:hAnsi="Arial" w:cs="Arial"/>
          <w:sz w:val="24"/>
          <w:szCs w:val="24"/>
        </w:rPr>
        <w:t>que la cuantía señalada por el a-quo en $6´894.540</w:t>
      </w:r>
      <w:r w:rsidR="003A1167">
        <w:rPr>
          <w:rFonts w:ascii="Arial" w:hAnsi="Arial" w:cs="Arial"/>
          <w:sz w:val="24"/>
          <w:szCs w:val="24"/>
        </w:rPr>
        <w:t xml:space="preserve"> para cada uno</w:t>
      </w:r>
      <w:r w:rsidR="00DC3873">
        <w:rPr>
          <w:rFonts w:ascii="Arial" w:hAnsi="Arial" w:cs="Arial"/>
          <w:sz w:val="24"/>
          <w:szCs w:val="24"/>
        </w:rPr>
        <w:t>, resulta ser proporcional y adecuada, sin que haya lugar a su disminución, como subsidiariamente lo pretende el recurrente.</w:t>
      </w:r>
    </w:p>
    <w:p w:rsidR="00C04037" w:rsidRDefault="00C04037" w:rsidP="005B6B01">
      <w:pPr>
        <w:pStyle w:val="Sinespaciado"/>
        <w:spacing w:line="276" w:lineRule="auto"/>
        <w:jc w:val="both"/>
        <w:rPr>
          <w:rFonts w:ascii="Arial" w:hAnsi="Arial" w:cs="Arial"/>
          <w:sz w:val="24"/>
          <w:szCs w:val="24"/>
        </w:rPr>
      </w:pPr>
    </w:p>
    <w:p w:rsidR="00AD44EE" w:rsidRDefault="00AD44EE" w:rsidP="005B6B01">
      <w:pPr>
        <w:pStyle w:val="Sinespaciado"/>
        <w:spacing w:line="276" w:lineRule="auto"/>
        <w:jc w:val="both"/>
        <w:rPr>
          <w:rFonts w:ascii="Arial" w:hAnsi="Arial" w:cs="Arial"/>
          <w:sz w:val="24"/>
          <w:szCs w:val="24"/>
        </w:rPr>
      </w:pPr>
      <w:r>
        <w:rPr>
          <w:rFonts w:ascii="Arial" w:hAnsi="Arial" w:cs="Arial"/>
          <w:sz w:val="24"/>
          <w:szCs w:val="24"/>
        </w:rPr>
        <w:t xml:space="preserve">De otro lado, conforme a lo advertido por el vocero judicial de los demandados, no es posible emitir la condena por concepto de la indemnización plena de perjuicios a favor de la masa </w:t>
      </w:r>
      <w:proofErr w:type="spellStart"/>
      <w:r>
        <w:rPr>
          <w:rFonts w:ascii="Arial" w:hAnsi="Arial" w:cs="Arial"/>
          <w:sz w:val="24"/>
          <w:szCs w:val="24"/>
        </w:rPr>
        <w:t>sucesoral</w:t>
      </w:r>
      <w:proofErr w:type="spellEnd"/>
      <w:r>
        <w:rPr>
          <w:rFonts w:ascii="Arial" w:hAnsi="Arial" w:cs="Arial"/>
          <w:sz w:val="24"/>
          <w:szCs w:val="24"/>
        </w:rPr>
        <w:t xml:space="preserve"> del señor Wilson Giraldo Ríos, pues no se trata de sumas de dinero que él en vida las haya causado, como sí sucede con las prestaciones sociales; por lo tanto, se aclarará en ese sentido el numeral segundo de la parte resolutiva de la sentencia apelada.</w:t>
      </w:r>
    </w:p>
    <w:p w:rsidR="00AD44EE" w:rsidRDefault="00AD44EE" w:rsidP="005B6B01">
      <w:pPr>
        <w:pStyle w:val="Sinespaciado"/>
        <w:spacing w:line="276" w:lineRule="auto"/>
        <w:jc w:val="both"/>
        <w:rPr>
          <w:rFonts w:ascii="Arial" w:hAnsi="Arial" w:cs="Arial"/>
          <w:sz w:val="24"/>
          <w:szCs w:val="24"/>
        </w:rPr>
      </w:pPr>
    </w:p>
    <w:p w:rsidR="00544C11" w:rsidRDefault="00AD44EE" w:rsidP="005B6B01">
      <w:pPr>
        <w:pStyle w:val="Sinespaciado"/>
        <w:spacing w:line="276" w:lineRule="auto"/>
        <w:jc w:val="both"/>
        <w:rPr>
          <w:rFonts w:ascii="Arial" w:hAnsi="Arial" w:cs="Arial"/>
          <w:sz w:val="24"/>
          <w:szCs w:val="24"/>
        </w:rPr>
      </w:pPr>
      <w:r>
        <w:rPr>
          <w:rFonts w:ascii="Arial" w:hAnsi="Arial" w:cs="Arial"/>
          <w:sz w:val="24"/>
          <w:szCs w:val="24"/>
        </w:rPr>
        <w:t xml:space="preserve">Con lo hasta aquí expuesto, quedan resueltos los motivos de inconformidad </w:t>
      </w:r>
      <w:r w:rsidR="0000748F">
        <w:rPr>
          <w:rFonts w:ascii="Arial" w:hAnsi="Arial" w:cs="Arial"/>
          <w:sz w:val="24"/>
          <w:szCs w:val="24"/>
        </w:rPr>
        <w:t xml:space="preserve">planteados </w:t>
      </w:r>
      <w:r>
        <w:rPr>
          <w:rFonts w:ascii="Arial" w:hAnsi="Arial" w:cs="Arial"/>
          <w:sz w:val="24"/>
          <w:szCs w:val="24"/>
        </w:rPr>
        <w:t>por el vocero judicial de los demandados.</w:t>
      </w:r>
    </w:p>
    <w:p w:rsidR="00AD44EE" w:rsidRDefault="00AD44EE" w:rsidP="005B6B01">
      <w:pPr>
        <w:pStyle w:val="Sinespaciado"/>
        <w:spacing w:line="276" w:lineRule="auto"/>
        <w:jc w:val="both"/>
        <w:rPr>
          <w:rFonts w:ascii="Arial" w:hAnsi="Arial" w:cs="Arial"/>
          <w:sz w:val="24"/>
          <w:szCs w:val="24"/>
        </w:rPr>
      </w:pPr>
    </w:p>
    <w:p w:rsidR="00544C11" w:rsidRDefault="00AD44EE" w:rsidP="005B6B01">
      <w:pPr>
        <w:pStyle w:val="Sinespaciado"/>
        <w:spacing w:line="276" w:lineRule="auto"/>
        <w:jc w:val="both"/>
        <w:rPr>
          <w:rFonts w:ascii="Arial" w:hAnsi="Arial" w:cs="Arial"/>
          <w:sz w:val="24"/>
          <w:szCs w:val="24"/>
        </w:rPr>
      </w:pPr>
      <w:r>
        <w:rPr>
          <w:rFonts w:ascii="Arial" w:hAnsi="Arial" w:cs="Arial"/>
          <w:sz w:val="24"/>
          <w:szCs w:val="24"/>
        </w:rPr>
        <w:t xml:space="preserve">En lo que respecta a la parte actora, </w:t>
      </w:r>
      <w:r w:rsidR="002F0D65">
        <w:rPr>
          <w:rFonts w:ascii="Arial" w:hAnsi="Arial" w:cs="Arial"/>
          <w:sz w:val="24"/>
          <w:szCs w:val="24"/>
        </w:rPr>
        <w:t xml:space="preserve">su apoderada judicial en la alzada solicitó que la pensión de sobrevivientes </w:t>
      </w:r>
      <w:r w:rsidR="004A4366">
        <w:rPr>
          <w:rFonts w:ascii="Arial" w:hAnsi="Arial" w:cs="Arial"/>
          <w:sz w:val="24"/>
          <w:szCs w:val="24"/>
        </w:rPr>
        <w:t xml:space="preserve">reconocida a favor de Brandon Giraldo García </w:t>
      </w:r>
      <w:r w:rsidR="002F0D65">
        <w:rPr>
          <w:rFonts w:ascii="Arial" w:hAnsi="Arial" w:cs="Arial"/>
          <w:sz w:val="24"/>
          <w:szCs w:val="24"/>
        </w:rPr>
        <w:t>se extendiera hasta que</w:t>
      </w:r>
      <w:r w:rsidR="004A4366">
        <w:rPr>
          <w:rFonts w:ascii="Arial" w:hAnsi="Arial" w:cs="Arial"/>
          <w:sz w:val="24"/>
          <w:szCs w:val="24"/>
        </w:rPr>
        <w:t xml:space="preserve"> arribara a los 25 años de edad.</w:t>
      </w:r>
    </w:p>
    <w:p w:rsidR="004A4366" w:rsidRDefault="004A4366" w:rsidP="005B6B01">
      <w:pPr>
        <w:pStyle w:val="Sinespaciado"/>
        <w:spacing w:line="276" w:lineRule="auto"/>
        <w:jc w:val="both"/>
        <w:rPr>
          <w:rFonts w:ascii="Arial" w:hAnsi="Arial" w:cs="Arial"/>
          <w:sz w:val="24"/>
          <w:szCs w:val="24"/>
        </w:rPr>
      </w:pPr>
    </w:p>
    <w:p w:rsidR="004A4366" w:rsidRDefault="004A4366" w:rsidP="005B6B01">
      <w:pPr>
        <w:pStyle w:val="Sinespaciado"/>
        <w:spacing w:line="276" w:lineRule="auto"/>
        <w:jc w:val="both"/>
        <w:rPr>
          <w:rFonts w:ascii="Arial" w:hAnsi="Arial" w:cs="Arial"/>
          <w:sz w:val="24"/>
          <w:szCs w:val="24"/>
        </w:rPr>
      </w:pPr>
      <w:r>
        <w:rPr>
          <w:rFonts w:ascii="Arial" w:hAnsi="Arial" w:cs="Arial"/>
          <w:sz w:val="24"/>
          <w:szCs w:val="24"/>
        </w:rPr>
        <w:t>Frente a ese pedimento, conforme lo tiene establecido el artículo 46 de la Ley 100 de 1993, modificado por el artículo 12 de la Ley 797 de 2003, vigente para el momento en que falleció el señor Wilson Giraldo Ríos, cuando la prestación de sobrevivencia se genera a favor de los hijos, la misma se reconoce hasta que alcancen la mayoría de edad y puede extenderse hasta los 25 años</w:t>
      </w:r>
      <w:r w:rsidR="006219D5">
        <w:rPr>
          <w:rFonts w:ascii="Arial" w:hAnsi="Arial" w:cs="Arial"/>
          <w:sz w:val="24"/>
          <w:szCs w:val="24"/>
        </w:rPr>
        <w:t>,</w:t>
      </w:r>
      <w:r>
        <w:rPr>
          <w:rFonts w:ascii="Arial" w:hAnsi="Arial" w:cs="Arial"/>
          <w:sz w:val="24"/>
          <w:szCs w:val="24"/>
        </w:rPr>
        <w:t xml:space="preserve"> solo si ostentan la calidad de estudiantes.</w:t>
      </w:r>
    </w:p>
    <w:p w:rsidR="004A4366" w:rsidRDefault="004A4366" w:rsidP="005B6B01">
      <w:pPr>
        <w:pStyle w:val="Sinespaciado"/>
        <w:spacing w:line="276" w:lineRule="auto"/>
        <w:jc w:val="both"/>
        <w:rPr>
          <w:rFonts w:ascii="Arial" w:hAnsi="Arial" w:cs="Arial"/>
          <w:sz w:val="24"/>
          <w:szCs w:val="24"/>
        </w:rPr>
      </w:pPr>
    </w:p>
    <w:p w:rsidR="00544C11" w:rsidRDefault="004A4366" w:rsidP="005B6B01">
      <w:pPr>
        <w:pStyle w:val="Sinespaciado"/>
        <w:spacing w:line="276" w:lineRule="auto"/>
        <w:jc w:val="both"/>
        <w:rPr>
          <w:rFonts w:ascii="Arial" w:hAnsi="Arial" w:cs="Arial"/>
          <w:sz w:val="24"/>
          <w:szCs w:val="24"/>
        </w:rPr>
      </w:pPr>
      <w:r>
        <w:rPr>
          <w:rFonts w:ascii="Arial" w:hAnsi="Arial" w:cs="Arial"/>
          <w:sz w:val="24"/>
          <w:szCs w:val="24"/>
        </w:rPr>
        <w:t xml:space="preserve">Así las cosas, </w:t>
      </w:r>
      <w:r w:rsidR="00A45DF7">
        <w:rPr>
          <w:rFonts w:ascii="Arial" w:hAnsi="Arial" w:cs="Arial"/>
          <w:sz w:val="24"/>
          <w:szCs w:val="24"/>
        </w:rPr>
        <w:t xml:space="preserve">encuentra la Sala que es procedente adicionar el numeral tercero de la sentencia objetada, con el fin de indicar que el señor José Israel Amador </w:t>
      </w:r>
      <w:r w:rsidR="00A45DF7">
        <w:rPr>
          <w:rFonts w:ascii="Arial" w:hAnsi="Arial" w:cs="Arial"/>
          <w:sz w:val="24"/>
          <w:szCs w:val="24"/>
        </w:rPr>
        <w:lastRenderedPageBreak/>
        <w:t>Ávila, debe pagar a favor de Brandon Giraldo García la pensión de sobrevivientes hasta sus 18 años de edad o de encontrarse estudiando, hasta los 25 años, es decir, hasta el 12/09/20</w:t>
      </w:r>
      <w:r w:rsidR="006219D5">
        <w:rPr>
          <w:rFonts w:ascii="Arial" w:hAnsi="Arial" w:cs="Arial"/>
          <w:sz w:val="24"/>
          <w:szCs w:val="24"/>
        </w:rPr>
        <w:t>23</w:t>
      </w:r>
      <w:r w:rsidR="00A45DF7">
        <w:rPr>
          <w:rFonts w:ascii="Arial" w:hAnsi="Arial" w:cs="Arial"/>
          <w:sz w:val="24"/>
          <w:szCs w:val="24"/>
        </w:rPr>
        <w:t>.</w:t>
      </w:r>
    </w:p>
    <w:p w:rsidR="00544C11" w:rsidRDefault="00544C11" w:rsidP="005B6B01">
      <w:pPr>
        <w:pStyle w:val="Sinespaciado"/>
        <w:spacing w:line="276" w:lineRule="auto"/>
        <w:jc w:val="both"/>
        <w:rPr>
          <w:rFonts w:ascii="Arial" w:hAnsi="Arial" w:cs="Arial"/>
          <w:sz w:val="24"/>
          <w:szCs w:val="24"/>
        </w:rPr>
      </w:pPr>
    </w:p>
    <w:p w:rsidR="00F67A5C" w:rsidRDefault="003C2FBA" w:rsidP="005B6B01">
      <w:pPr>
        <w:pStyle w:val="Sinespaciado"/>
        <w:spacing w:line="276" w:lineRule="auto"/>
        <w:jc w:val="both"/>
        <w:rPr>
          <w:rFonts w:ascii="Arial" w:hAnsi="Arial" w:cs="Arial"/>
          <w:sz w:val="24"/>
          <w:szCs w:val="24"/>
        </w:rPr>
      </w:pPr>
      <w:r>
        <w:rPr>
          <w:rFonts w:ascii="Arial" w:hAnsi="Arial" w:cs="Arial"/>
          <w:sz w:val="24"/>
          <w:szCs w:val="24"/>
        </w:rPr>
        <w:t xml:space="preserve">Finalmente, </w:t>
      </w:r>
      <w:r w:rsidR="003142F8">
        <w:rPr>
          <w:rFonts w:ascii="Arial" w:hAnsi="Arial" w:cs="Arial"/>
          <w:sz w:val="24"/>
          <w:szCs w:val="24"/>
        </w:rPr>
        <w:t xml:space="preserve">pretende que se acceda a la condena establecida en el artículo 65 del </w:t>
      </w:r>
      <w:proofErr w:type="spellStart"/>
      <w:r w:rsidR="003142F8">
        <w:rPr>
          <w:rFonts w:ascii="Arial" w:hAnsi="Arial" w:cs="Arial"/>
          <w:sz w:val="24"/>
          <w:szCs w:val="24"/>
        </w:rPr>
        <w:t>C.S.T</w:t>
      </w:r>
      <w:proofErr w:type="spellEnd"/>
      <w:r w:rsidR="003142F8">
        <w:rPr>
          <w:rFonts w:ascii="Arial" w:hAnsi="Arial" w:cs="Arial"/>
          <w:sz w:val="24"/>
          <w:szCs w:val="24"/>
        </w:rPr>
        <w:t>. –</w:t>
      </w:r>
      <w:r w:rsidR="003142F8" w:rsidRPr="00597053">
        <w:rPr>
          <w:rFonts w:ascii="Arial" w:hAnsi="Arial" w:cs="Arial"/>
          <w:i/>
          <w:sz w:val="24"/>
          <w:szCs w:val="24"/>
        </w:rPr>
        <w:t>indemnización moratoria-</w:t>
      </w:r>
      <w:r w:rsidR="00597053">
        <w:rPr>
          <w:rFonts w:ascii="Arial" w:hAnsi="Arial" w:cs="Arial"/>
          <w:i/>
          <w:sz w:val="24"/>
          <w:szCs w:val="24"/>
        </w:rPr>
        <w:t xml:space="preserve">, </w:t>
      </w:r>
      <w:r w:rsidR="00F67A5C">
        <w:rPr>
          <w:rFonts w:ascii="Arial" w:hAnsi="Arial" w:cs="Arial"/>
          <w:sz w:val="24"/>
          <w:szCs w:val="24"/>
        </w:rPr>
        <w:t>por haberse acreditado</w:t>
      </w:r>
      <w:r w:rsidR="00597053">
        <w:rPr>
          <w:rFonts w:ascii="Arial" w:hAnsi="Arial" w:cs="Arial"/>
          <w:sz w:val="24"/>
          <w:szCs w:val="24"/>
        </w:rPr>
        <w:t xml:space="preserve"> la mala fe de los demandados al omitir el pago de las prestaciones sociales.</w:t>
      </w:r>
    </w:p>
    <w:p w:rsidR="00F67A5C" w:rsidRDefault="00F67A5C" w:rsidP="005B6B01">
      <w:pPr>
        <w:pStyle w:val="Sinespaciado"/>
        <w:spacing w:line="276" w:lineRule="auto"/>
        <w:jc w:val="both"/>
        <w:rPr>
          <w:rFonts w:ascii="Arial" w:hAnsi="Arial" w:cs="Arial"/>
          <w:sz w:val="24"/>
          <w:szCs w:val="24"/>
        </w:rPr>
      </w:pPr>
    </w:p>
    <w:p w:rsidR="00544C11" w:rsidRDefault="00F67A5C" w:rsidP="005B6B01">
      <w:pPr>
        <w:pStyle w:val="Sinespaciado"/>
        <w:spacing w:line="276" w:lineRule="auto"/>
        <w:jc w:val="both"/>
        <w:rPr>
          <w:rFonts w:ascii="Arial" w:hAnsi="Arial" w:cs="Arial"/>
          <w:sz w:val="24"/>
          <w:szCs w:val="24"/>
        </w:rPr>
      </w:pPr>
      <w:r>
        <w:rPr>
          <w:rFonts w:ascii="Arial" w:hAnsi="Arial" w:cs="Arial"/>
          <w:sz w:val="24"/>
          <w:szCs w:val="24"/>
        </w:rPr>
        <w:t xml:space="preserve">Contrario a esa afirmación, para la Sala no se </w:t>
      </w:r>
      <w:r w:rsidR="00A25182">
        <w:rPr>
          <w:rFonts w:ascii="Arial" w:hAnsi="Arial" w:cs="Arial"/>
          <w:sz w:val="24"/>
          <w:szCs w:val="24"/>
        </w:rPr>
        <w:t xml:space="preserve">advierte el actuar temerario en el único condenado en este proceso, José Israel Amador Ávila, </w:t>
      </w:r>
      <w:r>
        <w:rPr>
          <w:rFonts w:ascii="Arial" w:hAnsi="Arial" w:cs="Arial"/>
          <w:sz w:val="24"/>
          <w:szCs w:val="24"/>
        </w:rPr>
        <w:t xml:space="preserve">en relación con la falta de pago de las prestaciones sociales a las que se accedió a través de este proceso, toda vez que </w:t>
      </w:r>
      <w:r w:rsidR="00A25182">
        <w:rPr>
          <w:rFonts w:ascii="Arial" w:hAnsi="Arial" w:cs="Arial"/>
          <w:sz w:val="24"/>
          <w:szCs w:val="24"/>
        </w:rPr>
        <w:t xml:space="preserve">de acuerdo a lo </w:t>
      </w:r>
      <w:r w:rsidR="00707771">
        <w:rPr>
          <w:rFonts w:ascii="Arial" w:hAnsi="Arial" w:cs="Arial"/>
          <w:sz w:val="24"/>
          <w:szCs w:val="24"/>
        </w:rPr>
        <w:t>indicado por los testigos, este no estuvo al tanto de la obra en la que prest</w:t>
      </w:r>
      <w:r w:rsidR="00760799">
        <w:rPr>
          <w:rFonts w:ascii="Arial" w:hAnsi="Arial" w:cs="Arial"/>
          <w:sz w:val="24"/>
          <w:szCs w:val="24"/>
        </w:rPr>
        <w:t>ó los</w:t>
      </w:r>
      <w:r w:rsidR="00707771">
        <w:rPr>
          <w:rFonts w:ascii="Arial" w:hAnsi="Arial" w:cs="Arial"/>
          <w:sz w:val="24"/>
          <w:szCs w:val="24"/>
        </w:rPr>
        <w:t xml:space="preserve"> servicios Wilson Giraldo Ríos, sino que lo hizo su hermano Ezequiel Amador Ávila, quien tenía el convencimiento invencible de que la vinculación contractual que los unió, estaba regida por las normas civiles, que se trataba de un contrato de prestación de servicios que no genera esta clase de emolumentos</w:t>
      </w:r>
      <w:r w:rsidR="00760799">
        <w:rPr>
          <w:rFonts w:ascii="Arial" w:hAnsi="Arial" w:cs="Arial"/>
          <w:sz w:val="24"/>
          <w:szCs w:val="24"/>
        </w:rPr>
        <w:t>.</w:t>
      </w:r>
    </w:p>
    <w:p w:rsidR="00760799" w:rsidRDefault="00760799" w:rsidP="005B6B01">
      <w:pPr>
        <w:pStyle w:val="Sinespaciado"/>
        <w:spacing w:line="276" w:lineRule="auto"/>
        <w:jc w:val="both"/>
        <w:rPr>
          <w:rFonts w:ascii="Arial" w:hAnsi="Arial" w:cs="Arial"/>
          <w:sz w:val="24"/>
          <w:szCs w:val="24"/>
        </w:rPr>
      </w:pPr>
    </w:p>
    <w:p w:rsidR="00544C11" w:rsidRDefault="00760799" w:rsidP="005B6B01">
      <w:pPr>
        <w:pStyle w:val="Sinespaciado"/>
        <w:spacing w:line="276" w:lineRule="auto"/>
        <w:jc w:val="both"/>
        <w:rPr>
          <w:rFonts w:ascii="Arial" w:hAnsi="Arial" w:cs="Arial"/>
          <w:sz w:val="24"/>
          <w:szCs w:val="24"/>
        </w:rPr>
      </w:pPr>
      <w:r>
        <w:rPr>
          <w:rFonts w:ascii="Arial" w:hAnsi="Arial" w:cs="Arial"/>
          <w:sz w:val="24"/>
          <w:szCs w:val="24"/>
        </w:rPr>
        <w:t xml:space="preserve">Aunado a lo anterior, </w:t>
      </w:r>
      <w:r w:rsidR="00735F7F">
        <w:rPr>
          <w:rFonts w:ascii="Arial" w:hAnsi="Arial" w:cs="Arial"/>
          <w:sz w:val="24"/>
          <w:szCs w:val="24"/>
        </w:rPr>
        <w:t xml:space="preserve">se acoge </w:t>
      </w:r>
      <w:r>
        <w:rPr>
          <w:rFonts w:ascii="Arial" w:hAnsi="Arial" w:cs="Arial"/>
          <w:sz w:val="24"/>
          <w:szCs w:val="24"/>
        </w:rPr>
        <w:t xml:space="preserve">la intelección del juez de primer grado, </w:t>
      </w:r>
      <w:r w:rsidR="00735F7F">
        <w:rPr>
          <w:rFonts w:ascii="Arial" w:hAnsi="Arial" w:cs="Arial"/>
          <w:sz w:val="24"/>
          <w:szCs w:val="24"/>
        </w:rPr>
        <w:t>en el sentido que los medios de convicción allegados por la parte actora fueron escasos</w:t>
      </w:r>
      <w:r w:rsidR="001C2D4C">
        <w:rPr>
          <w:rFonts w:ascii="Arial" w:hAnsi="Arial" w:cs="Arial"/>
          <w:sz w:val="24"/>
          <w:szCs w:val="24"/>
        </w:rPr>
        <w:t xml:space="preserve"> para dilucidar el objeto de debate en este proceso y básicamente el éxito de las pretensiones se fundó en la aplicación de la presunción establecida en el artículo 24 del </w:t>
      </w:r>
      <w:proofErr w:type="spellStart"/>
      <w:r w:rsidR="001C2D4C">
        <w:rPr>
          <w:rFonts w:ascii="Arial" w:hAnsi="Arial" w:cs="Arial"/>
          <w:sz w:val="24"/>
          <w:szCs w:val="24"/>
        </w:rPr>
        <w:t>C.S.T</w:t>
      </w:r>
      <w:proofErr w:type="spellEnd"/>
      <w:r w:rsidR="001C2D4C">
        <w:rPr>
          <w:rFonts w:ascii="Arial" w:hAnsi="Arial" w:cs="Arial"/>
          <w:sz w:val="24"/>
          <w:szCs w:val="24"/>
        </w:rPr>
        <w:t>. y la confesión ficta por la inasistencia de los demandados a la audiencia en que debían absolver el interrogatorio de parte</w:t>
      </w:r>
      <w:r w:rsidR="00856068">
        <w:rPr>
          <w:rFonts w:ascii="Arial" w:hAnsi="Arial" w:cs="Arial"/>
          <w:sz w:val="24"/>
          <w:szCs w:val="24"/>
        </w:rPr>
        <w:t xml:space="preserve">; que de no haberse aplicado muy seguramente </w:t>
      </w:r>
      <w:r w:rsidR="00BC43E5">
        <w:rPr>
          <w:rFonts w:ascii="Arial" w:hAnsi="Arial" w:cs="Arial"/>
          <w:sz w:val="24"/>
          <w:szCs w:val="24"/>
        </w:rPr>
        <w:t>otras fueran las resultas del proceso</w:t>
      </w:r>
      <w:r w:rsidR="00856068">
        <w:rPr>
          <w:rFonts w:ascii="Arial" w:hAnsi="Arial" w:cs="Arial"/>
          <w:sz w:val="24"/>
          <w:szCs w:val="24"/>
        </w:rPr>
        <w:t>.</w:t>
      </w:r>
    </w:p>
    <w:p w:rsidR="00544C11" w:rsidRDefault="001C3982" w:rsidP="005B6B01">
      <w:pPr>
        <w:pStyle w:val="Sinespaciado"/>
        <w:spacing w:line="276" w:lineRule="auto"/>
        <w:jc w:val="both"/>
        <w:rPr>
          <w:rFonts w:ascii="Arial" w:hAnsi="Arial" w:cs="Arial"/>
          <w:sz w:val="24"/>
          <w:szCs w:val="24"/>
        </w:rPr>
      </w:pPr>
      <w:r>
        <w:rPr>
          <w:rFonts w:ascii="Arial" w:hAnsi="Arial" w:cs="Arial"/>
          <w:sz w:val="24"/>
          <w:szCs w:val="24"/>
        </w:rPr>
        <w:t xml:space="preserve"> </w:t>
      </w:r>
    </w:p>
    <w:p w:rsidR="002F43D3" w:rsidRDefault="002F43D3" w:rsidP="005B6B01">
      <w:pPr>
        <w:pStyle w:val="Sinespaciado"/>
        <w:spacing w:line="276" w:lineRule="auto"/>
        <w:jc w:val="both"/>
        <w:rPr>
          <w:rFonts w:ascii="Arial" w:hAnsi="Arial" w:cs="Arial"/>
          <w:sz w:val="24"/>
          <w:szCs w:val="24"/>
        </w:rPr>
      </w:pPr>
      <w:r>
        <w:rPr>
          <w:rFonts w:ascii="Arial" w:hAnsi="Arial" w:cs="Arial"/>
          <w:sz w:val="24"/>
          <w:szCs w:val="24"/>
        </w:rPr>
        <w:t>Por último, del análisis conjunto de la sentencia revisada, debe entenderse que la suma de $6´894.540, reconocida a favor de algunos de los demandantes y que se plasmó en el inciso 2° del numeral 3° de la parte resolutiva, corresponde a los perjuicios morales</w:t>
      </w:r>
      <w:r w:rsidR="00062727">
        <w:rPr>
          <w:rFonts w:ascii="Arial" w:hAnsi="Arial" w:cs="Arial"/>
          <w:sz w:val="24"/>
          <w:szCs w:val="24"/>
        </w:rPr>
        <w:t xml:space="preserve"> y no materiales</w:t>
      </w:r>
      <w:r w:rsidR="00581C9D">
        <w:rPr>
          <w:rFonts w:ascii="Arial" w:hAnsi="Arial" w:cs="Arial"/>
          <w:sz w:val="24"/>
          <w:szCs w:val="24"/>
        </w:rPr>
        <w:t xml:space="preserve">, como allí se indicó y, para mejor comprensión, se ubicará esta condena en el numeral segundo de la misma. </w:t>
      </w:r>
    </w:p>
    <w:p w:rsidR="002F43D3" w:rsidRDefault="002F43D3" w:rsidP="005B6B01">
      <w:pPr>
        <w:pStyle w:val="Sinespaciado"/>
        <w:spacing w:line="276" w:lineRule="auto"/>
        <w:jc w:val="both"/>
        <w:rPr>
          <w:rFonts w:ascii="Arial" w:hAnsi="Arial" w:cs="Arial"/>
          <w:sz w:val="24"/>
          <w:szCs w:val="24"/>
        </w:rPr>
      </w:pPr>
    </w:p>
    <w:p w:rsidR="000E388B" w:rsidRDefault="009A3606" w:rsidP="00A52CAF">
      <w:pPr>
        <w:spacing w:line="276" w:lineRule="auto"/>
        <w:ind w:right="51"/>
        <w:jc w:val="center"/>
        <w:rPr>
          <w:rFonts w:ascii="Arial" w:hAnsi="Arial" w:cs="Arial"/>
          <w:b/>
          <w:color w:val="000000"/>
          <w:szCs w:val="24"/>
          <w:lang w:eastAsia="es-CO"/>
        </w:rPr>
      </w:pPr>
      <w:r>
        <w:rPr>
          <w:rFonts w:ascii="Arial" w:hAnsi="Arial" w:cs="Arial"/>
          <w:b/>
          <w:color w:val="000000"/>
          <w:szCs w:val="24"/>
          <w:lang w:eastAsia="es-CO"/>
        </w:rPr>
        <w:t>CONCLUSIÓN</w:t>
      </w:r>
    </w:p>
    <w:p w:rsidR="00A52CAF" w:rsidRPr="00313DC2" w:rsidRDefault="00A52CAF" w:rsidP="00A52CAF">
      <w:pPr>
        <w:spacing w:line="276" w:lineRule="auto"/>
        <w:ind w:right="51"/>
        <w:jc w:val="both"/>
        <w:rPr>
          <w:rFonts w:ascii="Arial" w:hAnsi="Arial" w:cs="Arial"/>
          <w:b/>
          <w:color w:val="000000"/>
          <w:szCs w:val="24"/>
          <w:lang w:eastAsia="es-CO"/>
        </w:rPr>
      </w:pPr>
    </w:p>
    <w:p w:rsidR="008D570A" w:rsidRDefault="009A3606" w:rsidP="008D570A">
      <w:pPr>
        <w:pStyle w:val="Sinespaciado"/>
        <w:spacing w:line="276" w:lineRule="auto"/>
        <w:jc w:val="both"/>
        <w:rPr>
          <w:rFonts w:ascii="Arial" w:hAnsi="Arial" w:cs="Arial"/>
          <w:sz w:val="24"/>
          <w:szCs w:val="24"/>
        </w:rPr>
      </w:pPr>
      <w:r w:rsidRPr="002F3595">
        <w:rPr>
          <w:rFonts w:ascii="Arial" w:hAnsi="Arial" w:cs="Arial"/>
          <w:color w:val="000000"/>
          <w:sz w:val="24"/>
          <w:szCs w:val="24"/>
          <w:lang w:eastAsia="es-CO"/>
        </w:rPr>
        <w:t xml:space="preserve">Conforme lo expuesto, la decisión de primera instancia será </w:t>
      </w:r>
      <w:r w:rsidR="0069596F" w:rsidRPr="002F3595">
        <w:rPr>
          <w:rFonts w:ascii="Arial" w:hAnsi="Arial" w:cs="Arial"/>
          <w:color w:val="000000"/>
          <w:sz w:val="24"/>
          <w:szCs w:val="24"/>
          <w:lang w:eastAsia="es-CO"/>
        </w:rPr>
        <w:t>confirmada</w:t>
      </w:r>
      <w:r w:rsidR="00F275AA" w:rsidRPr="002F3595">
        <w:rPr>
          <w:rFonts w:ascii="Arial" w:hAnsi="Arial" w:cs="Arial"/>
          <w:color w:val="000000"/>
          <w:sz w:val="24"/>
          <w:szCs w:val="24"/>
          <w:lang w:eastAsia="es-CO"/>
        </w:rPr>
        <w:t xml:space="preserve">, salvo </w:t>
      </w:r>
      <w:r w:rsidR="001C3982" w:rsidRPr="002F3595">
        <w:rPr>
          <w:rFonts w:ascii="Arial" w:hAnsi="Arial" w:cs="Arial"/>
          <w:color w:val="000000"/>
          <w:sz w:val="24"/>
          <w:szCs w:val="24"/>
          <w:lang w:eastAsia="es-CO"/>
        </w:rPr>
        <w:t xml:space="preserve">los </w:t>
      </w:r>
      <w:r w:rsidR="00F07FCB" w:rsidRPr="002F3595">
        <w:rPr>
          <w:rFonts w:ascii="Arial" w:hAnsi="Arial" w:cs="Arial"/>
          <w:color w:val="000000"/>
          <w:sz w:val="24"/>
          <w:szCs w:val="24"/>
          <w:lang w:eastAsia="es-CO"/>
        </w:rPr>
        <w:t>numeral</w:t>
      </w:r>
      <w:r w:rsidR="001C3982" w:rsidRPr="002F3595">
        <w:rPr>
          <w:rFonts w:ascii="Arial" w:hAnsi="Arial" w:cs="Arial"/>
          <w:color w:val="000000"/>
          <w:sz w:val="24"/>
          <w:szCs w:val="24"/>
          <w:lang w:eastAsia="es-CO"/>
        </w:rPr>
        <w:t>es</w:t>
      </w:r>
      <w:r w:rsidR="00F07FCB" w:rsidRPr="002F3595">
        <w:rPr>
          <w:rFonts w:ascii="Arial" w:hAnsi="Arial" w:cs="Arial"/>
          <w:color w:val="000000"/>
          <w:sz w:val="24"/>
          <w:szCs w:val="24"/>
          <w:lang w:eastAsia="es-CO"/>
        </w:rPr>
        <w:t xml:space="preserve"> </w:t>
      </w:r>
      <w:r w:rsidR="001C3982" w:rsidRPr="002F3595">
        <w:rPr>
          <w:rFonts w:ascii="Arial" w:hAnsi="Arial" w:cs="Arial"/>
          <w:color w:val="000000"/>
          <w:sz w:val="24"/>
          <w:szCs w:val="24"/>
          <w:lang w:eastAsia="es-CO"/>
        </w:rPr>
        <w:t xml:space="preserve">segundo y tercero, el primero de ellos se modificará para precisar que a favor de la masa </w:t>
      </w:r>
      <w:proofErr w:type="spellStart"/>
      <w:r w:rsidR="001C3982" w:rsidRPr="002F3595">
        <w:rPr>
          <w:rFonts w:ascii="Arial" w:hAnsi="Arial" w:cs="Arial"/>
          <w:color w:val="000000"/>
          <w:sz w:val="24"/>
          <w:szCs w:val="24"/>
          <w:lang w:eastAsia="es-CO"/>
        </w:rPr>
        <w:t>sucesoral</w:t>
      </w:r>
      <w:proofErr w:type="spellEnd"/>
      <w:r w:rsidR="001C3982" w:rsidRPr="002F3595">
        <w:rPr>
          <w:rFonts w:ascii="Arial" w:hAnsi="Arial" w:cs="Arial"/>
          <w:color w:val="000000"/>
          <w:sz w:val="24"/>
          <w:szCs w:val="24"/>
          <w:lang w:eastAsia="es-CO"/>
        </w:rPr>
        <w:t xml:space="preserve"> solo debe realizarse el pago de los salarios insolutos, las prestaciones sociales y la compensación de vacaciones, pero la indemnización de perjuicios, debe ser a favor de cada uno de los favorecidos con la condena</w:t>
      </w:r>
      <w:r w:rsidR="006219D5">
        <w:rPr>
          <w:rFonts w:ascii="Arial" w:hAnsi="Arial" w:cs="Arial"/>
          <w:color w:val="000000"/>
          <w:sz w:val="24"/>
          <w:szCs w:val="24"/>
          <w:lang w:eastAsia="es-CO"/>
        </w:rPr>
        <w:t>;</w:t>
      </w:r>
      <w:r w:rsidR="00581C9D">
        <w:rPr>
          <w:rFonts w:ascii="Arial" w:hAnsi="Arial" w:cs="Arial"/>
          <w:color w:val="000000"/>
          <w:sz w:val="24"/>
          <w:szCs w:val="24"/>
          <w:lang w:eastAsia="es-CO"/>
        </w:rPr>
        <w:t xml:space="preserve"> </w:t>
      </w:r>
      <w:r w:rsidR="00FB144C">
        <w:rPr>
          <w:rFonts w:ascii="Arial" w:hAnsi="Arial" w:cs="Arial"/>
          <w:color w:val="000000"/>
          <w:sz w:val="24"/>
          <w:szCs w:val="24"/>
          <w:lang w:eastAsia="es-CO"/>
        </w:rPr>
        <w:t xml:space="preserve"> reducir el monto de la indemnización por perjuicios materiales</w:t>
      </w:r>
      <w:r w:rsidR="001C3982" w:rsidRPr="002F3595">
        <w:rPr>
          <w:rFonts w:ascii="Arial" w:hAnsi="Arial" w:cs="Arial"/>
          <w:color w:val="000000"/>
          <w:sz w:val="24"/>
          <w:szCs w:val="24"/>
          <w:lang w:eastAsia="es-CO"/>
        </w:rPr>
        <w:t xml:space="preserve"> y</w:t>
      </w:r>
      <w:r w:rsidR="00581C9D">
        <w:rPr>
          <w:rFonts w:ascii="Arial" w:hAnsi="Arial" w:cs="Arial"/>
          <w:color w:val="000000"/>
          <w:sz w:val="24"/>
          <w:szCs w:val="24"/>
          <w:lang w:eastAsia="es-CO"/>
        </w:rPr>
        <w:t xml:space="preserve"> adicionarle </w:t>
      </w:r>
      <w:r w:rsidR="00581C9D">
        <w:rPr>
          <w:rFonts w:ascii="Arial" w:hAnsi="Arial" w:cs="Arial"/>
          <w:sz w:val="24"/>
          <w:szCs w:val="24"/>
        </w:rPr>
        <w:t>que la suma de $6´894.540, reconocida a favor de algunos de los demandantes corresponde a los perjuicios morales y no materiales</w:t>
      </w:r>
      <w:r w:rsidR="001C3982" w:rsidRPr="002F3595">
        <w:rPr>
          <w:rFonts w:ascii="Arial" w:hAnsi="Arial" w:cs="Arial"/>
          <w:color w:val="000000"/>
          <w:sz w:val="24"/>
          <w:szCs w:val="24"/>
          <w:lang w:eastAsia="es-CO"/>
        </w:rPr>
        <w:t>; el otro, para adicionarlo</w:t>
      </w:r>
      <w:r w:rsidR="006219D5">
        <w:rPr>
          <w:rFonts w:ascii="Arial" w:hAnsi="Arial" w:cs="Arial"/>
          <w:color w:val="000000"/>
          <w:sz w:val="24"/>
          <w:szCs w:val="24"/>
          <w:lang w:eastAsia="es-CO"/>
        </w:rPr>
        <w:t>,</w:t>
      </w:r>
      <w:r w:rsidR="001C3982" w:rsidRPr="002F3595">
        <w:rPr>
          <w:rFonts w:ascii="Arial" w:hAnsi="Arial" w:cs="Arial"/>
          <w:color w:val="000000"/>
          <w:sz w:val="24"/>
          <w:szCs w:val="24"/>
          <w:lang w:eastAsia="es-CO"/>
        </w:rPr>
        <w:t xml:space="preserve"> en el sentido que </w:t>
      </w:r>
      <w:r w:rsidR="008A16E0" w:rsidRPr="002F3595">
        <w:rPr>
          <w:rFonts w:ascii="Arial" w:hAnsi="Arial" w:cs="Arial"/>
          <w:sz w:val="24"/>
          <w:szCs w:val="24"/>
        </w:rPr>
        <w:t xml:space="preserve">la pensión de sobrevivientes a favor de Brandon </w:t>
      </w:r>
      <w:r w:rsidR="008160B5" w:rsidRPr="002F3595">
        <w:rPr>
          <w:rFonts w:ascii="Arial" w:hAnsi="Arial" w:cs="Arial"/>
          <w:sz w:val="24"/>
          <w:szCs w:val="24"/>
        </w:rPr>
        <w:t>Giraldo</w:t>
      </w:r>
      <w:r w:rsidR="008A16E0" w:rsidRPr="002F3595">
        <w:rPr>
          <w:rFonts w:ascii="Arial" w:hAnsi="Arial" w:cs="Arial"/>
          <w:sz w:val="24"/>
          <w:szCs w:val="24"/>
        </w:rPr>
        <w:t xml:space="preserve"> García, debe reconocerse hasta que alcance la mayoría de edad y puede extenderse hasta los 25 años</w:t>
      </w:r>
      <w:r w:rsidR="006219D5">
        <w:rPr>
          <w:rFonts w:ascii="Arial" w:hAnsi="Arial" w:cs="Arial"/>
          <w:sz w:val="24"/>
          <w:szCs w:val="24"/>
        </w:rPr>
        <w:t>,</w:t>
      </w:r>
      <w:r w:rsidR="008A16E0" w:rsidRPr="002F3595">
        <w:rPr>
          <w:rFonts w:ascii="Arial" w:hAnsi="Arial" w:cs="Arial"/>
          <w:sz w:val="24"/>
          <w:szCs w:val="24"/>
        </w:rPr>
        <w:t xml:space="preserve"> solo si acredita la calidad de estudiante</w:t>
      </w:r>
      <w:r w:rsidR="008D570A">
        <w:rPr>
          <w:rFonts w:ascii="Arial" w:hAnsi="Arial" w:cs="Arial"/>
          <w:sz w:val="24"/>
          <w:szCs w:val="24"/>
        </w:rPr>
        <w:t xml:space="preserve"> y </w:t>
      </w:r>
      <w:r w:rsidR="00581C9D">
        <w:rPr>
          <w:rFonts w:ascii="Arial" w:hAnsi="Arial" w:cs="Arial"/>
          <w:sz w:val="24"/>
          <w:szCs w:val="24"/>
        </w:rPr>
        <w:t>eliminar lo relacionado con la condena por perjuicios morales, que ya se plasmó en el numeral que antecede.</w:t>
      </w:r>
    </w:p>
    <w:p w:rsidR="008A16E0" w:rsidRPr="002F3595" w:rsidRDefault="008A16E0" w:rsidP="002F3595">
      <w:pPr>
        <w:pStyle w:val="Sinespaciado"/>
        <w:spacing w:line="276" w:lineRule="auto"/>
        <w:jc w:val="both"/>
        <w:rPr>
          <w:rFonts w:ascii="Arial" w:hAnsi="Arial" w:cs="Arial"/>
          <w:sz w:val="24"/>
          <w:szCs w:val="24"/>
        </w:rPr>
      </w:pPr>
    </w:p>
    <w:p w:rsidR="009A3606" w:rsidRPr="005A6DB9" w:rsidRDefault="009A3606" w:rsidP="009A3606">
      <w:pPr>
        <w:spacing w:line="276" w:lineRule="auto"/>
        <w:jc w:val="both"/>
        <w:rPr>
          <w:rFonts w:ascii="Arial" w:hAnsi="Arial" w:cs="Arial"/>
          <w:szCs w:val="24"/>
        </w:rPr>
      </w:pPr>
      <w:r w:rsidRPr="00FD7AAD">
        <w:rPr>
          <w:rFonts w:ascii="Arial" w:hAnsi="Arial" w:cs="Arial"/>
          <w:szCs w:val="24"/>
        </w:rPr>
        <w:t xml:space="preserve">Costas en </w:t>
      </w:r>
      <w:r w:rsidR="0069596F" w:rsidRPr="00FD7AAD">
        <w:rPr>
          <w:rFonts w:ascii="Arial" w:hAnsi="Arial" w:cs="Arial"/>
          <w:szCs w:val="24"/>
        </w:rPr>
        <w:t xml:space="preserve">esta </w:t>
      </w:r>
      <w:r w:rsidR="008713F6" w:rsidRPr="00FD7AAD">
        <w:rPr>
          <w:rFonts w:ascii="Arial" w:hAnsi="Arial" w:cs="Arial"/>
          <w:szCs w:val="24"/>
        </w:rPr>
        <w:t xml:space="preserve">instancia </w:t>
      </w:r>
      <w:r w:rsidR="0000748F">
        <w:rPr>
          <w:rFonts w:ascii="Arial" w:hAnsi="Arial" w:cs="Arial"/>
          <w:szCs w:val="24"/>
        </w:rPr>
        <w:t>no se causaron al prosperar los recursos interpuestos</w:t>
      </w:r>
      <w:r w:rsidR="00F07FCB" w:rsidRPr="00FD7AAD">
        <w:rPr>
          <w:rFonts w:ascii="Arial" w:hAnsi="Arial" w:cs="Arial"/>
          <w:szCs w:val="24"/>
        </w:rPr>
        <w:t>.</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F275AA"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69596F">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54215">
        <w:rPr>
          <w:rFonts w:ascii="Arial" w:hAnsi="Arial" w:cs="Arial"/>
          <w:szCs w:val="24"/>
        </w:rPr>
        <w:t>01</w:t>
      </w:r>
      <w:r w:rsidR="00744482">
        <w:rPr>
          <w:rFonts w:ascii="Arial" w:hAnsi="Arial" w:cs="Arial"/>
          <w:szCs w:val="24"/>
        </w:rPr>
        <w:t xml:space="preserve"> </w:t>
      </w:r>
      <w:r>
        <w:rPr>
          <w:rFonts w:ascii="Arial" w:hAnsi="Arial" w:cs="Arial"/>
          <w:szCs w:val="24"/>
        </w:rPr>
        <w:t xml:space="preserve">de </w:t>
      </w:r>
      <w:r w:rsidR="00754215">
        <w:rPr>
          <w:rFonts w:ascii="Arial" w:hAnsi="Arial" w:cs="Arial"/>
          <w:szCs w:val="24"/>
        </w:rPr>
        <w:t xml:space="preserve">junio </w:t>
      </w:r>
      <w:r w:rsidR="005C7218">
        <w:rPr>
          <w:rFonts w:ascii="Arial" w:hAnsi="Arial" w:cs="Arial"/>
          <w:szCs w:val="24"/>
        </w:rPr>
        <w:t xml:space="preserve">de 2016 </w:t>
      </w:r>
      <w:r w:rsidRPr="00D578CB">
        <w:rPr>
          <w:rFonts w:ascii="Arial" w:hAnsi="Arial" w:cs="Arial"/>
          <w:szCs w:val="24"/>
        </w:rPr>
        <w:t xml:space="preserve">por el Juzgado Laboral del Circuito de </w:t>
      </w:r>
      <w:r w:rsidR="00754215">
        <w:rPr>
          <w:rFonts w:ascii="Arial" w:hAnsi="Arial" w:cs="Arial"/>
          <w:szCs w:val="24"/>
        </w:rPr>
        <w:t>Dosquebradas</w:t>
      </w:r>
      <w:r w:rsidRPr="00D578CB">
        <w:rPr>
          <w:rFonts w:ascii="Arial" w:hAnsi="Arial" w:cs="Arial"/>
          <w:szCs w:val="24"/>
        </w:rPr>
        <w:t xml:space="preserve">, dentro del proceso ordinario laboral propuesto por </w:t>
      </w:r>
      <w:r w:rsidR="00754215">
        <w:rPr>
          <w:rFonts w:ascii="Arial" w:hAnsi="Arial" w:cs="Arial"/>
          <w:szCs w:val="24"/>
        </w:rPr>
        <w:t>la</w:t>
      </w:r>
      <w:r>
        <w:rPr>
          <w:rFonts w:ascii="Arial" w:hAnsi="Arial" w:cs="Arial"/>
          <w:szCs w:val="24"/>
        </w:rPr>
        <w:t xml:space="preserve"> señor</w:t>
      </w:r>
      <w:r w:rsidR="00754215">
        <w:rPr>
          <w:rFonts w:ascii="Arial" w:hAnsi="Arial" w:cs="Arial"/>
          <w:szCs w:val="24"/>
        </w:rPr>
        <w:t>a</w:t>
      </w:r>
      <w:r>
        <w:rPr>
          <w:rFonts w:ascii="Arial" w:hAnsi="Arial" w:cs="Arial"/>
          <w:szCs w:val="24"/>
        </w:rPr>
        <w:t xml:space="preserve"> </w:t>
      </w:r>
      <w:r w:rsidR="00C93B81">
        <w:rPr>
          <w:rFonts w:ascii="Arial" w:hAnsi="Arial" w:cs="Arial"/>
          <w:b/>
          <w:szCs w:val="24"/>
        </w:rPr>
        <w:t xml:space="preserve">María </w:t>
      </w:r>
      <w:proofErr w:type="spellStart"/>
      <w:r w:rsidR="00C93B81">
        <w:rPr>
          <w:rFonts w:ascii="Arial" w:hAnsi="Arial" w:cs="Arial"/>
          <w:b/>
          <w:szCs w:val="24"/>
        </w:rPr>
        <w:t>Janedt</w:t>
      </w:r>
      <w:proofErr w:type="spellEnd"/>
      <w:r w:rsidR="00C93B81">
        <w:rPr>
          <w:rFonts w:ascii="Arial" w:hAnsi="Arial" w:cs="Arial"/>
          <w:b/>
          <w:szCs w:val="24"/>
        </w:rPr>
        <w:t xml:space="preserve"> García Giraldo y otros </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sidR="00754215">
        <w:rPr>
          <w:rFonts w:ascii="Arial" w:hAnsi="Arial" w:cs="Arial"/>
          <w:szCs w:val="24"/>
        </w:rPr>
        <w:t xml:space="preserve"> de los señores </w:t>
      </w:r>
      <w:r w:rsidR="00754215">
        <w:rPr>
          <w:rFonts w:ascii="Arial" w:hAnsi="Arial" w:cs="Arial"/>
          <w:b/>
          <w:szCs w:val="24"/>
        </w:rPr>
        <w:t xml:space="preserve">José Israel y Ezequiel Amador Ávila </w:t>
      </w:r>
      <w:r>
        <w:rPr>
          <w:rFonts w:ascii="Arial" w:hAnsi="Arial" w:cs="Arial"/>
          <w:bCs/>
          <w:szCs w:val="24"/>
        </w:rPr>
        <w:t>conforme a lo exp</w:t>
      </w:r>
      <w:r>
        <w:rPr>
          <w:rFonts w:ascii="Arial" w:hAnsi="Arial" w:cs="Arial"/>
          <w:bCs/>
          <w:iCs/>
          <w:szCs w:val="24"/>
        </w:rPr>
        <w:t>uesto en</w:t>
      </w:r>
      <w:r w:rsidR="00F145E9">
        <w:rPr>
          <w:rFonts w:ascii="Arial" w:hAnsi="Arial" w:cs="Arial"/>
          <w:bCs/>
          <w:iCs/>
          <w:szCs w:val="24"/>
        </w:rPr>
        <w:t xml:space="preserve"> precedencia</w:t>
      </w:r>
      <w:r w:rsidR="00893EC7">
        <w:rPr>
          <w:rFonts w:ascii="Arial" w:hAnsi="Arial" w:cs="Arial"/>
          <w:bCs/>
          <w:iCs/>
          <w:szCs w:val="24"/>
        </w:rPr>
        <w:t xml:space="preserve">, salvo los numerales </w:t>
      </w:r>
      <w:r w:rsidR="00512B5B">
        <w:rPr>
          <w:rFonts w:ascii="Arial" w:hAnsi="Arial" w:cs="Arial"/>
          <w:bCs/>
          <w:iCs/>
          <w:szCs w:val="24"/>
        </w:rPr>
        <w:t>segundo y tercero</w:t>
      </w:r>
      <w:r w:rsidR="0000748F">
        <w:rPr>
          <w:rFonts w:ascii="Arial" w:hAnsi="Arial" w:cs="Arial"/>
          <w:bCs/>
          <w:iCs/>
          <w:szCs w:val="24"/>
        </w:rPr>
        <w:t xml:space="preserve"> que se modificaran y</w:t>
      </w:r>
      <w:r w:rsidR="00893EC7">
        <w:rPr>
          <w:rFonts w:ascii="Arial" w:hAnsi="Arial" w:cs="Arial"/>
          <w:bCs/>
          <w:iCs/>
          <w:szCs w:val="24"/>
        </w:rPr>
        <w:t xml:space="preserve"> quedarán así: </w:t>
      </w:r>
    </w:p>
    <w:p w:rsidR="00837C18" w:rsidRDefault="00837C18" w:rsidP="009C2749">
      <w:pPr>
        <w:widowControl w:val="0"/>
        <w:autoSpaceDE w:val="0"/>
        <w:autoSpaceDN w:val="0"/>
        <w:adjustRightInd w:val="0"/>
        <w:spacing w:line="276" w:lineRule="auto"/>
        <w:ind w:left="283" w:right="283"/>
        <w:jc w:val="both"/>
        <w:rPr>
          <w:rFonts w:ascii="Arial" w:hAnsi="Arial" w:cs="Arial"/>
          <w:bCs/>
          <w:iCs/>
          <w:szCs w:val="24"/>
        </w:rPr>
      </w:pPr>
    </w:p>
    <w:p w:rsidR="00FB144C" w:rsidRDefault="00512B5B" w:rsidP="009C2749">
      <w:pPr>
        <w:ind w:left="283" w:right="283"/>
        <w:jc w:val="both"/>
        <w:rPr>
          <w:rFonts w:ascii="Arial" w:hAnsi="Arial" w:cs="Arial"/>
          <w:bCs/>
          <w:i/>
          <w:iCs/>
          <w:sz w:val="22"/>
          <w:szCs w:val="22"/>
        </w:rPr>
      </w:pPr>
      <w:r>
        <w:rPr>
          <w:rFonts w:ascii="Arial" w:hAnsi="Arial" w:cs="Arial"/>
          <w:bCs/>
          <w:i/>
          <w:iCs/>
          <w:sz w:val="22"/>
          <w:szCs w:val="22"/>
        </w:rPr>
        <w:t>“</w:t>
      </w:r>
      <w:r w:rsidRPr="00512B5B">
        <w:rPr>
          <w:rFonts w:ascii="Arial" w:hAnsi="Arial" w:cs="Arial"/>
          <w:bCs/>
          <w:i/>
          <w:iCs/>
          <w:sz w:val="22"/>
          <w:szCs w:val="22"/>
        </w:rPr>
        <w:t>SEGUNDO:</w:t>
      </w:r>
      <w:r w:rsidR="00581C9D">
        <w:rPr>
          <w:rFonts w:ascii="Arial" w:hAnsi="Arial" w:cs="Arial"/>
          <w:bCs/>
          <w:i/>
          <w:iCs/>
          <w:sz w:val="22"/>
          <w:szCs w:val="22"/>
        </w:rPr>
        <w:t xml:space="preserve"> </w:t>
      </w:r>
      <w:proofErr w:type="spellStart"/>
      <w:r w:rsidR="00FB144C">
        <w:rPr>
          <w:rFonts w:ascii="Arial" w:hAnsi="Arial" w:cs="Arial"/>
          <w:bCs/>
          <w:i/>
          <w:iCs/>
          <w:sz w:val="22"/>
          <w:szCs w:val="22"/>
        </w:rPr>
        <w:t>CONDÉ</w:t>
      </w:r>
      <w:r>
        <w:rPr>
          <w:rFonts w:ascii="Arial" w:hAnsi="Arial" w:cs="Arial"/>
          <w:bCs/>
          <w:i/>
          <w:iCs/>
          <w:sz w:val="22"/>
          <w:szCs w:val="22"/>
        </w:rPr>
        <w:t>NASE</w:t>
      </w:r>
      <w:proofErr w:type="spellEnd"/>
      <w:r>
        <w:rPr>
          <w:rFonts w:ascii="Arial" w:hAnsi="Arial" w:cs="Arial"/>
          <w:bCs/>
          <w:i/>
          <w:iCs/>
          <w:sz w:val="22"/>
          <w:szCs w:val="22"/>
        </w:rPr>
        <w:t xml:space="preserve"> </w:t>
      </w:r>
      <w:r w:rsidR="00FB144C">
        <w:rPr>
          <w:rFonts w:ascii="Arial" w:hAnsi="Arial" w:cs="Arial"/>
          <w:bCs/>
          <w:i/>
          <w:iCs/>
          <w:sz w:val="22"/>
          <w:szCs w:val="22"/>
        </w:rPr>
        <w:t xml:space="preserve">al señor </w:t>
      </w:r>
      <w:proofErr w:type="spellStart"/>
      <w:r w:rsidR="00FB144C">
        <w:rPr>
          <w:rFonts w:ascii="Arial" w:hAnsi="Arial" w:cs="Arial"/>
          <w:bCs/>
          <w:i/>
          <w:iCs/>
          <w:sz w:val="22"/>
          <w:szCs w:val="22"/>
        </w:rPr>
        <w:t>JOSE</w:t>
      </w:r>
      <w:proofErr w:type="spellEnd"/>
      <w:r w:rsidR="00FB144C">
        <w:rPr>
          <w:rFonts w:ascii="Arial" w:hAnsi="Arial" w:cs="Arial"/>
          <w:bCs/>
          <w:i/>
          <w:iCs/>
          <w:sz w:val="22"/>
          <w:szCs w:val="22"/>
        </w:rPr>
        <w:t xml:space="preserve"> ISRAEL AMADOR ÁVILA, como empleador, a pagar a favor de la masa </w:t>
      </w:r>
      <w:proofErr w:type="spellStart"/>
      <w:r w:rsidR="00FB144C">
        <w:rPr>
          <w:rFonts w:ascii="Arial" w:hAnsi="Arial" w:cs="Arial"/>
          <w:bCs/>
          <w:i/>
          <w:iCs/>
          <w:sz w:val="22"/>
          <w:szCs w:val="22"/>
        </w:rPr>
        <w:t>sucesoral</w:t>
      </w:r>
      <w:proofErr w:type="spellEnd"/>
      <w:r w:rsidR="00FB144C">
        <w:rPr>
          <w:rFonts w:ascii="Arial" w:hAnsi="Arial" w:cs="Arial"/>
          <w:bCs/>
          <w:i/>
          <w:iCs/>
          <w:sz w:val="22"/>
          <w:szCs w:val="22"/>
        </w:rPr>
        <w:t xml:space="preserve"> del señor Wilson Giraldo Ríos, dentro de los diez (10) días siguientes a la ejecutoria de esta decisión, las siguientes sumas de dinero $17.143 por concepto de salario insoluto, </w:t>
      </w:r>
      <w:r w:rsidR="00581C9D">
        <w:rPr>
          <w:rFonts w:ascii="Arial" w:hAnsi="Arial" w:cs="Arial"/>
          <w:bCs/>
          <w:i/>
          <w:iCs/>
          <w:sz w:val="22"/>
          <w:szCs w:val="22"/>
        </w:rPr>
        <w:t xml:space="preserve">$138.571 por </w:t>
      </w:r>
      <w:r w:rsidR="00FB144C">
        <w:rPr>
          <w:rFonts w:ascii="Arial" w:hAnsi="Arial" w:cs="Arial"/>
          <w:bCs/>
          <w:i/>
          <w:iCs/>
          <w:sz w:val="22"/>
          <w:szCs w:val="22"/>
        </w:rPr>
        <w:t>cesantías,</w:t>
      </w:r>
      <w:r w:rsidR="00581C9D">
        <w:rPr>
          <w:rFonts w:ascii="Arial" w:hAnsi="Arial" w:cs="Arial"/>
          <w:bCs/>
          <w:i/>
          <w:iCs/>
          <w:sz w:val="22"/>
          <w:szCs w:val="22"/>
        </w:rPr>
        <w:t xml:space="preserve"> $2.240 por</w:t>
      </w:r>
      <w:r w:rsidR="00FB144C">
        <w:rPr>
          <w:rFonts w:ascii="Arial" w:hAnsi="Arial" w:cs="Arial"/>
          <w:bCs/>
          <w:i/>
          <w:iCs/>
          <w:sz w:val="22"/>
          <w:szCs w:val="22"/>
        </w:rPr>
        <w:t xml:space="preserve"> intereses a las cesantías,  </w:t>
      </w:r>
      <w:r w:rsidR="00581C9D">
        <w:rPr>
          <w:rFonts w:ascii="Arial" w:hAnsi="Arial" w:cs="Arial"/>
          <w:bCs/>
          <w:i/>
          <w:iCs/>
          <w:sz w:val="22"/>
          <w:szCs w:val="22"/>
        </w:rPr>
        <w:t xml:space="preserve">$138.571 por </w:t>
      </w:r>
      <w:r w:rsidR="00FB144C">
        <w:rPr>
          <w:rFonts w:ascii="Arial" w:hAnsi="Arial" w:cs="Arial"/>
          <w:bCs/>
          <w:i/>
          <w:iCs/>
          <w:sz w:val="22"/>
          <w:szCs w:val="22"/>
        </w:rPr>
        <w:t>prima de servicios y</w:t>
      </w:r>
      <w:r w:rsidR="00581C9D">
        <w:rPr>
          <w:rFonts w:ascii="Arial" w:hAnsi="Arial" w:cs="Arial"/>
          <w:bCs/>
          <w:i/>
          <w:iCs/>
          <w:sz w:val="22"/>
          <w:szCs w:val="22"/>
        </w:rPr>
        <w:t xml:space="preserve"> $1.028.571 por</w:t>
      </w:r>
      <w:r w:rsidR="00FB144C">
        <w:rPr>
          <w:rFonts w:ascii="Arial" w:hAnsi="Arial" w:cs="Arial"/>
          <w:bCs/>
          <w:i/>
          <w:iCs/>
          <w:sz w:val="22"/>
          <w:szCs w:val="22"/>
        </w:rPr>
        <w:t xml:space="preserve"> compensación de vacaciones,</w:t>
      </w:r>
      <w:r w:rsidR="00581C9D">
        <w:rPr>
          <w:rFonts w:ascii="Arial" w:hAnsi="Arial" w:cs="Arial"/>
          <w:bCs/>
          <w:i/>
          <w:iCs/>
          <w:sz w:val="22"/>
          <w:szCs w:val="22"/>
        </w:rPr>
        <w:t xml:space="preserve"> para un total de $</w:t>
      </w:r>
      <w:r w:rsidR="0000748F">
        <w:rPr>
          <w:rFonts w:ascii="Arial" w:hAnsi="Arial" w:cs="Arial"/>
          <w:bCs/>
          <w:i/>
          <w:iCs/>
          <w:sz w:val="22"/>
          <w:szCs w:val="22"/>
        </w:rPr>
        <w:t>1´32</w:t>
      </w:r>
      <w:r w:rsidR="00581C9D">
        <w:rPr>
          <w:rFonts w:ascii="Arial" w:hAnsi="Arial" w:cs="Arial"/>
          <w:bCs/>
          <w:i/>
          <w:iCs/>
          <w:sz w:val="22"/>
          <w:szCs w:val="22"/>
        </w:rPr>
        <w:t>5.</w:t>
      </w:r>
      <w:r w:rsidR="0000748F">
        <w:rPr>
          <w:rFonts w:ascii="Arial" w:hAnsi="Arial" w:cs="Arial"/>
          <w:bCs/>
          <w:i/>
          <w:iCs/>
          <w:sz w:val="22"/>
          <w:szCs w:val="22"/>
        </w:rPr>
        <w:t>096</w:t>
      </w:r>
      <w:r w:rsidR="00581C9D">
        <w:rPr>
          <w:rFonts w:ascii="Arial" w:hAnsi="Arial" w:cs="Arial"/>
          <w:bCs/>
          <w:i/>
          <w:iCs/>
          <w:sz w:val="22"/>
          <w:szCs w:val="22"/>
        </w:rPr>
        <w:t xml:space="preserve">. </w:t>
      </w:r>
    </w:p>
    <w:p w:rsidR="00581C9D" w:rsidRDefault="00581C9D" w:rsidP="009C2749">
      <w:pPr>
        <w:ind w:left="283" w:right="283"/>
        <w:jc w:val="both"/>
        <w:rPr>
          <w:rFonts w:ascii="Arial" w:hAnsi="Arial" w:cs="Arial"/>
          <w:bCs/>
          <w:i/>
          <w:iCs/>
          <w:sz w:val="22"/>
          <w:szCs w:val="22"/>
        </w:rPr>
      </w:pPr>
    </w:p>
    <w:p w:rsidR="00581C9D" w:rsidRDefault="00581C9D" w:rsidP="009C2749">
      <w:pPr>
        <w:ind w:left="283" w:right="283"/>
        <w:jc w:val="both"/>
        <w:rPr>
          <w:rFonts w:ascii="Arial" w:hAnsi="Arial" w:cs="Arial"/>
          <w:bCs/>
          <w:i/>
          <w:iCs/>
          <w:sz w:val="22"/>
          <w:szCs w:val="22"/>
        </w:rPr>
      </w:pPr>
      <w:r>
        <w:rPr>
          <w:rFonts w:ascii="Arial" w:hAnsi="Arial" w:cs="Arial"/>
          <w:bCs/>
          <w:i/>
          <w:iCs/>
          <w:sz w:val="22"/>
          <w:szCs w:val="22"/>
        </w:rPr>
        <w:t>Así mismo, a cancelar a favor BRANDON GIRALDO GARCÍA, la suma de $</w:t>
      </w:r>
      <w:r w:rsidR="00646223">
        <w:rPr>
          <w:rFonts w:ascii="Arial" w:hAnsi="Arial" w:cs="Arial"/>
          <w:bCs/>
          <w:i/>
          <w:iCs/>
          <w:sz w:val="22"/>
          <w:szCs w:val="22"/>
        </w:rPr>
        <w:t>120´176.167,46</w:t>
      </w:r>
      <w:r>
        <w:rPr>
          <w:rFonts w:ascii="Arial" w:hAnsi="Arial" w:cs="Arial"/>
          <w:bCs/>
          <w:i/>
          <w:iCs/>
          <w:sz w:val="22"/>
          <w:szCs w:val="22"/>
        </w:rPr>
        <w:t>, por concepto de perjuicios de carácter material, e</w:t>
      </w:r>
      <w:r w:rsidR="00646223">
        <w:rPr>
          <w:rFonts w:ascii="Arial" w:hAnsi="Arial" w:cs="Arial"/>
          <w:bCs/>
          <w:i/>
          <w:iCs/>
          <w:sz w:val="22"/>
          <w:szCs w:val="22"/>
        </w:rPr>
        <w:t>n la modalidad de lucro cesante consolidado y futuro.</w:t>
      </w:r>
    </w:p>
    <w:p w:rsidR="00581C9D" w:rsidRDefault="00581C9D" w:rsidP="009C2749">
      <w:pPr>
        <w:ind w:left="283" w:right="283"/>
        <w:jc w:val="both"/>
        <w:rPr>
          <w:rFonts w:ascii="Arial" w:hAnsi="Arial" w:cs="Arial"/>
          <w:bCs/>
          <w:i/>
          <w:iCs/>
          <w:sz w:val="22"/>
          <w:szCs w:val="22"/>
        </w:rPr>
      </w:pPr>
    </w:p>
    <w:p w:rsidR="006D3804" w:rsidRPr="00DD102E" w:rsidRDefault="00581C9D" w:rsidP="009C2749">
      <w:pPr>
        <w:ind w:left="283" w:right="283"/>
        <w:jc w:val="both"/>
        <w:rPr>
          <w:rFonts w:cs="Arial"/>
          <w:i/>
          <w:sz w:val="22"/>
          <w:szCs w:val="22"/>
        </w:rPr>
      </w:pPr>
      <w:r>
        <w:rPr>
          <w:rFonts w:ascii="Arial" w:hAnsi="Arial" w:cs="Arial"/>
          <w:bCs/>
          <w:i/>
          <w:iCs/>
          <w:sz w:val="22"/>
          <w:szCs w:val="22"/>
        </w:rPr>
        <w:t xml:space="preserve">Y, a los señores </w:t>
      </w:r>
      <w:proofErr w:type="spellStart"/>
      <w:r w:rsidR="006D3804">
        <w:rPr>
          <w:rFonts w:ascii="Arial" w:hAnsi="Arial" w:cs="Arial"/>
          <w:bCs/>
          <w:i/>
          <w:iCs/>
          <w:sz w:val="22"/>
          <w:szCs w:val="22"/>
        </w:rPr>
        <w:t>MARIA</w:t>
      </w:r>
      <w:proofErr w:type="spellEnd"/>
      <w:r w:rsidR="006D3804">
        <w:rPr>
          <w:rFonts w:ascii="Arial" w:hAnsi="Arial" w:cs="Arial"/>
          <w:bCs/>
          <w:i/>
          <w:iCs/>
          <w:sz w:val="22"/>
          <w:szCs w:val="22"/>
        </w:rPr>
        <w:t xml:space="preserve"> </w:t>
      </w:r>
      <w:proofErr w:type="spellStart"/>
      <w:r w:rsidR="006D3804">
        <w:rPr>
          <w:rFonts w:ascii="Arial" w:hAnsi="Arial" w:cs="Arial"/>
          <w:bCs/>
          <w:i/>
          <w:iCs/>
          <w:sz w:val="22"/>
          <w:szCs w:val="22"/>
        </w:rPr>
        <w:t>RIOS</w:t>
      </w:r>
      <w:proofErr w:type="spellEnd"/>
      <w:r w:rsidR="006D3804">
        <w:rPr>
          <w:rFonts w:ascii="Arial" w:hAnsi="Arial" w:cs="Arial"/>
          <w:bCs/>
          <w:i/>
          <w:iCs/>
          <w:sz w:val="22"/>
          <w:szCs w:val="22"/>
        </w:rPr>
        <w:t xml:space="preserve"> DUQUE</w:t>
      </w:r>
      <w:r w:rsidR="00DD102E">
        <w:rPr>
          <w:rFonts w:ascii="Arial" w:hAnsi="Arial" w:cs="Arial"/>
          <w:bCs/>
          <w:i/>
          <w:iCs/>
          <w:sz w:val="22"/>
          <w:szCs w:val="22"/>
        </w:rPr>
        <w:t xml:space="preserve">, </w:t>
      </w:r>
      <w:proofErr w:type="spellStart"/>
      <w:r w:rsidR="00DD102E">
        <w:rPr>
          <w:rFonts w:ascii="Arial" w:hAnsi="Arial" w:cs="Arial"/>
          <w:bCs/>
          <w:i/>
          <w:iCs/>
          <w:sz w:val="22"/>
          <w:szCs w:val="22"/>
        </w:rPr>
        <w:t>STIVEN</w:t>
      </w:r>
      <w:proofErr w:type="spellEnd"/>
      <w:r w:rsidR="00DD102E">
        <w:rPr>
          <w:rFonts w:ascii="Arial" w:hAnsi="Arial" w:cs="Arial"/>
          <w:bCs/>
          <w:i/>
          <w:iCs/>
          <w:sz w:val="22"/>
          <w:szCs w:val="22"/>
        </w:rPr>
        <w:t xml:space="preserve"> GIRALDO GARCÍA, </w:t>
      </w:r>
      <w:r w:rsidR="00DD102E" w:rsidRPr="00DD102E">
        <w:rPr>
          <w:rFonts w:ascii="Arial" w:hAnsi="Arial" w:cs="Arial"/>
          <w:i/>
          <w:sz w:val="22"/>
          <w:szCs w:val="22"/>
        </w:rPr>
        <w:t xml:space="preserve">ERIKA GIRALDO RÍOS, JOSÉ IVÁN GIRALDO RÍOS </w:t>
      </w:r>
      <w:r w:rsidR="00DD102E">
        <w:rPr>
          <w:rFonts w:ascii="Arial" w:hAnsi="Arial" w:cs="Arial"/>
          <w:i/>
          <w:sz w:val="22"/>
          <w:szCs w:val="22"/>
        </w:rPr>
        <w:t>Y LUZ ADRIANA GIRALDO RÍOS, la suma de $6´894.540 para cada uno de ellos, por concepto de perjuicios morales.</w:t>
      </w:r>
    </w:p>
    <w:p w:rsidR="00837C18" w:rsidRPr="00512B5B" w:rsidRDefault="00837C18" w:rsidP="00512B5B">
      <w:pPr>
        <w:widowControl w:val="0"/>
        <w:autoSpaceDE w:val="0"/>
        <w:autoSpaceDN w:val="0"/>
        <w:adjustRightInd w:val="0"/>
        <w:ind w:left="283" w:right="283"/>
        <w:jc w:val="both"/>
        <w:rPr>
          <w:rFonts w:ascii="Arial" w:hAnsi="Arial" w:cs="Arial"/>
          <w:bCs/>
          <w:i/>
          <w:iCs/>
          <w:sz w:val="22"/>
          <w:szCs w:val="22"/>
        </w:rPr>
      </w:pPr>
    </w:p>
    <w:p w:rsidR="00512B5B" w:rsidRPr="00512B5B" w:rsidRDefault="00512B5B" w:rsidP="00512B5B">
      <w:pPr>
        <w:widowControl w:val="0"/>
        <w:autoSpaceDE w:val="0"/>
        <w:autoSpaceDN w:val="0"/>
        <w:adjustRightInd w:val="0"/>
        <w:ind w:left="283" w:right="283"/>
        <w:jc w:val="both"/>
        <w:rPr>
          <w:rFonts w:ascii="Arial" w:hAnsi="Arial" w:cs="Arial"/>
          <w:bCs/>
          <w:i/>
          <w:iCs/>
          <w:sz w:val="22"/>
          <w:szCs w:val="22"/>
        </w:rPr>
      </w:pPr>
      <w:r w:rsidRPr="00512B5B">
        <w:rPr>
          <w:rFonts w:ascii="Arial" w:hAnsi="Arial" w:cs="Arial"/>
          <w:bCs/>
          <w:i/>
          <w:iCs/>
          <w:sz w:val="22"/>
          <w:szCs w:val="22"/>
        </w:rPr>
        <w:t xml:space="preserve">TERCERO: </w:t>
      </w:r>
      <w:r w:rsidR="009C2749">
        <w:rPr>
          <w:rFonts w:ascii="Arial" w:hAnsi="Arial" w:cs="Arial"/>
          <w:bCs/>
          <w:i/>
          <w:iCs/>
          <w:sz w:val="22"/>
          <w:szCs w:val="22"/>
        </w:rPr>
        <w:t>CONDENASE al señor JOSÉ ISRAEL AMADOR ÁVILA como empleador a pagar en beneficio de BRANDON GIRALDO GARCÍA,  la pensión de sobrevivientes a partir del 22/04/2014 en cuantía de $771.428, sin perjuicio de los incrementos anuales, hasta que cumpla la mayoría de edad o hasta los 25 años si acredita la condición de estudiante</w:t>
      </w:r>
      <w:r w:rsidR="00836B57">
        <w:rPr>
          <w:rFonts w:ascii="Arial" w:hAnsi="Arial" w:cs="Arial"/>
          <w:bCs/>
          <w:i/>
          <w:iCs/>
          <w:sz w:val="22"/>
          <w:szCs w:val="22"/>
        </w:rPr>
        <w:t>”</w:t>
      </w:r>
      <w:r w:rsidR="009C2749">
        <w:rPr>
          <w:rFonts w:ascii="Arial" w:hAnsi="Arial" w:cs="Arial"/>
          <w:bCs/>
          <w:i/>
          <w:iCs/>
          <w:sz w:val="22"/>
          <w:szCs w:val="22"/>
        </w:rPr>
        <w:t>.</w:t>
      </w:r>
    </w:p>
    <w:p w:rsidR="00893EC7" w:rsidRPr="00512B5B" w:rsidRDefault="00893EC7" w:rsidP="00512B5B">
      <w:pPr>
        <w:widowControl w:val="0"/>
        <w:autoSpaceDE w:val="0"/>
        <w:autoSpaceDN w:val="0"/>
        <w:adjustRightInd w:val="0"/>
        <w:ind w:left="283" w:right="283"/>
        <w:jc w:val="both"/>
        <w:rPr>
          <w:rFonts w:ascii="Arial" w:hAnsi="Arial" w:cs="Arial"/>
          <w:bCs/>
          <w:i/>
          <w:iCs/>
          <w:sz w:val="22"/>
          <w:szCs w:val="22"/>
        </w:rPr>
      </w:pPr>
    </w:p>
    <w:p w:rsidR="00FD7AAD" w:rsidRPr="005A6DB9" w:rsidRDefault="00CE4314" w:rsidP="00FD7AAD">
      <w:pPr>
        <w:spacing w:line="276" w:lineRule="auto"/>
        <w:jc w:val="both"/>
        <w:rPr>
          <w:rFonts w:ascii="Arial" w:hAnsi="Arial" w:cs="Arial"/>
          <w:szCs w:val="24"/>
        </w:rPr>
      </w:pPr>
      <w:r w:rsidRPr="00FD7AAD">
        <w:rPr>
          <w:rFonts w:ascii="Arial" w:hAnsi="Arial" w:cs="Arial"/>
          <w:b/>
          <w:bCs/>
          <w:iCs/>
          <w:szCs w:val="24"/>
          <w:u w:val="single"/>
        </w:rPr>
        <w:t>SEGUNDO</w:t>
      </w:r>
      <w:r w:rsidRPr="00FD7AAD">
        <w:rPr>
          <w:rFonts w:ascii="Arial" w:hAnsi="Arial" w:cs="Arial"/>
          <w:b/>
          <w:bCs/>
          <w:iCs/>
          <w:szCs w:val="24"/>
        </w:rPr>
        <w:t xml:space="preserve">: </w:t>
      </w:r>
      <w:r w:rsidR="0000748F" w:rsidRPr="0000748F">
        <w:rPr>
          <w:rFonts w:ascii="Arial" w:hAnsi="Arial" w:cs="Arial"/>
          <w:bCs/>
          <w:iCs/>
          <w:szCs w:val="24"/>
        </w:rPr>
        <w:t>Sin co</w:t>
      </w:r>
      <w:r w:rsidR="00C212AA">
        <w:rPr>
          <w:rFonts w:ascii="Arial" w:hAnsi="Arial" w:cs="Arial"/>
          <w:szCs w:val="24"/>
        </w:rPr>
        <w:t>stas en esta instancia</w:t>
      </w:r>
      <w:r w:rsidR="00FD7AAD" w:rsidRPr="00FD7AAD">
        <w:rPr>
          <w:rFonts w:ascii="Arial" w:hAnsi="Arial" w:cs="Arial"/>
          <w:szCs w:val="24"/>
        </w:rPr>
        <w:t>, según lo mencionado</w:t>
      </w:r>
      <w:r w:rsidR="00561387">
        <w:rPr>
          <w:rFonts w:ascii="Arial" w:hAnsi="Arial" w:cs="Arial"/>
          <w:szCs w:val="24"/>
        </w:rPr>
        <w:t xml:space="preserve"> en la parte motiva</w:t>
      </w:r>
      <w:r w:rsidR="00FD7AAD" w:rsidRPr="00FD7AAD">
        <w:rPr>
          <w:rFonts w:ascii="Arial" w:hAnsi="Arial" w:cs="Arial"/>
          <w:szCs w:val="24"/>
        </w:rPr>
        <w:t>.</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B63C9" w:rsidRDefault="003B63C9"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FE069F" w:rsidRDefault="00FE069F" w:rsidP="00CE4314">
      <w:pPr>
        <w:widowControl w:val="0"/>
        <w:autoSpaceDE w:val="0"/>
        <w:autoSpaceDN w:val="0"/>
        <w:adjustRightInd w:val="0"/>
        <w:spacing w:line="276" w:lineRule="auto"/>
        <w:contextualSpacing/>
        <w:jc w:val="both"/>
        <w:rPr>
          <w:rFonts w:ascii="Arial" w:hAnsi="Arial" w:cs="Arial"/>
          <w:szCs w:val="24"/>
        </w:rPr>
      </w:pPr>
    </w:p>
    <w:p w:rsidR="00FE069F" w:rsidRDefault="00FE069F"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8E451C" w:rsidRDefault="00CE4314" w:rsidP="00C069F5">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C10E60" w:rsidRDefault="00C10E60" w:rsidP="00C069F5">
      <w:pPr>
        <w:spacing w:line="276" w:lineRule="auto"/>
        <w:jc w:val="both"/>
        <w:rPr>
          <w:rFonts w:ascii="Arial" w:hAnsi="Arial" w:cs="Arial"/>
          <w:sz w:val="23"/>
          <w:szCs w:val="23"/>
          <w:lang w:val="es-ES"/>
        </w:rPr>
      </w:pPr>
    </w:p>
    <w:p w:rsidR="00C10E60" w:rsidRDefault="00C10E60"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04061C">
      <w:pPr>
        <w:spacing w:line="276" w:lineRule="auto"/>
        <w:jc w:val="center"/>
        <w:rPr>
          <w:rFonts w:ascii="Arial" w:hAnsi="Arial" w:cs="Arial"/>
          <w:sz w:val="23"/>
          <w:szCs w:val="23"/>
          <w:lang w:val="es-ES"/>
        </w:rPr>
      </w:pPr>
      <w:r>
        <w:rPr>
          <w:rFonts w:ascii="Arial" w:hAnsi="Arial" w:cs="Arial"/>
          <w:sz w:val="23"/>
          <w:szCs w:val="23"/>
          <w:lang w:val="es-ES"/>
        </w:rPr>
        <w:t xml:space="preserve">ANEXO 1 – </w:t>
      </w:r>
      <w:proofErr w:type="spellStart"/>
      <w:r>
        <w:rPr>
          <w:rFonts w:ascii="Arial" w:hAnsi="Arial" w:cs="Arial"/>
          <w:sz w:val="23"/>
          <w:szCs w:val="23"/>
          <w:lang w:val="es-ES"/>
        </w:rPr>
        <w:t>LIQUIDACION</w:t>
      </w:r>
      <w:proofErr w:type="spellEnd"/>
      <w:r>
        <w:rPr>
          <w:rFonts w:ascii="Arial" w:hAnsi="Arial" w:cs="Arial"/>
          <w:sz w:val="23"/>
          <w:szCs w:val="23"/>
          <w:lang w:val="es-ES"/>
        </w:rPr>
        <w:t xml:space="preserve"> LUCRO CESANTE</w:t>
      </w:r>
    </w:p>
    <w:p w:rsidR="0004061C" w:rsidRDefault="0004061C" w:rsidP="0004061C">
      <w:pPr>
        <w:spacing w:line="276" w:lineRule="auto"/>
        <w:jc w:val="center"/>
        <w:rPr>
          <w:rFonts w:ascii="Arial" w:hAnsi="Arial" w:cs="Arial"/>
          <w:sz w:val="23"/>
          <w:szCs w:val="23"/>
          <w:lang w:val="es-ES"/>
        </w:rPr>
      </w:pPr>
    </w:p>
    <w:tbl>
      <w:tblPr>
        <w:tblW w:w="8845" w:type="dxa"/>
        <w:tblInd w:w="-431" w:type="dxa"/>
        <w:tblCellMar>
          <w:left w:w="70" w:type="dxa"/>
          <w:right w:w="70" w:type="dxa"/>
        </w:tblCellMar>
        <w:tblLook w:val="04A0" w:firstRow="1" w:lastRow="0" w:firstColumn="1" w:lastColumn="0" w:noHBand="0" w:noVBand="1"/>
      </w:tblPr>
      <w:tblGrid>
        <w:gridCol w:w="1251"/>
        <w:gridCol w:w="783"/>
        <w:gridCol w:w="783"/>
        <w:gridCol w:w="956"/>
        <w:gridCol w:w="1097"/>
        <w:gridCol w:w="746"/>
        <w:gridCol w:w="1097"/>
        <w:gridCol w:w="372"/>
        <w:gridCol w:w="1119"/>
        <w:gridCol w:w="641"/>
      </w:tblGrid>
      <w:tr w:rsidR="0004061C" w:rsidRPr="00F877D4" w:rsidTr="006F6E58">
        <w:trPr>
          <w:trHeight w:val="466"/>
        </w:trPr>
        <w:tc>
          <w:tcPr>
            <w:tcW w:w="8845" w:type="dxa"/>
            <w:gridSpan w:val="10"/>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b/>
                <w:bCs/>
                <w:color w:val="FFFFFF"/>
                <w:szCs w:val="24"/>
                <w:lang w:eastAsia="es-CO"/>
              </w:rPr>
            </w:pPr>
            <w:r w:rsidRPr="00F877D4">
              <w:rPr>
                <w:rFonts w:ascii="Arial" w:hAnsi="Arial" w:cs="Arial"/>
                <w:b/>
                <w:bCs/>
                <w:color w:val="FFFFFF"/>
                <w:szCs w:val="24"/>
                <w:lang w:eastAsia="es-CO"/>
              </w:rPr>
              <w:t>Cálculo de la Indemnización debida o consolidada (Hijo):</w:t>
            </w:r>
          </w:p>
        </w:tc>
      </w:tr>
      <w:tr w:rsidR="0004061C" w:rsidRPr="00F877D4" w:rsidTr="006F6E58">
        <w:trPr>
          <w:trHeight w:val="466"/>
        </w:trPr>
        <w:tc>
          <w:tcPr>
            <w:tcW w:w="2817" w:type="dxa"/>
            <w:gridSpan w:val="3"/>
            <w:tcBorders>
              <w:top w:val="nil"/>
              <w:left w:val="single" w:sz="4" w:space="0" w:color="FFFFFF"/>
              <w:bottom w:val="single" w:sz="4" w:space="0" w:color="FFFFFF"/>
              <w:right w:val="single" w:sz="4" w:space="0" w:color="FFFFFF"/>
            </w:tcBorders>
            <w:shd w:val="clear" w:color="000000" w:fill="16365C"/>
            <w:noWrap/>
            <w:vAlign w:val="bottom"/>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 </w:t>
            </w:r>
          </w:p>
        </w:tc>
        <w:tc>
          <w:tcPr>
            <w:tcW w:w="956" w:type="dxa"/>
            <w:tcBorders>
              <w:top w:val="nil"/>
              <w:left w:val="nil"/>
              <w:bottom w:val="nil"/>
              <w:right w:val="single" w:sz="4" w:space="0" w:color="FFFFFF"/>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AÑO</w:t>
            </w:r>
          </w:p>
        </w:tc>
        <w:tc>
          <w:tcPr>
            <w:tcW w:w="1097" w:type="dxa"/>
            <w:tcBorders>
              <w:top w:val="nil"/>
              <w:left w:val="nil"/>
              <w:bottom w:val="nil"/>
              <w:right w:val="single" w:sz="4" w:space="0" w:color="FFFFFF"/>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MES</w:t>
            </w:r>
          </w:p>
        </w:tc>
        <w:tc>
          <w:tcPr>
            <w:tcW w:w="746" w:type="dxa"/>
            <w:tcBorders>
              <w:top w:val="nil"/>
              <w:left w:val="nil"/>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DÍA</w:t>
            </w:r>
          </w:p>
        </w:tc>
        <w:tc>
          <w:tcPr>
            <w:tcW w:w="3229" w:type="dxa"/>
            <w:gridSpan w:val="4"/>
            <w:tcBorders>
              <w:top w:val="single" w:sz="4" w:space="0" w:color="FFFFFF"/>
              <w:left w:val="nil"/>
              <w:bottom w:val="single" w:sz="4" w:space="0" w:color="FFFFFF"/>
              <w:right w:val="nil"/>
            </w:tcBorders>
            <w:shd w:val="clear" w:color="000000" w:fill="16365C"/>
            <w:noWrap/>
            <w:vAlign w:val="bottom"/>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 </w:t>
            </w:r>
          </w:p>
        </w:tc>
      </w:tr>
      <w:tr w:rsidR="0004061C" w:rsidRPr="00F877D4" w:rsidTr="006F6E58">
        <w:trPr>
          <w:trHeight w:val="466"/>
        </w:trPr>
        <w:tc>
          <w:tcPr>
            <w:tcW w:w="2817" w:type="dxa"/>
            <w:gridSpan w:val="3"/>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Fecha de la Liquidación:</w:t>
            </w:r>
          </w:p>
        </w:tc>
        <w:tc>
          <w:tcPr>
            <w:tcW w:w="956" w:type="dxa"/>
            <w:tcBorders>
              <w:top w:val="single" w:sz="4" w:space="0" w:color="FFFFFF"/>
              <w:left w:val="single" w:sz="4" w:space="0" w:color="auto"/>
              <w:bottom w:val="single" w:sz="4" w:space="0" w:color="auto"/>
              <w:right w:val="nil"/>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2017</w:t>
            </w:r>
          </w:p>
        </w:tc>
        <w:tc>
          <w:tcPr>
            <w:tcW w:w="1097" w:type="dxa"/>
            <w:tcBorders>
              <w:top w:val="single" w:sz="4" w:space="0" w:color="FFFFFF"/>
              <w:left w:val="single" w:sz="4" w:space="0" w:color="auto"/>
              <w:bottom w:val="single" w:sz="4" w:space="0" w:color="auto"/>
              <w:right w:val="nil"/>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10</w:t>
            </w:r>
          </w:p>
        </w:tc>
        <w:tc>
          <w:tcPr>
            <w:tcW w:w="746" w:type="dxa"/>
            <w:tcBorders>
              <w:top w:val="nil"/>
              <w:left w:val="single" w:sz="4" w:space="0" w:color="auto"/>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31</w:t>
            </w:r>
          </w:p>
        </w:tc>
        <w:tc>
          <w:tcPr>
            <w:tcW w:w="1469" w:type="dxa"/>
            <w:gridSpan w:val="2"/>
            <w:tcBorders>
              <w:top w:val="single" w:sz="4" w:space="0" w:color="FFFFFF"/>
              <w:left w:val="nil"/>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IPC - Final</w:t>
            </w:r>
          </w:p>
        </w:tc>
        <w:tc>
          <w:tcPr>
            <w:tcW w:w="1760" w:type="dxa"/>
            <w:gridSpan w:val="2"/>
            <w:tcBorders>
              <w:top w:val="nil"/>
              <w:left w:val="nil"/>
              <w:bottom w:val="nil"/>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138,05</w:t>
            </w:r>
          </w:p>
        </w:tc>
      </w:tr>
      <w:tr w:rsidR="0004061C" w:rsidRPr="00F877D4" w:rsidTr="006F6E58">
        <w:trPr>
          <w:trHeight w:val="466"/>
        </w:trPr>
        <w:tc>
          <w:tcPr>
            <w:tcW w:w="2817" w:type="dxa"/>
            <w:gridSpan w:val="3"/>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Fecha de Nacimiento de la víctima:</w:t>
            </w:r>
          </w:p>
        </w:tc>
        <w:tc>
          <w:tcPr>
            <w:tcW w:w="956" w:type="dxa"/>
            <w:tcBorders>
              <w:top w:val="nil"/>
              <w:left w:val="single" w:sz="4" w:space="0" w:color="auto"/>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1973</w:t>
            </w:r>
          </w:p>
        </w:tc>
        <w:tc>
          <w:tcPr>
            <w:tcW w:w="1097" w:type="dxa"/>
            <w:tcBorders>
              <w:top w:val="nil"/>
              <w:left w:val="nil"/>
              <w:bottom w:val="single" w:sz="4" w:space="0" w:color="auto"/>
              <w:right w:val="nil"/>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06</w:t>
            </w:r>
          </w:p>
        </w:tc>
        <w:tc>
          <w:tcPr>
            <w:tcW w:w="746" w:type="dxa"/>
            <w:tcBorders>
              <w:top w:val="nil"/>
              <w:left w:val="single" w:sz="4" w:space="0" w:color="auto"/>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09</w:t>
            </w:r>
          </w:p>
        </w:tc>
        <w:tc>
          <w:tcPr>
            <w:tcW w:w="1097" w:type="dxa"/>
            <w:tcBorders>
              <w:top w:val="nil"/>
              <w:left w:val="nil"/>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Sexo:</w:t>
            </w:r>
          </w:p>
        </w:tc>
        <w:tc>
          <w:tcPr>
            <w:tcW w:w="372" w:type="dxa"/>
            <w:tcBorders>
              <w:top w:val="nil"/>
              <w:left w:val="nil"/>
              <w:bottom w:val="single" w:sz="4" w:space="0" w:color="FFFFFF"/>
              <w:right w:val="nil"/>
            </w:tcBorders>
            <w:shd w:val="clear" w:color="000000" w:fill="BFBFBF"/>
            <w:noWrap/>
            <w:vAlign w:val="center"/>
            <w:hideMark/>
          </w:tcPr>
          <w:p w:rsidR="0004061C" w:rsidRPr="00F877D4" w:rsidRDefault="0004061C" w:rsidP="006F6E58">
            <w:pPr>
              <w:jc w:val="center"/>
              <w:rPr>
                <w:rFonts w:ascii="Arial" w:hAnsi="Arial" w:cs="Arial"/>
                <w:b/>
                <w:bCs/>
                <w:color w:val="31869B"/>
                <w:sz w:val="20"/>
                <w:lang w:eastAsia="es-CO"/>
              </w:rPr>
            </w:pPr>
            <w:r w:rsidRPr="00F877D4">
              <w:rPr>
                <w:rFonts w:ascii="Arial" w:hAnsi="Arial" w:cs="Arial"/>
                <w:b/>
                <w:bCs/>
                <w:color w:val="31869B"/>
                <w:sz w:val="20"/>
                <w:lang w:eastAsia="es-CO"/>
              </w:rPr>
              <w:t>M</w:t>
            </w:r>
          </w:p>
        </w:tc>
        <w:tc>
          <w:tcPr>
            <w:tcW w:w="1119" w:type="dxa"/>
            <w:tcBorders>
              <w:top w:val="single" w:sz="4" w:space="0" w:color="FFFFFF"/>
              <w:left w:val="single" w:sz="4" w:space="0" w:color="FFFFFF"/>
              <w:bottom w:val="nil"/>
              <w:right w:val="single" w:sz="4" w:space="0" w:color="FFFFFF"/>
            </w:tcBorders>
            <w:shd w:val="clear" w:color="000000" w:fill="16365C"/>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Edad:</w:t>
            </w:r>
          </w:p>
        </w:tc>
        <w:tc>
          <w:tcPr>
            <w:tcW w:w="641" w:type="dxa"/>
            <w:tcBorders>
              <w:top w:val="single" w:sz="4" w:space="0" w:color="FFFFFF"/>
              <w:left w:val="nil"/>
              <w:bottom w:val="nil"/>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40,87</w:t>
            </w:r>
          </w:p>
        </w:tc>
      </w:tr>
      <w:tr w:rsidR="0004061C" w:rsidRPr="00F877D4" w:rsidTr="006F6E58">
        <w:trPr>
          <w:trHeight w:val="466"/>
        </w:trPr>
        <w:tc>
          <w:tcPr>
            <w:tcW w:w="2817" w:type="dxa"/>
            <w:gridSpan w:val="3"/>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Fecha en que ocurrieron hechos:</w:t>
            </w:r>
          </w:p>
        </w:tc>
        <w:tc>
          <w:tcPr>
            <w:tcW w:w="956" w:type="dxa"/>
            <w:tcBorders>
              <w:top w:val="nil"/>
              <w:left w:val="single" w:sz="4" w:space="0" w:color="auto"/>
              <w:bottom w:val="single" w:sz="4" w:space="0" w:color="auto"/>
              <w:right w:val="nil"/>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2014</w:t>
            </w:r>
          </w:p>
        </w:tc>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04</w:t>
            </w:r>
          </w:p>
        </w:tc>
        <w:tc>
          <w:tcPr>
            <w:tcW w:w="746" w:type="dxa"/>
            <w:tcBorders>
              <w:top w:val="nil"/>
              <w:left w:val="nil"/>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21</w:t>
            </w:r>
          </w:p>
        </w:tc>
        <w:tc>
          <w:tcPr>
            <w:tcW w:w="1469" w:type="dxa"/>
            <w:gridSpan w:val="2"/>
            <w:tcBorders>
              <w:top w:val="single" w:sz="4" w:space="0" w:color="FFFFFF"/>
              <w:left w:val="nil"/>
              <w:bottom w:val="single" w:sz="4" w:space="0" w:color="auto"/>
              <w:right w:val="single" w:sz="4" w:space="0" w:color="000000"/>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IPC - Inicial</w:t>
            </w:r>
          </w:p>
        </w:tc>
        <w:tc>
          <w:tcPr>
            <w:tcW w:w="1760" w:type="dxa"/>
            <w:gridSpan w:val="2"/>
            <w:tcBorders>
              <w:top w:val="single" w:sz="4" w:space="0" w:color="FFFFFF"/>
              <w:left w:val="nil"/>
              <w:bottom w:val="nil"/>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116,24</w:t>
            </w:r>
          </w:p>
        </w:tc>
      </w:tr>
      <w:tr w:rsidR="0004061C" w:rsidRPr="00F877D4" w:rsidTr="006F6E58">
        <w:trPr>
          <w:trHeight w:val="466"/>
        </w:trPr>
        <w:tc>
          <w:tcPr>
            <w:tcW w:w="2817" w:type="dxa"/>
            <w:gridSpan w:val="3"/>
            <w:tcBorders>
              <w:top w:val="single" w:sz="4" w:space="0" w:color="FFFFFF"/>
              <w:left w:val="single" w:sz="8" w:space="0" w:color="auto"/>
              <w:bottom w:val="nil"/>
              <w:right w:val="single" w:sz="8" w:space="0" w:color="000000"/>
            </w:tcBorders>
            <w:shd w:val="clear" w:color="000000" w:fill="003366"/>
            <w:noWrap/>
            <w:vAlign w:val="bottom"/>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Renta Mensual Actualizada (Ra):</w:t>
            </w:r>
          </w:p>
        </w:tc>
        <w:tc>
          <w:tcPr>
            <w:tcW w:w="6028"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$ 1.129.371,39</w:t>
            </w:r>
          </w:p>
        </w:tc>
      </w:tr>
      <w:tr w:rsidR="0004061C" w:rsidRPr="00F877D4" w:rsidTr="006F6E58">
        <w:trPr>
          <w:trHeight w:val="466"/>
        </w:trPr>
        <w:tc>
          <w:tcPr>
            <w:tcW w:w="2817" w:type="dxa"/>
            <w:gridSpan w:val="3"/>
            <w:tcBorders>
              <w:top w:val="single" w:sz="4" w:space="0" w:color="FFFFFF"/>
              <w:left w:val="single" w:sz="4" w:space="0" w:color="auto"/>
              <w:bottom w:val="nil"/>
              <w:right w:val="single" w:sz="4" w:space="0" w:color="auto"/>
            </w:tcBorders>
            <w:shd w:val="clear" w:color="000000" w:fill="003366"/>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Periodo Vencido (meses) n:</w:t>
            </w:r>
          </w:p>
        </w:tc>
        <w:tc>
          <w:tcPr>
            <w:tcW w:w="6028"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42,37</w:t>
            </w:r>
          </w:p>
        </w:tc>
      </w:tr>
      <w:tr w:rsidR="0004061C" w:rsidRPr="00F877D4" w:rsidTr="006F6E58">
        <w:trPr>
          <w:trHeight w:val="466"/>
        </w:trPr>
        <w:tc>
          <w:tcPr>
            <w:tcW w:w="2817" w:type="dxa"/>
            <w:gridSpan w:val="3"/>
            <w:tcBorders>
              <w:top w:val="single" w:sz="4" w:space="0" w:color="FFFFFF"/>
              <w:left w:val="single" w:sz="4" w:space="0" w:color="auto"/>
              <w:bottom w:val="single" w:sz="4" w:space="0" w:color="auto"/>
              <w:right w:val="single" w:sz="4" w:space="0" w:color="auto"/>
            </w:tcBorders>
            <w:shd w:val="clear" w:color="000000" w:fill="003366"/>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Indemnización Debida Actual (S):</w:t>
            </w:r>
          </w:p>
        </w:tc>
        <w:tc>
          <w:tcPr>
            <w:tcW w:w="6028"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b/>
                <w:bCs/>
                <w:i/>
                <w:iCs/>
                <w:sz w:val="20"/>
                <w:lang w:eastAsia="es-CO"/>
              </w:rPr>
            </w:pPr>
            <w:r w:rsidRPr="00F877D4">
              <w:rPr>
                <w:rFonts w:ascii="Arial" w:hAnsi="Arial" w:cs="Arial"/>
                <w:b/>
                <w:bCs/>
                <w:i/>
                <w:iCs/>
                <w:sz w:val="20"/>
                <w:lang w:eastAsia="es-CO"/>
              </w:rPr>
              <w:t>$ 52.995.450,44</w:t>
            </w:r>
          </w:p>
        </w:tc>
      </w:tr>
      <w:tr w:rsidR="0004061C" w:rsidRPr="00F877D4" w:rsidTr="006F6E58">
        <w:trPr>
          <w:trHeight w:val="466"/>
        </w:trPr>
        <w:tc>
          <w:tcPr>
            <w:tcW w:w="1251" w:type="dxa"/>
            <w:tcBorders>
              <w:top w:val="nil"/>
              <w:left w:val="nil"/>
              <w:bottom w:val="nil"/>
              <w:right w:val="nil"/>
            </w:tcBorders>
            <w:shd w:val="clear" w:color="auto" w:fill="auto"/>
            <w:noWrap/>
            <w:vAlign w:val="bottom"/>
            <w:hideMark/>
          </w:tcPr>
          <w:p w:rsidR="0004061C" w:rsidRPr="00F877D4" w:rsidRDefault="0004061C" w:rsidP="006F6E58">
            <w:pPr>
              <w:jc w:val="center"/>
              <w:rPr>
                <w:rFonts w:ascii="Arial" w:hAnsi="Arial" w:cs="Arial"/>
                <w:b/>
                <w:bCs/>
                <w:i/>
                <w:iCs/>
                <w:sz w:val="20"/>
                <w:lang w:eastAsia="es-CO"/>
              </w:rPr>
            </w:pPr>
          </w:p>
        </w:tc>
        <w:tc>
          <w:tcPr>
            <w:tcW w:w="783"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783"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956"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1097"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746"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1097"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372"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1119"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641"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r>
      <w:tr w:rsidR="0004061C" w:rsidRPr="00F877D4" w:rsidTr="006F6E58">
        <w:trPr>
          <w:trHeight w:val="466"/>
        </w:trPr>
        <w:tc>
          <w:tcPr>
            <w:tcW w:w="1251"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783"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783"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956"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1097"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746"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1097"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372"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1119"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c>
          <w:tcPr>
            <w:tcW w:w="641" w:type="dxa"/>
            <w:tcBorders>
              <w:top w:val="nil"/>
              <w:left w:val="nil"/>
              <w:bottom w:val="nil"/>
              <w:right w:val="nil"/>
            </w:tcBorders>
            <w:shd w:val="clear" w:color="auto" w:fill="auto"/>
            <w:noWrap/>
            <w:vAlign w:val="bottom"/>
            <w:hideMark/>
          </w:tcPr>
          <w:p w:rsidR="0004061C" w:rsidRPr="00F877D4" w:rsidRDefault="0004061C" w:rsidP="006F6E58">
            <w:pPr>
              <w:rPr>
                <w:sz w:val="20"/>
                <w:lang w:eastAsia="es-CO"/>
              </w:rPr>
            </w:pPr>
          </w:p>
        </w:tc>
      </w:tr>
      <w:tr w:rsidR="0004061C" w:rsidRPr="00F877D4" w:rsidTr="006F6E58">
        <w:trPr>
          <w:trHeight w:val="466"/>
        </w:trPr>
        <w:tc>
          <w:tcPr>
            <w:tcW w:w="8845" w:type="dxa"/>
            <w:gridSpan w:val="10"/>
            <w:tcBorders>
              <w:top w:val="nil"/>
              <w:left w:val="single" w:sz="4" w:space="0" w:color="FFFFFF"/>
              <w:bottom w:val="single" w:sz="4" w:space="0" w:color="FFFFFF"/>
              <w:right w:val="nil"/>
            </w:tcBorders>
            <w:shd w:val="clear" w:color="000000" w:fill="16365C"/>
            <w:noWrap/>
            <w:vAlign w:val="center"/>
            <w:hideMark/>
          </w:tcPr>
          <w:p w:rsidR="0004061C" w:rsidRPr="00F877D4" w:rsidRDefault="0004061C" w:rsidP="006F6E58">
            <w:pPr>
              <w:jc w:val="center"/>
              <w:rPr>
                <w:rFonts w:ascii="Arial" w:hAnsi="Arial" w:cs="Arial"/>
                <w:b/>
                <w:bCs/>
                <w:color w:val="FFFFFF"/>
                <w:szCs w:val="24"/>
                <w:lang w:eastAsia="es-CO"/>
              </w:rPr>
            </w:pPr>
            <w:r w:rsidRPr="00F877D4">
              <w:rPr>
                <w:rFonts w:ascii="Arial" w:hAnsi="Arial" w:cs="Arial"/>
                <w:b/>
                <w:bCs/>
                <w:color w:val="FFFFFF"/>
                <w:szCs w:val="24"/>
                <w:lang w:eastAsia="es-CO"/>
              </w:rPr>
              <w:t>Cálculo del Periodo Futuro o Anticipado(Hijo):</w:t>
            </w:r>
          </w:p>
        </w:tc>
      </w:tr>
      <w:tr w:rsidR="0004061C" w:rsidRPr="00F877D4" w:rsidTr="006F6E58">
        <w:trPr>
          <w:trHeight w:val="466"/>
        </w:trPr>
        <w:tc>
          <w:tcPr>
            <w:tcW w:w="2817" w:type="dxa"/>
            <w:gridSpan w:val="3"/>
            <w:tcBorders>
              <w:top w:val="nil"/>
              <w:left w:val="single" w:sz="4" w:space="0" w:color="FFFFFF"/>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 </w:t>
            </w:r>
          </w:p>
        </w:tc>
        <w:tc>
          <w:tcPr>
            <w:tcW w:w="956" w:type="dxa"/>
            <w:tcBorders>
              <w:top w:val="nil"/>
              <w:left w:val="nil"/>
              <w:bottom w:val="nil"/>
              <w:right w:val="single" w:sz="4" w:space="0" w:color="FFFFFF"/>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AÑO</w:t>
            </w:r>
          </w:p>
        </w:tc>
        <w:tc>
          <w:tcPr>
            <w:tcW w:w="1097" w:type="dxa"/>
            <w:tcBorders>
              <w:top w:val="nil"/>
              <w:left w:val="nil"/>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*MES</w:t>
            </w:r>
          </w:p>
        </w:tc>
        <w:tc>
          <w:tcPr>
            <w:tcW w:w="746" w:type="dxa"/>
            <w:tcBorders>
              <w:top w:val="nil"/>
              <w:left w:val="nil"/>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DÍA</w:t>
            </w:r>
          </w:p>
        </w:tc>
        <w:tc>
          <w:tcPr>
            <w:tcW w:w="3229" w:type="dxa"/>
            <w:gridSpan w:val="4"/>
            <w:tcBorders>
              <w:top w:val="nil"/>
              <w:left w:val="nil"/>
              <w:bottom w:val="nil"/>
              <w:right w:val="nil"/>
            </w:tcBorders>
            <w:shd w:val="clear" w:color="000000" w:fill="16365C"/>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 </w:t>
            </w:r>
          </w:p>
        </w:tc>
      </w:tr>
      <w:tr w:rsidR="0004061C" w:rsidRPr="00F877D4" w:rsidTr="006F6E58">
        <w:trPr>
          <w:trHeight w:val="466"/>
        </w:trPr>
        <w:tc>
          <w:tcPr>
            <w:tcW w:w="2817" w:type="dxa"/>
            <w:gridSpan w:val="3"/>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Fecha final (donde cumple 25 años):</w:t>
            </w:r>
          </w:p>
        </w:tc>
        <w:tc>
          <w:tcPr>
            <w:tcW w:w="956" w:type="dxa"/>
            <w:tcBorders>
              <w:top w:val="single" w:sz="4" w:space="0" w:color="FFFFFF"/>
              <w:left w:val="single" w:sz="4" w:space="0" w:color="auto"/>
              <w:bottom w:val="single" w:sz="4" w:space="0" w:color="auto"/>
              <w:right w:val="single" w:sz="4" w:space="0" w:color="auto"/>
            </w:tcBorders>
            <w:shd w:val="clear" w:color="000000" w:fill="FFFFF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2023</w:t>
            </w:r>
          </w:p>
        </w:tc>
        <w:tc>
          <w:tcPr>
            <w:tcW w:w="1097" w:type="dxa"/>
            <w:tcBorders>
              <w:top w:val="nil"/>
              <w:left w:val="nil"/>
              <w:bottom w:val="nil"/>
              <w:right w:val="single" w:sz="4" w:space="0" w:color="auto"/>
            </w:tcBorders>
            <w:shd w:val="clear" w:color="000000" w:fill="FFFFF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09</w:t>
            </w:r>
          </w:p>
        </w:tc>
        <w:tc>
          <w:tcPr>
            <w:tcW w:w="746" w:type="dxa"/>
            <w:tcBorders>
              <w:top w:val="nil"/>
              <w:left w:val="nil"/>
              <w:bottom w:val="nil"/>
              <w:right w:val="single" w:sz="4" w:space="0" w:color="auto"/>
            </w:tcBorders>
            <w:shd w:val="clear" w:color="000000" w:fill="FFFFF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12</w:t>
            </w:r>
          </w:p>
        </w:tc>
        <w:tc>
          <w:tcPr>
            <w:tcW w:w="3229" w:type="dxa"/>
            <w:gridSpan w:val="4"/>
            <w:tcBorders>
              <w:top w:val="nil"/>
              <w:left w:val="nil"/>
              <w:bottom w:val="nil"/>
              <w:right w:val="nil"/>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 </w:t>
            </w:r>
          </w:p>
        </w:tc>
      </w:tr>
      <w:tr w:rsidR="0004061C" w:rsidRPr="00F877D4" w:rsidTr="006F6E58">
        <w:trPr>
          <w:trHeight w:val="466"/>
        </w:trPr>
        <w:tc>
          <w:tcPr>
            <w:tcW w:w="2817" w:type="dxa"/>
            <w:gridSpan w:val="3"/>
            <w:tcBorders>
              <w:top w:val="single" w:sz="4" w:space="0" w:color="FFFFFF"/>
              <w:left w:val="single" w:sz="4" w:space="0" w:color="FFFFFF"/>
              <w:bottom w:val="single" w:sz="4" w:space="0" w:color="FFFFFF"/>
              <w:right w:val="single" w:sz="4" w:space="0" w:color="FFFFFF"/>
            </w:tcBorders>
            <w:shd w:val="clear" w:color="000000" w:fill="16365C"/>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t>Fecha de la Liquidación:</w:t>
            </w:r>
          </w:p>
        </w:tc>
        <w:tc>
          <w:tcPr>
            <w:tcW w:w="956" w:type="dxa"/>
            <w:tcBorders>
              <w:top w:val="nil"/>
              <w:left w:val="single" w:sz="4" w:space="0" w:color="auto"/>
              <w:bottom w:val="nil"/>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2017</w:t>
            </w:r>
          </w:p>
        </w:tc>
        <w:tc>
          <w:tcPr>
            <w:tcW w:w="1097" w:type="dxa"/>
            <w:tcBorders>
              <w:top w:val="single" w:sz="4" w:space="0" w:color="auto"/>
              <w:left w:val="nil"/>
              <w:bottom w:val="nil"/>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10</w:t>
            </w:r>
          </w:p>
        </w:tc>
        <w:tc>
          <w:tcPr>
            <w:tcW w:w="746" w:type="dxa"/>
            <w:tcBorders>
              <w:top w:val="single" w:sz="4" w:space="0" w:color="auto"/>
              <w:left w:val="nil"/>
              <w:bottom w:val="nil"/>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31</w:t>
            </w:r>
          </w:p>
        </w:tc>
        <w:tc>
          <w:tcPr>
            <w:tcW w:w="3229" w:type="dxa"/>
            <w:gridSpan w:val="4"/>
            <w:tcBorders>
              <w:top w:val="nil"/>
              <w:left w:val="nil"/>
              <w:bottom w:val="nil"/>
              <w:right w:val="nil"/>
            </w:tcBorders>
            <w:shd w:val="clear" w:color="000000" w:fill="16365C"/>
            <w:noWrap/>
            <w:vAlign w:val="center"/>
            <w:hideMark/>
          </w:tcPr>
          <w:p w:rsidR="0004061C" w:rsidRPr="00F877D4" w:rsidRDefault="0004061C" w:rsidP="006F6E58">
            <w:pPr>
              <w:jc w:val="center"/>
              <w:rPr>
                <w:rFonts w:ascii="Arial" w:hAnsi="Arial" w:cs="Arial"/>
                <w:b/>
                <w:bCs/>
                <w:color w:val="FFFFFF"/>
                <w:sz w:val="20"/>
                <w:lang w:eastAsia="es-CO"/>
              </w:rPr>
            </w:pPr>
            <w:r w:rsidRPr="00F877D4">
              <w:rPr>
                <w:rFonts w:ascii="Arial" w:hAnsi="Arial" w:cs="Arial"/>
                <w:b/>
                <w:bCs/>
                <w:color w:val="FFFFFF"/>
                <w:sz w:val="20"/>
                <w:lang w:eastAsia="es-CO"/>
              </w:rPr>
              <w:t> </w:t>
            </w:r>
          </w:p>
        </w:tc>
      </w:tr>
      <w:tr w:rsidR="0004061C" w:rsidRPr="00F877D4" w:rsidTr="006F6E58">
        <w:trPr>
          <w:trHeight w:val="466"/>
        </w:trPr>
        <w:tc>
          <w:tcPr>
            <w:tcW w:w="2817" w:type="dxa"/>
            <w:gridSpan w:val="3"/>
            <w:tcBorders>
              <w:top w:val="single" w:sz="4" w:space="0" w:color="FFFFFF"/>
              <w:left w:val="single" w:sz="4" w:space="0" w:color="FFFFFF"/>
              <w:bottom w:val="nil"/>
              <w:right w:val="single" w:sz="4" w:space="0" w:color="FFFFFF"/>
            </w:tcBorders>
            <w:shd w:val="clear" w:color="000000" w:fill="16365C"/>
            <w:noWrap/>
            <w:vAlign w:val="center"/>
            <w:hideMark/>
          </w:tcPr>
          <w:p w:rsidR="0004061C" w:rsidRPr="00F877D4" w:rsidRDefault="0004061C" w:rsidP="006F6E58">
            <w:pPr>
              <w:jc w:val="center"/>
              <w:rPr>
                <w:rFonts w:ascii="Arial" w:hAnsi="Arial" w:cs="Arial"/>
                <w:color w:val="FFFFFF"/>
                <w:sz w:val="20"/>
                <w:lang w:eastAsia="es-CO"/>
              </w:rPr>
            </w:pPr>
            <w:r w:rsidRPr="00F877D4">
              <w:rPr>
                <w:rFonts w:ascii="Arial" w:hAnsi="Arial" w:cs="Arial"/>
                <w:color w:val="FFFFFF"/>
                <w:sz w:val="20"/>
                <w:lang w:eastAsia="es-CO"/>
              </w:rPr>
              <w:lastRenderedPageBreak/>
              <w:t>Renta Mensual Actualizada (Ra):</w:t>
            </w:r>
          </w:p>
        </w:tc>
        <w:tc>
          <w:tcPr>
            <w:tcW w:w="6028"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$ 1.129.371,39</w:t>
            </w:r>
          </w:p>
        </w:tc>
      </w:tr>
      <w:tr w:rsidR="0004061C" w:rsidRPr="00F877D4" w:rsidTr="006F6E58">
        <w:trPr>
          <w:trHeight w:val="466"/>
        </w:trPr>
        <w:tc>
          <w:tcPr>
            <w:tcW w:w="28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Periodo Futuro (meses) n:</w:t>
            </w:r>
          </w:p>
        </w:tc>
        <w:tc>
          <w:tcPr>
            <w:tcW w:w="6028"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70,40</w:t>
            </w:r>
          </w:p>
        </w:tc>
      </w:tr>
      <w:tr w:rsidR="0004061C" w:rsidRPr="00F877D4" w:rsidTr="006F6E58">
        <w:trPr>
          <w:trHeight w:val="466"/>
        </w:trPr>
        <w:tc>
          <w:tcPr>
            <w:tcW w:w="28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Indemnización Futura (S):</w:t>
            </w:r>
          </w:p>
        </w:tc>
        <w:tc>
          <w:tcPr>
            <w:tcW w:w="6028"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b/>
                <w:bCs/>
                <w:i/>
                <w:iCs/>
                <w:sz w:val="20"/>
                <w:lang w:eastAsia="es-CO"/>
              </w:rPr>
            </w:pPr>
            <w:r w:rsidRPr="00F877D4">
              <w:rPr>
                <w:rFonts w:ascii="Arial" w:hAnsi="Arial" w:cs="Arial"/>
                <w:b/>
                <w:bCs/>
                <w:i/>
                <w:iCs/>
                <w:sz w:val="20"/>
                <w:lang w:eastAsia="es-CO"/>
              </w:rPr>
              <w:t>$ 67.180.717,02</w:t>
            </w:r>
          </w:p>
        </w:tc>
      </w:tr>
      <w:tr w:rsidR="0004061C" w:rsidRPr="00F877D4" w:rsidTr="006F6E58">
        <w:trPr>
          <w:trHeight w:val="466"/>
        </w:trPr>
        <w:tc>
          <w:tcPr>
            <w:tcW w:w="1251" w:type="dxa"/>
            <w:tcBorders>
              <w:top w:val="nil"/>
              <w:left w:val="nil"/>
              <w:bottom w:val="nil"/>
              <w:right w:val="nil"/>
            </w:tcBorders>
            <w:shd w:val="clear" w:color="auto" w:fill="auto"/>
            <w:noWrap/>
            <w:vAlign w:val="center"/>
            <w:hideMark/>
          </w:tcPr>
          <w:p w:rsidR="0004061C" w:rsidRPr="00F877D4" w:rsidRDefault="0004061C" w:rsidP="006F6E58">
            <w:pPr>
              <w:jc w:val="center"/>
              <w:rPr>
                <w:rFonts w:ascii="Arial" w:hAnsi="Arial" w:cs="Arial"/>
                <w:b/>
                <w:bCs/>
                <w:i/>
                <w:iCs/>
                <w:sz w:val="20"/>
                <w:lang w:eastAsia="es-CO"/>
              </w:rPr>
            </w:pPr>
          </w:p>
        </w:tc>
        <w:tc>
          <w:tcPr>
            <w:tcW w:w="783"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783"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956"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1097"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746"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1097"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372"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1119"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641"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r>
      <w:tr w:rsidR="0004061C" w:rsidRPr="00F877D4" w:rsidTr="006F6E58">
        <w:trPr>
          <w:trHeight w:val="466"/>
        </w:trPr>
        <w:tc>
          <w:tcPr>
            <w:tcW w:w="1251"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783"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783"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956"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1097"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746"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1097"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372"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1119"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c>
          <w:tcPr>
            <w:tcW w:w="641" w:type="dxa"/>
            <w:tcBorders>
              <w:top w:val="nil"/>
              <w:left w:val="nil"/>
              <w:bottom w:val="nil"/>
              <w:right w:val="nil"/>
            </w:tcBorders>
            <w:shd w:val="clear" w:color="auto" w:fill="auto"/>
            <w:noWrap/>
            <w:vAlign w:val="center"/>
            <w:hideMark/>
          </w:tcPr>
          <w:p w:rsidR="0004061C" w:rsidRPr="00F877D4" w:rsidRDefault="0004061C" w:rsidP="006F6E58">
            <w:pPr>
              <w:rPr>
                <w:sz w:val="20"/>
                <w:lang w:eastAsia="es-CO"/>
              </w:rPr>
            </w:pPr>
          </w:p>
        </w:tc>
      </w:tr>
      <w:tr w:rsidR="0004061C" w:rsidRPr="00F877D4" w:rsidTr="006F6E58">
        <w:trPr>
          <w:trHeight w:val="466"/>
        </w:trPr>
        <w:tc>
          <w:tcPr>
            <w:tcW w:w="8845" w:type="dxa"/>
            <w:gridSpan w:val="10"/>
            <w:tcBorders>
              <w:top w:val="nil"/>
              <w:left w:val="single" w:sz="4" w:space="0" w:color="auto"/>
              <w:bottom w:val="nil"/>
              <w:right w:val="nil"/>
            </w:tcBorders>
            <w:shd w:val="clear" w:color="000000" w:fill="16365C"/>
            <w:noWrap/>
            <w:vAlign w:val="center"/>
            <w:hideMark/>
          </w:tcPr>
          <w:p w:rsidR="0004061C" w:rsidRPr="00F877D4" w:rsidRDefault="0004061C" w:rsidP="006F6E58">
            <w:pPr>
              <w:jc w:val="center"/>
              <w:rPr>
                <w:rFonts w:ascii="Arial" w:hAnsi="Arial" w:cs="Arial"/>
                <w:b/>
                <w:bCs/>
                <w:color w:val="FFFFFF"/>
                <w:szCs w:val="24"/>
                <w:lang w:eastAsia="es-CO"/>
              </w:rPr>
            </w:pPr>
            <w:r w:rsidRPr="00F877D4">
              <w:rPr>
                <w:rFonts w:ascii="Arial" w:hAnsi="Arial" w:cs="Arial"/>
                <w:b/>
                <w:bCs/>
                <w:color w:val="FFFFFF"/>
                <w:szCs w:val="24"/>
                <w:lang w:eastAsia="es-CO"/>
              </w:rPr>
              <w:t xml:space="preserve">Lucro Cesante </w:t>
            </w:r>
            <w:r w:rsidRPr="00F877D4">
              <w:rPr>
                <w:rFonts w:ascii="Arial" w:hAnsi="Arial" w:cs="Arial"/>
                <w:b/>
                <w:bCs/>
                <w:color w:val="FFFFFF"/>
                <w:sz w:val="16"/>
                <w:szCs w:val="16"/>
                <w:lang w:eastAsia="es-CO"/>
              </w:rPr>
              <w:t>(Sumatoria de la indemnización Actual y Futura), (Hijo)</w:t>
            </w:r>
          </w:p>
        </w:tc>
      </w:tr>
      <w:tr w:rsidR="0004061C" w:rsidRPr="00F877D4" w:rsidTr="006F6E58">
        <w:trPr>
          <w:trHeight w:val="466"/>
        </w:trPr>
        <w:tc>
          <w:tcPr>
            <w:tcW w:w="28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Indemnización Debida Actual:</w:t>
            </w:r>
          </w:p>
        </w:tc>
        <w:tc>
          <w:tcPr>
            <w:tcW w:w="6028"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$ 52.995.450,44</w:t>
            </w:r>
          </w:p>
        </w:tc>
      </w:tr>
      <w:tr w:rsidR="0004061C" w:rsidRPr="00F877D4" w:rsidTr="006F6E58">
        <w:trPr>
          <w:trHeight w:val="466"/>
        </w:trPr>
        <w:tc>
          <w:tcPr>
            <w:tcW w:w="28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Indemnización Futura:</w:t>
            </w:r>
          </w:p>
        </w:tc>
        <w:tc>
          <w:tcPr>
            <w:tcW w:w="6028"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sz w:val="20"/>
                <w:lang w:eastAsia="es-CO"/>
              </w:rPr>
            </w:pPr>
            <w:r w:rsidRPr="00F877D4">
              <w:rPr>
                <w:rFonts w:ascii="Arial" w:hAnsi="Arial" w:cs="Arial"/>
                <w:sz w:val="20"/>
                <w:lang w:eastAsia="es-CO"/>
              </w:rPr>
              <w:t>$ 67.180.717,02</w:t>
            </w:r>
          </w:p>
        </w:tc>
      </w:tr>
      <w:tr w:rsidR="0004061C" w:rsidRPr="00F877D4" w:rsidTr="006F6E58">
        <w:trPr>
          <w:trHeight w:val="466"/>
        </w:trPr>
        <w:tc>
          <w:tcPr>
            <w:tcW w:w="28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1C" w:rsidRPr="00F877D4" w:rsidRDefault="0004061C" w:rsidP="006F6E58">
            <w:pPr>
              <w:jc w:val="center"/>
              <w:rPr>
                <w:rFonts w:ascii="Arial" w:hAnsi="Arial" w:cs="Arial"/>
                <w:b/>
                <w:bCs/>
                <w:i/>
                <w:iCs/>
                <w:sz w:val="20"/>
                <w:lang w:eastAsia="es-CO"/>
              </w:rPr>
            </w:pPr>
            <w:r w:rsidRPr="00F877D4">
              <w:rPr>
                <w:rFonts w:ascii="Arial" w:hAnsi="Arial" w:cs="Arial"/>
                <w:b/>
                <w:bCs/>
                <w:i/>
                <w:iCs/>
                <w:sz w:val="20"/>
                <w:lang w:eastAsia="es-CO"/>
              </w:rPr>
              <w:t>TOTAL</w:t>
            </w:r>
          </w:p>
        </w:tc>
        <w:tc>
          <w:tcPr>
            <w:tcW w:w="6028"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04061C" w:rsidRPr="00F877D4" w:rsidRDefault="0004061C" w:rsidP="006F6E58">
            <w:pPr>
              <w:jc w:val="center"/>
              <w:rPr>
                <w:rFonts w:ascii="Arial" w:hAnsi="Arial" w:cs="Arial"/>
                <w:b/>
                <w:bCs/>
                <w:i/>
                <w:iCs/>
                <w:sz w:val="20"/>
                <w:lang w:eastAsia="es-CO"/>
              </w:rPr>
            </w:pPr>
            <w:r w:rsidRPr="00F877D4">
              <w:rPr>
                <w:rFonts w:ascii="Arial" w:hAnsi="Arial" w:cs="Arial"/>
                <w:b/>
                <w:bCs/>
                <w:i/>
                <w:iCs/>
                <w:sz w:val="20"/>
                <w:lang w:eastAsia="es-CO"/>
              </w:rPr>
              <w:t>$ 120.176.167,46</w:t>
            </w:r>
          </w:p>
        </w:tc>
      </w:tr>
    </w:tbl>
    <w:p w:rsidR="0004061C" w:rsidRDefault="0004061C" w:rsidP="0004061C"/>
    <w:p w:rsidR="0004061C" w:rsidRDefault="0004061C" w:rsidP="0004061C"/>
    <w:p w:rsidR="0004061C" w:rsidRDefault="0004061C" w:rsidP="0004061C"/>
    <w:p w:rsidR="0004061C" w:rsidRDefault="0004061C" w:rsidP="0004061C"/>
    <w:p w:rsidR="0004061C" w:rsidRDefault="0004061C" w:rsidP="0004061C"/>
    <w:p w:rsidR="0004061C" w:rsidRDefault="0004061C" w:rsidP="0004061C"/>
    <w:p w:rsidR="0004061C" w:rsidRDefault="0004061C" w:rsidP="0004061C"/>
    <w:p w:rsidR="0004061C" w:rsidRDefault="0004061C" w:rsidP="0004061C"/>
    <w:p w:rsidR="0004061C" w:rsidRDefault="0004061C" w:rsidP="0004061C"/>
    <w:p w:rsidR="0004061C" w:rsidRDefault="0004061C" w:rsidP="0004061C"/>
    <w:p w:rsidR="0004061C" w:rsidRDefault="0004061C" w:rsidP="0004061C"/>
    <w:p w:rsidR="0004061C" w:rsidRDefault="0004061C" w:rsidP="0004061C"/>
    <w:p w:rsidR="0004061C" w:rsidRDefault="0004061C" w:rsidP="0004061C"/>
    <w:tbl>
      <w:tblPr>
        <w:tblW w:w="8521" w:type="dxa"/>
        <w:tblCellMar>
          <w:left w:w="70" w:type="dxa"/>
          <w:right w:w="70" w:type="dxa"/>
        </w:tblCellMar>
        <w:tblLook w:val="04A0" w:firstRow="1" w:lastRow="0" w:firstColumn="1" w:lastColumn="0" w:noHBand="0" w:noVBand="1"/>
      </w:tblPr>
      <w:tblGrid>
        <w:gridCol w:w="7184"/>
        <w:gridCol w:w="191"/>
        <w:gridCol w:w="191"/>
        <w:gridCol w:w="191"/>
        <w:gridCol w:w="191"/>
        <w:gridCol w:w="191"/>
        <w:gridCol w:w="191"/>
        <w:gridCol w:w="191"/>
      </w:tblGrid>
      <w:tr w:rsidR="0004061C" w:rsidRPr="00714556" w:rsidTr="006F6E58">
        <w:trPr>
          <w:trHeight w:val="435"/>
        </w:trPr>
        <w:tc>
          <w:tcPr>
            <w:tcW w:w="8521" w:type="dxa"/>
            <w:gridSpan w:val="8"/>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4061C" w:rsidRPr="00714556" w:rsidRDefault="0004061C" w:rsidP="006F6E58">
            <w:pPr>
              <w:jc w:val="center"/>
              <w:rPr>
                <w:rFonts w:ascii="Arial" w:hAnsi="Arial" w:cs="Arial"/>
                <w:b/>
                <w:bCs/>
                <w:sz w:val="18"/>
                <w:szCs w:val="18"/>
                <w:lang w:eastAsia="es-CO"/>
              </w:rPr>
            </w:pPr>
            <w:r w:rsidRPr="00714556">
              <w:rPr>
                <w:rFonts w:ascii="Arial" w:hAnsi="Arial" w:cs="Arial"/>
                <w:b/>
                <w:bCs/>
                <w:sz w:val="18"/>
                <w:szCs w:val="18"/>
                <w:lang w:eastAsia="es-CO"/>
              </w:rPr>
              <w:t xml:space="preserve">*Fórmula utilizada: </w:t>
            </w:r>
            <w:proofErr w:type="spellStart"/>
            <w:r w:rsidRPr="00714556">
              <w:rPr>
                <w:rFonts w:ascii="Arial" w:hAnsi="Arial" w:cs="Arial"/>
                <w:b/>
                <w:bCs/>
                <w:sz w:val="18"/>
                <w:szCs w:val="18"/>
                <w:lang w:eastAsia="es-CO"/>
              </w:rPr>
              <w:t>Vr</w:t>
            </w:r>
            <w:proofErr w:type="spellEnd"/>
            <w:r w:rsidRPr="00714556">
              <w:rPr>
                <w:rFonts w:ascii="Arial" w:hAnsi="Arial" w:cs="Arial"/>
                <w:b/>
                <w:bCs/>
                <w:sz w:val="18"/>
                <w:szCs w:val="18"/>
                <w:lang w:eastAsia="es-CO"/>
              </w:rPr>
              <w:t xml:space="preserve">. Actual = (IPC. FINAL / </w:t>
            </w:r>
            <w:proofErr w:type="spellStart"/>
            <w:r w:rsidRPr="00714556">
              <w:rPr>
                <w:rFonts w:ascii="Arial" w:hAnsi="Arial" w:cs="Arial"/>
                <w:b/>
                <w:bCs/>
                <w:sz w:val="18"/>
                <w:szCs w:val="18"/>
                <w:lang w:eastAsia="es-CO"/>
              </w:rPr>
              <w:t>IPC.INICIAL</w:t>
            </w:r>
            <w:proofErr w:type="spellEnd"/>
            <w:r w:rsidRPr="00714556">
              <w:rPr>
                <w:rFonts w:ascii="Arial" w:hAnsi="Arial" w:cs="Arial"/>
                <w:b/>
                <w:bCs/>
                <w:sz w:val="18"/>
                <w:szCs w:val="18"/>
                <w:lang w:eastAsia="es-CO"/>
              </w:rPr>
              <w:t>) * Capital</w:t>
            </w:r>
          </w:p>
        </w:tc>
      </w:tr>
      <w:tr w:rsidR="0004061C" w:rsidRPr="00714556" w:rsidTr="006F6E58">
        <w:trPr>
          <w:trHeight w:val="435"/>
        </w:trPr>
        <w:tc>
          <w:tcPr>
            <w:tcW w:w="756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4061C" w:rsidRPr="00714556" w:rsidRDefault="0004061C" w:rsidP="006F6E58">
            <w:pPr>
              <w:jc w:val="center"/>
              <w:rPr>
                <w:rFonts w:ascii="Arial" w:hAnsi="Arial" w:cs="Arial"/>
                <w:sz w:val="20"/>
                <w:lang w:eastAsia="es-CO"/>
              </w:rPr>
            </w:pPr>
            <w:r w:rsidRPr="00714556">
              <w:rPr>
                <w:rFonts w:ascii="Arial" w:hAnsi="Arial" w:cs="Arial"/>
                <w:sz w:val="20"/>
                <w:lang w:eastAsia="es-CO"/>
              </w:rPr>
              <w:t>Ra= (Renta actualizada)</w:t>
            </w:r>
          </w:p>
        </w:tc>
        <w:tc>
          <w:tcPr>
            <w:tcW w:w="191" w:type="dxa"/>
            <w:tcBorders>
              <w:top w:val="nil"/>
              <w:left w:val="nil"/>
              <w:bottom w:val="nil"/>
              <w:right w:val="nil"/>
            </w:tcBorders>
            <w:shd w:val="clear" w:color="auto" w:fill="auto"/>
            <w:noWrap/>
            <w:vAlign w:val="center"/>
            <w:hideMark/>
          </w:tcPr>
          <w:p w:rsidR="0004061C" w:rsidRPr="00714556" w:rsidRDefault="0004061C" w:rsidP="006F6E58">
            <w:pPr>
              <w:jc w:val="center"/>
              <w:rPr>
                <w:rFonts w:ascii="Arial" w:hAnsi="Arial" w:cs="Arial"/>
                <w:sz w:val="20"/>
                <w:lang w:eastAsia="es-CO"/>
              </w:rPr>
            </w:pPr>
          </w:p>
        </w:tc>
        <w:tc>
          <w:tcPr>
            <w:tcW w:w="191" w:type="dxa"/>
            <w:tcBorders>
              <w:top w:val="nil"/>
              <w:left w:val="nil"/>
              <w:bottom w:val="nil"/>
              <w:right w:val="nil"/>
            </w:tcBorders>
            <w:shd w:val="clear" w:color="auto" w:fill="auto"/>
            <w:noWrap/>
            <w:vAlign w:val="center"/>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center"/>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center"/>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center"/>
            <w:hideMark/>
          </w:tcPr>
          <w:p w:rsidR="0004061C" w:rsidRPr="00714556" w:rsidRDefault="0004061C" w:rsidP="006F6E58">
            <w:pPr>
              <w:rPr>
                <w:sz w:val="20"/>
                <w:lang w:eastAsia="es-CO"/>
              </w:rPr>
            </w:pPr>
          </w:p>
        </w:tc>
      </w:tr>
      <w:tr w:rsidR="0004061C" w:rsidRPr="00714556" w:rsidTr="006F6E58">
        <w:trPr>
          <w:trHeight w:val="435"/>
        </w:trPr>
        <w:tc>
          <w:tcPr>
            <w:tcW w:w="756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4061C" w:rsidRPr="00714556" w:rsidRDefault="0004061C" w:rsidP="006F6E58">
            <w:pPr>
              <w:jc w:val="center"/>
              <w:rPr>
                <w:rFonts w:ascii="Arial" w:hAnsi="Arial" w:cs="Arial"/>
                <w:sz w:val="20"/>
                <w:lang w:eastAsia="es-CO"/>
              </w:rPr>
            </w:pPr>
            <w:r w:rsidRPr="00714556">
              <w:rPr>
                <w:rFonts w:ascii="Arial" w:hAnsi="Arial" w:cs="Arial"/>
                <w:sz w:val="20"/>
                <w:lang w:eastAsia="es-CO"/>
              </w:rPr>
              <w:t>n= (Periodo Vencido)</w:t>
            </w:r>
          </w:p>
        </w:tc>
        <w:tc>
          <w:tcPr>
            <w:tcW w:w="191" w:type="dxa"/>
            <w:tcBorders>
              <w:top w:val="nil"/>
              <w:left w:val="nil"/>
              <w:bottom w:val="nil"/>
              <w:right w:val="nil"/>
            </w:tcBorders>
            <w:shd w:val="clear" w:color="auto" w:fill="auto"/>
            <w:noWrap/>
            <w:vAlign w:val="center"/>
            <w:hideMark/>
          </w:tcPr>
          <w:p w:rsidR="0004061C" w:rsidRPr="00714556" w:rsidRDefault="0004061C" w:rsidP="006F6E58">
            <w:pPr>
              <w:jc w:val="center"/>
              <w:rPr>
                <w:rFonts w:ascii="Arial" w:hAnsi="Arial" w:cs="Arial"/>
                <w:sz w:val="20"/>
                <w:lang w:eastAsia="es-CO"/>
              </w:rPr>
            </w:pPr>
          </w:p>
        </w:tc>
        <w:tc>
          <w:tcPr>
            <w:tcW w:w="191" w:type="dxa"/>
            <w:tcBorders>
              <w:top w:val="nil"/>
              <w:left w:val="nil"/>
              <w:bottom w:val="nil"/>
              <w:right w:val="nil"/>
            </w:tcBorders>
            <w:shd w:val="clear" w:color="auto" w:fill="auto"/>
            <w:noWrap/>
            <w:vAlign w:val="center"/>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center"/>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center"/>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center"/>
            <w:hideMark/>
          </w:tcPr>
          <w:p w:rsidR="0004061C" w:rsidRPr="00714556" w:rsidRDefault="0004061C" w:rsidP="006F6E58">
            <w:pPr>
              <w:rPr>
                <w:sz w:val="20"/>
                <w:lang w:eastAsia="es-CO"/>
              </w:rPr>
            </w:pPr>
          </w:p>
        </w:tc>
      </w:tr>
      <w:tr w:rsidR="0004061C" w:rsidRPr="00714556" w:rsidTr="006F6E58">
        <w:trPr>
          <w:trHeight w:val="435"/>
        </w:trPr>
        <w:tc>
          <w:tcPr>
            <w:tcW w:w="8521" w:type="dxa"/>
            <w:gridSpan w:val="8"/>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4061C" w:rsidRPr="00714556" w:rsidRDefault="0004061C" w:rsidP="006F6E58">
            <w:pPr>
              <w:jc w:val="center"/>
              <w:rPr>
                <w:rFonts w:ascii="Arial" w:hAnsi="Arial" w:cs="Arial"/>
                <w:b/>
                <w:bCs/>
                <w:sz w:val="18"/>
                <w:szCs w:val="18"/>
                <w:lang w:eastAsia="es-CO"/>
              </w:rPr>
            </w:pPr>
            <w:r w:rsidRPr="00714556">
              <w:rPr>
                <w:rFonts w:ascii="Arial" w:hAnsi="Arial" w:cs="Arial"/>
                <w:b/>
                <w:bCs/>
                <w:sz w:val="18"/>
                <w:szCs w:val="18"/>
                <w:lang w:eastAsia="es-CO"/>
              </w:rPr>
              <w:t xml:space="preserve"> *Fórmula utilizada: S= Ra*(( 1 + i )elevado a la ( n - 1 ) / i)</w:t>
            </w:r>
          </w:p>
        </w:tc>
      </w:tr>
      <w:tr w:rsidR="0004061C" w:rsidRPr="00714556" w:rsidTr="006F6E58">
        <w:trPr>
          <w:trHeight w:val="255"/>
        </w:trPr>
        <w:tc>
          <w:tcPr>
            <w:tcW w:w="7184" w:type="dxa"/>
            <w:tcBorders>
              <w:top w:val="nil"/>
              <w:left w:val="single" w:sz="4" w:space="0" w:color="auto"/>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i= Interés judicial equivalente al 6%</w:t>
            </w:r>
            <w:r>
              <w:rPr>
                <w:rFonts w:ascii="Arial" w:hAnsi="Arial" w:cs="Arial"/>
                <w:sz w:val="18"/>
                <w:szCs w:val="18"/>
                <w:lang w:eastAsia="es-CO"/>
              </w:rPr>
              <w:t xml:space="preserve"> </w:t>
            </w:r>
            <w:r w:rsidRPr="00714556">
              <w:rPr>
                <w:rFonts w:ascii="Arial" w:hAnsi="Arial" w:cs="Arial"/>
                <w:sz w:val="18"/>
                <w:szCs w:val="18"/>
                <w:lang w:eastAsia="es-CO"/>
              </w:rPr>
              <w:t>efectivo anual convertidos a 0,4867%</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r>
      <w:tr w:rsidR="0004061C" w:rsidRPr="00714556" w:rsidTr="006F6E58">
        <w:trPr>
          <w:trHeight w:val="255"/>
        </w:trPr>
        <w:tc>
          <w:tcPr>
            <w:tcW w:w="8521"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4061C" w:rsidRPr="00714556" w:rsidRDefault="0004061C" w:rsidP="006F6E58">
            <w:pPr>
              <w:jc w:val="center"/>
              <w:rPr>
                <w:rFonts w:ascii="Arial" w:hAnsi="Arial" w:cs="Arial"/>
                <w:sz w:val="18"/>
                <w:szCs w:val="18"/>
                <w:lang w:eastAsia="es-CO"/>
              </w:rPr>
            </w:pPr>
            <w:r w:rsidRPr="00714556">
              <w:rPr>
                <w:rFonts w:ascii="Arial" w:hAnsi="Arial" w:cs="Arial"/>
                <w:sz w:val="18"/>
                <w:szCs w:val="18"/>
                <w:lang w:eastAsia="es-CO"/>
              </w:rPr>
              <w:t>nominal mensual (Art. 2232 Código Civil)</w:t>
            </w:r>
          </w:p>
        </w:tc>
      </w:tr>
      <w:tr w:rsidR="0004061C" w:rsidRPr="00714556" w:rsidTr="006F6E58">
        <w:trPr>
          <w:trHeight w:val="435"/>
        </w:trPr>
        <w:tc>
          <w:tcPr>
            <w:tcW w:w="7184" w:type="dxa"/>
            <w:tcBorders>
              <w:top w:val="nil"/>
              <w:left w:val="nil"/>
              <w:bottom w:val="nil"/>
              <w:right w:val="nil"/>
            </w:tcBorders>
            <w:shd w:val="clear" w:color="auto" w:fill="auto"/>
            <w:noWrap/>
            <w:vAlign w:val="bottom"/>
            <w:hideMark/>
          </w:tcPr>
          <w:p w:rsidR="0004061C" w:rsidRPr="00714556" w:rsidRDefault="0004061C" w:rsidP="006F6E58">
            <w:pPr>
              <w:jc w:val="center"/>
              <w:rPr>
                <w:rFonts w:ascii="Arial" w:hAnsi="Arial" w:cs="Arial"/>
                <w:sz w:val="18"/>
                <w:szCs w:val="18"/>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r>
      <w:tr w:rsidR="0004061C" w:rsidRPr="00714556" w:rsidTr="006F6E58">
        <w:trPr>
          <w:trHeight w:val="435"/>
        </w:trPr>
        <w:tc>
          <w:tcPr>
            <w:tcW w:w="8521" w:type="dxa"/>
            <w:gridSpan w:val="8"/>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04061C" w:rsidRPr="00714556" w:rsidRDefault="0004061C" w:rsidP="006F6E58">
            <w:pPr>
              <w:jc w:val="center"/>
              <w:rPr>
                <w:rFonts w:ascii="Arial" w:hAnsi="Arial" w:cs="Arial"/>
                <w:sz w:val="20"/>
                <w:lang w:eastAsia="es-CO"/>
              </w:rPr>
            </w:pPr>
            <w:r w:rsidRPr="00714556">
              <w:rPr>
                <w:rFonts w:ascii="Arial" w:hAnsi="Arial" w:cs="Arial"/>
                <w:sz w:val="20"/>
                <w:lang w:eastAsia="es-CO"/>
              </w:rPr>
              <w:t xml:space="preserve">El periodo, futuro o anticipado, corre desde la fecha de la sentencia hasta el fin de la vida probable de la </w:t>
            </w:r>
            <w:proofErr w:type="spellStart"/>
            <w:r w:rsidRPr="00714556">
              <w:rPr>
                <w:rFonts w:ascii="Arial" w:hAnsi="Arial" w:cs="Arial"/>
                <w:sz w:val="20"/>
                <w:lang w:eastAsia="es-CO"/>
              </w:rPr>
              <w:t>victima</w:t>
            </w:r>
            <w:proofErr w:type="spellEnd"/>
            <w:r w:rsidRPr="00714556">
              <w:rPr>
                <w:rFonts w:ascii="Arial" w:hAnsi="Arial" w:cs="Arial"/>
                <w:sz w:val="20"/>
                <w:lang w:eastAsia="es-CO"/>
              </w:rPr>
              <w:t xml:space="preserve">, esta expectativa se toma de la tabla de mortalidad vigente a la fecha de la sentencia </w:t>
            </w:r>
          </w:p>
        </w:tc>
      </w:tr>
      <w:tr w:rsidR="0004061C" w:rsidRPr="00714556" w:rsidTr="006F6E58">
        <w:trPr>
          <w:trHeight w:val="435"/>
        </w:trPr>
        <w:tc>
          <w:tcPr>
            <w:tcW w:w="8521" w:type="dxa"/>
            <w:gridSpan w:val="8"/>
            <w:vMerge/>
            <w:tcBorders>
              <w:top w:val="single" w:sz="4" w:space="0" w:color="auto"/>
              <w:left w:val="single" w:sz="4" w:space="0" w:color="auto"/>
              <w:bottom w:val="single" w:sz="4" w:space="0" w:color="auto"/>
              <w:right w:val="single" w:sz="4" w:space="0" w:color="auto"/>
            </w:tcBorders>
            <w:vAlign w:val="center"/>
            <w:hideMark/>
          </w:tcPr>
          <w:p w:rsidR="0004061C" w:rsidRPr="00714556" w:rsidRDefault="0004061C" w:rsidP="006F6E58">
            <w:pPr>
              <w:rPr>
                <w:rFonts w:ascii="Arial" w:hAnsi="Arial" w:cs="Arial"/>
                <w:sz w:val="20"/>
                <w:lang w:eastAsia="es-CO"/>
              </w:rPr>
            </w:pPr>
          </w:p>
        </w:tc>
      </w:tr>
      <w:tr w:rsidR="0004061C" w:rsidRPr="00714556" w:rsidTr="006F6E58">
        <w:trPr>
          <w:trHeight w:val="435"/>
        </w:trPr>
        <w:tc>
          <w:tcPr>
            <w:tcW w:w="8521" w:type="dxa"/>
            <w:gridSpan w:val="8"/>
            <w:vMerge/>
            <w:tcBorders>
              <w:top w:val="single" w:sz="4" w:space="0" w:color="auto"/>
              <w:left w:val="single" w:sz="4" w:space="0" w:color="auto"/>
              <w:bottom w:val="single" w:sz="4" w:space="0" w:color="auto"/>
              <w:right w:val="single" w:sz="4" w:space="0" w:color="auto"/>
            </w:tcBorders>
            <w:vAlign w:val="center"/>
            <w:hideMark/>
          </w:tcPr>
          <w:p w:rsidR="0004061C" w:rsidRPr="00714556" w:rsidRDefault="0004061C" w:rsidP="006F6E58">
            <w:pPr>
              <w:rPr>
                <w:rFonts w:ascii="Arial" w:hAnsi="Arial" w:cs="Arial"/>
                <w:sz w:val="20"/>
                <w:lang w:eastAsia="es-CO"/>
              </w:rPr>
            </w:pPr>
          </w:p>
        </w:tc>
      </w:tr>
      <w:tr w:rsidR="0004061C" w:rsidRPr="00714556" w:rsidTr="006F6E58">
        <w:trPr>
          <w:trHeight w:val="435"/>
        </w:trPr>
        <w:tc>
          <w:tcPr>
            <w:tcW w:w="756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4061C" w:rsidRPr="00714556" w:rsidRDefault="0004061C" w:rsidP="006F6E58">
            <w:pPr>
              <w:jc w:val="center"/>
              <w:rPr>
                <w:rFonts w:ascii="Arial" w:hAnsi="Arial" w:cs="Arial"/>
                <w:sz w:val="20"/>
                <w:lang w:eastAsia="es-CO"/>
              </w:rPr>
            </w:pPr>
            <w:r w:rsidRPr="00714556">
              <w:rPr>
                <w:rFonts w:ascii="Arial" w:hAnsi="Arial" w:cs="Arial"/>
                <w:sz w:val="20"/>
                <w:lang w:eastAsia="es-CO"/>
              </w:rPr>
              <w:t>Ra = (Renta actualizada)</w:t>
            </w:r>
          </w:p>
        </w:tc>
        <w:tc>
          <w:tcPr>
            <w:tcW w:w="191" w:type="dxa"/>
            <w:tcBorders>
              <w:top w:val="nil"/>
              <w:left w:val="nil"/>
              <w:bottom w:val="nil"/>
              <w:right w:val="nil"/>
            </w:tcBorders>
            <w:shd w:val="clear" w:color="auto" w:fill="auto"/>
            <w:noWrap/>
            <w:vAlign w:val="bottom"/>
            <w:hideMark/>
          </w:tcPr>
          <w:p w:rsidR="0004061C" w:rsidRPr="00714556" w:rsidRDefault="0004061C" w:rsidP="006F6E58">
            <w:pPr>
              <w:jc w:val="center"/>
              <w:rPr>
                <w:rFonts w:ascii="Arial" w:hAnsi="Arial" w:cs="Arial"/>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r>
      <w:tr w:rsidR="0004061C" w:rsidRPr="00714556" w:rsidTr="006F6E58">
        <w:trPr>
          <w:trHeight w:val="435"/>
        </w:trPr>
        <w:tc>
          <w:tcPr>
            <w:tcW w:w="756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4061C" w:rsidRPr="00714556" w:rsidRDefault="0004061C" w:rsidP="006F6E58">
            <w:pPr>
              <w:jc w:val="center"/>
              <w:rPr>
                <w:rFonts w:ascii="Arial" w:hAnsi="Arial" w:cs="Arial"/>
                <w:sz w:val="20"/>
                <w:lang w:eastAsia="es-CO"/>
              </w:rPr>
            </w:pPr>
            <w:r w:rsidRPr="00714556">
              <w:rPr>
                <w:rFonts w:ascii="Arial" w:hAnsi="Arial" w:cs="Arial"/>
                <w:sz w:val="20"/>
                <w:lang w:eastAsia="es-CO"/>
              </w:rPr>
              <w:t>n= (Periodo Futuro)</w:t>
            </w:r>
          </w:p>
        </w:tc>
        <w:tc>
          <w:tcPr>
            <w:tcW w:w="191" w:type="dxa"/>
            <w:tcBorders>
              <w:top w:val="nil"/>
              <w:left w:val="nil"/>
              <w:bottom w:val="nil"/>
              <w:right w:val="nil"/>
            </w:tcBorders>
            <w:shd w:val="clear" w:color="auto" w:fill="auto"/>
            <w:noWrap/>
            <w:vAlign w:val="bottom"/>
            <w:hideMark/>
          </w:tcPr>
          <w:p w:rsidR="0004061C" w:rsidRPr="00714556" w:rsidRDefault="0004061C" w:rsidP="006F6E58">
            <w:pPr>
              <w:jc w:val="center"/>
              <w:rPr>
                <w:rFonts w:ascii="Arial" w:hAnsi="Arial" w:cs="Arial"/>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r>
      <w:tr w:rsidR="0004061C" w:rsidRPr="00714556" w:rsidTr="006F6E58">
        <w:trPr>
          <w:trHeight w:val="435"/>
        </w:trPr>
        <w:tc>
          <w:tcPr>
            <w:tcW w:w="8521"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4061C" w:rsidRPr="00714556" w:rsidRDefault="0004061C" w:rsidP="006F6E58">
            <w:pPr>
              <w:jc w:val="center"/>
              <w:rPr>
                <w:rFonts w:ascii="Arial" w:hAnsi="Arial" w:cs="Arial"/>
                <w:b/>
                <w:bCs/>
                <w:sz w:val="18"/>
                <w:szCs w:val="18"/>
                <w:lang w:eastAsia="es-CO"/>
              </w:rPr>
            </w:pPr>
            <w:r w:rsidRPr="00714556">
              <w:rPr>
                <w:rFonts w:ascii="Arial" w:hAnsi="Arial" w:cs="Arial"/>
                <w:b/>
                <w:bCs/>
                <w:sz w:val="18"/>
                <w:szCs w:val="18"/>
                <w:lang w:eastAsia="es-CO"/>
              </w:rPr>
              <w:t xml:space="preserve"> *Fórmula utilizada: S= Ra*(( 1 + i )elevado a la ( n - 1 ) / i (1+ i)elevado a la (n))</w:t>
            </w:r>
          </w:p>
        </w:tc>
      </w:tr>
      <w:tr w:rsidR="0004061C" w:rsidRPr="00714556" w:rsidTr="006F6E58">
        <w:trPr>
          <w:trHeight w:val="435"/>
        </w:trPr>
        <w:tc>
          <w:tcPr>
            <w:tcW w:w="7184" w:type="dxa"/>
            <w:tcBorders>
              <w:top w:val="nil"/>
              <w:left w:val="single" w:sz="4" w:space="0" w:color="auto"/>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i= Interés judicial equivalente al 6%</w:t>
            </w:r>
            <w:r>
              <w:rPr>
                <w:rFonts w:ascii="Arial" w:hAnsi="Arial" w:cs="Arial"/>
                <w:sz w:val="18"/>
                <w:szCs w:val="18"/>
                <w:lang w:eastAsia="es-CO"/>
              </w:rPr>
              <w:t xml:space="preserve"> </w:t>
            </w:r>
            <w:r w:rsidRPr="00714556">
              <w:rPr>
                <w:rFonts w:ascii="Arial" w:hAnsi="Arial" w:cs="Arial"/>
                <w:sz w:val="18"/>
                <w:szCs w:val="18"/>
                <w:lang w:eastAsia="es-CO"/>
              </w:rPr>
              <w:t>efectivo anual convertidos a 0,4867%</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c>
          <w:tcPr>
            <w:tcW w:w="191" w:type="dxa"/>
            <w:tcBorders>
              <w:top w:val="nil"/>
              <w:left w:val="nil"/>
              <w:bottom w:val="single" w:sz="4" w:space="0" w:color="auto"/>
              <w:right w:val="single" w:sz="4" w:space="0" w:color="auto"/>
            </w:tcBorders>
            <w:shd w:val="clear" w:color="000000" w:fill="BFBFBF"/>
            <w:noWrap/>
            <w:vAlign w:val="bottom"/>
            <w:hideMark/>
          </w:tcPr>
          <w:p w:rsidR="0004061C" w:rsidRPr="00714556" w:rsidRDefault="0004061C" w:rsidP="006F6E58">
            <w:pPr>
              <w:rPr>
                <w:rFonts w:ascii="Arial" w:hAnsi="Arial" w:cs="Arial"/>
                <w:sz w:val="18"/>
                <w:szCs w:val="18"/>
                <w:lang w:eastAsia="es-CO"/>
              </w:rPr>
            </w:pPr>
            <w:r w:rsidRPr="00714556">
              <w:rPr>
                <w:rFonts w:ascii="Arial" w:hAnsi="Arial" w:cs="Arial"/>
                <w:sz w:val="18"/>
                <w:szCs w:val="18"/>
                <w:lang w:eastAsia="es-CO"/>
              </w:rPr>
              <w:t> </w:t>
            </w:r>
          </w:p>
        </w:tc>
      </w:tr>
      <w:tr w:rsidR="0004061C" w:rsidRPr="00714556" w:rsidTr="006F6E58">
        <w:trPr>
          <w:trHeight w:val="435"/>
        </w:trPr>
        <w:tc>
          <w:tcPr>
            <w:tcW w:w="8521"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4061C" w:rsidRPr="00714556" w:rsidRDefault="0004061C" w:rsidP="006F6E58">
            <w:pPr>
              <w:jc w:val="center"/>
              <w:rPr>
                <w:rFonts w:ascii="Arial" w:hAnsi="Arial" w:cs="Arial"/>
                <w:sz w:val="18"/>
                <w:szCs w:val="18"/>
                <w:lang w:eastAsia="es-CO"/>
              </w:rPr>
            </w:pPr>
            <w:r w:rsidRPr="00714556">
              <w:rPr>
                <w:rFonts w:ascii="Arial" w:hAnsi="Arial" w:cs="Arial"/>
                <w:sz w:val="18"/>
                <w:szCs w:val="18"/>
                <w:lang w:eastAsia="es-CO"/>
              </w:rPr>
              <w:t>nominal mensual (Art. 2232 Código Civil)</w:t>
            </w:r>
          </w:p>
        </w:tc>
      </w:tr>
      <w:tr w:rsidR="0004061C" w:rsidRPr="00714556" w:rsidTr="006F6E58">
        <w:trPr>
          <w:trHeight w:val="435"/>
        </w:trPr>
        <w:tc>
          <w:tcPr>
            <w:tcW w:w="7184" w:type="dxa"/>
            <w:tcBorders>
              <w:top w:val="nil"/>
              <w:left w:val="nil"/>
              <w:bottom w:val="nil"/>
              <w:right w:val="nil"/>
            </w:tcBorders>
            <w:shd w:val="clear" w:color="auto" w:fill="auto"/>
            <w:noWrap/>
            <w:vAlign w:val="bottom"/>
            <w:hideMark/>
          </w:tcPr>
          <w:p w:rsidR="0004061C" w:rsidRPr="00714556" w:rsidRDefault="0004061C" w:rsidP="006F6E58">
            <w:pPr>
              <w:jc w:val="center"/>
              <w:rPr>
                <w:rFonts w:ascii="Arial" w:hAnsi="Arial" w:cs="Arial"/>
                <w:sz w:val="18"/>
                <w:szCs w:val="18"/>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r>
      <w:tr w:rsidR="0004061C" w:rsidRPr="00714556" w:rsidTr="006F6E58">
        <w:trPr>
          <w:trHeight w:val="435"/>
        </w:trPr>
        <w:tc>
          <w:tcPr>
            <w:tcW w:w="7184"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c>
          <w:tcPr>
            <w:tcW w:w="191" w:type="dxa"/>
            <w:tcBorders>
              <w:top w:val="nil"/>
              <w:left w:val="nil"/>
              <w:bottom w:val="nil"/>
              <w:right w:val="nil"/>
            </w:tcBorders>
            <w:shd w:val="clear" w:color="auto" w:fill="auto"/>
            <w:noWrap/>
            <w:vAlign w:val="bottom"/>
            <w:hideMark/>
          </w:tcPr>
          <w:p w:rsidR="0004061C" w:rsidRPr="00714556" w:rsidRDefault="0004061C" w:rsidP="006F6E58">
            <w:pPr>
              <w:rPr>
                <w:sz w:val="20"/>
                <w:lang w:eastAsia="es-CO"/>
              </w:rPr>
            </w:pPr>
          </w:p>
        </w:tc>
      </w:tr>
    </w:tbl>
    <w:p w:rsidR="0004061C" w:rsidRDefault="0004061C" w:rsidP="0004061C"/>
    <w:p w:rsidR="0004061C" w:rsidRDefault="0004061C" w:rsidP="0004061C">
      <w:pPr>
        <w:spacing w:line="276" w:lineRule="auto"/>
        <w:jc w:val="center"/>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04061C" w:rsidRDefault="0004061C"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p w:rsidR="008068AE" w:rsidRDefault="008068AE" w:rsidP="00C069F5">
      <w:pPr>
        <w:spacing w:line="276" w:lineRule="auto"/>
        <w:jc w:val="both"/>
        <w:rPr>
          <w:rFonts w:ascii="Arial" w:hAnsi="Arial" w:cs="Arial"/>
          <w:sz w:val="23"/>
          <w:szCs w:val="23"/>
          <w:lang w:val="es-ES"/>
        </w:rPr>
      </w:pPr>
    </w:p>
    <w:sectPr w:rsidR="008068AE"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BB" w:rsidRDefault="005732BB" w:rsidP="00226D5F">
      <w:r>
        <w:separator/>
      </w:r>
    </w:p>
  </w:endnote>
  <w:endnote w:type="continuationSeparator" w:id="0">
    <w:p w:rsidR="005732BB" w:rsidRDefault="005732B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DB" w:rsidRDefault="00EE15D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15DB" w:rsidRDefault="00EE15D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DB" w:rsidRDefault="00EE15D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6D3B">
      <w:rPr>
        <w:rStyle w:val="Nmerodepgina"/>
        <w:noProof/>
      </w:rPr>
      <w:t>20</w:t>
    </w:r>
    <w:r>
      <w:rPr>
        <w:rStyle w:val="Nmerodepgina"/>
      </w:rPr>
      <w:fldChar w:fldCharType="end"/>
    </w:r>
  </w:p>
  <w:p w:rsidR="00EE15DB" w:rsidRDefault="00EE15D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BB" w:rsidRDefault="005732BB" w:rsidP="00226D5F">
      <w:r>
        <w:separator/>
      </w:r>
    </w:p>
  </w:footnote>
  <w:footnote w:type="continuationSeparator" w:id="0">
    <w:p w:rsidR="005732BB" w:rsidRDefault="005732BB" w:rsidP="00226D5F">
      <w:r>
        <w:continuationSeparator/>
      </w:r>
    </w:p>
  </w:footnote>
  <w:footnote w:id="1">
    <w:p w:rsidR="00EE15DB" w:rsidRPr="001E2EF7" w:rsidRDefault="00EE15DB" w:rsidP="00544C11">
      <w:pPr>
        <w:pStyle w:val="Textonotapie"/>
        <w:jc w:val="both"/>
        <w:rPr>
          <w:rFonts w:ascii="Arial" w:hAnsi="Arial" w:cs="Arial"/>
          <w:sz w:val="18"/>
          <w:szCs w:val="18"/>
          <w:lang w:val="es-CO"/>
        </w:rPr>
      </w:pPr>
      <w:r>
        <w:rPr>
          <w:rStyle w:val="Refdenotaalpie"/>
        </w:rPr>
        <w:footnoteRef/>
      </w:r>
      <w:r>
        <w:t xml:space="preserve"> </w:t>
      </w:r>
      <w:r w:rsidRPr="00EC7EF1">
        <w:rPr>
          <w:rFonts w:ascii="Arial" w:hAnsi="Arial" w:cs="Arial"/>
          <w:color w:val="000000"/>
          <w:sz w:val="16"/>
          <w:szCs w:val="16"/>
          <w:lang w:val="es-ES"/>
        </w:rPr>
        <w:t>CORTE SUPREMA DE JUSTICIA. Sala de Casación Laboral, Sentencia</w:t>
      </w:r>
      <w:r>
        <w:rPr>
          <w:rFonts w:ascii="Arial" w:hAnsi="Arial" w:cs="Arial"/>
          <w:color w:val="000000"/>
          <w:sz w:val="16"/>
          <w:szCs w:val="16"/>
          <w:lang w:val="es-ES"/>
        </w:rPr>
        <w:t>s</w:t>
      </w:r>
      <w:r w:rsidRPr="00EC7EF1">
        <w:rPr>
          <w:rFonts w:ascii="Arial" w:hAnsi="Arial" w:cs="Arial"/>
          <w:color w:val="000000"/>
          <w:sz w:val="16"/>
          <w:szCs w:val="16"/>
          <w:lang w:val="es-ES"/>
        </w:rPr>
        <w:t xml:space="preserve"> del 25-05-2016. Radicación 42159. </w:t>
      </w:r>
      <w:proofErr w:type="spellStart"/>
      <w:r w:rsidRPr="00EC7EF1">
        <w:rPr>
          <w:rFonts w:ascii="Arial" w:hAnsi="Arial" w:cs="Arial"/>
          <w:color w:val="000000"/>
          <w:sz w:val="16"/>
          <w:szCs w:val="16"/>
          <w:lang w:val="es-ES"/>
        </w:rPr>
        <w:t>M.P</w:t>
      </w:r>
      <w:proofErr w:type="spellEnd"/>
      <w:r w:rsidRPr="00EC7EF1">
        <w:rPr>
          <w:rFonts w:ascii="Arial" w:hAnsi="Arial" w:cs="Arial"/>
          <w:color w:val="000000"/>
          <w:sz w:val="16"/>
          <w:szCs w:val="16"/>
          <w:lang w:val="es-ES"/>
        </w:rPr>
        <w:t>. Jorge Luis Quiroz Alemán</w:t>
      </w:r>
      <w:r>
        <w:rPr>
          <w:rFonts w:ascii="Arial" w:hAnsi="Arial" w:cs="Arial"/>
          <w:color w:val="000000"/>
          <w:sz w:val="16"/>
          <w:szCs w:val="16"/>
          <w:lang w:val="es-ES"/>
        </w:rPr>
        <w:t xml:space="preserve"> y del 01-07-2015. Radicación 44186.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Jorge Mauricio Burgos Ruíz.</w:t>
      </w:r>
    </w:p>
    <w:p w:rsidR="00EE15DB" w:rsidRPr="00925AEB" w:rsidRDefault="00EE15DB" w:rsidP="00544C11">
      <w:pPr>
        <w:pStyle w:val="Textonotapie"/>
        <w:rPr>
          <w:lang w:val="es-CO"/>
        </w:rPr>
      </w:pPr>
      <w:r w:rsidRPr="00B43DC8">
        <w:rPr>
          <w:rStyle w:val="Refdenotaalpie"/>
          <w:rFonts w:ascii="Arial" w:hAnsi="Arial" w:cs="Arial"/>
          <w:sz w:val="16"/>
          <w:szCs w:val="16"/>
        </w:rPr>
        <w:footnoteRef/>
      </w:r>
      <w:r w:rsidRPr="00B43DC8">
        <w:rPr>
          <w:rFonts w:ascii="Arial" w:hAnsi="Arial" w:cs="Arial"/>
          <w:sz w:val="16"/>
          <w:szCs w:val="16"/>
        </w:rPr>
        <w:t xml:space="preserve"> </w:t>
      </w:r>
      <w:r>
        <w:rPr>
          <w:rFonts w:ascii="Arial" w:hAnsi="Arial" w:cs="Arial"/>
          <w:color w:val="000000"/>
          <w:sz w:val="16"/>
          <w:szCs w:val="16"/>
          <w:lang w:val="es-ES"/>
        </w:rPr>
        <w:t>Sentencia del 06-02-2013. Radicación 40498</w:t>
      </w:r>
      <w:r w:rsidRPr="00B43DC8">
        <w:rPr>
          <w:rFonts w:ascii="Arial" w:hAnsi="Arial" w:cs="Arial"/>
          <w:color w:val="000000"/>
          <w:sz w:val="16"/>
          <w:szCs w:val="16"/>
          <w:lang w:val="es-ES"/>
        </w:rPr>
        <w:t xml:space="preserve">. </w:t>
      </w:r>
      <w:proofErr w:type="spellStart"/>
      <w:r w:rsidRPr="00B43DC8">
        <w:rPr>
          <w:rFonts w:ascii="Arial" w:hAnsi="Arial" w:cs="Arial"/>
          <w:color w:val="000000"/>
          <w:sz w:val="16"/>
          <w:szCs w:val="16"/>
          <w:lang w:val="es-ES"/>
        </w:rPr>
        <w:t>M.P</w:t>
      </w:r>
      <w:proofErr w:type="spellEnd"/>
      <w:r w:rsidRPr="00B43DC8">
        <w:rPr>
          <w:rFonts w:ascii="Arial" w:hAnsi="Arial" w:cs="Arial"/>
          <w:color w:val="000000"/>
          <w:sz w:val="16"/>
          <w:szCs w:val="16"/>
          <w:lang w:val="es-ES"/>
        </w:rPr>
        <w:t xml:space="preserve">. Luis Gabriel Miranda </w:t>
      </w:r>
      <w:proofErr w:type="spellStart"/>
      <w:r w:rsidRPr="00B43DC8">
        <w:rPr>
          <w:rFonts w:ascii="Arial" w:hAnsi="Arial" w:cs="Arial"/>
          <w:color w:val="000000"/>
          <w:sz w:val="16"/>
          <w:szCs w:val="16"/>
          <w:lang w:val="es-ES"/>
        </w:rPr>
        <w:t>Buelvas</w:t>
      </w:r>
      <w:proofErr w:type="spellEnd"/>
      <w:r>
        <w:rPr>
          <w:rFonts w:ascii="Arial" w:hAnsi="Arial" w:cs="Arial"/>
          <w:color w:val="000000"/>
          <w:sz w:val="16"/>
          <w:szCs w:val="16"/>
          <w:lang w:val="es-ES"/>
        </w:rPr>
        <w:t>.</w:t>
      </w:r>
    </w:p>
  </w:footnote>
  <w:footnote w:id="2">
    <w:p w:rsidR="00EE15DB" w:rsidRPr="008654AD" w:rsidRDefault="00EE15DB">
      <w:pPr>
        <w:pStyle w:val="Textonotapie"/>
        <w:rPr>
          <w:rFonts w:ascii="Arial" w:hAnsi="Arial" w:cs="Arial"/>
          <w:sz w:val="18"/>
          <w:szCs w:val="18"/>
          <w:lang w:val="es-AR"/>
        </w:rPr>
      </w:pPr>
      <w:r w:rsidRPr="008654AD">
        <w:rPr>
          <w:rStyle w:val="Refdenotaalpie"/>
          <w:rFonts w:ascii="Arial" w:hAnsi="Arial" w:cs="Arial"/>
          <w:sz w:val="18"/>
          <w:szCs w:val="18"/>
        </w:rPr>
        <w:footnoteRef/>
      </w:r>
      <w:r w:rsidRPr="008654AD">
        <w:rPr>
          <w:rFonts w:ascii="Arial" w:hAnsi="Arial" w:cs="Arial"/>
          <w:sz w:val="18"/>
          <w:szCs w:val="18"/>
        </w:rPr>
        <w:t xml:space="preserve"> </w:t>
      </w:r>
      <w:r w:rsidRPr="008654AD">
        <w:rPr>
          <w:rFonts w:ascii="Arial" w:hAnsi="Arial" w:cs="Arial"/>
          <w:sz w:val="18"/>
          <w:szCs w:val="18"/>
          <w:lang w:val="es-AR"/>
        </w:rPr>
        <w:t>Se refiere al señor Wilson Giraldo Ríos</w:t>
      </w:r>
    </w:p>
  </w:footnote>
  <w:footnote w:id="3">
    <w:p w:rsidR="00EE15DB" w:rsidRPr="0024509D" w:rsidRDefault="00EE15DB">
      <w:pPr>
        <w:pStyle w:val="Textonotapie"/>
        <w:rPr>
          <w:rFonts w:ascii="Arial" w:hAnsi="Arial" w:cs="Arial"/>
          <w:sz w:val="18"/>
          <w:szCs w:val="18"/>
          <w:lang w:val="es-AR"/>
        </w:rPr>
      </w:pPr>
      <w:r>
        <w:rPr>
          <w:rStyle w:val="Refdenotaalpie"/>
        </w:rPr>
        <w:footnoteRef/>
      </w:r>
      <w:r>
        <w:t xml:space="preserve"> </w:t>
      </w:r>
      <w:r w:rsidRPr="0024509D">
        <w:rPr>
          <w:rFonts w:ascii="Arial" w:hAnsi="Arial" w:cs="Arial"/>
          <w:sz w:val="18"/>
          <w:szCs w:val="18"/>
          <w:lang w:val="es-AR"/>
        </w:rPr>
        <w:t xml:space="preserve">Y no, un contratista independiente en los términos del artículo 34 del </w:t>
      </w:r>
      <w:proofErr w:type="spellStart"/>
      <w:r w:rsidRPr="0024509D">
        <w:rPr>
          <w:rFonts w:ascii="Arial" w:hAnsi="Arial" w:cs="Arial"/>
          <w:sz w:val="18"/>
          <w:szCs w:val="18"/>
          <w:lang w:val="es-AR"/>
        </w:rPr>
        <w:t>C.S.T</w:t>
      </w:r>
      <w:proofErr w:type="spellEnd"/>
      <w:r w:rsidRPr="0024509D">
        <w:rPr>
          <w:rFonts w:ascii="Arial" w:hAnsi="Arial" w:cs="Arial"/>
          <w:sz w:val="18"/>
          <w:szCs w:val="18"/>
          <w:lang w:val="es-AR"/>
        </w:rPr>
        <w:t>., como lo sostiene la defensa</w:t>
      </w:r>
    </w:p>
  </w:footnote>
  <w:footnote w:id="4">
    <w:p w:rsidR="00EE15DB" w:rsidRPr="008E6289" w:rsidRDefault="00EE15DB" w:rsidP="0004257E">
      <w:pPr>
        <w:spacing w:line="360" w:lineRule="auto"/>
        <w:jc w:val="both"/>
        <w:rPr>
          <w:lang w:val="es-AR"/>
        </w:rPr>
      </w:pPr>
      <w:r w:rsidRPr="008E6289">
        <w:rPr>
          <w:rStyle w:val="Refdenotaalpie"/>
          <w:rFonts w:ascii="Arial" w:hAnsi="Arial" w:cs="Arial"/>
          <w:sz w:val="18"/>
          <w:szCs w:val="18"/>
        </w:rPr>
        <w:footnoteRef/>
      </w:r>
      <w:proofErr w:type="spellStart"/>
      <w:r w:rsidRPr="008E6289">
        <w:rPr>
          <w:rFonts w:ascii="Arial" w:hAnsi="Arial" w:cs="Arial"/>
          <w:sz w:val="18"/>
          <w:szCs w:val="18"/>
        </w:rPr>
        <w:t>M.P</w:t>
      </w:r>
      <w:proofErr w:type="spellEnd"/>
      <w:r w:rsidRPr="008E6289">
        <w:rPr>
          <w:rFonts w:ascii="Arial" w:hAnsi="Arial" w:cs="Arial"/>
          <w:sz w:val="18"/>
          <w:szCs w:val="18"/>
        </w:rPr>
        <w:t>.  Jimena Isabel Godoy Fajardo. SL11826-2017. Radicación N.° 51857 del 02/08/2017.</w:t>
      </w:r>
    </w:p>
  </w:footnote>
  <w:footnote w:id="5">
    <w:p w:rsidR="00EE15DB" w:rsidRPr="00F7436B" w:rsidRDefault="00EE15DB" w:rsidP="00F7436B">
      <w:pPr>
        <w:pStyle w:val="Textonotapie"/>
        <w:jc w:val="both"/>
        <w:rPr>
          <w:rFonts w:ascii="Arial" w:hAnsi="Arial" w:cs="Arial"/>
          <w:sz w:val="18"/>
          <w:szCs w:val="18"/>
          <w:lang w:val="es-AR"/>
        </w:rPr>
      </w:pPr>
      <w:r>
        <w:rPr>
          <w:rStyle w:val="Refdenotaalpie"/>
        </w:rPr>
        <w:footnoteRef/>
      </w:r>
      <w:r>
        <w:t xml:space="preserve"> </w:t>
      </w:r>
      <w:r w:rsidRPr="00F7436B">
        <w:rPr>
          <w:rFonts w:ascii="Arial" w:hAnsi="Arial" w:cs="Arial"/>
          <w:sz w:val="18"/>
          <w:szCs w:val="18"/>
        </w:rPr>
        <w:t>… el primer concepto, multiplicando el monto del salario promedio devengado para la fecha de retiro, actualizado hasta la fecha de la sentencia, por el factor de acumulación de montos que incluye el factor correspondiente por ese período al 0.5% mensual (6% anual) por interés lucrativo; y el segundo concepto, partiendo del monto del lucro cesante mensual actualizado, para luego calcular la duración del perjuicio --atendida la expectativa probable de vida del perjudicado, y reducida aritméticamente a un número entero de meses desde la fecha de la sentencia--, para concluir en el valor actual del lucro cesante futuro, previa deducción del valor del interés civil por haberse anticipado ese capital, atendiendo de paso el criterio propuesto por la moderna doctrina’”.</w:t>
      </w:r>
    </w:p>
  </w:footnote>
  <w:footnote w:id="6">
    <w:p w:rsidR="00F56F5E" w:rsidRPr="00F56F5E" w:rsidRDefault="00F56F5E">
      <w:pPr>
        <w:pStyle w:val="Textonotapie"/>
        <w:rPr>
          <w:rFonts w:ascii="Arial" w:hAnsi="Arial" w:cs="Arial"/>
          <w:sz w:val="18"/>
          <w:szCs w:val="18"/>
          <w:lang w:val="es-AR"/>
        </w:rPr>
      </w:pPr>
      <w:r w:rsidRPr="00F56F5E">
        <w:rPr>
          <w:rStyle w:val="Refdenotaalpie"/>
          <w:rFonts w:ascii="Arial" w:hAnsi="Arial" w:cs="Arial"/>
          <w:sz w:val="18"/>
          <w:szCs w:val="18"/>
        </w:rPr>
        <w:footnoteRef/>
      </w:r>
      <w:r w:rsidRPr="00F56F5E">
        <w:rPr>
          <w:rFonts w:ascii="Arial" w:hAnsi="Arial" w:cs="Arial"/>
          <w:sz w:val="18"/>
          <w:szCs w:val="18"/>
        </w:rPr>
        <w:t xml:space="preserve"> </w:t>
      </w:r>
      <w:r w:rsidRPr="00F56F5E">
        <w:rPr>
          <w:rFonts w:ascii="Arial" w:hAnsi="Arial" w:cs="Arial"/>
          <w:sz w:val="18"/>
          <w:szCs w:val="18"/>
          <w:lang w:val="es-AR"/>
        </w:rPr>
        <w:t xml:space="preserve">Corte Suprema de Justicia, Sala de Casación Civil, Sentencia del 09/07/2010. </w:t>
      </w:r>
      <w:proofErr w:type="spellStart"/>
      <w:r w:rsidRPr="00F56F5E">
        <w:rPr>
          <w:rFonts w:ascii="Arial" w:hAnsi="Arial" w:cs="Arial"/>
          <w:sz w:val="18"/>
          <w:szCs w:val="18"/>
          <w:lang w:val="es-AR"/>
        </w:rPr>
        <w:t>M.P</w:t>
      </w:r>
      <w:proofErr w:type="spellEnd"/>
      <w:r w:rsidRPr="00F56F5E">
        <w:rPr>
          <w:rFonts w:ascii="Arial" w:hAnsi="Arial" w:cs="Arial"/>
          <w:sz w:val="18"/>
          <w:szCs w:val="18"/>
          <w:lang w:val="es-AR"/>
        </w:rPr>
        <w:t xml:space="preserve">. William </w:t>
      </w:r>
      <w:proofErr w:type="spellStart"/>
      <w:r w:rsidRPr="00F56F5E">
        <w:rPr>
          <w:rFonts w:ascii="Arial" w:hAnsi="Arial" w:cs="Arial"/>
          <w:sz w:val="18"/>
          <w:szCs w:val="18"/>
          <w:lang w:val="es-AR"/>
        </w:rPr>
        <w:t>Namen</w:t>
      </w:r>
      <w:proofErr w:type="spellEnd"/>
      <w:r w:rsidRPr="00F56F5E">
        <w:rPr>
          <w:rFonts w:ascii="Arial" w:hAnsi="Arial" w:cs="Arial"/>
          <w:sz w:val="18"/>
          <w:szCs w:val="18"/>
          <w:lang w:val="es-AR"/>
        </w:rPr>
        <w:t xml:space="preserve"> Vargas.</w:t>
      </w:r>
    </w:p>
  </w:footnote>
  <w:footnote w:id="7">
    <w:p w:rsidR="009B0D18" w:rsidRPr="009B0D18" w:rsidRDefault="009B0D18">
      <w:pPr>
        <w:pStyle w:val="Textonotapie"/>
        <w:rPr>
          <w:rFonts w:ascii="Arial" w:hAnsi="Arial" w:cs="Arial"/>
          <w:sz w:val="18"/>
          <w:szCs w:val="18"/>
          <w:lang w:val="es-AR"/>
        </w:rPr>
      </w:pPr>
      <w:r w:rsidRPr="009B0D18">
        <w:rPr>
          <w:rStyle w:val="Refdenotaalpie"/>
          <w:rFonts w:ascii="Arial" w:hAnsi="Arial" w:cs="Arial"/>
          <w:sz w:val="18"/>
          <w:szCs w:val="18"/>
        </w:rPr>
        <w:footnoteRef/>
      </w:r>
      <w:r w:rsidRPr="009B0D18">
        <w:rPr>
          <w:rFonts w:ascii="Arial" w:hAnsi="Arial" w:cs="Arial"/>
          <w:sz w:val="18"/>
          <w:szCs w:val="18"/>
        </w:rPr>
        <w:t xml:space="preserve"> </w:t>
      </w:r>
      <w:r w:rsidR="00694550">
        <w:rPr>
          <w:rFonts w:ascii="Arial" w:hAnsi="Arial" w:cs="Arial"/>
          <w:sz w:val="18"/>
          <w:szCs w:val="18"/>
        </w:rPr>
        <w:t xml:space="preserve">Sala de Descongestión N° 2. </w:t>
      </w:r>
      <w:proofErr w:type="spellStart"/>
      <w:r w:rsidRPr="009B0D18">
        <w:rPr>
          <w:rFonts w:ascii="Arial" w:hAnsi="Arial" w:cs="Arial"/>
          <w:sz w:val="18"/>
          <w:szCs w:val="18"/>
          <w:lang w:val="es-AR"/>
        </w:rPr>
        <w:t>SL</w:t>
      </w:r>
      <w:proofErr w:type="spellEnd"/>
      <w:r w:rsidRPr="009B0D18">
        <w:rPr>
          <w:rFonts w:ascii="Arial" w:hAnsi="Arial" w:cs="Arial"/>
          <w:sz w:val="18"/>
          <w:szCs w:val="18"/>
          <w:lang w:val="es-AR"/>
        </w:rPr>
        <w:t xml:space="preserve"> 11771/17 del 01/08/2017. </w:t>
      </w:r>
      <w:proofErr w:type="spellStart"/>
      <w:r w:rsidRPr="009B0D18">
        <w:rPr>
          <w:rFonts w:ascii="Arial" w:hAnsi="Arial" w:cs="Arial"/>
          <w:sz w:val="18"/>
          <w:szCs w:val="18"/>
          <w:lang w:val="es-AR"/>
        </w:rPr>
        <w:t>M.P</w:t>
      </w:r>
      <w:proofErr w:type="spellEnd"/>
      <w:r w:rsidRPr="009B0D18">
        <w:rPr>
          <w:rFonts w:ascii="Arial" w:hAnsi="Arial" w:cs="Arial"/>
          <w:sz w:val="18"/>
          <w:szCs w:val="18"/>
          <w:lang w:val="es-AR"/>
        </w:rPr>
        <w:t xml:space="preserve">. Santander Rafael Brito Cuadrado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DB" w:rsidRPr="001B0E6E" w:rsidRDefault="00EE15DB"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EE15DB" w:rsidRPr="001B0E6E" w:rsidRDefault="00EE15DB" w:rsidP="00350788">
    <w:pPr>
      <w:pStyle w:val="Encabezado"/>
      <w:jc w:val="center"/>
      <w:rPr>
        <w:rFonts w:ascii="Arial" w:hAnsi="Arial" w:cs="Arial"/>
        <w:sz w:val="16"/>
        <w:szCs w:val="16"/>
      </w:rPr>
    </w:pPr>
    <w:r w:rsidRPr="001B0E6E">
      <w:rPr>
        <w:rFonts w:ascii="Arial" w:hAnsi="Arial" w:cs="Arial"/>
        <w:sz w:val="16"/>
        <w:szCs w:val="16"/>
      </w:rPr>
      <w:t>Radicado: 66</w:t>
    </w:r>
    <w:r>
      <w:rPr>
        <w:rFonts w:ascii="Arial" w:hAnsi="Arial" w:cs="Arial"/>
        <w:sz w:val="16"/>
        <w:szCs w:val="16"/>
      </w:rPr>
      <w:t>170</w:t>
    </w:r>
    <w:r w:rsidRPr="001B0E6E">
      <w:rPr>
        <w:rFonts w:ascii="Arial" w:hAnsi="Arial" w:cs="Arial"/>
        <w:sz w:val="16"/>
        <w:szCs w:val="16"/>
      </w:rPr>
      <w:t>-31-05-00</w:t>
    </w:r>
    <w:r>
      <w:rPr>
        <w:rFonts w:ascii="Arial" w:hAnsi="Arial" w:cs="Arial"/>
        <w:sz w:val="16"/>
        <w:szCs w:val="16"/>
      </w:rPr>
      <w:t>1</w:t>
    </w:r>
    <w:r w:rsidRPr="001B0E6E">
      <w:rPr>
        <w:rFonts w:ascii="Arial" w:hAnsi="Arial" w:cs="Arial"/>
        <w:sz w:val="16"/>
        <w:szCs w:val="16"/>
      </w:rPr>
      <w:t>-201</w:t>
    </w:r>
    <w:r>
      <w:rPr>
        <w:rFonts w:ascii="Arial" w:hAnsi="Arial" w:cs="Arial"/>
        <w:sz w:val="16"/>
        <w:szCs w:val="16"/>
      </w:rPr>
      <w:t>4</w:t>
    </w:r>
    <w:r w:rsidRPr="001B0E6E">
      <w:rPr>
        <w:rFonts w:ascii="Arial" w:hAnsi="Arial" w:cs="Arial"/>
        <w:sz w:val="16"/>
        <w:szCs w:val="16"/>
      </w:rPr>
      <w:t>-00</w:t>
    </w:r>
    <w:r>
      <w:rPr>
        <w:rFonts w:ascii="Arial" w:hAnsi="Arial" w:cs="Arial"/>
        <w:sz w:val="16"/>
        <w:szCs w:val="16"/>
      </w:rPr>
      <w:t>252</w:t>
    </w:r>
    <w:r w:rsidRPr="001B0E6E">
      <w:rPr>
        <w:rFonts w:ascii="Arial" w:hAnsi="Arial" w:cs="Arial"/>
        <w:sz w:val="16"/>
        <w:szCs w:val="16"/>
      </w:rPr>
      <w:t>-01</w:t>
    </w:r>
  </w:p>
  <w:p w:rsidR="00EE15DB" w:rsidRPr="001B0E6E" w:rsidRDefault="00EE15DB" w:rsidP="00350788">
    <w:pPr>
      <w:pStyle w:val="Encabezado"/>
      <w:jc w:val="center"/>
      <w:rPr>
        <w:rFonts w:ascii="Arial" w:hAnsi="Arial" w:cs="Arial"/>
        <w:sz w:val="16"/>
        <w:szCs w:val="16"/>
      </w:rPr>
    </w:pPr>
    <w:r>
      <w:rPr>
        <w:rFonts w:ascii="Arial" w:hAnsi="Arial" w:cs="Arial"/>
        <w:sz w:val="16"/>
        <w:szCs w:val="16"/>
      </w:rPr>
      <w:t xml:space="preserve">María </w:t>
    </w:r>
    <w:proofErr w:type="spellStart"/>
    <w:r>
      <w:rPr>
        <w:rFonts w:ascii="Arial" w:hAnsi="Arial" w:cs="Arial"/>
        <w:sz w:val="16"/>
        <w:szCs w:val="16"/>
      </w:rPr>
      <w:t>Yanedt</w:t>
    </w:r>
    <w:proofErr w:type="spellEnd"/>
    <w:r>
      <w:rPr>
        <w:rFonts w:ascii="Arial" w:hAnsi="Arial" w:cs="Arial"/>
        <w:sz w:val="16"/>
        <w:szCs w:val="16"/>
      </w:rPr>
      <w:t xml:space="preserve"> García Giraldo y otros </w:t>
    </w:r>
    <w:r w:rsidRPr="001B0E6E">
      <w:rPr>
        <w:rFonts w:ascii="Arial" w:hAnsi="Arial" w:cs="Arial"/>
        <w:sz w:val="16"/>
        <w:szCs w:val="16"/>
      </w:rPr>
      <w:t xml:space="preserve">vs </w:t>
    </w:r>
    <w:r>
      <w:rPr>
        <w:rFonts w:ascii="Arial" w:hAnsi="Arial" w:cs="Arial"/>
        <w:sz w:val="16"/>
        <w:szCs w:val="16"/>
      </w:rPr>
      <w:t>José Israel Amador Ávila</w:t>
    </w:r>
  </w:p>
  <w:p w:rsidR="00EE15DB" w:rsidRPr="00350788" w:rsidRDefault="00EE15DB"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28FD"/>
    <w:rsid w:val="00003370"/>
    <w:rsid w:val="000047D1"/>
    <w:rsid w:val="000053EC"/>
    <w:rsid w:val="0000581C"/>
    <w:rsid w:val="00005D7F"/>
    <w:rsid w:val="00006445"/>
    <w:rsid w:val="0000748F"/>
    <w:rsid w:val="00007AA9"/>
    <w:rsid w:val="00007B72"/>
    <w:rsid w:val="00007CC8"/>
    <w:rsid w:val="0001028F"/>
    <w:rsid w:val="00011FCF"/>
    <w:rsid w:val="000122C9"/>
    <w:rsid w:val="000126BB"/>
    <w:rsid w:val="000130DB"/>
    <w:rsid w:val="00014851"/>
    <w:rsid w:val="0001637B"/>
    <w:rsid w:val="00016E46"/>
    <w:rsid w:val="00020EA2"/>
    <w:rsid w:val="00023B3E"/>
    <w:rsid w:val="0002636C"/>
    <w:rsid w:val="00026457"/>
    <w:rsid w:val="00026FC3"/>
    <w:rsid w:val="0003133B"/>
    <w:rsid w:val="00031EF4"/>
    <w:rsid w:val="00034EE6"/>
    <w:rsid w:val="00036C4B"/>
    <w:rsid w:val="0004061C"/>
    <w:rsid w:val="00040E9A"/>
    <w:rsid w:val="0004257E"/>
    <w:rsid w:val="000429E7"/>
    <w:rsid w:val="000452F4"/>
    <w:rsid w:val="0004585A"/>
    <w:rsid w:val="000469B3"/>
    <w:rsid w:val="00046FBA"/>
    <w:rsid w:val="00050E0F"/>
    <w:rsid w:val="000513EC"/>
    <w:rsid w:val="0005272E"/>
    <w:rsid w:val="00053824"/>
    <w:rsid w:val="0005412E"/>
    <w:rsid w:val="000565A8"/>
    <w:rsid w:val="0005796A"/>
    <w:rsid w:val="00057FAE"/>
    <w:rsid w:val="00062727"/>
    <w:rsid w:val="000635EC"/>
    <w:rsid w:val="00063752"/>
    <w:rsid w:val="00065A33"/>
    <w:rsid w:val="00071106"/>
    <w:rsid w:val="000711BA"/>
    <w:rsid w:val="00072B66"/>
    <w:rsid w:val="00074DDB"/>
    <w:rsid w:val="0007560D"/>
    <w:rsid w:val="000756CE"/>
    <w:rsid w:val="00076F69"/>
    <w:rsid w:val="00077FE4"/>
    <w:rsid w:val="00083AF2"/>
    <w:rsid w:val="00084002"/>
    <w:rsid w:val="0008571E"/>
    <w:rsid w:val="000863CE"/>
    <w:rsid w:val="0009056B"/>
    <w:rsid w:val="00091ACD"/>
    <w:rsid w:val="00094E79"/>
    <w:rsid w:val="00096832"/>
    <w:rsid w:val="00096A23"/>
    <w:rsid w:val="000A22B6"/>
    <w:rsid w:val="000A2D7F"/>
    <w:rsid w:val="000A30E9"/>
    <w:rsid w:val="000A312F"/>
    <w:rsid w:val="000A397D"/>
    <w:rsid w:val="000A3AFA"/>
    <w:rsid w:val="000A6BA1"/>
    <w:rsid w:val="000A7294"/>
    <w:rsid w:val="000A7BA8"/>
    <w:rsid w:val="000B091B"/>
    <w:rsid w:val="000B229D"/>
    <w:rsid w:val="000B5B4C"/>
    <w:rsid w:val="000B5FB0"/>
    <w:rsid w:val="000B6182"/>
    <w:rsid w:val="000B665A"/>
    <w:rsid w:val="000B66B3"/>
    <w:rsid w:val="000C08B1"/>
    <w:rsid w:val="000C0A51"/>
    <w:rsid w:val="000C134D"/>
    <w:rsid w:val="000C2403"/>
    <w:rsid w:val="000C3195"/>
    <w:rsid w:val="000C3F04"/>
    <w:rsid w:val="000C42EE"/>
    <w:rsid w:val="000C4643"/>
    <w:rsid w:val="000C69A1"/>
    <w:rsid w:val="000C7993"/>
    <w:rsid w:val="000C7AA4"/>
    <w:rsid w:val="000D0444"/>
    <w:rsid w:val="000D0D38"/>
    <w:rsid w:val="000D458F"/>
    <w:rsid w:val="000D611F"/>
    <w:rsid w:val="000D6626"/>
    <w:rsid w:val="000D66C4"/>
    <w:rsid w:val="000D6873"/>
    <w:rsid w:val="000D6AE3"/>
    <w:rsid w:val="000E09CD"/>
    <w:rsid w:val="000E388B"/>
    <w:rsid w:val="000E3E44"/>
    <w:rsid w:val="000E46F3"/>
    <w:rsid w:val="000E49A5"/>
    <w:rsid w:val="000E6CA7"/>
    <w:rsid w:val="000E70EB"/>
    <w:rsid w:val="000E7F42"/>
    <w:rsid w:val="000F08C1"/>
    <w:rsid w:val="000F09E7"/>
    <w:rsid w:val="000F0F3C"/>
    <w:rsid w:val="000F1FFC"/>
    <w:rsid w:val="000F246F"/>
    <w:rsid w:val="000F30D4"/>
    <w:rsid w:val="000F38F8"/>
    <w:rsid w:val="000F5775"/>
    <w:rsid w:val="000F6FF9"/>
    <w:rsid w:val="000F7176"/>
    <w:rsid w:val="000F71B5"/>
    <w:rsid w:val="00101DEB"/>
    <w:rsid w:val="00106A7E"/>
    <w:rsid w:val="00110473"/>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20DB"/>
    <w:rsid w:val="00132136"/>
    <w:rsid w:val="00133E13"/>
    <w:rsid w:val="0013468D"/>
    <w:rsid w:val="00134C86"/>
    <w:rsid w:val="00135839"/>
    <w:rsid w:val="001365C6"/>
    <w:rsid w:val="00136D3B"/>
    <w:rsid w:val="001372E8"/>
    <w:rsid w:val="00141BF0"/>
    <w:rsid w:val="00146784"/>
    <w:rsid w:val="00146D97"/>
    <w:rsid w:val="0014727C"/>
    <w:rsid w:val="00150117"/>
    <w:rsid w:val="00150B3A"/>
    <w:rsid w:val="0015121F"/>
    <w:rsid w:val="00152217"/>
    <w:rsid w:val="00154D84"/>
    <w:rsid w:val="00157266"/>
    <w:rsid w:val="001640F3"/>
    <w:rsid w:val="00164E8B"/>
    <w:rsid w:val="001667FB"/>
    <w:rsid w:val="00171C56"/>
    <w:rsid w:val="00172834"/>
    <w:rsid w:val="00173316"/>
    <w:rsid w:val="001754E4"/>
    <w:rsid w:val="001765F8"/>
    <w:rsid w:val="00181B54"/>
    <w:rsid w:val="00183477"/>
    <w:rsid w:val="001843DE"/>
    <w:rsid w:val="0018546D"/>
    <w:rsid w:val="00186940"/>
    <w:rsid w:val="001879F2"/>
    <w:rsid w:val="001926F2"/>
    <w:rsid w:val="00192FFF"/>
    <w:rsid w:val="00195BB3"/>
    <w:rsid w:val="00195E2C"/>
    <w:rsid w:val="00196CA4"/>
    <w:rsid w:val="00197F26"/>
    <w:rsid w:val="001A05A2"/>
    <w:rsid w:val="001A0607"/>
    <w:rsid w:val="001A2492"/>
    <w:rsid w:val="001A2E17"/>
    <w:rsid w:val="001A4D21"/>
    <w:rsid w:val="001B03FA"/>
    <w:rsid w:val="001B09CB"/>
    <w:rsid w:val="001B36B8"/>
    <w:rsid w:val="001C2D4C"/>
    <w:rsid w:val="001C3982"/>
    <w:rsid w:val="001C46FA"/>
    <w:rsid w:val="001C4AC8"/>
    <w:rsid w:val="001C4D7F"/>
    <w:rsid w:val="001C4DFF"/>
    <w:rsid w:val="001C5673"/>
    <w:rsid w:val="001C7291"/>
    <w:rsid w:val="001C7751"/>
    <w:rsid w:val="001D276E"/>
    <w:rsid w:val="001D4EE9"/>
    <w:rsid w:val="001D7F70"/>
    <w:rsid w:val="001E0313"/>
    <w:rsid w:val="001E26AA"/>
    <w:rsid w:val="001E3462"/>
    <w:rsid w:val="001E3C9E"/>
    <w:rsid w:val="001E6FE9"/>
    <w:rsid w:val="001F0A06"/>
    <w:rsid w:val="001F1C05"/>
    <w:rsid w:val="001F5F7D"/>
    <w:rsid w:val="001F67E9"/>
    <w:rsid w:val="00204E5A"/>
    <w:rsid w:val="002052E9"/>
    <w:rsid w:val="00206C64"/>
    <w:rsid w:val="002077A7"/>
    <w:rsid w:val="00210F3E"/>
    <w:rsid w:val="002119AE"/>
    <w:rsid w:val="00212CFA"/>
    <w:rsid w:val="00214ADD"/>
    <w:rsid w:val="00217431"/>
    <w:rsid w:val="002179B9"/>
    <w:rsid w:val="00220899"/>
    <w:rsid w:val="002233EC"/>
    <w:rsid w:val="00223C12"/>
    <w:rsid w:val="00226BC1"/>
    <w:rsid w:val="00226D5F"/>
    <w:rsid w:val="002307F8"/>
    <w:rsid w:val="0023095E"/>
    <w:rsid w:val="00230AFD"/>
    <w:rsid w:val="00231C21"/>
    <w:rsid w:val="002320EB"/>
    <w:rsid w:val="00233133"/>
    <w:rsid w:val="002354D2"/>
    <w:rsid w:val="00235EC0"/>
    <w:rsid w:val="0023656C"/>
    <w:rsid w:val="00236981"/>
    <w:rsid w:val="00240996"/>
    <w:rsid w:val="00242152"/>
    <w:rsid w:val="00243B4B"/>
    <w:rsid w:val="00244804"/>
    <w:rsid w:val="0024509D"/>
    <w:rsid w:val="00247BBE"/>
    <w:rsid w:val="00251CC1"/>
    <w:rsid w:val="002553C6"/>
    <w:rsid w:val="00256154"/>
    <w:rsid w:val="00256248"/>
    <w:rsid w:val="0026074C"/>
    <w:rsid w:val="00262491"/>
    <w:rsid w:val="002625DC"/>
    <w:rsid w:val="00263D3B"/>
    <w:rsid w:val="00265520"/>
    <w:rsid w:val="00270CA8"/>
    <w:rsid w:val="00271CE3"/>
    <w:rsid w:val="00272C8B"/>
    <w:rsid w:val="00273805"/>
    <w:rsid w:val="002754B2"/>
    <w:rsid w:val="00275914"/>
    <w:rsid w:val="00275B08"/>
    <w:rsid w:val="00275FF1"/>
    <w:rsid w:val="00276FE7"/>
    <w:rsid w:val="0027736F"/>
    <w:rsid w:val="00277B6E"/>
    <w:rsid w:val="002811B3"/>
    <w:rsid w:val="002864A8"/>
    <w:rsid w:val="00287CC2"/>
    <w:rsid w:val="00290C0B"/>
    <w:rsid w:val="00292172"/>
    <w:rsid w:val="00293E1D"/>
    <w:rsid w:val="00295C40"/>
    <w:rsid w:val="00296BC8"/>
    <w:rsid w:val="0029775B"/>
    <w:rsid w:val="00297C6E"/>
    <w:rsid w:val="002A02BA"/>
    <w:rsid w:val="002A1785"/>
    <w:rsid w:val="002A2C2B"/>
    <w:rsid w:val="002A681C"/>
    <w:rsid w:val="002A7A78"/>
    <w:rsid w:val="002B1A7E"/>
    <w:rsid w:val="002B556B"/>
    <w:rsid w:val="002B653A"/>
    <w:rsid w:val="002B6C00"/>
    <w:rsid w:val="002C15F7"/>
    <w:rsid w:val="002C313D"/>
    <w:rsid w:val="002C6ABC"/>
    <w:rsid w:val="002D0166"/>
    <w:rsid w:val="002D1879"/>
    <w:rsid w:val="002D2840"/>
    <w:rsid w:val="002D2CEF"/>
    <w:rsid w:val="002D6807"/>
    <w:rsid w:val="002D6C7D"/>
    <w:rsid w:val="002D6CA1"/>
    <w:rsid w:val="002D7A8E"/>
    <w:rsid w:val="002E09C2"/>
    <w:rsid w:val="002E235A"/>
    <w:rsid w:val="002E2DE9"/>
    <w:rsid w:val="002E36F9"/>
    <w:rsid w:val="002E4DE7"/>
    <w:rsid w:val="002E4F47"/>
    <w:rsid w:val="002E54FD"/>
    <w:rsid w:val="002E59E4"/>
    <w:rsid w:val="002E7DDB"/>
    <w:rsid w:val="002F07BA"/>
    <w:rsid w:val="002F0D65"/>
    <w:rsid w:val="002F1A8F"/>
    <w:rsid w:val="002F1ED0"/>
    <w:rsid w:val="002F2BAC"/>
    <w:rsid w:val="002F31A3"/>
    <w:rsid w:val="002F3595"/>
    <w:rsid w:val="002F43D3"/>
    <w:rsid w:val="002F5695"/>
    <w:rsid w:val="002F721D"/>
    <w:rsid w:val="00302C8E"/>
    <w:rsid w:val="00304666"/>
    <w:rsid w:val="00305790"/>
    <w:rsid w:val="0031062B"/>
    <w:rsid w:val="0031081B"/>
    <w:rsid w:val="003142F8"/>
    <w:rsid w:val="00316580"/>
    <w:rsid w:val="0031765B"/>
    <w:rsid w:val="00320218"/>
    <w:rsid w:val="003215E8"/>
    <w:rsid w:val="00324AD2"/>
    <w:rsid w:val="00325911"/>
    <w:rsid w:val="0033040E"/>
    <w:rsid w:val="003340EF"/>
    <w:rsid w:val="003376FF"/>
    <w:rsid w:val="00340FCE"/>
    <w:rsid w:val="003422D7"/>
    <w:rsid w:val="00342529"/>
    <w:rsid w:val="0034323F"/>
    <w:rsid w:val="003434D9"/>
    <w:rsid w:val="003440CA"/>
    <w:rsid w:val="00345737"/>
    <w:rsid w:val="003463CD"/>
    <w:rsid w:val="003465C4"/>
    <w:rsid w:val="003468B7"/>
    <w:rsid w:val="00347C69"/>
    <w:rsid w:val="00350068"/>
    <w:rsid w:val="00350788"/>
    <w:rsid w:val="00355285"/>
    <w:rsid w:val="00355709"/>
    <w:rsid w:val="00355D2E"/>
    <w:rsid w:val="003578D3"/>
    <w:rsid w:val="00357A55"/>
    <w:rsid w:val="003602A8"/>
    <w:rsid w:val="00360E5B"/>
    <w:rsid w:val="00361331"/>
    <w:rsid w:val="00363262"/>
    <w:rsid w:val="0036347E"/>
    <w:rsid w:val="00364BE5"/>
    <w:rsid w:val="003670CC"/>
    <w:rsid w:val="0037086E"/>
    <w:rsid w:val="003745E6"/>
    <w:rsid w:val="00382914"/>
    <w:rsid w:val="00382C70"/>
    <w:rsid w:val="00384433"/>
    <w:rsid w:val="0038478B"/>
    <w:rsid w:val="003847E5"/>
    <w:rsid w:val="00387FA3"/>
    <w:rsid w:val="00390B71"/>
    <w:rsid w:val="00390BE0"/>
    <w:rsid w:val="003912BE"/>
    <w:rsid w:val="00391418"/>
    <w:rsid w:val="003922FA"/>
    <w:rsid w:val="003926AF"/>
    <w:rsid w:val="0039280A"/>
    <w:rsid w:val="00395DC7"/>
    <w:rsid w:val="00396403"/>
    <w:rsid w:val="0039661C"/>
    <w:rsid w:val="00396981"/>
    <w:rsid w:val="00397B6D"/>
    <w:rsid w:val="003A0727"/>
    <w:rsid w:val="003A1167"/>
    <w:rsid w:val="003A202C"/>
    <w:rsid w:val="003A289D"/>
    <w:rsid w:val="003A50AD"/>
    <w:rsid w:val="003A770F"/>
    <w:rsid w:val="003B4EA7"/>
    <w:rsid w:val="003B53E9"/>
    <w:rsid w:val="003B63C9"/>
    <w:rsid w:val="003B7E72"/>
    <w:rsid w:val="003C2FBA"/>
    <w:rsid w:val="003C3683"/>
    <w:rsid w:val="003C50BE"/>
    <w:rsid w:val="003C640A"/>
    <w:rsid w:val="003C7B9B"/>
    <w:rsid w:val="003C7DEE"/>
    <w:rsid w:val="003D05E9"/>
    <w:rsid w:val="003D0C37"/>
    <w:rsid w:val="003D0DFC"/>
    <w:rsid w:val="003D14A4"/>
    <w:rsid w:val="003D318D"/>
    <w:rsid w:val="003D38F7"/>
    <w:rsid w:val="003D7753"/>
    <w:rsid w:val="003E04B7"/>
    <w:rsid w:val="003E12DD"/>
    <w:rsid w:val="003F01D6"/>
    <w:rsid w:val="003F0D83"/>
    <w:rsid w:val="003F15A1"/>
    <w:rsid w:val="003F39CE"/>
    <w:rsid w:val="003F5A55"/>
    <w:rsid w:val="003F5BF5"/>
    <w:rsid w:val="003F6444"/>
    <w:rsid w:val="003F65AC"/>
    <w:rsid w:val="00401F56"/>
    <w:rsid w:val="00402EE8"/>
    <w:rsid w:val="004035D2"/>
    <w:rsid w:val="0040628B"/>
    <w:rsid w:val="00407055"/>
    <w:rsid w:val="0040755F"/>
    <w:rsid w:val="0040768C"/>
    <w:rsid w:val="00407D5A"/>
    <w:rsid w:val="00412A76"/>
    <w:rsid w:val="004138A7"/>
    <w:rsid w:val="00413A44"/>
    <w:rsid w:val="00416A8D"/>
    <w:rsid w:val="00420991"/>
    <w:rsid w:val="00420BC6"/>
    <w:rsid w:val="00421671"/>
    <w:rsid w:val="004216E9"/>
    <w:rsid w:val="00427D4E"/>
    <w:rsid w:val="004301C6"/>
    <w:rsid w:val="00434242"/>
    <w:rsid w:val="00434520"/>
    <w:rsid w:val="004348AB"/>
    <w:rsid w:val="00436052"/>
    <w:rsid w:val="00441960"/>
    <w:rsid w:val="004422FC"/>
    <w:rsid w:val="00444740"/>
    <w:rsid w:val="004453BD"/>
    <w:rsid w:val="00446364"/>
    <w:rsid w:val="00450598"/>
    <w:rsid w:val="00450903"/>
    <w:rsid w:val="00450D52"/>
    <w:rsid w:val="004519EB"/>
    <w:rsid w:val="00452724"/>
    <w:rsid w:val="0045273B"/>
    <w:rsid w:val="00453DC3"/>
    <w:rsid w:val="00454FF5"/>
    <w:rsid w:val="0045521B"/>
    <w:rsid w:val="00455713"/>
    <w:rsid w:val="00455A17"/>
    <w:rsid w:val="00455D54"/>
    <w:rsid w:val="0046204A"/>
    <w:rsid w:val="00462ECA"/>
    <w:rsid w:val="00463893"/>
    <w:rsid w:val="00463D20"/>
    <w:rsid w:val="00464A51"/>
    <w:rsid w:val="004700BC"/>
    <w:rsid w:val="00470873"/>
    <w:rsid w:val="00473847"/>
    <w:rsid w:val="00474198"/>
    <w:rsid w:val="00474E80"/>
    <w:rsid w:val="00475B58"/>
    <w:rsid w:val="004767C9"/>
    <w:rsid w:val="00477C1B"/>
    <w:rsid w:val="00480C56"/>
    <w:rsid w:val="0048159F"/>
    <w:rsid w:val="00482B97"/>
    <w:rsid w:val="0048450E"/>
    <w:rsid w:val="004901E7"/>
    <w:rsid w:val="00490560"/>
    <w:rsid w:val="0049366E"/>
    <w:rsid w:val="004938C1"/>
    <w:rsid w:val="00497BFE"/>
    <w:rsid w:val="004A10DE"/>
    <w:rsid w:val="004A21C8"/>
    <w:rsid w:val="004A2468"/>
    <w:rsid w:val="004A4366"/>
    <w:rsid w:val="004A70F6"/>
    <w:rsid w:val="004A7AB4"/>
    <w:rsid w:val="004B1621"/>
    <w:rsid w:val="004B45C3"/>
    <w:rsid w:val="004C2673"/>
    <w:rsid w:val="004C3992"/>
    <w:rsid w:val="004C4323"/>
    <w:rsid w:val="004C52F2"/>
    <w:rsid w:val="004C5B27"/>
    <w:rsid w:val="004D018B"/>
    <w:rsid w:val="004D01C5"/>
    <w:rsid w:val="004D3B1D"/>
    <w:rsid w:val="004D582B"/>
    <w:rsid w:val="004D7FDC"/>
    <w:rsid w:val="004E1931"/>
    <w:rsid w:val="004E1975"/>
    <w:rsid w:val="004E4CC6"/>
    <w:rsid w:val="004E5E8E"/>
    <w:rsid w:val="004E6E1F"/>
    <w:rsid w:val="004E73C9"/>
    <w:rsid w:val="004F0EB6"/>
    <w:rsid w:val="004F0F6E"/>
    <w:rsid w:val="004F20BA"/>
    <w:rsid w:val="004F2BF9"/>
    <w:rsid w:val="004F2F10"/>
    <w:rsid w:val="004F408A"/>
    <w:rsid w:val="004F724D"/>
    <w:rsid w:val="00501034"/>
    <w:rsid w:val="00501339"/>
    <w:rsid w:val="00501646"/>
    <w:rsid w:val="00502691"/>
    <w:rsid w:val="00503F6F"/>
    <w:rsid w:val="005047F4"/>
    <w:rsid w:val="00504C77"/>
    <w:rsid w:val="00505A23"/>
    <w:rsid w:val="005076E5"/>
    <w:rsid w:val="00512458"/>
    <w:rsid w:val="005129AE"/>
    <w:rsid w:val="00512B5B"/>
    <w:rsid w:val="00514007"/>
    <w:rsid w:val="00514188"/>
    <w:rsid w:val="005142C8"/>
    <w:rsid w:val="00514C61"/>
    <w:rsid w:val="005156B4"/>
    <w:rsid w:val="00515BDC"/>
    <w:rsid w:val="00517C6C"/>
    <w:rsid w:val="00524DA7"/>
    <w:rsid w:val="005262DB"/>
    <w:rsid w:val="00527E84"/>
    <w:rsid w:val="00527EBF"/>
    <w:rsid w:val="005319E6"/>
    <w:rsid w:val="0053229C"/>
    <w:rsid w:val="005324C9"/>
    <w:rsid w:val="00533123"/>
    <w:rsid w:val="00533F10"/>
    <w:rsid w:val="0053562A"/>
    <w:rsid w:val="0053780E"/>
    <w:rsid w:val="005407EC"/>
    <w:rsid w:val="0054084D"/>
    <w:rsid w:val="00544B75"/>
    <w:rsid w:val="00544C11"/>
    <w:rsid w:val="00545BCF"/>
    <w:rsid w:val="005469D3"/>
    <w:rsid w:val="00547158"/>
    <w:rsid w:val="00547CAB"/>
    <w:rsid w:val="00550037"/>
    <w:rsid w:val="00550C34"/>
    <w:rsid w:val="0055106C"/>
    <w:rsid w:val="005518DA"/>
    <w:rsid w:val="00551F87"/>
    <w:rsid w:val="00552CE3"/>
    <w:rsid w:val="0055465D"/>
    <w:rsid w:val="00555B26"/>
    <w:rsid w:val="0055606A"/>
    <w:rsid w:val="0055789E"/>
    <w:rsid w:val="00557FE5"/>
    <w:rsid w:val="005602C7"/>
    <w:rsid w:val="00561387"/>
    <w:rsid w:val="0056183E"/>
    <w:rsid w:val="00562BC6"/>
    <w:rsid w:val="00563496"/>
    <w:rsid w:val="00565AB6"/>
    <w:rsid w:val="00565E83"/>
    <w:rsid w:val="00567B33"/>
    <w:rsid w:val="00567C97"/>
    <w:rsid w:val="00570669"/>
    <w:rsid w:val="0057082E"/>
    <w:rsid w:val="00571136"/>
    <w:rsid w:val="00572BE9"/>
    <w:rsid w:val="005732BB"/>
    <w:rsid w:val="00580116"/>
    <w:rsid w:val="0058106C"/>
    <w:rsid w:val="00581364"/>
    <w:rsid w:val="00581C9D"/>
    <w:rsid w:val="005832DD"/>
    <w:rsid w:val="00583C4A"/>
    <w:rsid w:val="00585631"/>
    <w:rsid w:val="00586CB3"/>
    <w:rsid w:val="005878E1"/>
    <w:rsid w:val="00590C35"/>
    <w:rsid w:val="00590ECE"/>
    <w:rsid w:val="00590EDF"/>
    <w:rsid w:val="00590EF9"/>
    <w:rsid w:val="00591797"/>
    <w:rsid w:val="00591F75"/>
    <w:rsid w:val="00593363"/>
    <w:rsid w:val="00594723"/>
    <w:rsid w:val="00597053"/>
    <w:rsid w:val="005A45E0"/>
    <w:rsid w:val="005A4ABA"/>
    <w:rsid w:val="005A65D3"/>
    <w:rsid w:val="005A7DC3"/>
    <w:rsid w:val="005B0552"/>
    <w:rsid w:val="005B1510"/>
    <w:rsid w:val="005B215E"/>
    <w:rsid w:val="005B30B1"/>
    <w:rsid w:val="005B4219"/>
    <w:rsid w:val="005B460B"/>
    <w:rsid w:val="005B6B01"/>
    <w:rsid w:val="005B7320"/>
    <w:rsid w:val="005B7D0B"/>
    <w:rsid w:val="005C0EC2"/>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4F6"/>
    <w:rsid w:val="005E0ED1"/>
    <w:rsid w:val="005E11AE"/>
    <w:rsid w:val="005E1A7F"/>
    <w:rsid w:val="005E2461"/>
    <w:rsid w:val="005E3E64"/>
    <w:rsid w:val="005E3FA2"/>
    <w:rsid w:val="005E4B5C"/>
    <w:rsid w:val="005E6E52"/>
    <w:rsid w:val="005E7DA5"/>
    <w:rsid w:val="005F1504"/>
    <w:rsid w:val="005F4D5F"/>
    <w:rsid w:val="005F5E82"/>
    <w:rsid w:val="005F5FB1"/>
    <w:rsid w:val="005F6A40"/>
    <w:rsid w:val="005F6CDB"/>
    <w:rsid w:val="0060031C"/>
    <w:rsid w:val="00605E13"/>
    <w:rsid w:val="006135E9"/>
    <w:rsid w:val="0061484D"/>
    <w:rsid w:val="00615E23"/>
    <w:rsid w:val="0061642B"/>
    <w:rsid w:val="006169ED"/>
    <w:rsid w:val="006219D5"/>
    <w:rsid w:val="0062213D"/>
    <w:rsid w:val="00622849"/>
    <w:rsid w:val="00623898"/>
    <w:rsid w:val="006238CA"/>
    <w:rsid w:val="0062436C"/>
    <w:rsid w:val="0062649A"/>
    <w:rsid w:val="006268C9"/>
    <w:rsid w:val="00633301"/>
    <w:rsid w:val="00635C4F"/>
    <w:rsid w:val="00636C91"/>
    <w:rsid w:val="00637118"/>
    <w:rsid w:val="0064158C"/>
    <w:rsid w:val="006424B0"/>
    <w:rsid w:val="0064279C"/>
    <w:rsid w:val="00643BC4"/>
    <w:rsid w:val="00643D10"/>
    <w:rsid w:val="00646223"/>
    <w:rsid w:val="006502AD"/>
    <w:rsid w:val="00650C9B"/>
    <w:rsid w:val="006516CA"/>
    <w:rsid w:val="006532C7"/>
    <w:rsid w:val="00660912"/>
    <w:rsid w:val="00661039"/>
    <w:rsid w:val="00662013"/>
    <w:rsid w:val="00662287"/>
    <w:rsid w:val="006627CB"/>
    <w:rsid w:val="00664874"/>
    <w:rsid w:val="00665353"/>
    <w:rsid w:val="00670AF5"/>
    <w:rsid w:val="006731C9"/>
    <w:rsid w:val="00673890"/>
    <w:rsid w:val="00674406"/>
    <w:rsid w:val="00675924"/>
    <w:rsid w:val="00675E25"/>
    <w:rsid w:val="006761A7"/>
    <w:rsid w:val="00676DC2"/>
    <w:rsid w:val="00677136"/>
    <w:rsid w:val="00681A5C"/>
    <w:rsid w:val="006823AF"/>
    <w:rsid w:val="00682681"/>
    <w:rsid w:val="00682BA8"/>
    <w:rsid w:val="00684C73"/>
    <w:rsid w:val="00684D08"/>
    <w:rsid w:val="00685419"/>
    <w:rsid w:val="006866AF"/>
    <w:rsid w:val="00690387"/>
    <w:rsid w:val="006905BE"/>
    <w:rsid w:val="006914C8"/>
    <w:rsid w:val="00694003"/>
    <w:rsid w:val="00694278"/>
    <w:rsid w:val="00694550"/>
    <w:rsid w:val="00694C83"/>
    <w:rsid w:val="0069596F"/>
    <w:rsid w:val="006A0D48"/>
    <w:rsid w:val="006A2774"/>
    <w:rsid w:val="006A2C18"/>
    <w:rsid w:val="006A3D88"/>
    <w:rsid w:val="006A40B3"/>
    <w:rsid w:val="006A4FD9"/>
    <w:rsid w:val="006B0374"/>
    <w:rsid w:val="006B1366"/>
    <w:rsid w:val="006B7508"/>
    <w:rsid w:val="006C1C3B"/>
    <w:rsid w:val="006C275A"/>
    <w:rsid w:val="006C3051"/>
    <w:rsid w:val="006C7D8F"/>
    <w:rsid w:val="006D0816"/>
    <w:rsid w:val="006D3804"/>
    <w:rsid w:val="006D6AA6"/>
    <w:rsid w:val="006E00FE"/>
    <w:rsid w:val="006E11A2"/>
    <w:rsid w:val="006E2F01"/>
    <w:rsid w:val="006E3949"/>
    <w:rsid w:val="006E4969"/>
    <w:rsid w:val="006E57B7"/>
    <w:rsid w:val="006F232D"/>
    <w:rsid w:val="006F2808"/>
    <w:rsid w:val="006F2E21"/>
    <w:rsid w:val="006F2FF3"/>
    <w:rsid w:val="006F3D12"/>
    <w:rsid w:val="006F68BC"/>
    <w:rsid w:val="006F7C65"/>
    <w:rsid w:val="0070400D"/>
    <w:rsid w:val="00707165"/>
    <w:rsid w:val="00707771"/>
    <w:rsid w:val="00707C65"/>
    <w:rsid w:val="007106CC"/>
    <w:rsid w:val="00710775"/>
    <w:rsid w:val="00710E2C"/>
    <w:rsid w:val="00711E14"/>
    <w:rsid w:val="007123C3"/>
    <w:rsid w:val="007123CF"/>
    <w:rsid w:val="00712CFC"/>
    <w:rsid w:val="00713558"/>
    <w:rsid w:val="00715CD9"/>
    <w:rsid w:val="00716474"/>
    <w:rsid w:val="00720C4E"/>
    <w:rsid w:val="00721204"/>
    <w:rsid w:val="007220D1"/>
    <w:rsid w:val="0072293C"/>
    <w:rsid w:val="00722D48"/>
    <w:rsid w:val="00723D1F"/>
    <w:rsid w:val="007257B2"/>
    <w:rsid w:val="007258A6"/>
    <w:rsid w:val="00726CC1"/>
    <w:rsid w:val="00727233"/>
    <w:rsid w:val="007308D1"/>
    <w:rsid w:val="007341A5"/>
    <w:rsid w:val="00734F97"/>
    <w:rsid w:val="00735B3C"/>
    <w:rsid w:val="00735F7F"/>
    <w:rsid w:val="007364DD"/>
    <w:rsid w:val="00736931"/>
    <w:rsid w:val="00741C67"/>
    <w:rsid w:val="00744482"/>
    <w:rsid w:val="00745389"/>
    <w:rsid w:val="007465BA"/>
    <w:rsid w:val="00750744"/>
    <w:rsid w:val="00754215"/>
    <w:rsid w:val="007556FE"/>
    <w:rsid w:val="00756C95"/>
    <w:rsid w:val="00760799"/>
    <w:rsid w:val="00763040"/>
    <w:rsid w:val="007632AA"/>
    <w:rsid w:val="00763F8C"/>
    <w:rsid w:val="00763F8F"/>
    <w:rsid w:val="00764C9B"/>
    <w:rsid w:val="00767102"/>
    <w:rsid w:val="007707FC"/>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D4B"/>
    <w:rsid w:val="007A2D40"/>
    <w:rsid w:val="007A2D72"/>
    <w:rsid w:val="007A3E16"/>
    <w:rsid w:val="007A5C88"/>
    <w:rsid w:val="007A7701"/>
    <w:rsid w:val="007B0011"/>
    <w:rsid w:val="007B1560"/>
    <w:rsid w:val="007B18BA"/>
    <w:rsid w:val="007B1977"/>
    <w:rsid w:val="007B262C"/>
    <w:rsid w:val="007B5499"/>
    <w:rsid w:val="007B5702"/>
    <w:rsid w:val="007B5D82"/>
    <w:rsid w:val="007B5DF7"/>
    <w:rsid w:val="007B6DED"/>
    <w:rsid w:val="007B6F39"/>
    <w:rsid w:val="007B76B5"/>
    <w:rsid w:val="007B78C3"/>
    <w:rsid w:val="007C120D"/>
    <w:rsid w:val="007C206F"/>
    <w:rsid w:val="007C2565"/>
    <w:rsid w:val="007C37F1"/>
    <w:rsid w:val="007C44BD"/>
    <w:rsid w:val="007C4945"/>
    <w:rsid w:val="007C595A"/>
    <w:rsid w:val="007C5A02"/>
    <w:rsid w:val="007C633F"/>
    <w:rsid w:val="007D0777"/>
    <w:rsid w:val="007D09DF"/>
    <w:rsid w:val="007D180B"/>
    <w:rsid w:val="007D2057"/>
    <w:rsid w:val="007D344C"/>
    <w:rsid w:val="007D3BA6"/>
    <w:rsid w:val="007D3FA0"/>
    <w:rsid w:val="007D40B8"/>
    <w:rsid w:val="007D53A9"/>
    <w:rsid w:val="007E0BAF"/>
    <w:rsid w:val="007E3F4A"/>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1A5D"/>
    <w:rsid w:val="008031E8"/>
    <w:rsid w:val="0080371D"/>
    <w:rsid w:val="00803BA3"/>
    <w:rsid w:val="008048F4"/>
    <w:rsid w:val="0080681F"/>
    <w:rsid w:val="008068AE"/>
    <w:rsid w:val="00810397"/>
    <w:rsid w:val="0081132C"/>
    <w:rsid w:val="0081465F"/>
    <w:rsid w:val="00814A0A"/>
    <w:rsid w:val="008160B5"/>
    <w:rsid w:val="00821195"/>
    <w:rsid w:val="00823F2C"/>
    <w:rsid w:val="00824EE6"/>
    <w:rsid w:val="0082591D"/>
    <w:rsid w:val="008261E9"/>
    <w:rsid w:val="0083061B"/>
    <w:rsid w:val="0083155E"/>
    <w:rsid w:val="008328AA"/>
    <w:rsid w:val="008353D2"/>
    <w:rsid w:val="00836B57"/>
    <w:rsid w:val="00837C18"/>
    <w:rsid w:val="00840E5F"/>
    <w:rsid w:val="0084452E"/>
    <w:rsid w:val="008460CC"/>
    <w:rsid w:val="00846A30"/>
    <w:rsid w:val="008472E5"/>
    <w:rsid w:val="00850A23"/>
    <w:rsid w:val="00851309"/>
    <w:rsid w:val="0085220A"/>
    <w:rsid w:val="00852256"/>
    <w:rsid w:val="00855A24"/>
    <w:rsid w:val="00856068"/>
    <w:rsid w:val="008617E7"/>
    <w:rsid w:val="00862025"/>
    <w:rsid w:val="00862A63"/>
    <w:rsid w:val="00862EBC"/>
    <w:rsid w:val="008632D4"/>
    <w:rsid w:val="008641D7"/>
    <w:rsid w:val="00865168"/>
    <w:rsid w:val="008653FA"/>
    <w:rsid w:val="008654AD"/>
    <w:rsid w:val="008713F6"/>
    <w:rsid w:val="00873011"/>
    <w:rsid w:val="00873F40"/>
    <w:rsid w:val="00874803"/>
    <w:rsid w:val="008751D8"/>
    <w:rsid w:val="008753B0"/>
    <w:rsid w:val="0087775A"/>
    <w:rsid w:val="008778BA"/>
    <w:rsid w:val="008805B5"/>
    <w:rsid w:val="00881381"/>
    <w:rsid w:val="00881830"/>
    <w:rsid w:val="0088258E"/>
    <w:rsid w:val="008826E3"/>
    <w:rsid w:val="00882CA8"/>
    <w:rsid w:val="00884149"/>
    <w:rsid w:val="0088509E"/>
    <w:rsid w:val="008866DC"/>
    <w:rsid w:val="00887403"/>
    <w:rsid w:val="0089032B"/>
    <w:rsid w:val="00891545"/>
    <w:rsid w:val="008915C0"/>
    <w:rsid w:val="00891CE1"/>
    <w:rsid w:val="0089228D"/>
    <w:rsid w:val="00893EC7"/>
    <w:rsid w:val="00894BCF"/>
    <w:rsid w:val="00895036"/>
    <w:rsid w:val="008951F9"/>
    <w:rsid w:val="00897DFE"/>
    <w:rsid w:val="008A01A3"/>
    <w:rsid w:val="008A04F6"/>
    <w:rsid w:val="008A16E0"/>
    <w:rsid w:val="008A1C9C"/>
    <w:rsid w:val="008A2EC8"/>
    <w:rsid w:val="008A316B"/>
    <w:rsid w:val="008A4EF4"/>
    <w:rsid w:val="008A7DE4"/>
    <w:rsid w:val="008B144F"/>
    <w:rsid w:val="008B19F4"/>
    <w:rsid w:val="008B2194"/>
    <w:rsid w:val="008B42D6"/>
    <w:rsid w:val="008B46FF"/>
    <w:rsid w:val="008B48B8"/>
    <w:rsid w:val="008C08EF"/>
    <w:rsid w:val="008C0AA3"/>
    <w:rsid w:val="008C293B"/>
    <w:rsid w:val="008C3B2F"/>
    <w:rsid w:val="008C5112"/>
    <w:rsid w:val="008C70F2"/>
    <w:rsid w:val="008D0040"/>
    <w:rsid w:val="008D1AF6"/>
    <w:rsid w:val="008D2066"/>
    <w:rsid w:val="008D27EF"/>
    <w:rsid w:val="008D3C22"/>
    <w:rsid w:val="008D3F80"/>
    <w:rsid w:val="008D570A"/>
    <w:rsid w:val="008D7A9A"/>
    <w:rsid w:val="008E05A5"/>
    <w:rsid w:val="008E0CBF"/>
    <w:rsid w:val="008E0EF1"/>
    <w:rsid w:val="008E1432"/>
    <w:rsid w:val="008E19C9"/>
    <w:rsid w:val="008E2244"/>
    <w:rsid w:val="008E3A2F"/>
    <w:rsid w:val="008E4150"/>
    <w:rsid w:val="008E451C"/>
    <w:rsid w:val="008E6289"/>
    <w:rsid w:val="008F003B"/>
    <w:rsid w:val="008F18E5"/>
    <w:rsid w:val="008F315E"/>
    <w:rsid w:val="008F31EB"/>
    <w:rsid w:val="008F3714"/>
    <w:rsid w:val="008F6A29"/>
    <w:rsid w:val="009000D4"/>
    <w:rsid w:val="009018F8"/>
    <w:rsid w:val="00903449"/>
    <w:rsid w:val="00903C63"/>
    <w:rsid w:val="00904A3A"/>
    <w:rsid w:val="00904B9A"/>
    <w:rsid w:val="00905970"/>
    <w:rsid w:val="00905CF1"/>
    <w:rsid w:val="009063C8"/>
    <w:rsid w:val="00906D5C"/>
    <w:rsid w:val="009071F5"/>
    <w:rsid w:val="00907732"/>
    <w:rsid w:val="00907A5F"/>
    <w:rsid w:val="009100B8"/>
    <w:rsid w:val="00911B29"/>
    <w:rsid w:val="0091244D"/>
    <w:rsid w:val="009135BD"/>
    <w:rsid w:val="009137A5"/>
    <w:rsid w:val="009143FE"/>
    <w:rsid w:val="00915EE3"/>
    <w:rsid w:val="00916ABE"/>
    <w:rsid w:val="00916AE7"/>
    <w:rsid w:val="00921AAF"/>
    <w:rsid w:val="00924E69"/>
    <w:rsid w:val="0093075F"/>
    <w:rsid w:val="00930FFC"/>
    <w:rsid w:val="009315B4"/>
    <w:rsid w:val="00932E43"/>
    <w:rsid w:val="009362FB"/>
    <w:rsid w:val="009405CC"/>
    <w:rsid w:val="0094079B"/>
    <w:rsid w:val="009434C6"/>
    <w:rsid w:val="00943853"/>
    <w:rsid w:val="00943E46"/>
    <w:rsid w:val="00943F86"/>
    <w:rsid w:val="00945154"/>
    <w:rsid w:val="00945AA7"/>
    <w:rsid w:val="00945E3B"/>
    <w:rsid w:val="00947FBD"/>
    <w:rsid w:val="00953EA8"/>
    <w:rsid w:val="00955189"/>
    <w:rsid w:val="0095601E"/>
    <w:rsid w:val="00956D15"/>
    <w:rsid w:val="00956E5F"/>
    <w:rsid w:val="00956FD0"/>
    <w:rsid w:val="00960469"/>
    <w:rsid w:val="0096448F"/>
    <w:rsid w:val="00965356"/>
    <w:rsid w:val="009660D4"/>
    <w:rsid w:val="00966F23"/>
    <w:rsid w:val="009670D4"/>
    <w:rsid w:val="00967665"/>
    <w:rsid w:val="00971514"/>
    <w:rsid w:val="00971B5C"/>
    <w:rsid w:val="00973BFB"/>
    <w:rsid w:val="00973DED"/>
    <w:rsid w:val="009740CF"/>
    <w:rsid w:val="00974B6E"/>
    <w:rsid w:val="009759B2"/>
    <w:rsid w:val="00975DEE"/>
    <w:rsid w:val="00976C25"/>
    <w:rsid w:val="00976F23"/>
    <w:rsid w:val="00976F9D"/>
    <w:rsid w:val="0098041A"/>
    <w:rsid w:val="00981280"/>
    <w:rsid w:val="009812D1"/>
    <w:rsid w:val="00981DA7"/>
    <w:rsid w:val="009827E2"/>
    <w:rsid w:val="00982D3B"/>
    <w:rsid w:val="00983410"/>
    <w:rsid w:val="009849BE"/>
    <w:rsid w:val="00984A8B"/>
    <w:rsid w:val="00985311"/>
    <w:rsid w:val="00990855"/>
    <w:rsid w:val="009914DB"/>
    <w:rsid w:val="00994051"/>
    <w:rsid w:val="00994070"/>
    <w:rsid w:val="0099460C"/>
    <w:rsid w:val="00995393"/>
    <w:rsid w:val="00996AB2"/>
    <w:rsid w:val="0099755A"/>
    <w:rsid w:val="009A0660"/>
    <w:rsid w:val="009A0C50"/>
    <w:rsid w:val="009A296F"/>
    <w:rsid w:val="009A3606"/>
    <w:rsid w:val="009B06F1"/>
    <w:rsid w:val="009B0D18"/>
    <w:rsid w:val="009B15A7"/>
    <w:rsid w:val="009B2599"/>
    <w:rsid w:val="009B4AA4"/>
    <w:rsid w:val="009B63FD"/>
    <w:rsid w:val="009C2749"/>
    <w:rsid w:val="009C31DE"/>
    <w:rsid w:val="009C651C"/>
    <w:rsid w:val="009C70EE"/>
    <w:rsid w:val="009C77EB"/>
    <w:rsid w:val="009D1438"/>
    <w:rsid w:val="009D1939"/>
    <w:rsid w:val="009D38B7"/>
    <w:rsid w:val="009D5C6C"/>
    <w:rsid w:val="009D68F9"/>
    <w:rsid w:val="009D6BAD"/>
    <w:rsid w:val="009D6F42"/>
    <w:rsid w:val="009D70FC"/>
    <w:rsid w:val="009D7443"/>
    <w:rsid w:val="009E4F19"/>
    <w:rsid w:val="009E51A9"/>
    <w:rsid w:val="009E5A8E"/>
    <w:rsid w:val="009E703D"/>
    <w:rsid w:val="009F06E6"/>
    <w:rsid w:val="009F097B"/>
    <w:rsid w:val="009F0B85"/>
    <w:rsid w:val="009F1835"/>
    <w:rsid w:val="009F2D61"/>
    <w:rsid w:val="009F39A4"/>
    <w:rsid w:val="009F3D82"/>
    <w:rsid w:val="009F5AA0"/>
    <w:rsid w:val="00A02A0E"/>
    <w:rsid w:val="00A0498A"/>
    <w:rsid w:val="00A04EA2"/>
    <w:rsid w:val="00A05CE4"/>
    <w:rsid w:val="00A070C1"/>
    <w:rsid w:val="00A13496"/>
    <w:rsid w:val="00A13E85"/>
    <w:rsid w:val="00A14F83"/>
    <w:rsid w:val="00A155E4"/>
    <w:rsid w:val="00A17EAA"/>
    <w:rsid w:val="00A20D02"/>
    <w:rsid w:val="00A2179E"/>
    <w:rsid w:val="00A227F4"/>
    <w:rsid w:val="00A2328B"/>
    <w:rsid w:val="00A23CFA"/>
    <w:rsid w:val="00A25182"/>
    <w:rsid w:val="00A26C03"/>
    <w:rsid w:val="00A27137"/>
    <w:rsid w:val="00A30E48"/>
    <w:rsid w:val="00A3173B"/>
    <w:rsid w:val="00A32B05"/>
    <w:rsid w:val="00A32B8A"/>
    <w:rsid w:val="00A36479"/>
    <w:rsid w:val="00A36956"/>
    <w:rsid w:val="00A374CC"/>
    <w:rsid w:val="00A406D2"/>
    <w:rsid w:val="00A41823"/>
    <w:rsid w:val="00A41EA5"/>
    <w:rsid w:val="00A4217D"/>
    <w:rsid w:val="00A42244"/>
    <w:rsid w:val="00A43949"/>
    <w:rsid w:val="00A43FF8"/>
    <w:rsid w:val="00A457FC"/>
    <w:rsid w:val="00A45DF7"/>
    <w:rsid w:val="00A468C0"/>
    <w:rsid w:val="00A47AE7"/>
    <w:rsid w:val="00A5024C"/>
    <w:rsid w:val="00A50BE4"/>
    <w:rsid w:val="00A52CAF"/>
    <w:rsid w:val="00A54A5B"/>
    <w:rsid w:val="00A55E36"/>
    <w:rsid w:val="00A5646D"/>
    <w:rsid w:val="00A604D8"/>
    <w:rsid w:val="00A61828"/>
    <w:rsid w:val="00A61AEF"/>
    <w:rsid w:val="00A62D3C"/>
    <w:rsid w:val="00A64711"/>
    <w:rsid w:val="00A64FC9"/>
    <w:rsid w:val="00A7020B"/>
    <w:rsid w:val="00A7318A"/>
    <w:rsid w:val="00A73641"/>
    <w:rsid w:val="00A73CF1"/>
    <w:rsid w:val="00A75235"/>
    <w:rsid w:val="00A77824"/>
    <w:rsid w:val="00A81BBC"/>
    <w:rsid w:val="00A81D7A"/>
    <w:rsid w:val="00A8431E"/>
    <w:rsid w:val="00A843F0"/>
    <w:rsid w:val="00A85F28"/>
    <w:rsid w:val="00A90157"/>
    <w:rsid w:val="00A9162E"/>
    <w:rsid w:val="00A9199C"/>
    <w:rsid w:val="00A928D2"/>
    <w:rsid w:val="00A92FC1"/>
    <w:rsid w:val="00A93954"/>
    <w:rsid w:val="00A93D78"/>
    <w:rsid w:val="00A93DCA"/>
    <w:rsid w:val="00A942DE"/>
    <w:rsid w:val="00A94ADC"/>
    <w:rsid w:val="00A94B2F"/>
    <w:rsid w:val="00A957FB"/>
    <w:rsid w:val="00A95C09"/>
    <w:rsid w:val="00A95D0D"/>
    <w:rsid w:val="00AA081F"/>
    <w:rsid w:val="00AA1BBA"/>
    <w:rsid w:val="00AA2F30"/>
    <w:rsid w:val="00AA33AE"/>
    <w:rsid w:val="00AA3B70"/>
    <w:rsid w:val="00AA4C5B"/>
    <w:rsid w:val="00AA59EF"/>
    <w:rsid w:val="00AA5AE6"/>
    <w:rsid w:val="00AB02F3"/>
    <w:rsid w:val="00AB0898"/>
    <w:rsid w:val="00AB0E53"/>
    <w:rsid w:val="00AB2427"/>
    <w:rsid w:val="00AB39FC"/>
    <w:rsid w:val="00AB3ECA"/>
    <w:rsid w:val="00AB42A7"/>
    <w:rsid w:val="00AC0A1C"/>
    <w:rsid w:val="00AC0D74"/>
    <w:rsid w:val="00AC1D0B"/>
    <w:rsid w:val="00AC46EF"/>
    <w:rsid w:val="00AC486E"/>
    <w:rsid w:val="00AC70F8"/>
    <w:rsid w:val="00AC75B2"/>
    <w:rsid w:val="00AD1442"/>
    <w:rsid w:val="00AD1F5C"/>
    <w:rsid w:val="00AD24C1"/>
    <w:rsid w:val="00AD2ED2"/>
    <w:rsid w:val="00AD44EE"/>
    <w:rsid w:val="00AD5431"/>
    <w:rsid w:val="00AD5C30"/>
    <w:rsid w:val="00AD6B64"/>
    <w:rsid w:val="00AD7163"/>
    <w:rsid w:val="00AD79A8"/>
    <w:rsid w:val="00AD7EF8"/>
    <w:rsid w:val="00AE086A"/>
    <w:rsid w:val="00AE118E"/>
    <w:rsid w:val="00AE2ACB"/>
    <w:rsid w:val="00AE33FA"/>
    <w:rsid w:val="00AE62E4"/>
    <w:rsid w:val="00AE6468"/>
    <w:rsid w:val="00AE7027"/>
    <w:rsid w:val="00AE70A2"/>
    <w:rsid w:val="00AE7B54"/>
    <w:rsid w:val="00AF025E"/>
    <w:rsid w:val="00AF19CD"/>
    <w:rsid w:val="00AF1A27"/>
    <w:rsid w:val="00AF5C75"/>
    <w:rsid w:val="00AF612C"/>
    <w:rsid w:val="00AF6C27"/>
    <w:rsid w:val="00AF6E3F"/>
    <w:rsid w:val="00B0015E"/>
    <w:rsid w:val="00B01D55"/>
    <w:rsid w:val="00B01DD6"/>
    <w:rsid w:val="00B02428"/>
    <w:rsid w:val="00B04151"/>
    <w:rsid w:val="00B0466B"/>
    <w:rsid w:val="00B04949"/>
    <w:rsid w:val="00B04B62"/>
    <w:rsid w:val="00B0515F"/>
    <w:rsid w:val="00B05B6F"/>
    <w:rsid w:val="00B0646B"/>
    <w:rsid w:val="00B100C5"/>
    <w:rsid w:val="00B10840"/>
    <w:rsid w:val="00B10AF5"/>
    <w:rsid w:val="00B10D9C"/>
    <w:rsid w:val="00B12B45"/>
    <w:rsid w:val="00B139E9"/>
    <w:rsid w:val="00B15631"/>
    <w:rsid w:val="00B15D62"/>
    <w:rsid w:val="00B17C34"/>
    <w:rsid w:val="00B21F0E"/>
    <w:rsid w:val="00B220D2"/>
    <w:rsid w:val="00B22E56"/>
    <w:rsid w:val="00B23AC9"/>
    <w:rsid w:val="00B30447"/>
    <w:rsid w:val="00B3131A"/>
    <w:rsid w:val="00B32C4F"/>
    <w:rsid w:val="00B364A1"/>
    <w:rsid w:val="00B37642"/>
    <w:rsid w:val="00B411B0"/>
    <w:rsid w:val="00B41BC2"/>
    <w:rsid w:val="00B43640"/>
    <w:rsid w:val="00B438A6"/>
    <w:rsid w:val="00B43AF5"/>
    <w:rsid w:val="00B4515D"/>
    <w:rsid w:val="00B478D0"/>
    <w:rsid w:val="00B531CA"/>
    <w:rsid w:val="00B53BE5"/>
    <w:rsid w:val="00B5427D"/>
    <w:rsid w:val="00B562C8"/>
    <w:rsid w:val="00B56E76"/>
    <w:rsid w:val="00B63804"/>
    <w:rsid w:val="00B65F9A"/>
    <w:rsid w:val="00B66BDF"/>
    <w:rsid w:val="00B66E61"/>
    <w:rsid w:val="00B67118"/>
    <w:rsid w:val="00B70C06"/>
    <w:rsid w:val="00B71201"/>
    <w:rsid w:val="00B7212C"/>
    <w:rsid w:val="00B72F70"/>
    <w:rsid w:val="00B73BD8"/>
    <w:rsid w:val="00B7552B"/>
    <w:rsid w:val="00B75D3A"/>
    <w:rsid w:val="00B77993"/>
    <w:rsid w:val="00B77E22"/>
    <w:rsid w:val="00B862CB"/>
    <w:rsid w:val="00B86AC5"/>
    <w:rsid w:val="00B8756C"/>
    <w:rsid w:val="00B905A4"/>
    <w:rsid w:val="00B92046"/>
    <w:rsid w:val="00B92076"/>
    <w:rsid w:val="00B920A9"/>
    <w:rsid w:val="00B95035"/>
    <w:rsid w:val="00B95521"/>
    <w:rsid w:val="00B95F64"/>
    <w:rsid w:val="00B9600C"/>
    <w:rsid w:val="00B96FCB"/>
    <w:rsid w:val="00B97ED5"/>
    <w:rsid w:val="00BA0082"/>
    <w:rsid w:val="00BA0C20"/>
    <w:rsid w:val="00BA0C49"/>
    <w:rsid w:val="00BA1544"/>
    <w:rsid w:val="00BA3696"/>
    <w:rsid w:val="00BA6D05"/>
    <w:rsid w:val="00BB1F45"/>
    <w:rsid w:val="00BB24B4"/>
    <w:rsid w:val="00BB5AD6"/>
    <w:rsid w:val="00BB64C8"/>
    <w:rsid w:val="00BC0447"/>
    <w:rsid w:val="00BC31C8"/>
    <w:rsid w:val="00BC43E5"/>
    <w:rsid w:val="00BC70D9"/>
    <w:rsid w:val="00BC7717"/>
    <w:rsid w:val="00BD2840"/>
    <w:rsid w:val="00BD3F15"/>
    <w:rsid w:val="00BD419E"/>
    <w:rsid w:val="00BD4792"/>
    <w:rsid w:val="00BD6863"/>
    <w:rsid w:val="00BD68B9"/>
    <w:rsid w:val="00BE0373"/>
    <w:rsid w:val="00BE0833"/>
    <w:rsid w:val="00BE27FE"/>
    <w:rsid w:val="00BE3F2E"/>
    <w:rsid w:val="00BF2489"/>
    <w:rsid w:val="00BF52F1"/>
    <w:rsid w:val="00BF738B"/>
    <w:rsid w:val="00BF76D8"/>
    <w:rsid w:val="00C00DFA"/>
    <w:rsid w:val="00C01834"/>
    <w:rsid w:val="00C0298F"/>
    <w:rsid w:val="00C03C3C"/>
    <w:rsid w:val="00C04037"/>
    <w:rsid w:val="00C069F5"/>
    <w:rsid w:val="00C100B1"/>
    <w:rsid w:val="00C10394"/>
    <w:rsid w:val="00C104F2"/>
    <w:rsid w:val="00C1062A"/>
    <w:rsid w:val="00C10E60"/>
    <w:rsid w:val="00C11E06"/>
    <w:rsid w:val="00C139F2"/>
    <w:rsid w:val="00C1591F"/>
    <w:rsid w:val="00C16AE4"/>
    <w:rsid w:val="00C16FA9"/>
    <w:rsid w:val="00C17624"/>
    <w:rsid w:val="00C17C4C"/>
    <w:rsid w:val="00C20C11"/>
    <w:rsid w:val="00C212AA"/>
    <w:rsid w:val="00C21BEE"/>
    <w:rsid w:val="00C22548"/>
    <w:rsid w:val="00C22EE6"/>
    <w:rsid w:val="00C23B5A"/>
    <w:rsid w:val="00C256F9"/>
    <w:rsid w:val="00C2760D"/>
    <w:rsid w:val="00C32B3A"/>
    <w:rsid w:val="00C33D0D"/>
    <w:rsid w:val="00C34FB3"/>
    <w:rsid w:val="00C3606B"/>
    <w:rsid w:val="00C36DBF"/>
    <w:rsid w:val="00C41361"/>
    <w:rsid w:val="00C44902"/>
    <w:rsid w:val="00C461F1"/>
    <w:rsid w:val="00C4627F"/>
    <w:rsid w:val="00C47911"/>
    <w:rsid w:val="00C47AC8"/>
    <w:rsid w:val="00C47B74"/>
    <w:rsid w:val="00C50A5D"/>
    <w:rsid w:val="00C50BF2"/>
    <w:rsid w:val="00C52159"/>
    <w:rsid w:val="00C548D8"/>
    <w:rsid w:val="00C55F11"/>
    <w:rsid w:val="00C56119"/>
    <w:rsid w:val="00C607EC"/>
    <w:rsid w:val="00C61CFD"/>
    <w:rsid w:val="00C62BFF"/>
    <w:rsid w:val="00C62FD9"/>
    <w:rsid w:val="00C634AF"/>
    <w:rsid w:val="00C64527"/>
    <w:rsid w:val="00C65FCA"/>
    <w:rsid w:val="00C6781D"/>
    <w:rsid w:val="00C70EB6"/>
    <w:rsid w:val="00C7138B"/>
    <w:rsid w:val="00C7471D"/>
    <w:rsid w:val="00C77DA6"/>
    <w:rsid w:val="00C80106"/>
    <w:rsid w:val="00C80996"/>
    <w:rsid w:val="00C81112"/>
    <w:rsid w:val="00C81FE6"/>
    <w:rsid w:val="00C83345"/>
    <w:rsid w:val="00C846A9"/>
    <w:rsid w:val="00C87A85"/>
    <w:rsid w:val="00C91182"/>
    <w:rsid w:val="00C921FE"/>
    <w:rsid w:val="00C92394"/>
    <w:rsid w:val="00C93B81"/>
    <w:rsid w:val="00C958E7"/>
    <w:rsid w:val="00CA0D78"/>
    <w:rsid w:val="00CA1378"/>
    <w:rsid w:val="00CA4BF3"/>
    <w:rsid w:val="00CA4F0F"/>
    <w:rsid w:val="00CB125C"/>
    <w:rsid w:val="00CB17D9"/>
    <w:rsid w:val="00CB1FCF"/>
    <w:rsid w:val="00CB2589"/>
    <w:rsid w:val="00CB356E"/>
    <w:rsid w:val="00CB4895"/>
    <w:rsid w:val="00CB550B"/>
    <w:rsid w:val="00CC0590"/>
    <w:rsid w:val="00CC0DC1"/>
    <w:rsid w:val="00CC3464"/>
    <w:rsid w:val="00CC3ADA"/>
    <w:rsid w:val="00CC4887"/>
    <w:rsid w:val="00CC4EF1"/>
    <w:rsid w:val="00CC551A"/>
    <w:rsid w:val="00CC69B4"/>
    <w:rsid w:val="00CC72EB"/>
    <w:rsid w:val="00CD0763"/>
    <w:rsid w:val="00CD0F44"/>
    <w:rsid w:val="00CD0F93"/>
    <w:rsid w:val="00CD4150"/>
    <w:rsid w:val="00CD7083"/>
    <w:rsid w:val="00CD79DF"/>
    <w:rsid w:val="00CE1EF2"/>
    <w:rsid w:val="00CE35CE"/>
    <w:rsid w:val="00CE4314"/>
    <w:rsid w:val="00CE5FC5"/>
    <w:rsid w:val="00CE714F"/>
    <w:rsid w:val="00CE75C2"/>
    <w:rsid w:val="00CF1095"/>
    <w:rsid w:val="00CF2379"/>
    <w:rsid w:val="00CF27D5"/>
    <w:rsid w:val="00CF4A5D"/>
    <w:rsid w:val="00CF5029"/>
    <w:rsid w:val="00CF5421"/>
    <w:rsid w:val="00CF576A"/>
    <w:rsid w:val="00CF5C91"/>
    <w:rsid w:val="00CF5C9E"/>
    <w:rsid w:val="00CF6177"/>
    <w:rsid w:val="00CF6F30"/>
    <w:rsid w:val="00D0084A"/>
    <w:rsid w:val="00D01575"/>
    <w:rsid w:val="00D02AA6"/>
    <w:rsid w:val="00D032C1"/>
    <w:rsid w:val="00D0554B"/>
    <w:rsid w:val="00D10080"/>
    <w:rsid w:val="00D10945"/>
    <w:rsid w:val="00D112DE"/>
    <w:rsid w:val="00D11938"/>
    <w:rsid w:val="00D13723"/>
    <w:rsid w:val="00D20949"/>
    <w:rsid w:val="00D213EB"/>
    <w:rsid w:val="00D21557"/>
    <w:rsid w:val="00D23A77"/>
    <w:rsid w:val="00D24908"/>
    <w:rsid w:val="00D260C3"/>
    <w:rsid w:val="00D26139"/>
    <w:rsid w:val="00D320B2"/>
    <w:rsid w:val="00D32B07"/>
    <w:rsid w:val="00D33344"/>
    <w:rsid w:val="00D3459C"/>
    <w:rsid w:val="00D35984"/>
    <w:rsid w:val="00D426FA"/>
    <w:rsid w:val="00D43C32"/>
    <w:rsid w:val="00D43DB8"/>
    <w:rsid w:val="00D44687"/>
    <w:rsid w:val="00D50907"/>
    <w:rsid w:val="00D50A1D"/>
    <w:rsid w:val="00D51CB6"/>
    <w:rsid w:val="00D52E5F"/>
    <w:rsid w:val="00D53719"/>
    <w:rsid w:val="00D5471E"/>
    <w:rsid w:val="00D54800"/>
    <w:rsid w:val="00D54AF4"/>
    <w:rsid w:val="00D56DAA"/>
    <w:rsid w:val="00D578CB"/>
    <w:rsid w:val="00D602F1"/>
    <w:rsid w:val="00D61907"/>
    <w:rsid w:val="00D630C1"/>
    <w:rsid w:val="00D65B8B"/>
    <w:rsid w:val="00D72F00"/>
    <w:rsid w:val="00D72FF0"/>
    <w:rsid w:val="00D736BD"/>
    <w:rsid w:val="00D73E96"/>
    <w:rsid w:val="00D747E2"/>
    <w:rsid w:val="00D75A77"/>
    <w:rsid w:val="00D76CC5"/>
    <w:rsid w:val="00D82CC5"/>
    <w:rsid w:val="00D83957"/>
    <w:rsid w:val="00D83A53"/>
    <w:rsid w:val="00D8473B"/>
    <w:rsid w:val="00D85590"/>
    <w:rsid w:val="00D879A8"/>
    <w:rsid w:val="00D90355"/>
    <w:rsid w:val="00D90456"/>
    <w:rsid w:val="00D90509"/>
    <w:rsid w:val="00D91996"/>
    <w:rsid w:val="00D945F7"/>
    <w:rsid w:val="00D94954"/>
    <w:rsid w:val="00D955FB"/>
    <w:rsid w:val="00D959B2"/>
    <w:rsid w:val="00D96A1C"/>
    <w:rsid w:val="00D96DB6"/>
    <w:rsid w:val="00D97972"/>
    <w:rsid w:val="00DA069C"/>
    <w:rsid w:val="00DA1D61"/>
    <w:rsid w:val="00DA29AB"/>
    <w:rsid w:val="00DA3E57"/>
    <w:rsid w:val="00DA4B0A"/>
    <w:rsid w:val="00DA4B25"/>
    <w:rsid w:val="00DA4FEE"/>
    <w:rsid w:val="00DA516C"/>
    <w:rsid w:val="00DA7434"/>
    <w:rsid w:val="00DB2802"/>
    <w:rsid w:val="00DB301C"/>
    <w:rsid w:val="00DB4C83"/>
    <w:rsid w:val="00DB68F5"/>
    <w:rsid w:val="00DB6C87"/>
    <w:rsid w:val="00DB6F54"/>
    <w:rsid w:val="00DC00E5"/>
    <w:rsid w:val="00DC07F0"/>
    <w:rsid w:val="00DC3873"/>
    <w:rsid w:val="00DC3D92"/>
    <w:rsid w:val="00DC3EAA"/>
    <w:rsid w:val="00DC5EB7"/>
    <w:rsid w:val="00DC6D6A"/>
    <w:rsid w:val="00DC7C5E"/>
    <w:rsid w:val="00DD102E"/>
    <w:rsid w:val="00DD1192"/>
    <w:rsid w:val="00DD130C"/>
    <w:rsid w:val="00DD4354"/>
    <w:rsid w:val="00DD48EF"/>
    <w:rsid w:val="00DD5792"/>
    <w:rsid w:val="00DD6BF4"/>
    <w:rsid w:val="00DE0497"/>
    <w:rsid w:val="00DE34EB"/>
    <w:rsid w:val="00DE4E46"/>
    <w:rsid w:val="00DE565B"/>
    <w:rsid w:val="00DE6DB7"/>
    <w:rsid w:val="00DE762B"/>
    <w:rsid w:val="00DF0B7C"/>
    <w:rsid w:val="00DF30A5"/>
    <w:rsid w:val="00DF534A"/>
    <w:rsid w:val="00E032A5"/>
    <w:rsid w:val="00E04B5A"/>
    <w:rsid w:val="00E062F9"/>
    <w:rsid w:val="00E065F8"/>
    <w:rsid w:val="00E07D42"/>
    <w:rsid w:val="00E103D6"/>
    <w:rsid w:val="00E108AB"/>
    <w:rsid w:val="00E122EA"/>
    <w:rsid w:val="00E13165"/>
    <w:rsid w:val="00E1371F"/>
    <w:rsid w:val="00E14964"/>
    <w:rsid w:val="00E14FC8"/>
    <w:rsid w:val="00E165C2"/>
    <w:rsid w:val="00E173F7"/>
    <w:rsid w:val="00E205E5"/>
    <w:rsid w:val="00E20651"/>
    <w:rsid w:val="00E2298E"/>
    <w:rsid w:val="00E22FB8"/>
    <w:rsid w:val="00E2487C"/>
    <w:rsid w:val="00E260D9"/>
    <w:rsid w:val="00E26912"/>
    <w:rsid w:val="00E26AEF"/>
    <w:rsid w:val="00E26B7B"/>
    <w:rsid w:val="00E27B52"/>
    <w:rsid w:val="00E31D74"/>
    <w:rsid w:val="00E32A72"/>
    <w:rsid w:val="00E35950"/>
    <w:rsid w:val="00E368B2"/>
    <w:rsid w:val="00E36F46"/>
    <w:rsid w:val="00E40121"/>
    <w:rsid w:val="00E40CD3"/>
    <w:rsid w:val="00E40E53"/>
    <w:rsid w:val="00E4195D"/>
    <w:rsid w:val="00E41E63"/>
    <w:rsid w:val="00E41EBF"/>
    <w:rsid w:val="00E41F11"/>
    <w:rsid w:val="00E42818"/>
    <w:rsid w:val="00E42E2A"/>
    <w:rsid w:val="00E42FE0"/>
    <w:rsid w:val="00E433A8"/>
    <w:rsid w:val="00E4434A"/>
    <w:rsid w:val="00E46710"/>
    <w:rsid w:val="00E47F4C"/>
    <w:rsid w:val="00E50C89"/>
    <w:rsid w:val="00E511FE"/>
    <w:rsid w:val="00E51CB5"/>
    <w:rsid w:val="00E52313"/>
    <w:rsid w:val="00E523D6"/>
    <w:rsid w:val="00E54AEA"/>
    <w:rsid w:val="00E55394"/>
    <w:rsid w:val="00E55E54"/>
    <w:rsid w:val="00E56011"/>
    <w:rsid w:val="00E615DD"/>
    <w:rsid w:val="00E61D88"/>
    <w:rsid w:val="00E62E71"/>
    <w:rsid w:val="00E63CEA"/>
    <w:rsid w:val="00E645B5"/>
    <w:rsid w:val="00E665CA"/>
    <w:rsid w:val="00E670B5"/>
    <w:rsid w:val="00E673CC"/>
    <w:rsid w:val="00E70A48"/>
    <w:rsid w:val="00E71E05"/>
    <w:rsid w:val="00E72202"/>
    <w:rsid w:val="00E73A8B"/>
    <w:rsid w:val="00E73DC1"/>
    <w:rsid w:val="00E74505"/>
    <w:rsid w:val="00E76BE2"/>
    <w:rsid w:val="00E77022"/>
    <w:rsid w:val="00E77134"/>
    <w:rsid w:val="00E77E7A"/>
    <w:rsid w:val="00E807E5"/>
    <w:rsid w:val="00E8285B"/>
    <w:rsid w:val="00E82ED3"/>
    <w:rsid w:val="00E924F2"/>
    <w:rsid w:val="00E932F6"/>
    <w:rsid w:val="00E93C1F"/>
    <w:rsid w:val="00E94E75"/>
    <w:rsid w:val="00E9594F"/>
    <w:rsid w:val="00EA0A58"/>
    <w:rsid w:val="00EA24A2"/>
    <w:rsid w:val="00EA25C2"/>
    <w:rsid w:val="00EA2761"/>
    <w:rsid w:val="00EA3525"/>
    <w:rsid w:val="00EA3CA8"/>
    <w:rsid w:val="00EA4765"/>
    <w:rsid w:val="00EA4839"/>
    <w:rsid w:val="00EA64C7"/>
    <w:rsid w:val="00EB0CE5"/>
    <w:rsid w:val="00EB1991"/>
    <w:rsid w:val="00EB5663"/>
    <w:rsid w:val="00EB7632"/>
    <w:rsid w:val="00EC00CB"/>
    <w:rsid w:val="00EC1A79"/>
    <w:rsid w:val="00EC3B1B"/>
    <w:rsid w:val="00EC3C6F"/>
    <w:rsid w:val="00EC3DF8"/>
    <w:rsid w:val="00EC7B39"/>
    <w:rsid w:val="00ED0240"/>
    <w:rsid w:val="00ED26B2"/>
    <w:rsid w:val="00ED29F1"/>
    <w:rsid w:val="00ED6902"/>
    <w:rsid w:val="00ED6B4C"/>
    <w:rsid w:val="00ED7CCD"/>
    <w:rsid w:val="00EE06AF"/>
    <w:rsid w:val="00EE108C"/>
    <w:rsid w:val="00EE15DB"/>
    <w:rsid w:val="00EE2BB7"/>
    <w:rsid w:val="00EE2EDA"/>
    <w:rsid w:val="00EE336E"/>
    <w:rsid w:val="00EE478D"/>
    <w:rsid w:val="00EE61DE"/>
    <w:rsid w:val="00EE629D"/>
    <w:rsid w:val="00EE6D05"/>
    <w:rsid w:val="00EE7F9C"/>
    <w:rsid w:val="00EF1491"/>
    <w:rsid w:val="00EF1695"/>
    <w:rsid w:val="00EF2074"/>
    <w:rsid w:val="00EF4C97"/>
    <w:rsid w:val="00EF7243"/>
    <w:rsid w:val="00F00044"/>
    <w:rsid w:val="00F012A0"/>
    <w:rsid w:val="00F017BF"/>
    <w:rsid w:val="00F052EA"/>
    <w:rsid w:val="00F05C4F"/>
    <w:rsid w:val="00F0773C"/>
    <w:rsid w:val="00F07963"/>
    <w:rsid w:val="00F07FCB"/>
    <w:rsid w:val="00F11410"/>
    <w:rsid w:val="00F13096"/>
    <w:rsid w:val="00F145E9"/>
    <w:rsid w:val="00F15807"/>
    <w:rsid w:val="00F163D2"/>
    <w:rsid w:val="00F22668"/>
    <w:rsid w:val="00F22BB5"/>
    <w:rsid w:val="00F275AA"/>
    <w:rsid w:val="00F31123"/>
    <w:rsid w:val="00F31341"/>
    <w:rsid w:val="00F31397"/>
    <w:rsid w:val="00F31E05"/>
    <w:rsid w:val="00F33EB5"/>
    <w:rsid w:val="00F3522B"/>
    <w:rsid w:val="00F376E6"/>
    <w:rsid w:val="00F42505"/>
    <w:rsid w:val="00F43A72"/>
    <w:rsid w:val="00F44401"/>
    <w:rsid w:val="00F46740"/>
    <w:rsid w:val="00F4705F"/>
    <w:rsid w:val="00F47BBD"/>
    <w:rsid w:val="00F500A7"/>
    <w:rsid w:val="00F51C19"/>
    <w:rsid w:val="00F55E1B"/>
    <w:rsid w:val="00F562BE"/>
    <w:rsid w:val="00F56F5E"/>
    <w:rsid w:val="00F57ABD"/>
    <w:rsid w:val="00F61491"/>
    <w:rsid w:val="00F6168F"/>
    <w:rsid w:val="00F62989"/>
    <w:rsid w:val="00F65645"/>
    <w:rsid w:val="00F65767"/>
    <w:rsid w:val="00F67A5C"/>
    <w:rsid w:val="00F71514"/>
    <w:rsid w:val="00F7229A"/>
    <w:rsid w:val="00F74052"/>
    <w:rsid w:val="00F7436B"/>
    <w:rsid w:val="00F75803"/>
    <w:rsid w:val="00F76795"/>
    <w:rsid w:val="00F812D5"/>
    <w:rsid w:val="00F822F8"/>
    <w:rsid w:val="00F83129"/>
    <w:rsid w:val="00F8340D"/>
    <w:rsid w:val="00F85D11"/>
    <w:rsid w:val="00F86163"/>
    <w:rsid w:val="00F8687D"/>
    <w:rsid w:val="00F87EE3"/>
    <w:rsid w:val="00F907F8"/>
    <w:rsid w:val="00F9118F"/>
    <w:rsid w:val="00F91368"/>
    <w:rsid w:val="00F919EA"/>
    <w:rsid w:val="00F928FB"/>
    <w:rsid w:val="00F94D26"/>
    <w:rsid w:val="00F9550A"/>
    <w:rsid w:val="00FA05E4"/>
    <w:rsid w:val="00FA1D60"/>
    <w:rsid w:val="00FA23F1"/>
    <w:rsid w:val="00FA4C29"/>
    <w:rsid w:val="00FA6675"/>
    <w:rsid w:val="00FA7A82"/>
    <w:rsid w:val="00FB101F"/>
    <w:rsid w:val="00FB144C"/>
    <w:rsid w:val="00FB25C6"/>
    <w:rsid w:val="00FB26D2"/>
    <w:rsid w:val="00FB3CEE"/>
    <w:rsid w:val="00FC1809"/>
    <w:rsid w:val="00FC4607"/>
    <w:rsid w:val="00FC46DC"/>
    <w:rsid w:val="00FC5657"/>
    <w:rsid w:val="00FC570A"/>
    <w:rsid w:val="00FC6198"/>
    <w:rsid w:val="00FC74BB"/>
    <w:rsid w:val="00FD0868"/>
    <w:rsid w:val="00FD188F"/>
    <w:rsid w:val="00FD3CE8"/>
    <w:rsid w:val="00FD44B2"/>
    <w:rsid w:val="00FD6247"/>
    <w:rsid w:val="00FD7AAD"/>
    <w:rsid w:val="00FE0131"/>
    <w:rsid w:val="00FE059A"/>
    <w:rsid w:val="00FE069F"/>
    <w:rsid w:val="00FE1E9D"/>
    <w:rsid w:val="00FE2BDE"/>
    <w:rsid w:val="00FE52E6"/>
    <w:rsid w:val="00FE7515"/>
    <w:rsid w:val="00FE7A33"/>
    <w:rsid w:val="00FF18CB"/>
    <w:rsid w:val="00FF24FA"/>
    <w:rsid w:val="00FF3205"/>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customStyle="1" w:styleId="a">
    <w:basedOn w:val="Normal"/>
    <w:next w:val="Puesto"/>
    <w:qFormat/>
    <w:rsid w:val="00707C65"/>
    <w:pPr>
      <w:widowControl w:val="0"/>
      <w:autoSpaceDE w:val="0"/>
      <w:autoSpaceDN w:val="0"/>
      <w:adjustRightInd w:val="0"/>
      <w:jc w:val="center"/>
    </w:pPr>
    <w:rPr>
      <w:rFonts w:ascii="Roman 12cpi" w:hAnsi="Roman 12cpi"/>
      <w:b/>
      <w:bCs/>
      <w:sz w:val="20"/>
      <w:lang w:val="es-ES"/>
    </w:rPr>
  </w:style>
  <w:style w:type="paragraph" w:styleId="Puesto">
    <w:name w:val="Title"/>
    <w:basedOn w:val="Normal"/>
    <w:next w:val="Normal"/>
    <w:link w:val="PuestoCar"/>
    <w:qFormat/>
    <w:rsid w:val="00707C6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707C65"/>
    <w:rPr>
      <w:rFonts w:asciiTheme="majorHAnsi" w:eastAsiaTheme="majorEastAsia" w:hAnsiTheme="majorHAnsi" w:cstheme="majorBidi"/>
      <w:spacing w:val="-10"/>
      <w:kern w:val="28"/>
      <w:sz w:val="56"/>
      <w:szCs w:val="56"/>
      <w:lang w:val="es-ES_tradnl" w:eastAsia="es-ES"/>
    </w:rPr>
  </w:style>
  <w:style w:type="paragraph" w:customStyle="1" w:styleId="Textoindependiente21">
    <w:name w:val="Texto independiente 21"/>
    <w:basedOn w:val="Normal"/>
    <w:link w:val="BodyText2Car1"/>
    <w:rsid w:val="005B6B01"/>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5B6B01"/>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1E3C9E"/>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9998336">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2254800">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7057678">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CE31-A962-4108-8CA0-61C39C4F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Pages>
  <Words>8114</Words>
  <Characters>44631</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20</cp:revision>
  <cp:lastPrinted>2017-11-03T12:11:00Z</cp:lastPrinted>
  <dcterms:created xsi:type="dcterms:W3CDTF">2017-10-30T16:34:00Z</dcterms:created>
  <dcterms:modified xsi:type="dcterms:W3CDTF">2017-11-23T16:00:00Z</dcterms:modified>
</cp:coreProperties>
</file>