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B6" w:rsidRPr="006474B6" w:rsidRDefault="006474B6" w:rsidP="006474B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6474B6">
        <w:rPr>
          <w:rFonts w:ascii="Calibri" w:eastAsia="Calibri" w:hAnsi="Calibri" w:cs="Calibri"/>
          <w:color w:val="FF0000"/>
          <w:sz w:val="16"/>
          <w:szCs w:val="16"/>
          <w:lang w:val="es-CO" w:eastAsia="fr-FR"/>
        </w:rPr>
        <w:t xml:space="preserve">El siguiente es el documento presentado por el Magistrado Ponente. </w:t>
      </w:r>
    </w:p>
    <w:p w:rsidR="006474B6" w:rsidRPr="006474B6" w:rsidRDefault="006474B6" w:rsidP="006474B6">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6474B6">
        <w:rPr>
          <w:rFonts w:ascii="Calibri" w:eastAsia="Calibri" w:hAnsi="Calibri" w:cs="Calibri"/>
          <w:color w:val="FF0000"/>
          <w:sz w:val="16"/>
          <w:szCs w:val="16"/>
          <w:lang w:val="es-CO" w:eastAsia="fr-FR"/>
        </w:rPr>
        <w:t>El contenido total y fiel debe ser verificado en la Secretaría de esta Sala.</w:t>
      </w:r>
      <w:r w:rsidRPr="006474B6">
        <w:rPr>
          <w:rFonts w:ascii="Calibri" w:eastAsia="Calibri" w:hAnsi="Calibri" w:cs="Calibri"/>
          <w:color w:val="222222"/>
          <w:sz w:val="18"/>
          <w:szCs w:val="18"/>
          <w:lang w:val="es-CO" w:eastAsia="fr-FR"/>
        </w:rPr>
        <w:t> </w:t>
      </w:r>
    </w:p>
    <w:p w:rsidR="006474B6" w:rsidRPr="006474B6" w:rsidRDefault="006474B6" w:rsidP="006474B6">
      <w:pPr>
        <w:shd w:val="clear" w:color="auto" w:fill="FFFFFF"/>
        <w:ind w:left="2124" w:hanging="2124"/>
        <w:jc w:val="both"/>
        <w:rPr>
          <w:rFonts w:ascii="Calibri" w:hAnsi="Calibri" w:cs="Calibri"/>
          <w:color w:val="222222"/>
          <w:sz w:val="18"/>
          <w:szCs w:val="18"/>
          <w:lang w:val="es-CO" w:eastAsia="fr-FR"/>
        </w:rPr>
      </w:pPr>
      <w:r w:rsidRPr="006474B6">
        <w:rPr>
          <w:rFonts w:ascii="Calibri" w:hAnsi="Calibri" w:cs="Calibri"/>
          <w:color w:val="222222"/>
          <w:sz w:val="18"/>
          <w:szCs w:val="18"/>
          <w:lang w:val="es-CO" w:eastAsia="fr-FR"/>
        </w:rPr>
        <w:t>Providencia:</w:t>
      </w:r>
      <w:r w:rsidRPr="006474B6">
        <w:rPr>
          <w:rFonts w:ascii="Calibri" w:hAnsi="Calibri" w:cs="Calibri"/>
          <w:color w:val="222222"/>
          <w:sz w:val="18"/>
          <w:szCs w:val="18"/>
          <w:lang w:val="es-CO" w:eastAsia="fr-FR"/>
        </w:rPr>
        <w:tab/>
        <w:t xml:space="preserve">Auto  </w:t>
      </w:r>
      <w:r w:rsidRPr="006474B6">
        <w:rPr>
          <w:rFonts w:ascii="Calibri" w:eastAsia="Calibri" w:hAnsi="Calibri" w:cs="Calibri"/>
          <w:color w:val="222222"/>
          <w:sz w:val="18"/>
          <w:szCs w:val="18"/>
          <w:lang w:val="es-MX" w:eastAsia="fr-FR"/>
        </w:rPr>
        <w:t>–</w:t>
      </w:r>
      <w:r w:rsidRPr="006474B6">
        <w:rPr>
          <w:rFonts w:ascii="Calibri" w:hAnsi="Calibri" w:cs="Calibri"/>
          <w:color w:val="222222"/>
          <w:sz w:val="18"/>
          <w:szCs w:val="18"/>
          <w:lang w:val="es-CO" w:eastAsia="fr-FR"/>
        </w:rPr>
        <w:t xml:space="preserve"> </w:t>
      </w:r>
      <w:r w:rsidRPr="006474B6">
        <w:rPr>
          <w:rFonts w:ascii="Calibri" w:eastAsia="Calibri" w:hAnsi="Calibri" w:cs="Calibri"/>
          <w:color w:val="222222"/>
          <w:sz w:val="18"/>
          <w:szCs w:val="18"/>
          <w:lang w:val="es-MX" w:eastAsia="fr-FR"/>
        </w:rPr>
        <w:t>26</w:t>
      </w:r>
      <w:r w:rsidRPr="006474B6">
        <w:rPr>
          <w:rFonts w:ascii="Calibri" w:hAnsi="Calibri" w:cs="Calibri"/>
          <w:color w:val="222222"/>
          <w:sz w:val="18"/>
          <w:szCs w:val="18"/>
          <w:lang w:val="es-CO" w:eastAsia="fr-FR"/>
        </w:rPr>
        <w:t xml:space="preserve"> de septiembre de 2017 </w:t>
      </w:r>
    </w:p>
    <w:p w:rsidR="006474B6" w:rsidRPr="006474B6" w:rsidRDefault="006474B6" w:rsidP="006474B6">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6474B6">
        <w:rPr>
          <w:rFonts w:ascii="Calibri" w:eastAsia="Calibri" w:hAnsi="Calibri" w:cs="Calibri"/>
          <w:color w:val="222222"/>
          <w:sz w:val="18"/>
          <w:szCs w:val="18"/>
          <w:lang w:val="es-MX" w:eastAsia="fr-FR"/>
        </w:rPr>
        <w:t xml:space="preserve">Proceso: </w:t>
      </w:r>
      <w:r w:rsidRPr="006474B6">
        <w:rPr>
          <w:rFonts w:ascii="Calibri" w:eastAsia="Calibri" w:hAnsi="Calibri" w:cs="Calibri"/>
          <w:color w:val="222222"/>
          <w:sz w:val="18"/>
          <w:szCs w:val="18"/>
          <w:lang w:val="es-MX" w:eastAsia="fr-FR"/>
        </w:rPr>
        <w:tab/>
      </w:r>
      <w:r w:rsidRPr="006474B6">
        <w:rPr>
          <w:rFonts w:ascii="Calibri" w:eastAsia="Calibri" w:hAnsi="Calibri" w:cs="Calibri"/>
          <w:color w:val="222222"/>
          <w:sz w:val="18"/>
          <w:szCs w:val="18"/>
          <w:lang w:val="es-MX" w:eastAsia="fr-FR"/>
        </w:rPr>
        <w:tab/>
      </w:r>
      <w:r w:rsidRPr="006474B6">
        <w:rPr>
          <w:rFonts w:ascii="Calibri" w:eastAsia="Calibri" w:hAnsi="Calibri" w:cs="Calibri"/>
          <w:color w:val="222222"/>
          <w:sz w:val="18"/>
          <w:szCs w:val="18"/>
          <w:lang w:val="es-MX" w:eastAsia="fr-FR"/>
        </w:rPr>
        <w:tab/>
      </w:r>
      <w:r w:rsidRPr="006474B6">
        <w:rPr>
          <w:rFonts w:ascii="Calibri" w:eastAsia="Calibri" w:hAnsi="Calibri" w:cs="Calibri"/>
          <w:color w:val="222222"/>
          <w:sz w:val="18"/>
          <w:szCs w:val="18"/>
          <w:lang w:val="es-MX" w:eastAsia="fr-FR"/>
        </w:rPr>
        <w:tab/>
      </w:r>
      <w:r w:rsidRPr="006474B6">
        <w:rPr>
          <w:rFonts w:ascii="Calibri" w:eastAsia="Calibri" w:hAnsi="Calibri" w:cs="Calibri"/>
          <w:color w:val="222222"/>
          <w:sz w:val="18"/>
          <w:szCs w:val="18"/>
          <w:lang w:val="es-MX" w:eastAsia="fr-FR"/>
        </w:rPr>
        <w:tab/>
        <w:t>Penal – Define competencia y remite</w:t>
      </w:r>
    </w:p>
    <w:p w:rsidR="006474B6" w:rsidRPr="006474B6" w:rsidRDefault="006474B6" w:rsidP="006474B6">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6474B6">
        <w:rPr>
          <w:rFonts w:ascii="Calibri" w:eastAsia="Calibri" w:hAnsi="Calibri" w:cs="Calibri"/>
          <w:color w:val="222222"/>
          <w:sz w:val="18"/>
          <w:szCs w:val="18"/>
          <w:lang w:val="es-CO" w:eastAsia="fr-FR"/>
        </w:rPr>
        <w:t>Radicación Nro. :</w:t>
      </w:r>
      <w:r w:rsidRPr="006474B6">
        <w:rPr>
          <w:rFonts w:ascii="Calibri" w:eastAsia="Calibri" w:hAnsi="Calibri" w:cs="Calibri"/>
          <w:color w:val="222222"/>
          <w:sz w:val="18"/>
          <w:szCs w:val="18"/>
          <w:lang w:val="es-CO" w:eastAsia="fr-FR"/>
        </w:rPr>
        <w:tab/>
        <w:t xml:space="preserve">  </w:t>
      </w:r>
      <w:r w:rsidRPr="006474B6">
        <w:rPr>
          <w:rFonts w:ascii="Calibri" w:eastAsia="Calibri" w:hAnsi="Calibri" w:cs="Calibri"/>
          <w:color w:val="222222"/>
          <w:sz w:val="18"/>
          <w:szCs w:val="18"/>
          <w:lang w:val="es-CO" w:eastAsia="fr-FR"/>
        </w:rPr>
        <w:tab/>
        <w:t xml:space="preserve"> </w:t>
      </w:r>
      <w:r w:rsidRPr="006474B6">
        <w:rPr>
          <w:rFonts w:ascii="Calibri" w:eastAsia="Calibri" w:hAnsi="Calibri" w:cs="Calibri"/>
          <w:bCs/>
          <w:color w:val="222222"/>
          <w:sz w:val="18"/>
          <w:szCs w:val="18"/>
          <w:lang w:val="es-CO" w:eastAsia="fr-FR"/>
        </w:rPr>
        <w:t>66001 60 00 035 2012 03389 02</w:t>
      </w:r>
    </w:p>
    <w:p w:rsidR="006474B6" w:rsidRPr="006474B6" w:rsidRDefault="006474B6" w:rsidP="006474B6">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6474B6">
        <w:rPr>
          <w:rFonts w:ascii="Calibri" w:eastAsia="Calibri" w:hAnsi="Calibri" w:cs="Calibri"/>
          <w:bCs/>
          <w:color w:val="222222"/>
          <w:sz w:val="18"/>
          <w:szCs w:val="18"/>
          <w:lang w:eastAsia="fr-FR"/>
        </w:rPr>
        <w:t xml:space="preserve">Procesado: </w:t>
      </w:r>
      <w:r w:rsidRPr="006474B6">
        <w:rPr>
          <w:rFonts w:ascii="Calibri" w:eastAsia="Calibri" w:hAnsi="Calibri" w:cs="Calibri"/>
          <w:bCs/>
          <w:color w:val="222222"/>
          <w:sz w:val="18"/>
          <w:szCs w:val="18"/>
          <w:lang w:eastAsia="fr-FR"/>
        </w:rPr>
        <w:tab/>
      </w:r>
      <w:r w:rsidRPr="006474B6">
        <w:rPr>
          <w:rFonts w:ascii="Calibri" w:eastAsia="Calibri" w:hAnsi="Calibri" w:cs="Calibri"/>
          <w:bCs/>
          <w:color w:val="222222"/>
          <w:sz w:val="18"/>
          <w:szCs w:val="18"/>
          <w:lang w:eastAsia="fr-FR"/>
        </w:rPr>
        <w:tab/>
        <w:t xml:space="preserve"> </w:t>
      </w:r>
      <w:r w:rsidRPr="006474B6">
        <w:rPr>
          <w:rFonts w:ascii="Calibri" w:eastAsia="Calibri" w:hAnsi="Calibri" w:cs="Calibri"/>
          <w:bCs/>
          <w:color w:val="222222"/>
          <w:sz w:val="18"/>
          <w:szCs w:val="18"/>
          <w:lang w:val="es-CO" w:eastAsia="fr-FR"/>
        </w:rPr>
        <w:t>FABIÁN ANDRÉS RUBIO TOVAR</w:t>
      </w:r>
    </w:p>
    <w:p w:rsidR="006474B6" w:rsidRPr="006474B6" w:rsidRDefault="006474B6" w:rsidP="006474B6">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6474B6">
        <w:rPr>
          <w:rFonts w:ascii="Calibri" w:eastAsia="Calibri" w:hAnsi="Calibri" w:cs="Calibri"/>
          <w:color w:val="222222"/>
          <w:sz w:val="18"/>
          <w:szCs w:val="18"/>
          <w:lang w:val="es-MX" w:eastAsia="fr-FR"/>
        </w:rPr>
        <w:t xml:space="preserve">Magistrado Sustanciador: </w:t>
      </w:r>
      <w:r w:rsidRPr="006474B6">
        <w:rPr>
          <w:rFonts w:ascii="Calibri" w:eastAsia="Calibri" w:hAnsi="Calibri" w:cs="Calibri"/>
          <w:color w:val="222222"/>
          <w:sz w:val="18"/>
          <w:szCs w:val="18"/>
          <w:lang w:val="es-MX" w:eastAsia="fr-FR"/>
        </w:rPr>
        <w:tab/>
        <w:t xml:space="preserve"> </w:t>
      </w:r>
      <w:r w:rsidRPr="006474B6">
        <w:rPr>
          <w:rFonts w:ascii="Calibri" w:eastAsia="Calibri" w:hAnsi="Calibri" w:cs="Calibri"/>
          <w:bCs/>
          <w:iCs/>
          <w:color w:val="222222"/>
          <w:sz w:val="18"/>
          <w:szCs w:val="18"/>
          <w:lang w:eastAsia="fr-FR"/>
        </w:rPr>
        <w:t>JAIRO ERNESTO ESCOBAR SANZ</w:t>
      </w:r>
    </w:p>
    <w:p w:rsidR="006474B6" w:rsidRPr="006474B6" w:rsidRDefault="006474B6" w:rsidP="006474B6">
      <w:pPr>
        <w:shd w:val="clear" w:color="auto" w:fill="FFFFFF"/>
        <w:spacing w:after="200"/>
        <w:jc w:val="both"/>
        <w:rPr>
          <w:rFonts w:ascii="Calibri" w:eastAsia="Calibri" w:hAnsi="Calibri" w:cs="Calibri"/>
          <w:bCs/>
          <w:iCs/>
          <w:color w:val="222222"/>
          <w:sz w:val="18"/>
          <w:szCs w:val="18"/>
          <w:lang w:eastAsia="fr-FR"/>
        </w:rPr>
      </w:pPr>
      <w:r w:rsidRPr="006474B6">
        <w:rPr>
          <w:rFonts w:ascii="Calibri" w:eastAsia="Calibri" w:hAnsi="Calibri" w:cs="Calibri"/>
          <w:b/>
          <w:color w:val="222222"/>
          <w:sz w:val="18"/>
          <w:szCs w:val="18"/>
          <w:lang w:val="es-CO" w:eastAsia="fr-FR"/>
        </w:rPr>
        <w:t xml:space="preserve">Tema: </w:t>
      </w:r>
      <w:r w:rsidRPr="006474B6">
        <w:rPr>
          <w:rFonts w:ascii="Calibri" w:eastAsia="Calibri" w:hAnsi="Calibri" w:cs="Calibri"/>
          <w:color w:val="222222"/>
          <w:sz w:val="18"/>
          <w:szCs w:val="18"/>
          <w:lang w:val="es-CO" w:eastAsia="fr-FR"/>
        </w:rPr>
        <w:tab/>
      </w:r>
      <w:r w:rsidRPr="006474B6">
        <w:rPr>
          <w:rFonts w:ascii="Calibri" w:eastAsia="Calibri" w:hAnsi="Calibri" w:cs="Calibri"/>
          <w:color w:val="222222"/>
          <w:sz w:val="18"/>
          <w:szCs w:val="18"/>
          <w:lang w:val="es-CO" w:eastAsia="fr-FR"/>
        </w:rPr>
        <w:tab/>
      </w:r>
      <w:r w:rsidRPr="006474B6">
        <w:rPr>
          <w:rFonts w:ascii="Calibri" w:eastAsia="Calibri" w:hAnsi="Calibri" w:cs="Calibri"/>
          <w:color w:val="222222"/>
          <w:sz w:val="18"/>
          <w:szCs w:val="18"/>
          <w:lang w:val="es-CO" w:eastAsia="fr-FR"/>
        </w:rPr>
        <w:tab/>
      </w:r>
      <w:r w:rsidRPr="006474B6">
        <w:rPr>
          <w:rFonts w:ascii="Calibri" w:eastAsia="Calibri" w:hAnsi="Calibri" w:cs="Calibri"/>
          <w:b/>
          <w:color w:val="222222"/>
          <w:sz w:val="18"/>
          <w:szCs w:val="18"/>
          <w:lang w:val="es-CO" w:eastAsia="fr-FR"/>
        </w:rPr>
        <w:t>COMPETENCIA PARA RESOLVER SUSTITUCIÓN DE MEDIDA DE ASEGURAMIENTO</w:t>
      </w:r>
      <w:r w:rsidRPr="006474B6">
        <w:rPr>
          <w:rFonts w:ascii="Calibri" w:eastAsia="Calibri" w:hAnsi="Calibri" w:cs="Calibri"/>
          <w:b/>
          <w:bCs/>
          <w:color w:val="222222"/>
          <w:sz w:val="18"/>
          <w:szCs w:val="18"/>
          <w:lang w:val="es-CO" w:eastAsia="fr-FR"/>
        </w:rPr>
        <w:t xml:space="preserve">. </w:t>
      </w:r>
      <w:r w:rsidRPr="006474B6">
        <w:rPr>
          <w:rFonts w:ascii="Calibri" w:eastAsia="Calibri" w:hAnsi="Calibri" w:cs="Calibri"/>
          <w:bCs/>
          <w:iCs/>
          <w:color w:val="222222"/>
          <w:sz w:val="18"/>
          <w:szCs w:val="18"/>
          <w:lang w:eastAsia="fr-FR"/>
        </w:rPr>
        <w:t xml:space="preserve">[E]n el asunto sub judice la autoridad competente para resolver la solicitud elevada a favor del señor Fabián Andrés Rubio Tovar, es el juez que emitió la sentencia condenatoria en </w:t>
      </w:r>
      <w:bookmarkStart w:id="0" w:name="_GoBack"/>
      <w:bookmarkEnd w:id="0"/>
      <w:r w:rsidRPr="006474B6">
        <w:rPr>
          <w:rFonts w:ascii="Calibri" w:eastAsia="Calibri" w:hAnsi="Calibri" w:cs="Calibri"/>
          <w:bCs/>
          <w:iCs/>
          <w:color w:val="222222"/>
          <w:sz w:val="18"/>
          <w:szCs w:val="18"/>
          <w:lang w:eastAsia="fr-FR"/>
        </w:rPr>
        <w:t xml:space="preserve">su contra, es decir el Juzgado Cuarto Penal del Circuito de Pereira y no el Juez Quinto Penal Municipal con Funciones de Control de Garantías, ello en consideración al precedente jurisprudencial de la Sala Penal de la </w:t>
      </w:r>
      <w:proofErr w:type="spellStart"/>
      <w:r w:rsidRPr="006474B6">
        <w:rPr>
          <w:rFonts w:ascii="Calibri" w:eastAsia="Calibri" w:hAnsi="Calibri" w:cs="Calibri"/>
          <w:bCs/>
          <w:iCs/>
          <w:color w:val="222222"/>
          <w:sz w:val="18"/>
          <w:szCs w:val="18"/>
          <w:lang w:eastAsia="fr-FR"/>
        </w:rPr>
        <w:t>C.S.J</w:t>
      </w:r>
      <w:proofErr w:type="spellEnd"/>
      <w:r w:rsidRPr="006474B6">
        <w:rPr>
          <w:rFonts w:ascii="Calibri" w:eastAsia="Calibri" w:hAnsi="Calibri" w:cs="Calibri"/>
          <w:bCs/>
          <w:iCs/>
          <w:color w:val="222222"/>
          <w:sz w:val="18"/>
          <w:szCs w:val="18"/>
          <w:lang w:eastAsia="fr-FR"/>
        </w:rPr>
        <w:t>.,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w:t>
      </w:r>
    </w:p>
    <w:p w:rsidR="006474B6" w:rsidRDefault="006474B6"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01055C">
        <w:rPr>
          <w:rFonts w:ascii="Arial" w:hAnsi="Arial" w:cs="Arial"/>
          <w:b/>
          <w:bCs/>
        </w:rPr>
        <w:fldChar w:fldCharType="begin"/>
      </w:r>
      <w:r w:rsidR="0001055C">
        <w:rPr>
          <w:rFonts w:ascii="Arial" w:hAnsi="Arial" w:cs="Arial"/>
          <w:b/>
          <w:bCs/>
        </w:rPr>
        <w:instrText xml:space="preserve"> INCLUDEPICTURE  "http://www.mintransporte.gov.co/images/escudo.gif" \* MERGEFORMATINET </w:instrText>
      </w:r>
      <w:r w:rsidR="0001055C">
        <w:rPr>
          <w:rFonts w:ascii="Arial" w:hAnsi="Arial" w:cs="Arial"/>
          <w:b/>
          <w:bCs/>
        </w:rPr>
        <w:fldChar w:fldCharType="separate"/>
      </w:r>
      <w:r w:rsidR="0053657C">
        <w:rPr>
          <w:rFonts w:ascii="Arial" w:hAnsi="Arial" w:cs="Arial"/>
          <w:b/>
          <w:bCs/>
        </w:rPr>
        <w:fldChar w:fldCharType="begin"/>
      </w:r>
      <w:r w:rsidR="0053657C">
        <w:rPr>
          <w:rFonts w:ascii="Arial" w:hAnsi="Arial" w:cs="Arial"/>
          <w:b/>
          <w:bCs/>
        </w:rPr>
        <w:instrText xml:space="preserve"> INCLUDEPICTURE  "http://www.mintransporte.gov.co/images/escudo.gif" \* MERGEFORMATINET </w:instrText>
      </w:r>
      <w:r w:rsidR="0053657C">
        <w:rPr>
          <w:rFonts w:ascii="Arial" w:hAnsi="Arial" w:cs="Arial"/>
          <w:b/>
          <w:bCs/>
        </w:rPr>
        <w:fldChar w:fldCharType="separate"/>
      </w:r>
      <w:r w:rsidR="000E75BF">
        <w:rPr>
          <w:rFonts w:ascii="Arial" w:hAnsi="Arial" w:cs="Arial"/>
          <w:b/>
          <w:bCs/>
        </w:rPr>
        <w:fldChar w:fldCharType="begin"/>
      </w:r>
      <w:r w:rsidR="000E75BF">
        <w:rPr>
          <w:rFonts w:ascii="Arial" w:hAnsi="Arial" w:cs="Arial"/>
          <w:b/>
          <w:bCs/>
        </w:rPr>
        <w:instrText xml:space="preserve"> INCLUDEPICTURE  "http://www.mintransporte.gov.co/images/escudo.gif" \* MERGEFORMATINET </w:instrText>
      </w:r>
      <w:r w:rsidR="000E75BF">
        <w:rPr>
          <w:rFonts w:ascii="Arial" w:hAnsi="Arial" w:cs="Arial"/>
          <w:b/>
          <w:bCs/>
        </w:rPr>
        <w:fldChar w:fldCharType="separate"/>
      </w:r>
      <w:r w:rsidR="00C0731B">
        <w:rPr>
          <w:rFonts w:ascii="Arial" w:hAnsi="Arial" w:cs="Arial"/>
          <w:b/>
          <w:bCs/>
        </w:rPr>
        <w:fldChar w:fldCharType="begin"/>
      </w:r>
      <w:r w:rsidR="00C0731B">
        <w:rPr>
          <w:rFonts w:ascii="Arial" w:hAnsi="Arial" w:cs="Arial"/>
          <w:b/>
          <w:bCs/>
        </w:rPr>
        <w:instrText xml:space="preserve"> INCLUDEPICTURE  "http://www.mintransporte.gov.co/images/escudo.gif" \* MERGEFORMATINET </w:instrText>
      </w:r>
      <w:r w:rsidR="00C0731B">
        <w:rPr>
          <w:rFonts w:ascii="Arial" w:hAnsi="Arial" w:cs="Arial"/>
          <w:b/>
          <w:bCs/>
        </w:rPr>
        <w:fldChar w:fldCharType="separate"/>
      </w:r>
      <w:r w:rsidR="000D140A">
        <w:rPr>
          <w:rFonts w:ascii="Arial" w:hAnsi="Arial" w:cs="Arial"/>
          <w:b/>
          <w:bCs/>
        </w:rPr>
        <w:fldChar w:fldCharType="begin"/>
      </w:r>
      <w:r w:rsidR="000D140A">
        <w:rPr>
          <w:rFonts w:ascii="Arial" w:hAnsi="Arial" w:cs="Arial"/>
          <w:b/>
          <w:bCs/>
        </w:rPr>
        <w:instrText xml:space="preserve"> INCLUDEPICTURE  "http://www.mintransporte.gov.co/images/escudo.gif" \* MERGEFORMATINET </w:instrText>
      </w:r>
      <w:r w:rsidR="000D140A">
        <w:rPr>
          <w:rFonts w:ascii="Arial" w:hAnsi="Arial" w:cs="Arial"/>
          <w:b/>
          <w:bCs/>
        </w:rPr>
        <w:fldChar w:fldCharType="separate"/>
      </w:r>
      <w:r w:rsidR="00777221">
        <w:rPr>
          <w:rFonts w:ascii="Arial" w:hAnsi="Arial" w:cs="Arial"/>
          <w:b/>
          <w:bCs/>
        </w:rPr>
        <w:fldChar w:fldCharType="begin"/>
      </w:r>
      <w:r w:rsidR="00777221">
        <w:rPr>
          <w:rFonts w:ascii="Arial" w:hAnsi="Arial" w:cs="Arial"/>
          <w:b/>
          <w:bCs/>
        </w:rPr>
        <w:instrText xml:space="preserve"> </w:instrText>
      </w:r>
      <w:r w:rsidR="00777221">
        <w:rPr>
          <w:rFonts w:ascii="Arial" w:hAnsi="Arial" w:cs="Arial"/>
          <w:b/>
          <w:bCs/>
        </w:rPr>
        <w:instrText>INCLUDEPICTURE  "http://www.mintransporte.gov.co/images/escudo.</w:instrText>
      </w:r>
      <w:r w:rsidR="00777221">
        <w:rPr>
          <w:rFonts w:ascii="Arial" w:hAnsi="Arial" w:cs="Arial"/>
          <w:b/>
          <w:bCs/>
        </w:rPr>
        <w:instrText>gif" \* MERGEFORMATINET</w:instrText>
      </w:r>
      <w:r w:rsidR="00777221">
        <w:rPr>
          <w:rFonts w:ascii="Arial" w:hAnsi="Arial" w:cs="Arial"/>
          <w:b/>
          <w:bCs/>
        </w:rPr>
        <w:instrText xml:space="preserve"> </w:instrText>
      </w:r>
      <w:r w:rsidR="00777221">
        <w:rPr>
          <w:rFonts w:ascii="Arial" w:hAnsi="Arial" w:cs="Arial"/>
          <w:b/>
          <w:bCs/>
        </w:rPr>
        <w:fldChar w:fldCharType="separate"/>
      </w:r>
      <w:r w:rsidR="00777221">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7.1pt">
            <v:imagedata r:id="rId9" r:href="rId10"/>
          </v:shape>
        </w:pict>
      </w:r>
      <w:r w:rsidR="00777221">
        <w:rPr>
          <w:rFonts w:ascii="Arial" w:hAnsi="Arial" w:cs="Arial"/>
          <w:b/>
          <w:bCs/>
        </w:rPr>
        <w:fldChar w:fldCharType="end"/>
      </w:r>
      <w:r w:rsidR="000D140A">
        <w:rPr>
          <w:rFonts w:ascii="Arial" w:hAnsi="Arial" w:cs="Arial"/>
          <w:b/>
          <w:bCs/>
        </w:rPr>
        <w:fldChar w:fldCharType="end"/>
      </w:r>
      <w:r w:rsidR="00C0731B">
        <w:rPr>
          <w:rFonts w:ascii="Arial" w:hAnsi="Arial" w:cs="Arial"/>
          <w:b/>
          <w:bCs/>
        </w:rPr>
        <w:fldChar w:fldCharType="end"/>
      </w:r>
      <w:r w:rsidR="000E75BF">
        <w:rPr>
          <w:rFonts w:ascii="Arial" w:hAnsi="Arial" w:cs="Arial"/>
          <w:b/>
          <w:bCs/>
        </w:rPr>
        <w:fldChar w:fldCharType="end"/>
      </w:r>
      <w:r w:rsidR="0053657C">
        <w:rPr>
          <w:rFonts w:ascii="Arial" w:hAnsi="Arial" w:cs="Arial"/>
          <w:b/>
          <w:bCs/>
        </w:rPr>
        <w:fldChar w:fldCharType="end"/>
      </w:r>
      <w:r w:rsidR="0001055C">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863E1F" w:rsidP="006F1047">
      <w:pPr>
        <w:pStyle w:val="Titre4"/>
        <w:ind w:right="51"/>
        <w:jc w:val="center"/>
        <w:rPr>
          <w:rFonts w:ascii="Arial" w:hAnsi="Arial" w:cs="Arial"/>
          <w:i/>
          <w:iCs/>
          <w:sz w:val="24"/>
          <w:szCs w:val="24"/>
        </w:rPr>
      </w:pPr>
      <w:r w:rsidRPr="006D2468">
        <w:rPr>
          <w:rFonts w:ascii="Arial" w:hAnsi="Arial" w:cs="Arial"/>
          <w:i/>
          <w:iCs/>
          <w:sz w:val="24"/>
          <w:szCs w:val="24"/>
        </w:rPr>
        <w:t>SALA PENAL</w:t>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0635CE" w:rsidRPr="006D2468" w:rsidRDefault="000635CE" w:rsidP="006F1047">
      <w:pPr>
        <w:pStyle w:val="Corpsdetexte"/>
        <w:ind w:right="51"/>
        <w:rPr>
          <w:sz w:val="24"/>
          <w:szCs w:val="24"/>
          <w:lang w:val="es-ES"/>
        </w:rPr>
      </w:pPr>
    </w:p>
    <w:p w:rsidR="00C76BF5" w:rsidRDefault="00863E1F" w:rsidP="006F1047">
      <w:pPr>
        <w:pStyle w:val="Corpsdetexte"/>
        <w:ind w:right="51"/>
        <w:rPr>
          <w:sz w:val="24"/>
          <w:szCs w:val="24"/>
          <w:lang w:val="es-ES"/>
        </w:rPr>
      </w:pPr>
      <w:r w:rsidRPr="006D2468">
        <w:rPr>
          <w:sz w:val="24"/>
          <w:szCs w:val="24"/>
          <w:lang w:val="es-ES"/>
        </w:rPr>
        <w:t xml:space="preserve">Pereira, </w:t>
      </w:r>
      <w:r w:rsidR="0047264D">
        <w:rPr>
          <w:sz w:val="24"/>
          <w:szCs w:val="24"/>
          <w:lang w:val="es-ES"/>
        </w:rPr>
        <w:t>veintiséis (26) de septiembre de dos mil diecisiete (2017)</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47264D">
        <w:rPr>
          <w:sz w:val="24"/>
          <w:szCs w:val="24"/>
          <w:lang w:val="es-ES"/>
        </w:rPr>
        <w:t>1013</w:t>
      </w:r>
    </w:p>
    <w:p w:rsidR="00863E1F" w:rsidRDefault="00863E1F" w:rsidP="006F1047">
      <w:pPr>
        <w:pStyle w:val="Corpsdetexte"/>
        <w:ind w:left="2124" w:right="51" w:hanging="2124"/>
        <w:rPr>
          <w:sz w:val="24"/>
          <w:szCs w:val="24"/>
          <w:lang w:val="es-ES"/>
        </w:rPr>
      </w:pPr>
      <w:r w:rsidRPr="006D2468">
        <w:rPr>
          <w:sz w:val="24"/>
          <w:szCs w:val="24"/>
          <w:lang w:val="es-ES"/>
        </w:rPr>
        <w:t xml:space="preserve">Hora: </w:t>
      </w:r>
      <w:r w:rsidR="0047264D">
        <w:rPr>
          <w:sz w:val="24"/>
          <w:szCs w:val="24"/>
          <w:lang w:val="es-ES"/>
        </w:rPr>
        <w:t>11:10 a.m.</w:t>
      </w:r>
    </w:p>
    <w:p w:rsidR="00863E1F" w:rsidRPr="006D2468" w:rsidRDefault="00863E1F" w:rsidP="00E95746">
      <w:pPr>
        <w:ind w:right="51"/>
        <w:rPr>
          <w:rFonts w:ascii="Arial" w:hAnsi="Arial" w:cs="Arial"/>
          <w:b/>
          <w:bCs/>
          <w:u w:val="single"/>
        </w:rPr>
      </w:pP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FF4748" w:rsidRPr="006D2468" w:rsidRDefault="00863E1F" w:rsidP="006F1047">
      <w:pPr>
        <w:ind w:right="51"/>
        <w:jc w:val="both"/>
        <w:rPr>
          <w:rFonts w:ascii="Arial" w:hAnsi="Arial" w:cs="Arial"/>
        </w:rPr>
      </w:pPr>
      <w:r w:rsidRPr="006D2468">
        <w:rPr>
          <w:rFonts w:ascii="Arial" w:hAnsi="Arial" w:cs="Arial"/>
        </w:rPr>
        <w:t xml:space="preserve">Conoce la Sala de la </w:t>
      </w:r>
      <w:r w:rsidR="00AD7218" w:rsidRPr="006D2468">
        <w:rPr>
          <w:rFonts w:ascii="Arial" w:hAnsi="Arial" w:cs="Arial"/>
        </w:rPr>
        <w:t xml:space="preserve">definición de </w:t>
      </w:r>
      <w:r w:rsidR="00FF4748" w:rsidRPr="006D2468">
        <w:rPr>
          <w:rFonts w:ascii="Arial" w:hAnsi="Arial" w:cs="Arial"/>
        </w:rPr>
        <w:t>la compet</w:t>
      </w:r>
      <w:r w:rsidR="008A08F9" w:rsidRPr="006D2468">
        <w:rPr>
          <w:rFonts w:ascii="Arial" w:hAnsi="Arial" w:cs="Arial"/>
        </w:rPr>
        <w:t xml:space="preserve">encia propuesta por </w:t>
      </w:r>
      <w:r w:rsidR="00383089">
        <w:rPr>
          <w:rFonts w:ascii="Arial" w:hAnsi="Arial" w:cs="Arial"/>
        </w:rPr>
        <w:t xml:space="preserve">la </w:t>
      </w:r>
      <w:r w:rsidR="00AD7218" w:rsidRPr="006D2468">
        <w:rPr>
          <w:rFonts w:ascii="Arial" w:hAnsi="Arial" w:cs="Arial"/>
        </w:rPr>
        <w:t xml:space="preserve">Juez </w:t>
      </w:r>
      <w:r w:rsidR="00383089">
        <w:rPr>
          <w:rFonts w:ascii="Arial" w:hAnsi="Arial" w:cs="Arial"/>
        </w:rPr>
        <w:t>Cuarta</w:t>
      </w:r>
      <w:r w:rsidR="00AD7218" w:rsidRPr="006D2468">
        <w:rPr>
          <w:rFonts w:ascii="Arial" w:hAnsi="Arial" w:cs="Arial"/>
        </w:rPr>
        <w:t xml:space="preserve"> Penal del Circuito de esta ciudad</w:t>
      </w:r>
      <w:r w:rsidR="008A08F9" w:rsidRPr="006D2468">
        <w:rPr>
          <w:rFonts w:ascii="Arial" w:hAnsi="Arial" w:cs="Arial"/>
        </w:rPr>
        <w:t xml:space="preserve"> </w:t>
      </w:r>
      <w:r w:rsidR="00FF4748" w:rsidRPr="006D2468">
        <w:rPr>
          <w:rFonts w:ascii="Arial" w:hAnsi="Arial" w:cs="Arial"/>
        </w:rPr>
        <w:t xml:space="preserve">dentro del trámite de solicitud de </w:t>
      </w:r>
      <w:r w:rsidR="008A08F9" w:rsidRPr="006D2468">
        <w:rPr>
          <w:rFonts w:ascii="Arial" w:hAnsi="Arial" w:cs="Arial"/>
        </w:rPr>
        <w:t>“</w:t>
      </w:r>
      <w:r w:rsidR="00FF4748" w:rsidRPr="006D2468">
        <w:rPr>
          <w:rFonts w:ascii="Arial" w:hAnsi="Arial" w:cs="Arial"/>
        </w:rPr>
        <w:t>sustitución de medida de aseguramiento</w:t>
      </w:r>
      <w:r w:rsidR="008A08F9" w:rsidRPr="006D2468">
        <w:rPr>
          <w:rFonts w:ascii="Arial" w:hAnsi="Arial" w:cs="Arial"/>
        </w:rPr>
        <w:t>”</w:t>
      </w:r>
      <w:r w:rsidR="00FF4748" w:rsidRPr="006D2468">
        <w:rPr>
          <w:rFonts w:ascii="Arial" w:hAnsi="Arial" w:cs="Arial"/>
        </w:rPr>
        <w:t xml:space="preserve"> </w:t>
      </w:r>
      <w:r w:rsidR="00E33E4B" w:rsidRPr="006D2468">
        <w:rPr>
          <w:rFonts w:ascii="Arial" w:hAnsi="Arial" w:cs="Arial"/>
        </w:rPr>
        <w:t xml:space="preserve">elevada </w:t>
      </w:r>
      <w:r w:rsidR="00AD7218" w:rsidRPr="006D2468">
        <w:rPr>
          <w:rFonts w:ascii="Arial" w:hAnsi="Arial" w:cs="Arial"/>
        </w:rPr>
        <w:t>por el</w:t>
      </w:r>
      <w:r w:rsidR="00383089">
        <w:rPr>
          <w:rFonts w:ascii="Arial" w:hAnsi="Arial" w:cs="Arial"/>
        </w:rPr>
        <w:t xml:space="preserve"> defensor del </w:t>
      </w:r>
      <w:r w:rsidR="00AD7218" w:rsidRPr="006D2468">
        <w:rPr>
          <w:rFonts w:ascii="Arial" w:hAnsi="Arial" w:cs="Arial"/>
        </w:rPr>
        <w:t xml:space="preserve">señor </w:t>
      </w:r>
      <w:r w:rsidR="00383089">
        <w:rPr>
          <w:rFonts w:ascii="Arial" w:hAnsi="Arial" w:cs="Arial"/>
        </w:rPr>
        <w:t>Fabián Andrés Rubio Tovar</w:t>
      </w:r>
      <w:r w:rsidR="00AD7218" w:rsidRPr="006D2468">
        <w:rPr>
          <w:rFonts w:ascii="Arial" w:hAnsi="Arial" w:cs="Arial"/>
        </w:rPr>
        <w:t xml:space="preserve">. </w:t>
      </w:r>
    </w:p>
    <w:p w:rsidR="0098176F" w:rsidRDefault="0098176F" w:rsidP="006F1047">
      <w:pPr>
        <w:ind w:right="51"/>
        <w:jc w:val="both"/>
        <w:rPr>
          <w:rFonts w:ascii="Arial" w:hAnsi="Arial" w:cs="Arial"/>
        </w:rPr>
      </w:pPr>
    </w:p>
    <w:p w:rsidR="006474B6" w:rsidRPr="006D2468" w:rsidRDefault="006474B6" w:rsidP="006F1047">
      <w:pPr>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9F0E8A" w:rsidRPr="006D2468" w:rsidRDefault="0098176F" w:rsidP="0012681D">
      <w:pPr>
        <w:suppressAutoHyphens/>
        <w:ind w:right="51"/>
        <w:jc w:val="both"/>
        <w:rPr>
          <w:rFonts w:ascii="Arial" w:hAnsi="Arial" w:cs="Arial"/>
        </w:rPr>
      </w:pPr>
      <w:r w:rsidRPr="006D2468">
        <w:rPr>
          <w:rFonts w:ascii="Arial" w:hAnsi="Arial" w:cs="Arial"/>
        </w:rPr>
        <w:t xml:space="preserve">2.1 </w:t>
      </w:r>
      <w:r w:rsidR="00383089">
        <w:rPr>
          <w:rFonts w:ascii="Arial" w:hAnsi="Arial" w:cs="Arial"/>
        </w:rPr>
        <w:t>El abogado</w:t>
      </w:r>
      <w:r w:rsidR="00756B60" w:rsidRPr="006D2468">
        <w:rPr>
          <w:rFonts w:ascii="Arial" w:hAnsi="Arial" w:cs="Arial"/>
        </w:rPr>
        <w:t xml:space="preserve"> que representa los intereses del señor </w:t>
      </w:r>
      <w:r w:rsidR="00383089">
        <w:rPr>
          <w:rFonts w:ascii="Arial" w:hAnsi="Arial" w:cs="Arial"/>
        </w:rPr>
        <w:t>Fabián Andrés Rubio Tovar</w:t>
      </w:r>
      <w:r w:rsidR="00AD7218" w:rsidRPr="006D2468">
        <w:rPr>
          <w:rFonts w:ascii="Arial" w:hAnsi="Arial" w:cs="Arial"/>
        </w:rPr>
        <w:t xml:space="preserve"> elevó </w:t>
      </w:r>
      <w:r w:rsidR="00756B60" w:rsidRPr="006D2468">
        <w:rPr>
          <w:rFonts w:ascii="Arial" w:hAnsi="Arial" w:cs="Arial"/>
        </w:rPr>
        <w:t xml:space="preserve">ante el Centro de Servicios Judiciales del Sistema Penal Acusatorio </w:t>
      </w:r>
      <w:r w:rsidR="00AD7218" w:rsidRPr="006D2468">
        <w:rPr>
          <w:rFonts w:ascii="Arial" w:hAnsi="Arial" w:cs="Arial"/>
        </w:rPr>
        <w:t xml:space="preserve">una solicitud </w:t>
      </w:r>
      <w:r w:rsidR="00756B60" w:rsidRPr="006D2468">
        <w:rPr>
          <w:rFonts w:ascii="Arial" w:hAnsi="Arial" w:cs="Arial"/>
        </w:rPr>
        <w:t>de “sustitución de medida de aseguramiento” a favor de su prohijado (folio 2), la cual fue asignada al Juzgado Quinto Penal Municipal con Funciones de Control de Garant</w:t>
      </w:r>
      <w:r w:rsidR="002F3094" w:rsidRPr="006D2468">
        <w:rPr>
          <w:rFonts w:ascii="Arial" w:hAnsi="Arial" w:cs="Arial"/>
        </w:rPr>
        <w:t xml:space="preserve">ías de esta ciudad. El titular de este último despacho en audiencia del 27 de julio de 2017 (folio </w:t>
      </w:r>
      <w:r w:rsidR="00383089">
        <w:rPr>
          <w:rFonts w:ascii="Arial" w:hAnsi="Arial" w:cs="Arial"/>
        </w:rPr>
        <w:t>4</w:t>
      </w:r>
      <w:r w:rsidR="002F3094" w:rsidRPr="006D2468">
        <w:rPr>
          <w:rFonts w:ascii="Arial" w:hAnsi="Arial" w:cs="Arial"/>
        </w:rPr>
        <w:t xml:space="preserve">), decidió remitir las diligencias al Juzgado </w:t>
      </w:r>
      <w:r w:rsidR="00383089">
        <w:rPr>
          <w:rFonts w:ascii="Arial" w:hAnsi="Arial" w:cs="Arial"/>
        </w:rPr>
        <w:t>Cuarto</w:t>
      </w:r>
      <w:r w:rsidR="002F3094" w:rsidRPr="006D2468">
        <w:rPr>
          <w:rFonts w:ascii="Arial" w:hAnsi="Arial" w:cs="Arial"/>
        </w:rPr>
        <w:t xml:space="preserve"> Penal del Circuito de esta ciudad</w:t>
      </w:r>
      <w:r w:rsidR="009F0E8A" w:rsidRPr="006D2468">
        <w:rPr>
          <w:rFonts w:ascii="Arial" w:hAnsi="Arial" w:cs="Arial"/>
        </w:rPr>
        <w:t xml:space="preserve"> por ser esa célula judicial la que emitió la sentencia de primer grado en contra del acusado. </w:t>
      </w:r>
    </w:p>
    <w:p w:rsidR="009F0E8A" w:rsidRPr="006D2468" w:rsidRDefault="009F0E8A" w:rsidP="0012681D">
      <w:pPr>
        <w:suppressAutoHyphens/>
        <w:ind w:right="51"/>
        <w:jc w:val="both"/>
        <w:rPr>
          <w:rFonts w:ascii="Arial" w:hAnsi="Arial" w:cs="Arial"/>
        </w:rPr>
      </w:pPr>
    </w:p>
    <w:p w:rsidR="00477E81" w:rsidRPr="006D2468" w:rsidRDefault="009F0E8A" w:rsidP="00CB713D">
      <w:pPr>
        <w:suppressAutoHyphens/>
        <w:ind w:right="51"/>
        <w:jc w:val="both"/>
        <w:rPr>
          <w:rFonts w:ascii="Arial" w:hAnsi="Arial" w:cs="Arial"/>
        </w:rPr>
      </w:pPr>
      <w:r w:rsidRPr="006D2468">
        <w:rPr>
          <w:rFonts w:ascii="Arial" w:hAnsi="Arial" w:cs="Arial"/>
        </w:rPr>
        <w:t xml:space="preserve">2.2 </w:t>
      </w:r>
      <w:r w:rsidR="00383089">
        <w:rPr>
          <w:rFonts w:ascii="Arial" w:hAnsi="Arial" w:cs="Arial"/>
        </w:rPr>
        <w:t>La</w:t>
      </w:r>
      <w:r w:rsidRPr="006D2468">
        <w:rPr>
          <w:rFonts w:ascii="Arial" w:hAnsi="Arial" w:cs="Arial"/>
        </w:rPr>
        <w:t xml:space="preserve"> juez </w:t>
      </w:r>
      <w:r w:rsidR="00383089">
        <w:rPr>
          <w:rFonts w:ascii="Arial" w:hAnsi="Arial" w:cs="Arial"/>
        </w:rPr>
        <w:t>cuarta</w:t>
      </w:r>
      <w:r w:rsidRPr="006D2468">
        <w:rPr>
          <w:rFonts w:ascii="Arial" w:hAnsi="Arial" w:cs="Arial"/>
        </w:rPr>
        <w:t xml:space="preserve"> penal del circuito de Pereira a través de auto del 31 de julio de 2017, dispuso el envío de las diligencias a esta Colegiatura de conformidad con lo previsto en los art</w:t>
      </w:r>
      <w:r w:rsidR="00CB713D" w:rsidRPr="006D2468">
        <w:rPr>
          <w:rFonts w:ascii="Arial" w:hAnsi="Arial" w:cs="Arial"/>
        </w:rPr>
        <w:t>ículos 54 del CPP</w:t>
      </w:r>
      <w:r w:rsidR="00AA69A0">
        <w:rPr>
          <w:rFonts w:ascii="Arial" w:hAnsi="Arial" w:cs="Arial"/>
        </w:rPr>
        <w:t xml:space="preserve"> (folio 6</w:t>
      </w:r>
      <w:r w:rsidR="00504DFF" w:rsidRPr="006D2468">
        <w:rPr>
          <w:rFonts w:ascii="Arial" w:hAnsi="Arial" w:cs="Arial"/>
        </w:rPr>
        <w:t>)</w:t>
      </w:r>
      <w:r w:rsidR="00C05A1F">
        <w:rPr>
          <w:rFonts w:ascii="Arial" w:hAnsi="Arial" w:cs="Arial"/>
        </w:rPr>
        <w:t xml:space="preserve">, para que se definiera la competencia en el presente asunto. </w:t>
      </w:r>
    </w:p>
    <w:p w:rsidR="00CB713D" w:rsidRPr="006D2468" w:rsidRDefault="00CB713D" w:rsidP="00CB713D">
      <w:pPr>
        <w:suppressAutoHyphens/>
        <w:ind w:right="51"/>
        <w:jc w:val="both"/>
        <w:rPr>
          <w:rFonts w:ascii="Arial" w:hAnsi="Arial" w:cs="Arial"/>
        </w:rPr>
      </w:pPr>
    </w:p>
    <w:p w:rsidR="00F00952" w:rsidRPr="006D2468" w:rsidRDefault="00F00952" w:rsidP="006F1047">
      <w:pPr>
        <w:ind w:right="51"/>
        <w:jc w:val="both"/>
        <w:rPr>
          <w:rFonts w:ascii="Arial" w:hAnsi="Arial" w:cs="Arial"/>
        </w:rPr>
      </w:pPr>
    </w:p>
    <w:p w:rsidR="00405B94" w:rsidRPr="006D2468" w:rsidRDefault="00405B94" w:rsidP="00405B94">
      <w:pPr>
        <w:suppressAutoHyphens/>
        <w:ind w:right="51"/>
        <w:jc w:val="center"/>
        <w:rPr>
          <w:rFonts w:ascii="Arial" w:hAnsi="Arial" w:cs="Arial"/>
          <w:b/>
          <w:bCs/>
        </w:rPr>
      </w:pPr>
      <w:r w:rsidRPr="006D2468">
        <w:rPr>
          <w:rFonts w:ascii="Arial" w:hAnsi="Arial" w:cs="Arial"/>
          <w:b/>
          <w:bCs/>
        </w:rPr>
        <w:lastRenderedPageBreak/>
        <w:t>3. CONSIDERACIONES DE LA SALA</w:t>
      </w:r>
    </w:p>
    <w:p w:rsidR="00405B94" w:rsidRPr="006D2468" w:rsidRDefault="00405B94" w:rsidP="00405B94">
      <w:pPr>
        <w:suppressAutoHyphens/>
        <w:ind w:right="51"/>
        <w:jc w:val="both"/>
        <w:rPr>
          <w:rFonts w:ascii="Arial" w:hAnsi="Arial" w:cs="Arial"/>
        </w:rPr>
      </w:pPr>
    </w:p>
    <w:p w:rsidR="00405B94" w:rsidRPr="006D2468" w:rsidRDefault="006D2468" w:rsidP="00405B94">
      <w:pPr>
        <w:jc w:val="both"/>
        <w:rPr>
          <w:rFonts w:ascii="Arial" w:hAnsi="Arial" w:cs="Arial"/>
          <w:lang w:eastAsia="en-US"/>
        </w:rPr>
      </w:pPr>
      <w:r w:rsidRPr="006D2468">
        <w:rPr>
          <w:rFonts w:ascii="Arial" w:hAnsi="Arial" w:cs="Arial"/>
        </w:rPr>
        <w:t>3.1</w:t>
      </w:r>
      <w:r w:rsidR="00405B94" w:rsidRPr="006D2468">
        <w:rPr>
          <w:rFonts w:ascii="Arial" w:hAnsi="Arial" w:cs="Arial"/>
        </w:rPr>
        <w:t xml:space="preserve"> </w:t>
      </w:r>
      <w:r w:rsidR="00CB713D" w:rsidRPr="006D2468">
        <w:rPr>
          <w:rFonts w:ascii="Arial" w:hAnsi="Arial" w:cs="Arial"/>
        </w:rPr>
        <w:t xml:space="preserve">Frente al asunto que </w:t>
      </w:r>
      <w:r w:rsidR="001922F5" w:rsidRPr="006D2468">
        <w:rPr>
          <w:rFonts w:ascii="Arial" w:hAnsi="Arial" w:cs="Arial"/>
        </w:rPr>
        <w:t xml:space="preserve">es objeto de análisis, se debe establecer que </w:t>
      </w:r>
      <w:r w:rsidR="00405B94" w:rsidRPr="006D2468">
        <w:rPr>
          <w:rFonts w:ascii="Arial" w:hAnsi="Arial" w:cs="Arial"/>
        </w:rPr>
        <w:t>con el fin de preservar los principios de la celeridad y la economía procesal, esta Sala dirimió el tema de la competencia para</w:t>
      </w:r>
      <w:r w:rsidR="00405B94" w:rsidRPr="006D2468">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504DFF" w:rsidRDefault="00405B94" w:rsidP="00405B94">
      <w:pPr>
        <w:spacing w:line="360" w:lineRule="auto"/>
        <w:ind w:left="567" w:right="616"/>
        <w:jc w:val="both"/>
        <w:rPr>
          <w:rFonts w:ascii="Arial" w:hAnsi="Arial" w:cs="Arial"/>
          <w:sz w:val="22"/>
          <w:szCs w:val="22"/>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 xml:space="preserve">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w:t>
      </w:r>
      <w:proofErr w:type="spellStart"/>
      <w:r w:rsidRPr="00405B94">
        <w:rPr>
          <w:rFonts w:ascii="Arial" w:hAnsi="Arial" w:cs="Arial"/>
          <w:i/>
          <w:sz w:val="20"/>
          <w:szCs w:val="20"/>
          <w:lang w:val="es-CO"/>
        </w:rPr>
        <w:t>Públic</w:t>
      </w:r>
      <w:proofErr w:type="spellEnd"/>
      <w:r w:rsidR="007246F6">
        <w:rPr>
          <w:rFonts w:ascii="Arial" w:hAnsi="Arial" w:cs="Arial"/>
          <w:i/>
          <w:sz w:val="20"/>
          <w:szCs w:val="20"/>
          <w:lang w:val="es-CO"/>
        </w:rPr>
        <w:t xml:space="preserve">     </w:t>
      </w:r>
      <w:r w:rsidRPr="00405B94">
        <w:rPr>
          <w:rFonts w:ascii="Arial" w:hAnsi="Arial" w:cs="Arial"/>
          <w:i/>
          <w:sz w:val="20"/>
          <w:szCs w:val="20"/>
          <w:lang w:val="es-CO"/>
        </w:rPr>
        <w:t>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405B94" w:rsidRPr="00405B94" w:rsidRDefault="00405B94" w:rsidP="00405B94">
      <w:pPr>
        <w:spacing w:line="276" w:lineRule="auto"/>
        <w:jc w:val="both"/>
        <w:rPr>
          <w:rFonts w:ascii="Arial" w:hAnsi="Arial" w:cs="Arial"/>
          <w:sz w:val="20"/>
          <w:szCs w:val="20"/>
          <w:lang w:eastAsia="en-US"/>
        </w:rPr>
      </w:pPr>
    </w:p>
    <w:p w:rsidR="00405B94" w:rsidRPr="006D2468" w:rsidRDefault="006D2468" w:rsidP="007246F6">
      <w:pPr>
        <w:pStyle w:val="Sansinterligne"/>
        <w:jc w:val="both"/>
        <w:rPr>
          <w:rFonts w:ascii="Arial" w:hAnsi="Arial" w:cs="Arial"/>
          <w:lang w:eastAsia="en-US"/>
        </w:rPr>
      </w:pPr>
      <w:r w:rsidRPr="006D2468">
        <w:rPr>
          <w:rFonts w:ascii="Arial" w:hAnsi="Arial" w:cs="Arial"/>
          <w:lang w:eastAsia="en-US"/>
        </w:rPr>
        <w:t>3.2</w:t>
      </w:r>
      <w:r w:rsidR="00405B94" w:rsidRPr="006D2468">
        <w:rPr>
          <w:rFonts w:ascii="Arial" w:hAnsi="Arial" w:cs="Arial"/>
          <w:lang w:eastAsia="en-US"/>
        </w:rPr>
        <w:t xml:space="preserve"> En consecuencia de lo anterior, y variando la posición que con anterioridad tenía la Sala frente a asignar la competencia para conocer de aquellas solicitudes de sustitución de medida de aseguramiento, se debe establecer que en el asunto sub judice la autoridad competente para resolver la solicitud elevada a favor del señor</w:t>
      </w:r>
      <w:r w:rsidR="001922F5" w:rsidRPr="006D2468">
        <w:rPr>
          <w:rFonts w:ascii="Arial" w:hAnsi="Arial" w:cs="Arial"/>
          <w:lang w:eastAsia="en-US"/>
        </w:rPr>
        <w:t xml:space="preserve"> </w:t>
      </w:r>
      <w:r w:rsidR="00AA69A0">
        <w:rPr>
          <w:rFonts w:ascii="Arial" w:hAnsi="Arial" w:cs="Arial"/>
        </w:rPr>
        <w:t>Fabián Andrés Rubio Tovar</w:t>
      </w:r>
      <w:r w:rsidR="00405B94" w:rsidRPr="006D2468">
        <w:rPr>
          <w:rFonts w:ascii="Arial" w:hAnsi="Arial" w:cs="Arial"/>
          <w:lang w:eastAsia="en-US"/>
        </w:rPr>
        <w:t xml:space="preserve">, es </w:t>
      </w:r>
      <w:r w:rsidR="001922F5" w:rsidRPr="006D2468">
        <w:rPr>
          <w:rFonts w:ascii="Arial" w:hAnsi="Arial" w:cs="Arial"/>
          <w:lang w:eastAsia="en-US"/>
        </w:rPr>
        <w:t>el</w:t>
      </w:r>
      <w:r w:rsidR="00405B94" w:rsidRPr="006D2468">
        <w:rPr>
          <w:rFonts w:ascii="Arial" w:hAnsi="Arial" w:cs="Arial"/>
          <w:lang w:eastAsia="en-US"/>
        </w:rPr>
        <w:t xml:space="preserve"> juez que emitió la sentencia condenatoria en su contra, </w:t>
      </w:r>
      <w:r w:rsidR="00395C03" w:rsidRPr="006D2468">
        <w:rPr>
          <w:rFonts w:ascii="Arial" w:hAnsi="Arial" w:cs="Arial"/>
          <w:lang w:eastAsia="en-US"/>
        </w:rPr>
        <w:t xml:space="preserve">es decir </w:t>
      </w:r>
      <w:r w:rsidR="00405B94" w:rsidRPr="006D2468">
        <w:rPr>
          <w:rFonts w:ascii="Arial" w:hAnsi="Arial" w:cs="Arial"/>
          <w:lang w:eastAsia="en-US"/>
        </w:rPr>
        <w:t xml:space="preserve">el Juzgado </w:t>
      </w:r>
      <w:r w:rsidR="00AA69A0">
        <w:rPr>
          <w:rFonts w:ascii="Arial" w:hAnsi="Arial" w:cs="Arial"/>
          <w:lang w:eastAsia="en-US"/>
        </w:rPr>
        <w:t xml:space="preserve">Cuarto </w:t>
      </w:r>
      <w:r w:rsidR="00405B94" w:rsidRPr="006D2468">
        <w:rPr>
          <w:rFonts w:ascii="Arial" w:hAnsi="Arial" w:cs="Arial"/>
          <w:lang w:eastAsia="en-US"/>
        </w:rPr>
        <w:t xml:space="preserve">Penal del Circuito de </w:t>
      </w:r>
      <w:r w:rsidR="001922F5" w:rsidRPr="006D2468">
        <w:rPr>
          <w:rFonts w:ascii="Arial" w:hAnsi="Arial" w:cs="Arial"/>
          <w:lang w:eastAsia="en-US"/>
        </w:rPr>
        <w:t>Pereira</w:t>
      </w:r>
      <w:r w:rsidR="00405B94" w:rsidRPr="006D2468">
        <w:rPr>
          <w:rFonts w:ascii="Arial" w:hAnsi="Arial" w:cs="Arial"/>
          <w:lang w:eastAsia="en-US"/>
        </w:rPr>
        <w:t xml:space="preserve"> y no el Juez </w:t>
      </w:r>
      <w:r w:rsidR="001922F5" w:rsidRPr="006D2468">
        <w:rPr>
          <w:rFonts w:ascii="Arial" w:hAnsi="Arial" w:cs="Arial"/>
          <w:lang w:eastAsia="en-US"/>
        </w:rPr>
        <w:t xml:space="preserve">Quinto </w:t>
      </w:r>
      <w:r w:rsidR="00405B94" w:rsidRPr="006D2468">
        <w:rPr>
          <w:rFonts w:ascii="Arial" w:hAnsi="Arial" w:cs="Arial"/>
          <w:lang w:eastAsia="en-US"/>
        </w:rPr>
        <w:t xml:space="preserve">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Por lo antes referido, se ordenará la remisión del presente expediente al Juzgado </w:t>
      </w:r>
      <w:r w:rsidR="00AA69A0">
        <w:rPr>
          <w:rFonts w:ascii="Arial" w:hAnsi="Arial" w:cs="Arial"/>
          <w:lang w:eastAsia="en-US"/>
        </w:rPr>
        <w:t>Cuarto</w:t>
      </w:r>
      <w:r w:rsidR="001922F5" w:rsidRPr="006D2468">
        <w:rPr>
          <w:rFonts w:ascii="Arial" w:hAnsi="Arial" w:cs="Arial"/>
          <w:lang w:eastAsia="en-US"/>
        </w:rPr>
        <w:t xml:space="preserve"> </w:t>
      </w:r>
      <w:r w:rsidRPr="006D2468">
        <w:rPr>
          <w:rFonts w:ascii="Arial" w:hAnsi="Arial" w:cs="Arial"/>
          <w:lang w:eastAsia="en-US"/>
        </w:rPr>
        <w:t xml:space="preserve">Penal del Circuito de </w:t>
      </w:r>
      <w:r w:rsidR="001922F5" w:rsidRPr="006D2468">
        <w:rPr>
          <w:rFonts w:ascii="Arial" w:hAnsi="Arial" w:cs="Arial"/>
          <w:lang w:eastAsia="en-US"/>
        </w:rPr>
        <w:t>Pereira</w:t>
      </w:r>
      <w:r w:rsidRPr="006D2468">
        <w:rPr>
          <w:rFonts w:ascii="Arial" w:hAnsi="Arial" w:cs="Arial"/>
          <w:lang w:eastAsia="en-US"/>
        </w:rPr>
        <w:t xml:space="preserve">, para que allí se decida finalmente sobre lo pedido. </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lang w:eastAsia="en-US"/>
        </w:rPr>
        <w:t xml:space="preserve">En mérito de lo antes expuesto, la Sala Penal de Decisión del Tribunal Superior del Distrito Judicial de Pereira, </w:t>
      </w:r>
    </w:p>
    <w:p w:rsidR="00405B94" w:rsidRPr="006D2468" w:rsidRDefault="00405B94" w:rsidP="007246F6">
      <w:pPr>
        <w:pStyle w:val="Sansinterligne"/>
        <w:jc w:val="both"/>
        <w:rPr>
          <w:rFonts w:ascii="Arial" w:hAnsi="Arial" w:cs="Arial"/>
          <w:b/>
        </w:rPr>
      </w:pPr>
    </w:p>
    <w:p w:rsidR="00405B94" w:rsidRPr="006D2468" w:rsidRDefault="00405B94" w:rsidP="007246F6">
      <w:pPr>
        <w:pStyle w:val="Sansinterligne"/>
        <w:jc w:val="both"/>
        <w:rPr>
          <w:rFonts w:ascii="Arial" w:hAnsi="Arial" w:cs="Arial"/>
          <w:b/>
        </w:rPr>
      </w:pPr>
    </w:p>
    <w:p w:rsidR="00405B94" w:rsidRPr="006D2468" w:rsidRDefault="00405B94" w:rsidP="00325882">
      <w:pPr>
        <w:pStyle w:val="Sansinterligne"/>
        <w:jc w:val="center"/>
        <w:rPr>
          <w:rFonts w:ascii="Arial" w:hAnsi="Arial" w:cs="Arial"/>
          <w:b/>
        </w:rPr>
      </w:pPr>
      <w:r w:rsidRPr="006D2468">
        <w:rPr>
          <w:rFonts w:ascii="Arial" w:hAnsi="Arial" w:cs="Arial"/>
          <w:b/>
        </w:rPr>
        <w:t>RESUELVE</w:t>
      </w:r>
    </w:p>
    <w:p w:rsidR="00405B94" w:rsidRPr="006D2468" w:rsidRDefault="00405B94" w:rsidP="007246F6">
      <w:pPr>
        <w:pStyle w:val="Sansinterligne"/>
        <w:jc w:val="both"/>
        <w:rPr>
          <w:rFonts w:ascii="Arial" w:hAnsi="Arial" w:cs="Arial"/>
          <w:lang w:eastAsia="en-US"/>
        </w:rPr>
      </w:pPr>
    </w:p>
    <w:p w:rsidR="00405B94" w:rsidRPr="006D2468" w:rsidRDefault="00405B94" w:rsidP="007246F6">
      <w:pPr>
        <w:pStyle w:val="Sansinterligne"/>
        <w:jc w:val="both"/>
        <w:rPr>
          <w:rFonts w:ascii="Arial" w:hAnsi="Arial" w:cs="Arial"/>
          <w:lang w:eastAsia="en-US"/>
        </w:rPr>
      </w:pPr>
      <w:r w:rsidRPr="006D2468">
        <w:rPr>
          <w:rFonts w:ascii="Arial" w:hAnsi="Arial" w:cs="Arial"/>
          <w:b/>
          <w:bCs/>
          <w:lang w:eastAsia="en-US"/>
        </w:rPr>
        <w:t>PRIMERO:</w:t>
      </w:r>
      <w:r w:rsidRPr="006D2468">
        <w:rPr>
          <w:rFonts w:ascii="Arial" w:hAnsi="Arial" w:cs="Arial"/>
          <w:lang w:eastAsia="en-US"/>
        </w:rPr>
        <w:t xml:space="preserve"> </w:t>
      </w:r>
      <w:r w:rsidR="001922F5" w:rsidRPr="006D2468">
        <w:rPr>
          <w:rFonts w:ascii="Arial" w:hAnsi="Arial" w:cs="Arial"/>
          <w:b/>
          <w:lang w:eastAsia="en-US"/>
        </w:rPr>
        <w:t>DECLARAR</w:t>
      </w:r>
      <w:r w:rsidR="001922F5" w:rsidRPr="006D2468">
        <w:rPr>
          <w:rFonts w:ascii="Arial" w:hAnsi="Arial" w:cs="Arial"/>
          <w:lang w:eastAsia="en-US"/>
        </w:rPr>
        <w:t xml:space="preserve"> que el Juzgado </w:t>
      </w:r>
      <w:r w:rsidR="00AA69A0">
        <w:rPr>
          <w:rFonts w:ascii="Arial" w:hAnsi="Arial" w:cs="Arial"/>
          <w:lang w:eastAsia="en-US"/>
        </w:rPr>
        <w:t>Cuarto</w:t>
      </w:r>
      <w:r w:rsidR="00504DFF" w:rsidRPr="006D2468">
        <w:rPr>
          <w:rFonts w:ascii="Arial" w:hAnsi="Arial" w:cs="Arial"/>
          <w:lang w:eastAsia="en-US"/>
        </w:rPr>
        <w:t xml:space="preserve"> </w:t>
      </w:r>
      <w:r w:rsidR="001922F5" w:rsidRPr="006D2468">
        <w:rPr>
          <w:rFonts w:ascii="Arial" w:hAnsi="Arial" w:cs="Arial"/>
          <w:lang w:eastAsia="en-US"/>
        </w:rPr>
        <w:t xml:space="preserve">Penal del Circuito de </w:t>
      </w:r>
      <w:r w:rsidR="00504DFF" w:rsidRPr="006D2468">
        <w:rPr>
          <w:rFonts w:ascii="Arial" w:hAnsi="Arial" w:cs="Arial"/>
          <w:lang w:eastAsia="en-US"/>
        </w:rPr>
        <w:t xml:space="preserve">Pereira </w:t>
      </w:r>
      <w:r w:rsidR="001922F5" w:rsidRPr="006D2468">
        <w:rPr>
          <w:rFonts w:ascii="Arial" w:hAnsi="Arial" w:cs="Arial"/>
          <w:lang w:eastAsia="en-US"/>
        </w:rPr>
        <w:t xml:space="preserve">es la autoridad competente para </w:t>
      </w:r>
      <w:r w:rsidRPr="006D2468">
        <w:rPr>
          <w:rFonts w:ascii="Arial" w:hAnsi="Arial" w:cs="Arial"/>
        </w:rPr>
        <w:t>tramitar la solicitud de sustitu</w:t>
      </w:r>
      <w:r w:rsidR="00504DFF" w:rsidRPr="006D2468">
        <w:rPr>
          <w:rFonts w:ascii="Arial" w:hAnsi="Arial" w:cs="Arial"/>
        </w:rPr>
        <w:t>ción de medida se aseguramiento</w:t>
      </w:r>
      <w:r w:rsidRPr="006D2468">
        <w:rPr>
          <w:rFonts w:ascii="Arial" w:hAnsi="Arial" w:cs="Arial"/>
        </w:rPr>
        <w:t xml:space="preserve"> presentada a favor del señor </w:t>
      </w:r>
      <w:r w:rsidR="00AA69A0">
        <w:rPr>
          <w:rFonts w:ascii="Arial" w:hAnsi="Arial" w:cs="Arial"/>
        </w:rPr>
        <w:t>Fabián Andrés Rubio Tovar</w:t>
      </w:r>
      <w:r w:rsidRPr="006D2468">
        <w:rPr>
          <w:rFonts w:ascii="Arial" w:hAnsi="Arial" w:cs="Arial"/>
          <w:lang w:eastAsia="en-US"/>
        </w:rPr>
        <w:t>, ello por las razones expuestas en la</w:t>
      </w:r>
      <w:r w:rsidR="00504DFF" w:rsidRPr="006D2468">
        <w:rPr>
          <w:rFonts w:ascii="Arial" w:hAnsi="Arial" w:cs="Arial"/>
          <w:lang w:eastAsia="en-US"/>
        </w:rPr>
        <w:t xml:space="preserve"> parte motiva de esta decisión, </w:t>
      </w:r>
      <w:r w:rsidRPr="006D2468">
        <w:rPr>
          <w:rFonts w:ascii="Arial" w:hAnsi="Arial" w:cs="Arial"/>
          <w:lang w:eastAsia="en-US"/>
        </w:rPr>
        <w:t xml:space="preserve">por lo tanto se </w:t>
      </w:r>
      <w:r w:rsidRPr="006D2468">
        <w:rPr>
          <w:rFonts w:ascii="Arial" w:hAnsi="Arial" w:cs="Arial"/>
          <w:b/>
          <w:lang w:eastAsia="en-US"/>
        </w:rPr>
        <w:t>DISPONE</w:t>
      </w:r>
      <w:r w:rsidRPr="006D2468">
        <w:rPr>
          <w:rFonts w:ascii="Arial" w:hAnsi="Arial" w:cs="Arial"/>
          <w:lang w:eastAsia="en-US"/>
        </w:rPr>
        <w:t xml:space="preserve"> la remisión inmediata del expediente a ese Juzgado para los fines pertinentes. </w:t>
      </w:r>
    </w:p>
    <w:p w:rsidR="00405B94" w:rsidRPr="006D2468" w:rsidRDefault="00405B94" w:rsidP="007246F6">
      <w:pPr>
        <w:pStyle w:val="Sansinterligne"/>
        <w:jc w:val="both"/>
        <w:rPr>
          <w:rFonts w:ascii="Arial" w:hAnsi="Arial" w:cs="Arial"/>
          <w:lang w:eastAsia="en-US"/>
        </w:rPr>
      </w:pPr>
    </w:p>
    <w:p w:rsidR="00405B94" w:rsidRPr="006D2468" w:rsidRDefault="00504DFF" w:rsidP="007246F6">
      <w:pPr>
        <w:pStyle w:val="Sansinterligne"/>
        <w:jc w:val="both"/>
        <w:rPr>
          <w:rFonts w:ascii="Arial" w:hAnsi="Arial" w:cs="Arial"/>
          <w:lang w:eastAsia="en-US"/>
        </w:rPr>
      </w:pPr>
      <w:r w:rsidRPr="006D2468">
        <w:rPr>
          <w:rFonts w:ascii="Arial" w:hAnsi="Arial" w:cs="Arial"/>
          <w:b/>
          <w:lang w:eastAsia="en-US"/>
        </w:rPr>
        <w:t>SEGUNDO</w:t>
      </w:r>
      <w:r w:rsidR="00405B94" w:rsidRPr="006D2468">
        <w:rPr>
          <w:rFonts w:ascii="Arial" w:hAnsi="Arial" w:cs="Arial"/>
          <w:b/>
          <w:lang w:eastAsia="en-US"/>
        </w:rPr>
        <w:t>:</w:t>
      </w:r>
      <w:r w:rsidR="00405B94" w:rsidRPr="006D2468">
        <w:rPr>
          <w:rFonts w:ascii="Arial" w:hAnsi="Arial" w:cs="Arial"/>
          <w:lang w:eastAsia="en-US"/>
        </w:rPr>
        <w:t xml:space="preserve"> Declarar que en contra de esta decisión no procede recurso alguno.</w:t>
      </w:r>
    </w:p>
    <w:p w:rsidR="00405B94" w:rsidRDefault="00405B94" w:rsidP="007246F6">
      <w:pPr>
        <w:pStyle w:val="Sansinterligne"/>
        <w:jc w:val="both"/>
        <w:rPr>
          <w:rFonts w:ascii="Arial" w:hAnsi="Arial" w:cs="Arial"/>
          <w:b/>
          <w:bCs/>
          <w:lang w:eastAsia="en-US"/>
        </w:rPr>
      </w:pPr>
    </w:p>
    <w:p w:rsidR="006474B6" w:rsidRDefault="006474B6" w:rsidP="007246F6">
      <w:pPr>
        <w:pStyle w:val="Sansinterligne"/>
        <w:jc w:val="both"/>
        <w:rPr>
          <w:rFonts w:ascii="Arial" w:hAnsi="Arial" w:cs="Arial"/>
          <w:b/>
          <w:bCs/>
          <w:lang w:eastAsia="en-US"/>
        </w:rPr>
      </w:pPr>
    </w:p>
    <w:p w:rsidR="006474B6" w:rsidRDefault="006474B6" w:rsidP="007246F6">
      <w:pPr>
        <w:pStyle w:val="Sansinterligne"/>
        <w:jc w:val="both"/>
        <w:rPr>
          <w:rFonts w:ascii="Arial" w:hAnsi="Arial" w:cs="Arial"/>
          <w:b/>
          <w:bCs/>
          <w:lang w:eastAsia="en-US"/>
        </w:rPr>
      </w:pPr>
    </w:p>
    <w:p w:rsidR="006474B6" w:rsidRDefault="006474B6" w:rsidP="007246F6">
      <w:pPr>
        <w:pStyle w:val="Sansinterligne"/>
        <w:jc w:val="both"/>
        <w:rPr>
          <w:rFonts w:ascii="Arial" w:hAnsi="Arial" w:cs="Arial"/>
          <w:b/>
          <w:bCs/>
          <w:lang w:eastAsia="en-US"/>
        </w:rPr>
      </w:pPr>
    </w:p>
    <w:p w:rsidR="006474B6" w:rsidRPr="006D2468" w:rsidRDefault="006474B6" w:rsidP="007246F6">
      <w:pPr>
        <w:pStyle w:val="Sansinterligne"/>
        <w:jc w:val="both"/>
        <w:rPr>
          <w:rFonts w:ascii="Arial" w:hAnsi="Arial" w:cs="Arial"/>
          <w:b/>
          <w:bCs/>
          <w:lang w:eastAsia="en-US"/>
        </w:rPr>
      </w:pPr>
    </w:p>
    <w:p w:rsidR="00405B94" w:rsidRPr="006D2468" w:rsidRDefault="00405B94" w:rsidP="00325882">
      <w:pPr>
        <w:pStyle w:val="Sansinterligne"/>
        <w:rPr>
          <w:rFonts w:ascii="Arial" w:hAnsi="Arial" w:cs="Arial"/>
          <w:b/>
          <w:bCs/>
          <w:lang w:eastAsia="en-US"/>
        </w:rPr>
      </w:pPr>
    </w:p>
    <w:p w:rsidR="00405B94" w:rsidRPr="006D2468" w:rsidRDefault="00405B94" w:rsidP="00325882">
      <w:pPr>
        <w:pStyle w:val="Sansinterligne"/>
        <w:jc w:val="center"/>
        <w:rPr>
          <w:rFonts w:ascii="Arial" w:hAnsi="Arial" w:cs="Arial"/>
          <w:b/>
          <w:bCs/>
          <w:lang w:eastAsia="en-US"/>
        </w:rPr>
      </w:pPr>
      <w:r w:rsidRPr="006D2468">
        <w:rPr>
          <w:rFonts w:ascii="Arial" w:hAnsi="Arial" w:cs="Arial"/>
          <w:b/>
          <w:bCs/>
          <w:lang w:eastAsia="en-US"/>
        </w:rPr>
        <w:t>CÚMPLASE</w:t>
      </w:r>
    </w:p>
    <w:p w:rsidR="00405B94" w:rsidRPr="006D2468" w:rsidRDefault="00405B94" w:rsidP="00325882">
      <w:pPr>
        <w:pStyle w:val="Sansinterligne"/>
        <w:jc w:val="center"/>
        <w:rPr>
          <w:rFonts w:ascii="Arial" w:hAnsi="Arial" w:cs="Arial"/>
          <w:b/>
          <w:bCs/>
          <w:lang w:eastAsia="en-U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JAIRO ERNESTO ESCOBAR SANZ</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MANUEL YARZAGARAY BANDERA</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rPr>
          <w:rFonts w:ascii="Arial" w:hAnsi="Arial" w:cs="Arial"/>
          <w:b/>
          <w:bCs/>
        </w:rPr>
      </w:pPr>
    </w:p>
    <w:p w:rsidR="00405B94" w:rsidRPr="006D2468" w:rsidRDefault="00405B94" w:rsidP="00325882">
      <w:pPr>
        <w:pStyle w:val="Sansinterligne"/>
        <w:jc w:val="center"/>
        <w:rPr>
          <w:rFonts w:ascii="Arial" w:hAnsi="Arial" w:cs="Arial"/>
          <w:b/>
          <w:bCs/>
        </w:rPr>
      </w:pPr>
    </w:p>
    <w:p w:rsidR="00405B94" w:rsidRPr="006D2468" w:rsidRDefault="00405B94" w:rsidP="00325882">
      <w:pPr>
        <w:pStyle w:val="Sansinterligne"/>
        <w:jc w:val="center"/>
        <w:rPr>
          <w:rFonts w:ascii="Arial" w:hAnsi="Arial" w:cs="Arial"/>
          <w:b/>
          <w:bCs/>
        </w:rPr>
      </w:pPr>
      <w:r w:rsidRPr="006D2468">
        <w:rPr>
          <w:rFonts w:ascii="Arial" w:hAnsi="Arial" w:cs="Arial"/>
          <w:b/>
          <w:bCs/>
        </w:rPr>
        <w:t>JORGE ARTURO CASTAÑO DUQUE</w:t>
      </w:r>
    </w:p>
    <w:p w:rsidR="00405B94" w:rsidRPr="006D2468" w:rsidRDefault="00405B94" w:rsidP="00325882">
      <w:pPr>
        <w:pStyle w:val="Sansinterligne"/>
        <w:jc w:val="center"/>
        <w:rPr>
          <w:rFonts w:ascii="Arial" w:hAnsi="Arial" w:cs="Arial"/>
          <w:b/>
          <w:bCs/>
        </w:rPr>
      </w:pPr>
      <w:r w:rsidRPr="006D2468">
        <w:rPr>
          <w:rFonts w:ascii="Arial" w:hAnsi="Arial" w:cs="Arial"/>
          <w:b/>
          <w:bCs/>
        </w:rPr>
        <w:t>Magistrado</w:t>
      </w:r>
    </w:p>
    <w:p w:rsidR="004823C6" w:rsidRPr="00504DFF" w:rsidRDefault="004823C6" w:rsidP="00395C03">
      <w:pPr>
        <w:pStyle w:val="Sansinterligne"/>
        <w:rPr>
          <w:rFonts w:ascii="Arial" w:hAnsi="Arial" w:cs="Arial"/>
          <w:sz w:val="22"/>
          <w:szCs w:val="22"/>
        </w:rPr>
      </w:pPr>
    </w:p>
    <w:sectPr w:rsidR="004823C6" w:rsidRPr="00504DFF"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21" w:rsidRDefault="00777221" w:rsidP="009F1B8F">
      <w:r>
        <w:separator/>
      </w:r>
    </w:p>
  </w:endnote>
  <w:endnote w:type="continuationSeparator" w:id="0">
    <w:p w:rsidR="00777221" w:rsidRDefault="00777221"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6474B6">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6474B6">
              <w:rPr>
                <w:rFonts w:ascii="Arial" w:hAnsi="Arial" w:cs="Arial"/>
                <w:b/>
                <w:bCs/>
                <w:noProof/>
                <w:sz w:val="16"/>
                <w:szCs w:val="16"/>
              </w:rPr>
              <w:t>4</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21" w:rsidRDefault="00777221" w:rsidP="009F1B8F">
      <w:r>
        <w:separator/>
      </w:r>
    </w:p>
  </w:footnote>
  <w:footnote w:type="continuationSeparator" w:id="0">
    <w:p w:rsidR="00777221" w:rsidRDefault="00777221"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C76BF5">
      <w:rPr>
        <w:rFonts w:ascii="Arial" w:hAnsi="Arial" w:cs="Arial"/>
        <w:sz w:val="20"/>
        <w:szCs w:val="20"/>
        <w:lang w:val="es-CO"/>
      </w:rPr>
      <w:t>66001 60 00 035 2012 03389 02</w:t>
    </w:r>
    <w:r w:rsidR="000635CE">
      <w:rPr>
        <w:rFonts w:ascii="Arial" w:hAnsi="Arial" w:cs="Arial"/>
        <w:sz w:val="20"/>
        <w:szCs w:val="20"/>
        <w:lang w:val="es-CO"/>
      </w:rPr>
      <w:t xml:space="preserve">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C76BF5">
      <w:rPr>
        <w:rFonts w:ascii="Arial" w:hAnsi="Arial" w:cs="Arial"/>
        <w:sz w:val="20"/>
        <w:szCs w:val="20"/>
        <w:lang w:val="es-CO"/>
      </w:rPr>
      <w:t>Fabián Andrés Rubio Tovar</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C76BF5">
      <w:rPr>
        <w:rFonts w:ascii="Arial" w:hAnsi="Arial" w:cs="Arial"/>
        <w:sz w:val="20"/>
        <w:szCs w:val="20"/>
        <w:lang w:val="es-CO"/>
      </w:rPr>
      <w:t>Homicidio</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1055C"/>
    <w:rsid w:val="00036045"/>
    <w:rsid w:val="000523A4"/>
    <w:rsid w:val="000635CE"/>
    <w:rsid w:val="0007549F"/>
    <w:rsid w:val="000C4C11"/>
    <w:rsid w:val="000D140A"/>
    <w:rsid w:val="000D1F48"/>
    <w:rsid w:val="000E6144"/>
    <w:rsid w:val="000E75BF"/>
    <w:rsid w:val="000F1E64"/>
    <w:rsid w:val="001014F9"/>
    <w:rsid w:val="0012681D"/>
    <w:rsid w:val="00132EDF"/>
    <w:rsid w:val="001922F5"/>
    <w:rsid w:val="001A5CB9"/>
    <w:rsid w:val="001C6A2C"/>
    <w:rsid w:val="001F11B8"/>
    <w:rsid w:val="002B0F9A"/>
    <w:rsid w:val="002F3094"/>
    <w:rsid w:val="003101E7"/>
    <w:rsid w:val="00323484"/>
    <w:rsid w:val="00325882"/>
    <w:rsid w:val="00383089"/>
    <w:rsid w:val="00395C03"/>
    <w:rsid w:val="003A2B5B"/>
    <w:rsid w:val="003A7E55"/>
    <w:rsid w:val="003F3253"/>
    <w:rsid w:val="00405B94"/>
    <w:rsid w:val="0047264D"/>
    <w:rsid w:val="00477E81"/>
    <w:rsid w:val="004823C6"/>
    <w:rsid w:val="0050005E"/>
    <w:rsid w:val="00504DFF"/>
    <w:rsid w:val="0053657C"/>
    <w:rsid w:val="00540662"/>
    <w:rsid w:val="00551C5C"/>
    <w:rsid w:val="005663C7"/>
    <w:rsid w:val="005A6118"/>
    <w:rsid w:val="005C008B"/>
    <w:rsid w:val="005C32C2"/>
    <w:rsid w:val="00612533"/>
    <w:rsid w:val="00621518"/>
    <w:rsid w:val="00643E9E"/>
    <w:rsid w:val="006474B6"/>
    <w:rsid w:val="006873A5"/>
    <w:rsid w:val="006D2468"/>
    <w:rsid w:val="006F1047"/>
    <w:rsid w:val="006F1718"/>
    <w:rsid w:val="007246F6"/>
    <w:rsid w:val="0074071D"/>
    <w:rsid w:val="00756B60"/>
    <w:rsid w:val="00762629"/>
    <w:rsid w:val="00775906"/>
    <w:rsid w:val="00777221"/>
    <w:rsid w:val="007A247C"/>
    <w:rsid w:val="007B7078"/>
    <w:rsid w:val="007E0E89"/>
    <w:rsid w:val="00813489"/>
    <w:rsid w:val="008408A2"/>
    <w:rsid w:val="00863E1F"/>
    <w:rsid w:val="008A08F9"/>
    <w:rsid w:val="008D47CF"/>
    <w:rsid w:val="008F16F8"/>
    <w:rsid w:val="008F2738"/>
    <w:rsid w:val="0098176F"/>
    <w:rsid w:val="009A23F3"/>
    <w:rsid w:val="009E5FEA"/>
    <w:rsid w:val="009F0E8A"/>
    <w:rsid w:val="009F1B8F"/>
    <w:rsid w:val="009F399B"/>
    <w:rsid w:val="00A10E98"/>
    <w:rsid w:val="00A329FA"/>
    <w:rsid w:val="00A60282"/>
    <w:rsid w:val="00A92019"/>
    <w:rsid w:val="00A95F76"/>
    <w:rsid w:val="00AA29AD"/>
    <w:rsid w:val="00AA69A0"/>
    <w:rsid w:val="00AB12ED"/>
    <w:rsid w:val="00AC5F4D"/>
    <w:rsid w:val="00AC7721"/>
    <w:rsid w:val="00AD7218"/>
    <w:rsid w:val="00B200CC"/>
    <w:rsid w:val="00B343EC"/>
    <w:rsid w:val="00B42964"/>
    <w:rsid w:val="00B77E45"/>
    <w:rsid w:val="00C05A1F"/>
    <w:rsid w:val="00C0731B"/>
    <w:rsid w:val="00C76BF5"/>
    <w:rsid w:val="00CB713D"/>
    <w:rsid w:val="00CF7947"/>
    <w:rsid w:val="00D2709C"/>
    <w:rsid w:val="00D55933"/>
    <w:rsid w:val="00DA3D85"/>
    <w:rsid w:val="00DC1A2B"/>
    <w:rsid w:val="00E12B7B"/>
    <w:rsid w:val="00E33E4B"/>
    <w:rsid w:val="00E95746"/>
    <w:rsid w:val="00E979FE"/>
    <w:rsid w:val="00EA7CAE"/>
    <w:rsid w:val="00EB2F4D"/>
    <w:rsid w:val="00F00952"/>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947D-4458-4ABD-8ABD-63DEA48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1771</Words>
  <Characters>9743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7</cp:revision>
  <cp:lastPrinted>2017-09-18T16:57:00Z</cp:lastPrinted>
  <dcterms:created xsi:type="dcterms:W3CDTF">2017-09-25T15:23:00Z</dcterms:created>
  <dcterms:modified xsi:type="dcterms:W3CDTF">2017-11-07T09:14:00Z</dcterms:modified>
</cp:coreProperties>
</file>