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DE" w:rsidRPr="00C20799" w:rsidRDefault="006105DE" w:rsidP="006105DE">
      <w:pPr>
        <w:rPr>
          <w:rFonts w:ascii="Arial" w:hAnsi="Arial" w:cs="Arial"/>
          <w:lang w:val="es-CO"/>
        </w:rPr>
      </w:pPr>
      <w:r w:rsidRPr="00C20799">
        <w:rPr>
          <w:rFonts w:ascii="Arial" w:hAnsi="Arial" w:cs="Arial"/>
          <w:lang w:val="es-CO"/>
        </w:rPr>
        <w:t xml:space="preserve">Pereira, </w:t>
      </w:r>
      <w:r w:rsidR="00743DFF">
        <w:rPr>
          <w:rFonts w:ascii="Arial" w:hAnsi="Arial" w:cs="Arial"/>
          <w:lang w:val="es-CO"/>
        </w:rPr>
        <w:t>veintitrés (23) de octubre</w:t>
      </w:r>
      <w:r>
        <w:rPr>
          <w:rFonts w:ascii="Arial" w:hAnsi="Arial" w:cs="Arial"/>
          <w:lang w:val="es-CO"/>
        </w:rPr>
        <w:t xml:space="preserve"> </w:t>
      </w:r>
      <w:r w:rsidRPr="00C20799">
        <w:rPr>
          <w:rFonts w:ascii="Arial" w:hAnsi="Arial" w:cs="Arial"/>
          <w:lang w:val="es-CO"/>
        </w:rPr>
        <w:t>de dos mil diecisiete (2017)</w:t>
      </w:r>
    </w:p>
    <w:p w:rsidR="006105DE" w:rsidRPr="00C20799" w:rsidRDefault="00562C77" w:rsidP="006105DE">
      <w:pPr>
        <w:rPr>
          <w:rFonts w:ascii="Arial" w:hAnsi="Arial" w:cs="Arial"/>
          <w:lang w:val="es-CO"/>
        </w:rPr>
      </w:pPr>
      <w:r>
        <w:rPr>
          <w:rFonts w:ascii="Arial" w:hAnsi="Arial" w:cs="Arial"/>
          <w:lang w:val="es-CO"/>
        </w:rPr>
        <w:t xml:space="preserve">Oficio Nro. </w:t>
      </w:r>
      <w:r w:rsidR="001E3B66">
        <w:rPr>
          <w:rFonts w:ascii="Arial" w:hAnsi="Arial" w:cs="Arial"/>
          <w:lang w:val="es-CO"/>
        </w:rPr>
        <w:t>2787</w:t>
      </w:r>
    </w:p>
    <w:p w:rsidR="006105DE" w:rsidRPr="00C20799" w:rsidRDefault="006105DE" w:rsidP="006105DE">
      <w:pPr>
        <w:rPr>
          <w:rFonts w:ascii="Arial" w:hAnsi="Arial" w:cs="Arial"/>
          <w:lang w:val="es-CO"/>
        </w:rPr>
      </w:pPr>
    </w:p>
    <w:p w:rsidR="006105DE" w:rsidRPr="00C20799" w:rsidRDefault="006105DE" w:rsidP="006105DE">
      <w:pPr>
        <w:rPr>
          <w:rFonts w:ascii="Arial" w:hAnsi="Arial" w:cs="Arial"/>
          <w:lang w:val="es-CO"/>
        </w:rPr>
      </w:pPr>
    </w:p>
    <w:p w:rsidR="006105DE" w:rsidRPr="00C20799" w:rsidRDefault="00F4453E" w:rsidP="006105DE">
      <w:pPr>
        <w:rPr>
          <w:rFonts w:ascii="Arial" w:hAnsi="Arial" w:cs="Arial"/>
          <w:lang w:val="es-CO"/>
        </w:rPr>
      </w:pPr>
      <w:r>
        <w:rPr>
          <w:rFonts w:ascii="Arial" w:hAnsi="Arial" w:cs="Arial"/>
          <w:lang w:val="es-CO"/>
        </w:rPr>
        <w:t>Doctor</w:t>
      </w:r>
      <w:r w:rsidR="001E3B66">
        <w:rPr>
          <w:rFonts w:ascii="Arial" w:hAnsi="Arial" w:cs="Arial"/>
          <w:lang w:val="es-CO"/>
        </w:rPr>
        <w:t>a</w:t>
      </w:r>
      <w:r>
        <w:rPr>
          <w:rFonts w:ascii="Arial" w:hAnsi="Arial" w:cs="Arial"/>
          <w:lang w:val="es-CO"/>
        </w:rPr>
        <w:t xml:space="preserve"> </w:t>
      </w:r>
    </w:p>
    <w:p w:rsidR="00F4453E" w:rsidRDefault="001E3B66" w:rsidP="006105DE">
      <w:pPr>
        <w:rPr>
          <w:rFonts w:ascii="Arial" w:hAnsi="Arial" w:cs="Arial"/>
          <w:b/>
          <w:lang w:val="es-CO"/>
        </w:rPr>
      </w:pPr>
      <w:r>
        <w:rPr>
          <w:rFonts w:ascii="Arial" w:hAnsi="Arial" w:cs="Arial"/>
          <w:b/>
          <w:lang w:val="es-CO"/>
        </w:rPr>
        <w:t>GLORIA TERESA CHICA GIRALDO</w:t>
      </w:r>
    </w:p>
    <w:p w:rsidR="001E3B66" w:rsidRPr="00C20799" w:rsidRDefault="001E3B66" w:rsidP="006105DE">
      <w:pPr>
        <w:rPr>
          <w:rFonts w:ascii="Arial" w:hAnsi="Arial" w:cs="Arial"/>
          <w:b/>
          <w:lang w:val="es-CO"/>
        </w:rPr>
      </w:pPr>
      <w:r>
        <w:rPr>
          <w:rFonts w:ascii="Arial" w:hAnsi="Arial" w:cs="Arial"/>
          <w:b/>
          <w:lang w:val="es-CO"/>
        </w:rPr>
        <w:t xml:space="preserve">Juez Primera de Pequeñas Causas y Competencia Múltiple </w:t>
      </w:r>
    </w:p>
    <w:p w:rsidR="006105DE" w:rsidRPr="00C20799" w:rsidRDefault="00F4453E" w:rsidP="006105DE">
      <w:pPr>
        <w:rPr>
          <w:rFonts w:ascii="Arial" w:hAnsi="Arial" w:cs="Arial"/>
          <w:lang w:val="es-CO"/>
        </w:rPr>
      </w:pPr>
      <w:r>
        <w:rPr>
          <w:rFonts w:ascii="Arial" w:hAnsi="Arial" w:cs="Arial"/>
          <w:lang w:val="es-CO"/>
        </w:rPr>
        <w:t xml:space="preserve">Ciudad </w:t>
      </w:r>
    </w:p>
    <w:p w:rsidR="006105DE" w:rsidRPr="00C20799" w:rsidRDefault="006105DE" w:rsidP="006105DE">
      <w:pPr>
        <w:rPr>
          <w:rFonts w:ascii="Arial" w:hAnsi="Arial" w:cs="Arial"/>
          <w:lang w:val="es-CO"/>
        </w:rPr>
      </w:pPr>
    </w:p>
    <w:p w:rsidR="006105DE" w:rsidRPr="00C20799" w:rsidRDefault="006105DE" w:rsidP="006105DE">
      <w:pPr>
        <w:rPr>
          <w:rFonts w:ascii="Arial" w:hAnsi="Arial" w:cs="Arial"/>
          <w:lang w:val="es-CO"/>
        </w:rPr>
      </w:pPr>
    </w:p>
    <w:p w:rsidR="006105DE" w:rsidRPr="00C20799" w:rsidRDefault="006105DE" w:rsidP="006105DE">
      <w:pPr>
        <w:rPr>
          <w:rFonts w:ascii="Arial" w:hAnsi="Arial" w:cs="Arial"/>
          <w:lang w:val="es-CO"/>
        </w:rPr>
      </w:pPr>
      <w:r w:rsidRPr="00C20799">
        <w:rPr>
          <w:rFonts w:ascii="Arial" w:hAnsi="Arial" w:cs="Arial"/>
          <w:lang w:val="es-CO"/>
        </w:rPr>
        <w:t xml:space="preserve">Cordial saludo. </w:t>
      </w:r>
    </w:p>
    <w:p w:rsidR="006105DE" w:rsidRPr="00C20799" w:rsidRDefault="006105DE" w:rsidP="006105DE">
      <w:pPr>
        <w:rPr>
          <w:rFonts w:ascii="Arial" w:hAnsi="Arial" w:cs="Arial"/>
          <w:lang w:val="es-CO"/>
        </w:rPr>
      </w:pPr>
    </w:p>
    <w:p w:rsidR="006105DE" w:rsidRPr="00C20799" w:rsidRDefault="006105DE" w:rsidP="006105DE">
      <w:pPr>
        <w:jc w:val="both"/>
        <w:rPr>
          <w:rFonts w:ascii="Arial" w:hAnsi="Arial" w:cs="Arial"/>
          <w:lang w:val="es-CO"/>
        </w:rPr>
      </w:pPr>
    </w:p>
    <w:p w:rsidR="00562C77" w:rsidRPr="002066C2" w:rsidRDefault="00562C77" w:rsidP="00562C77">
      <w:pPr>
        <w:ind w:right="-6"/>
        <w:jc w:val="both"/>
        <w:rPr>
          <w:rFonts w:ascii="Arial" w:hAnsi="Arial" w:cs="Arial"/>
          <w:lang w:val="es-CO"/>
        </w:rPr>
      </w:pPr>
      <w:r w:rsidRPr="002066C2">
        <w:rPr>
          <w:rFonts w:ascii="Arial" w:hAnsi="Arial" w:cs="Arial"/>
          <w:lang w:val="es-CO"/>
        </w:rPr>
        <w:t xml:space="preserve">En </w:t>
      </w:r>
      <w:r>
        <w:rPr>
          <w:rFonts w:ascii="Arial" w:hAnsi="Arial" w:cs="Arial"/>
          <w:lang w:val="es-CO"/>
        </w:rPr>
        <w:t xml:space="preserve">mi calidad de </w:t>
      </w:r>
      <w:r w:rsidR="001E3B66">
        <w:rPr>
          <w:rFonts w:ascii="Arial" w:hAnsi="Arial" w:cs="Arial"/>
          <w:lang w:val="es-CO"/>
        </w:rPr>
        <w:t>Magistrado de la Sala</w:t>
      </w:r>
      <w:r w:rsidRPr="002066C2">
        <w:rPr>
          <w:rFonts w:ascii="Arial" w:hAnsi="Arial" w:cs="Arial"/>
          <w:lang w:val="es-CO"/>
        </w:rPr>
        <w:t xml:space="preserve"> Penal del Tribunal</w:t>
      </w:r>
      <w:r>
        <w:rPr>
          <w:rFonts w:ascii="Arial" w:hAnsi="Arial" w:cs="Arial"/>
          <w:lang w:val="es-CO"/>
        </w:rPr>
        <w:t xml:space="preserve"> Superior de Pereira, procedo a pronunciarme</w:t>
      </w:r>
      <w:r w:rsidRPr="002066C2">
        <w:rPr>
          <w:rFonts w:ascii="Arial" w:hAnsi="Arial" w:cs="Arial"/>
          <w:lang w:val="es-CO"/>
        </w:rPr>
        <w:t xml:space="preserve"> sobre los hechos y pretensiones de la acción de </w:t>
      </w:r>
      <w:r w:rsidRPr="00C64716">
        <w:rPr>
          <w:rFonts w:ascii="Arial" w:hAnsi="Arial" w:cs="Arial"/>
          <w:b/>
          <w:lang w:val="es-CO"/>
        </w:rPr>
        <w:t>HABEAS CORPUS</w:t>
      </w:r>
      <w:r w:rsidRPr="002066C2">
        <w:rPr>
          <w:rFonts w:ascii="Arial" w:hAnsi="Arial" w:cs="Arial"/>
          <w:lang w:val="es-CO"/>
        </w:rPr>
        <w:t xml:space="preserve"> interpuesta por el señor </w:t>
      </w:r>
      <w:r w:rsidR="001E3B66">
        <w:rPr>
          <w:rFonts w:ascii="Arial" w:hAnsi="Arial" w:cs="Arial"/>
          <w:lang w:val="es-CO"/>
        </w:rPr>
        <w:t>Ricardo Gaviria Rodríguez</w:t>
      </w:r>
      <w:r w:rsidRPr="002066C2">
        <w:rPr>
          <w:rFonts w:ascii="Arial" w:hAnsi="Arial" w:cs="Arial"/>
          <w:lang w:val="es-CO"/>
        </w:rPr>
        <w:t xml:space="preserve">, </w:t>
      </w:r>
      <w:r>
        <w:rPr>
          <w:rFonts w:ascii="Arial" w:hAnsi="Arial" w:cs="Arial"/>
          <w:lang w:val="es-CO"/>
        </w:rPr>
        <w:t>la cual fue recibida en la fecha a la</w:t>
      </w:r>
      <w:r w:rsidRPr="002066C2">
        <w:rPr>
          <w:rFonts w:ascii="Arial" w:hAnsi="Arial" w:cs="Arial"/>
          <w:lang w:val="es-CO"/>
        </w:rPr>
        <w:t xml:space="preserve"> </w:t>
      </w:r>
      <w:r w:rsidR="001E3B66">
        <w:rPr>
          <w:rFonts w:ascii="Arial" w:hAnsi="Arial" w:cs="Arial"/>
          <w:lang w:val="es-CO"/>
        </w:rPr>
        <w:t>3:37</w:t>
      </w:r>
      <w:r w:rsidRPr="00F4453E">
        <w:rPr>
          <w:rFonts w:ascii="Arial" w:hAnsi="Arial" w:cs="Arial"/>
          <w:lang w:val="es-CO"/>
        </w:rPr>
        <w:t xml:space="preserve"> p.m</w:t>
      </w:r>
      <w:r w:rsidRPr="002066C2">
        <w:rPr>
          <w:rFonts w:ascii="Arial" w:hAnsi="Arial" w:cs="Arial"/>
          <w:lang w:val="es-CO"/>
        </w:rPr>
        <w:t>., en los siguientes términos:</w:t>
      </w:r>
    </w:p>
    <w:p w:rsidR="00562C77" w:rsidRPr="002066C2" w:rsidRDefault="00562C77" w:rsidP="00562C77">
      <w:pPr>
        <w:ind w:right="-6"/>
        <w:jc w:val="both"/>
        <w:rPr>
          <w:rFonts w:ascii="Arial" w:hAnsi="Arial" w:cs="Arial"/>
          <w:lang w:val="es-CO"/>
        </w:rPr>
      </w:pPr>
    </w:p>
    <w:p w:rsidR="006105DE" w:rsidRDefault="00562C77" w:rsidP="006105DE">
      <w:pPr>
        <w:jc w:val="both"/>
        <w:rPr>
          <w:rFonts w:ascii="Arial" w:hAnsi="Arial" w:cs="Arial"/>
        </w:rPr>
      </w:pPr>
      <w:r w:rsidRPr="002066C2">
        <w:rPr>
          <w:rFonts w:ascii="Arial" w:hAnsi="Arial" w:cs="Arial"/>
          <w:lang w:val="es-CO"/>
        </w:rPr>
        <w:t xml:space="preserve">1. El proceso radicado bajo el No. </w:t>
      </w:r>
      <w:r w:rsidR="001E3B66">
        <w:rPr>
          <w:rFonts w:ascii="Arial" w:hAnsi="Arial" w:cs="Arial"/>
        </w:rPr>
        <w:t>66170 60 00 066 2010 01492 01</w:t>
      </w:r>
      <w:r w:rsidRPr="002066C2">
        <w:rPr>
          <w:rFonts w:ascii="Arial" w:hAnsi="Arial" w:cs="Arial"/>
        </w:rPr>
        <w:t xml:space="preserve"> </w:t>
      </w:r>
      <w:r>
        <w:rPr>
          <w:rFonts w:ascii="Arial" w:hAnsi="Arial" w:cs="Arial"/>
        </w:rPr>
        <w:t xml:space="preserve">que por </w:t>
      </w:r>
      <w:r w:rsidR="001E3B66">
        <w:rPr>
          <w:rFonts w:ascii="Arial" w:hAnsi="Arial" w:cs="Arial"/>
        </w:rPr>
        <w:t xml:space="preserve">el delito de tráfico, fabricación o porte de estupefacientes, </w:t>
      </w:r>
      <w:r w:rsidRPr="002066C2">
        <w:rPr>
          <w:rFonts w:ascii="Arial" w:hAnsi="Arial" w:cs="Arial"/>
          <w:lang w:val="es-CO"/>
        </w:rPr>
        <w:t>se adelanta en contra de</w:t>
      </w:r>
      <w:r>
        <w:rPr>
          <w:rFonts w:ascii="Arial" w:hAnsi="Arial" w:cs="Arial"/>
          <w:lang w:val="es-CO"/>
        </w:rPr>
        <w:t xml:space="preserve">l señor </w:t>
      </w:r>
      <w:r w:rsidR="001E3B66">
        <w:rPr>
          <w:rFonts w:ascii="Arial" w:hAnsi="Arial" w:cs="Arial"/>
          <w:lang w:val="es-CO"/>
        </w:rPr>
        <w:t>Ricardo Gaviria Rodríguez</w:t>
      </w:r>
      <w:r w:rsidRPr="002066C2">
        <w:rPr>
          <w:rFonts w:ascii="Arial" w:hAnsi="Arial" w:cs="Arial"/>
          <w:lang w:val="es-CO"/>
        </w:rPr>
        <w:t xml:space="preserve">, fue asignado por reparto al despacho </w:t>
      </w:r>
      <w:r w:rsidR="001E3B66">
        <w:rPr>
          <w:rFonts w:ascii="Arial" w:hAnsi="Arial" w:cs="Arial"/>
          <w:lang w:val="es-CO"/>
        </w:rPr>
        <w:t>del cual soy titular el 24 de junio de 2011</w:t>
      </w:r>
      <w:r w:rsidR="00382987">
        <w:rPr>
          <w:rFonts w:ascii="Arial" w:hAnsi="Arial" w:cs="Arial"/>
          <w:lang w:val="es-CO"/>
        </w:rPr>
        <w:t>,</w:t>
      </w:r>
      <w:r w:rsidRPr="002066C2">
        <w:rPr>
          <w:rFonts w:ascii="Arial" w:hAnsi="Arial" w:cs="Arial"/>
          <w:lang w:val="es-CO"/>
        </w:rPr>
        <w:t xml:space="preserve"> con el fin de que se diera trámite al recurso de apelación interpuesto por </w:t>
      </w:r>
      <w:r w:rsidR="001E3B66">
        <w:rPr>
          <w:rFonts w:ascii="Arial" w:hAnsi="Arial" w:cs="Arial"/>
        </w:rPr>
        <w:t>la apoderada judicial del encartado</w:t>
      </w:r>
      <w:r w:rsidRPr="002066C2">
        <w:rPr>
          <w:rFonts w:ascii="Arial" w:hAnsi="Arial" w:cs="Arial"/>
          <w:lang w:val="es-CO"/>
        </w:rPr>
        <w:t xml:space="preserve">, contra </w:t>
      </w:r>
      <w:r w:rsidR="00645D6E">
        <w:rPr>
          <w:rFonts w:ascii="Arial" w:hAnsi="Arial" w:cs="Arial"/>
          <w:lang w:val="es-CO"/>
        </w:rPr>
        <w:t>la sentencia proferida</w:t>
      </w:r>
      <w:r w:rsidR="003D459C">
        <w:rPr>
          <w:rFonts w:ascii="Arial" w:hAnsi="Arial" w:cs="Arial"/>
          <w:lang w:val="es-CO"/>
        </w:rPr>
        <w:t xml:space="preserve"> por el Juzgado </w:t>
      </w:r>
      <w:r w:rsidR="001E3B66">
        <w:rPr>
          <w:rFonts w:ascii="Arial" w:hAnsi="Arial" w:cs="Arial"/>
          <w:lang w:val="es-CO"/>
        </w:rPr>
        <w:t xml:space="preserve">Primero Penal del Circuito Especializado de Pereira </w:t>
      </w:r>
      <w:r w:rsidR="003D459C">
        <w:rPr>
          <w:rFonts w:ascii="Arial" w:hAnsi="Arial" w:cs="Arial"/>
          <w:lang w:val="es-CO"/>
        </w:rPr>
        <w:t>de esta ciudad</w:t>
      </w:r>
      <w:r>
        <w:rPr>
          <w:rFonts w:ascii="Arial" w:hAnsi="Arial" w:cs="Arial"/>
          <w:lang w:val="es-CO"/>
        </w:rPr>
        <w:t xml:space="preserve">, por </w:t>
      </w:r>
      <w:r w:rsidRPr="002066C2">
        <w:rPr>
          <w:rFonts w:ascii="Arial" w:hAnsi="Arial" w:cs="Arial"/>
          <w:lang w:val="es-CO"/>
        </w:rPr>
        <w:t xml:space="preserve">medio del cual </w:t>
      </w:r>
      <w:r w:rsidR="001E3B66">
        <w:rPr>
          <w:rFonts w:ascii="Arial" w:hAnsi="Arial" w:cs="Arial"/>
          <w:lang w:val="es-CO"/>
        </w:rPr>
        <w:t xml:space="preserve">lo condenó a la pena de </w:t>
      </w:r>
      <w:r w:rsidR="00444EDB">
        <w:rPr>
          <w:rFonts w:ascii="Arial" w:hAnsi="Arial" w:cs="Arial"/>
          <w:lang w:val="es-CO"/>
        </w:rPr>
        <w:t xml:space="preserve">256 meses de prisión y multa de 2.666,66 SMLMV. </w:t>
      </w:r>
      <w:r w:rsidR="006105DE" w:rsidRPr="00C20799">
        <w:rPr>
          <w:rFonts w:ascii="Arial" w:hAnsi="Arial" w:cs="Arial"/>
        </w:rPr>
        <w:t xml:space="preserve">A la fecha esa causa se encuentra a despacho para la elaboración del proyecto respectivo. </w:t>
      </w:r>
    </w:p>
    <w:p w:rsidR="003D459C" w:rsidRDefault="003D459C" w:rsidP="006105DE">
      <w:pPr>
        <w:jc w:val="both"/>
        <w:rPr>
          <w:rFonts w:ascii="Arial" w:hAnsi="Arial" w:cs="Arial"/>
        </w:rPr>
      </w:pPr>
    </w:p>
    <w:p w:rsidR="00345E5C" w:rsidRDefault="003D459C" w:rsidP="00345E5C">
      <w:pPr>
        <w:jc w:val="both"/>
        <w:rPr>
          <w:rFonts w:ascii="Arial" w:hAnsi="Arial" w:cs="Arial"/>
          <w:lang w:val="es-CO" w:eastAsia="en-US"/>
        </w:rPr>
      </w:pPr>
      <w:r>
        <w:rPr>
          <w:rFonts w:ascii="Arial" w:hAnsi="Arial" w:cs="Arial"/>
        </w:rPr>
        <w:t xml:space="preserve">2. </w:t>
      </w:r>
      <w:r w:rsidR="00D86446">
        <w:rPr>
          <w:rFonts w:ascii="Arial" w:hAnsi="Arial" w:cs="Arial"/>
        </w:rPr>
        <w:t xml:space="preserve">Según obra en el escrito de acusación, </w:t>
      </w:r>
      <w:r w:rsidR="00345E5C">
        <w:rPr>
          <w:rFonts w:ascii="Arial" w:hAnsi="Arial" w:cs="Arial"/>
          <w:lang w:val="es-CO" w:eastAsia="en-US"/>
        </w:rPr>
        <w:t xml:space="preserve">el señor Gaviria Rodríguez </w:t>
      </w:r>
      <w:r w:rsidR="00D86446">
        <w:rPr>
          <w:rFonts w:ascii="Arial" w:hAnsi="Arial" w:cs="Arial"/>
          <w:lang w:val="es-CO" w:eastAsia="en-US"/>
        </w:rPr>
        <w:t>se encuentra detenido desde el 14 de septiembre de 2010</w:t>
      </w:r>
      <w:r w:rsidR="00345E5C">
        <w:rPr>
          <w:rFonts w:ascii="Arial" w:hAnsi="Arial" w:cs="Arial"/>
          <w:lang w:val="es-CO" w:eastAsia="en-US"/>
        </w:rPr>
        <w:t>, inicialmente en razón a la medida de aseguramiento que le fue impuesta, y posteriormente con el fin de hacer efectiva la pena a la cual fue condenado.</w:t>
      </w:r>
    </w:p>
    <w:p w:rsidR="006105DE" w:rsidRPr="00C20799" w:rsidRDefault="006105DE" w:rsidP="006105DE">
      <w:pPr>
        <w:jc w:val="both"/>
        <w:rPr>
          <w:rFonts w:ascii="Arial" w:hAnsi="Arial" w:cs="Arial"/>
        </w:rPr>
      </w:pPr>
    </w:p>
    <w:p w:rsidR="006105DE" w:rsidRDefault="003237D7" w:rsidP="006105DE">
      <w:pPr>
        <w:jc w:val="both"/>
        <w:rPr>
          <w:rFonts w:ascii="Arial" w:hAnsi="Arial" w:cs="Arial"/>
          <w:lang w:val="es-CO" w:eastAsia="en-US"/>
        </w:rPr>
      </w:pPr>
      <w:r>
        <w:rPr>
          <w:rFonts w:ascii="Arial" w:eastAsia="Calibri" w:hAnsi="Arial" w:cs="Arial"/>
          <w:lang w:val="es-CO" w:eastAsia="en-US"/>
        </w:rPr>
        <w:t>3</w:t>
      </w:r>
      <w:r w:rsidR="006105DE" w:rsidRPr="002066C2">
        <w:rPr>
          <w:rFonts w:ascii="Arial" w:eastAsia="Calibri" w:hAnsi="Arial" w:cs="Arial"/>
          <w:lang w:val="es-CO" w:eastAsia="en-US"/>
        </w:rPr>
        <w:t xml:space="preserve">. </w:t>
      </w:r>
      <w:r w:rsidR="006105DE" w:rsidRPr="008D58DA">
        <w:rPr>
          <w:rFonts w:ascii="Arial" w:hAnsi="Arial" w:cs="Arial"/>
          <w:lang w:val="es-CO" w:eastAsia="en-US"/>
        </w:rPr>
        <w:t>De acuerdo al artículo 30 de la C.N., el derecho fundamental de habeas corpus que ampara las garantías concernientes al derecho a la libertad personal, establece que:</w:t>
      </w:r>
    </w:p>
    <w:p w:rsidR="006105DE" w:rsidRPr="008D58DA" w:rsidRDefault="006105DE" w:rsidP="006105DE">
      <w:pPr>
        <w:jc w:val="both"/>
        <w:rPr>
          <w:rFonts w:ascii="Arial" w:hAnsi="Arial" w:cs="Arial"/>
          <w:lang w:val="es-CO" w:eastAsia="en-US"/>
        </w:rPr>
      </w:pP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 xml:space="preserve"> “…Quien estuviere privado de su libertad, y creyere estarlo ilegalmente, tiene derecho a invocar ante cualquier autoridad judicial, en todo tiempo, por sí o por interpuesta persona, el habeas corpus, el cual debe resolverse en el término de treinta y seis horas…”</w:t>
      </w:r>
      <w:r>
        <w:rPr>
          <w:rFonts w:ascii="Arial" w:hAnsi="Arial" w:cs="Arial"/>
          <w:i/>
          <w:sz w:val="20"/>
          <w:szCs w:val="20"/>
          <w:lang w:val="es-CO" w:eastAsia="en-US"/>
        </w:rPr>
        <w:t>.</w:t>
      </w:r>
    </w:p>
    <w:p w:rsidR="006105DE" w:rsidRPr="008D58DA" w:rsidRDefault="003237D7" w:rsidP="006105DE">
      <w:pPr>
        <w:spacing w:after="200"/>
        <w:ind w:right="-96"/>
        <w:jc w:val="both"/>
        <w:rPr>
          <w:rFonts w:ascii="Arial" w:hAnsi="Arial" w:cs="Arial"/>
          <w:lang w:val="es-CO" w:eastAsia="en-US"/>
        </w:rPr>
      </w:pPr>
      <w:r>
        <w:rPr>
          <w:rFonts w:ascii="Arial" w:hAnsi="Arial" w:cs="Arial"/>
          <w:lang w:val="es-CO" w:eastAsia="en-US"/>
        </w:rPr>
        <w:t>4</w:t>
      </w:r>
      <w:r w:rsidR="003D459C">
        <w:rPr>
          <w:rFonts w:ascii="Arial" w:hAnsi="Arial" w:cs="Arial"/>
          <w:lang w:val="es-CO" w:eastAsia="en-US"/>
        </w:rPr>
        <w:t xml:space="preserve">. </w:t>
      </w:r>
      <w:r w:rsidR="006105DE" w:rsidRPr="008D58DA">
        <w:rPr>
          <w:rFonts w:ascii="Arial" w:hAnsi="Arial" w:cs="Arial"/>
          <w:lang w:val="es-CO" w:eastAsia="en-US"/>
        </w:rPr>
        <w:t>El habeas corpus constituye la garantía relevante para proteger el derecho a la libertad consagrado en el artículo 28 del catálogo superior, que reconoce, que toda persona es libre, que nadie puede ser molestado en su persona o familia, ni reducido a prisión o arresto ni detenido, sino en virtud de orden escrita de autoridad judicial competente, con las formalidades legales y por motivo previamente definido en la ley, y que cuando una perso</w:t>
      </w:r>
      <w:r w:rsidR="00D86446">
        <w:rPr>
          <w:rFonts w:ascii="Arial" w:hAnsi="Arial" w:cs="Arial"/>
          <w:lang w:val="es-CO" w:eastAsia="en-US"/>
        </w:rPr>
        <w:t>na es detenida preventivamente,</w:t>
      </w:r>
      <w:r w:rsidR="006105DE" w:rsidRPr="008D58DA">
        <w:rPr>
          <w:rFonts w:ascii="Arial" w:hAnsi="Arial" w:cs="Arial"/>
          <w:lang w:val="es-CO" w:eastAsia="en-US"/>
        </w:rPr>
        <w:t xml:space="preserve"> debe ser puesta a disposición del juez competente dentro de las 36 horas siguientes para que se adopte la decisión que corresponda dentro de los té</w:t>
      </w:r>
      <w:r w:rsidR="006105DE">
        <w:rPr>
          <w:rFonts w:ascii="Arial" w:hAnsi="Arial" w:cs="Arial"/>
          <w:lang w:val="es-CO" w:eastAsia="en-US"/>
        </w:rPr>
        <w:t>rminos establecidos por la ley.</w:t>
      </w:r>
    </w:p>
    <w:p w:rsidR="006105DE" w:rsidRPr="008D58DA" w:rsidRDefault="006105DE" w:rsidP="006105DE">
      <w:pPr>
        <w:spacing w:after="200"/>
        <w:ind w:right="-96"/>
        <w:jc w:val="both"/>
        <w:rPr>
          <w:rFonts w:ascii="Arial" w:hAnsi="Arial" w:cs="Arial"/>
          <w:lang w:val="es-CO" w:eastAsia="en-US"/>
        </w:rPr>
      </w:pPr>
      <w:r w:rsidRPr="008D58DA">
        <w:rPr>
          <w:rFonts w:ascii="Arial" w:hAnsi="Arial" w:cs="Arial"/>
          <w:lang w:val="es-CO" w:eastAsia="en-US"/>
        </w:rPr>
        <w:t xml:space="preserve">Este instrumento constitucional, privilegia la libertad personal, derecho fundamental que se halla también protegido en </w:t>
      </w:r>
      <w:r w:rsidR="009A5533">
        <w:rPr>
          <w:rFonts w:ascii="Arial" w:hAnsi="Arial" w:cs="Arial"/>
          <w:lang w:val="es-CO" w:eastAsia="en-US"/>
        </w:rPr>
        <w:t xml:space="preserve">instrumentos internacionales </w:t>
      </w:r>
      <w:r w:rsidRPr="008D58DA">
        <w:rPr>
          <w:rFonts w:ascii="Arial" w:hAnsi="Arial" w:cs="Arial"/>
          <w:lang w:val="es-CO" w:eastAsia="en-US"/>
        </w:rPr>
        <w:t>como la Declaración Universal de Derechos humanos, el  Pacto Internacional sobre Derechos Civiles y Políticos y la Convención Americana sobre Derechos Humanos.</w:t>
      </w:r>
    </w:p>
    <w:p w:rsidR="006105DE" w:rsidRPr="008D58DA" w:rsidRDefault="006105DE" w:rsidP="006105DE">
      <w:pPr>
        <w:spacing w:after="200"/>
        <w:ind w:right="-96"/>
        <w:jc w:val="both"/>
        <w:rPr>
          <w:rFonts w:ascii="Arial" w:hAnsi="Arial" w:cs="Arial"/>
          <w:lang w:val="es-CO" w:eastAsia="en-US"/>
        </w:rPr>
      </w:pPr>
      <w:r w:rsidRPr="008D58DA">
        <w:rPr>
          <w:rFonts w:ascii="Arial" w:hAnsi="Arial" w:cs="Arial"/>
          <w:lang w:val="es-CO" w:eastAsia="en-US"/>
        </w:rPr>
        <w:t xml:space="preserve">La Ley 1095 de 2006 que reglamentó el Habeas </w:t>
      </w:r>
      <w:r>
        <w:rPr>
          <w:rFonts w:ascii="Arial" w:hAnsi="Arial" w:cs="Arial"/>
          <w:lang w:val="es-CO" w:eastAsia="en-US"/>
        </w:rPr>
        <w:t>Corpus, establece lo siguiente:</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lastRenderedPageBreak/>
        <w:t xml:space="preserve">“…ART. 1º—Definición. El hábeas corpus es un derecho fundamental y, a la vez, una acción constitucional que tutela la libertad personal cuando alguien es privado de la libertad con violación de las garantías constitucionales o legales, o esta se prolongue ilegalmente. Esta acción únicamente podrá invocarse o incoarse por una sola vez y para su decisión se aplicará el principio pro </w:t>
      </w:r>
      <w:proofErr w:type="spellStart"/>
      <w:r w:rsidRPr="00702558">
        <w:rPr>
          <w:rFonts w:ascii="Arial" w:hAnsi="Arial" w:cs="Arial"/>
          <w:i/>
          <w:sz w:val="20"/>
          <w:szCs w:val="20"/>
          <w:lang w:val="es-CO" w:eastAsia="en-US"/>
        </w:rPr>
        <w:t>homine</w:t>
      </w:r>
      <w:proofErr w:type="spellEnd"/>
      <w:r w:rsidRPr="00702558">
        <w:rPr>
          <w:rFonts w:ascii="Arial" w:hAnsi="Arial" w:cs="Arial"/>
          <w:i/>
          <w:sz w:val="20"/>
          <w:szCs w:val="20"/>
          <w:lang w:val="es-CO" w:eastAsia="en-US"/>
        </w:rPr>
        <w:t>.</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El hábeas corpus no se suspenderá, aun en los estados de excepción.</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3º—Garantías para el ejercicio de la acción constitucional de hábeas corpus. Quien estuviera ilegalmente privado de su libertad tiene derecho a las siguientes garantías:</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1. Invocar ante cualquier autoridad judicial competente el hábeas corpus para que este sea resuelto en un término de treinta y seis (36) horas.</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2. A que la acción pueda ser invocada por terceros en su nombre, sin necesidad de mandato alguno.</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3. A que la acción pueda ser invocada en cualquier tiempo, mientras que la violación persista.</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Para ello, dentro de los tres (3) meses siguientes a la entrada en vigencia de la presente ley, el Consejo Superior de la Judicatura reglamentará un sistema de turnos judiciales para la atención de las solicitudes de hábeas corpus en el país, durante las veinticuatro (24) horas del día, los días feriados y las épocas de vacancia judicial.</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4. A que la actuación no se suspenda o aplace por la interposición de días festivos o de vacancia judicial.</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5. A que la Defensoría del Pueblo y la Procuraduría General de la Nación invoquen el hábeas corpus en su nombre.</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6º—Decisión. Demostrada la violación de las garantías constitucionales o legales, la autoridad judicial competente inmediatamente ordenará la liberación de la persona privada de la libertad, por auto interlocutorio contra el cual no procede recurso alguno.</w:t>
      </w:r>
    </w:p>
    <w:p w:rsidR="006105DE" w:rsidRPr="00702558" w:rsidRDefault="006105DE" w:rsidP="006105DE">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8º—Improcedencia de las medidas restrictivas de la libertad. La persona privada de la libertad con violación de las garantías consagradas en la Constitución o en la ley, no podrá ser afectada con medida restrictiva de la libertad mientras no se restauren las garantías quebrantadas. Por tanto, son inexistentes las medidas que tengan por finalidad impedir la libertad del capturado cuando ella se conceda a consecuencia del hábeas corpus…”.</w:t>
      </w:r>
    </w:p>
    <w:p w:rsidR="006105DE" w:rsidRPr="008D58DA" w:rsidRDefault="003237D7" w:rsidP="006105DE">
      <w:pPr>
        <w:spacing w:after="200"/>
        <w:ind w:right="-96"/>
        <w:jc w:val="both"/>
        <w:rPr>
          <w:rFonts w:ascii="Arial" w:hAnsi="Arial" w:cs="Arial"/>
          <w:lang w:val="es-CO" w:eastAsia="en-US"/>
        </w:rPr>
      </w:pPr>
      <w:r>
        <w:rPr>
          <w:rFonts w:ascii="Arial" w:hAnsi="Arial" w:cs="Arial"/>
          <w:lang w:val="es-CO" w:eastAsia="en-US"/>
        </w:rPr>
        <w:t>5</w:t>
      </w:r>
      <w:r w:rsidR="003D459C">
        <w:rPr>
          <w:rFonts w:ascii="Arial" w:hAnsi="Arial" w:cs="Arial"/>
          <w:lang w:val="es-CO" w:eastAsia="en-US"/>
        </w:rPr>
        <w:t xml:space="preserve">. </w:t>
      </w:r>
      <w:r w:rsidR="006105DE" w:rsidRPr="008D58DA">
        <w:rPr>
          <w:rFonts w:ascii="Arial" w:hAnsi="Arial" w:cs="Arial"/>
          <w:lang w:val="es-CO" w:eastAsia="en-US"/>
        </w:rPr>
        <w:t xml:space="preserve">De conformidad con los lineamientos legales y </w:t>
      </w:r>
      <w:proofErr w:type="spellStart"/>
      <w:r w:rsidR="006105DE" w:rsidRPr="008D58DA">
        <w:rPr>
          <w:rFonts w:ascii="Arial" w:hAnsi="Arial" w:cs="Arial"/>
          <w:lang w:val="es-CO" w:eastAsia="en-US"/>
        </w:rPr>
        <w:t>supralegales</w:t>
      </w:r>
      <w:proofErr w:type="spellEnd"/>
      <w:r w:rsidR="006105DE" w:rsidRPr="008D58DA">
        <w:rPr>
          <w:rFonts w:ascii="Arial" w:hAnsi="Arial" w:cs="Arial"/>
          <w:lang w:val="es-CO" w:eastAsia="en-US"/>
        </w:rPr>
        <w:t>, la acción de habeas corpus es procedente cuando alguien está privado de la libertad con violación de las garantías constitucionales o legales o l</w:t>
      </w:r>
      <w:r w:rsidR="006105DE">
        <w:rPr>
          <w:rFonts w:ascii="Arial" w:hAnsi="Arial" w:cs="Arial"/>
          <w:lang w:val="es-CO" w:eastAsia="en-US"/>
        </w:rPr>
        <w:t>a misma se prolonga ilegalmente</w:t>
      </w:r>
      <w:r w:rsidR="006105DE" w:rsidRPr="008D58DA">
        <w:rPr>
          <w:rFonts w:ascii="Arial" w:hAnsi="Arial" w:cs="Arial"/>
          <w:lang w:val="es-CO" w:eastAsia="en-US"/>
        </w:rPr>
        <w:t>. Pero más específicamente, cuando, al decir de la Corte Constitucional en Sentencia T-260/99: (i) la vulneración de la libertad se produzca por orden arbitraria de autoridad no judicial; (ii) la persona se encuentre ilegalmente privada de la libertad por vencimiento de los términos legales respectivos; (iii) pese a existir una providencia judicial que ampara la limitación del derecho a la libertad personal, la solicitud de habeas corpus se formuló durante el período de prolongación ilegal de la libertad, es decir, antes de proferida la decisión judicial; y (iv) si la providencia que ordena la detención es una auténtica vía de hecho judicial.</w:t>
      </w:r>
    </w:p>
    <w:p w:rsidR="006105DE" w:rsidRPr="00C00194" w:rsidRDefault="006105DE" w:rsidP="006105DE">
      <w:pPr>
        <w:spacing w:after="200"/>
        <w:ind w:right="-96"/>
        <w:jc w:val="both"/>
        <w:rPr>
          <w:rFonts w:ascii="Arial" w:hAnsi="Arial" w:cs="Arial"/>
          <w:b/>
          <w:u w:val="single"/>
          <w:lang w:val="es-CO" w:eastAsia="en-US"/>
        </w:rPr>
      </w:pPr>
      <w:r w:rsidRPr="008D0287">
        <w:rPr>
          <w:rFonts w:ascii="Arial" w:hAnsi="Arial" w:cs="Arial"/>
          <w:u w:val="single"/>
          <w:lang w:val="es-CO" w:eastAsia="en-US"/>
        </w:rPr>
        <w:t xml:space="preserve">Ahora, debe precisarse que la interposición de la acción de habeas corpus no está condicionado al agotamiento de otros medios de defensa judicial, </w:t>
      </w:r>
      <w:r w:rsidRPr="00C00194">
        <w:rPr>
          <w:rFonts w:ascii="Arial" w:hAnsi="Arial" w:cs="Arial"/>
          <w:b/>
          <w:u w:val="single"/>
          <w:lang w:val="es-CO" w:eastAsia="en-US"/>
        </w:rPr>
        <w:t>ni puede usarse como mecanismo alternativo o sustitutivo de los procesos penales</w:t>
      </w:r>
      <w:r w:rsidRPr="008D0287">
        <w:rPr>
          <w:rFonts w:ascii="Arial" w:hAnsi="Arial" w:cs="Arial"/>
          <w:u w:val="single"/>
          <w:lang w:val="es-CO" w:eastAsia="en-US"/>
        </w:rPr>
        <w:t xml:space="preserve">, </w:t>
      </w:r>
      <w:r w:rsidRPr="00C00194">
        <w:rPr>
          <w:rFonts w:ascii="Arial" w:hAnsi="Arial" w:cs="Arial"/>
          <w:b/>
          <w:u w:val="single"/>
          <w:lang w:val="es-CO" w:eastAsia="en-US"/>
        </w:rPr>
        <w:t>para debatir lo que legalmente se debe hacer en el interior de los mismos, en tanto se trata de un medio excepcional para lograr la protección del derecho a la libertad y corregir las eventuales afectaciones que pudieran presentarse por actos u omisiones de las autoridades públicas.</w:t>
      </w:r>
    </w:p>
    <w:p w:rsidR="006105DE" w:rsidRPr="00F4453E" w:rsidRDefault="006105DE" w:rsidP="006105DE">
      <w:pPr>
        <w:spacing w:after="200"/>
        <w:ind w:right="-96"/>
        <w:jc w:val="both"/>
        <w:rPr>
          <w:rFonts w:ascii="Arial" w:hAnsi="Arial" w:cs="Arial"/>
          <w:b/>
          <w:u w:val="single"/>
          <w:lang w:val="es-CO" w:eastAsia="en-US"/>
        </w:rPr>
      </w:pPr>
      <w:r w:rsidRPr="00F4453E">
        <w:rPr>
          <w:rFonts w:ascii="Arial" w:hAnsi="Arial" w:cs="Arial"/>
          <w:b/>
          <w:u w:val="single"/>
          <w:lang w:val="es-CO" w:eastAsia="en-US"/>
        </w:rPr>
        <w:t xml:space="preserve">Acorde con lo anterior, la jurisprudencia ha señalado que las solicitudes de libertad por los motivos previstos en la ley deben tramitarse y decidirse dentro del respectivo proceso judicial, a consecuencia de lo cual resulta inviable, en </w:t>
      </w:r>
      <w:r w:rsidRPr="00F4453E">
        <w:rPr>
          <w:rFonts w:ascii="Arial" w:hAnsi="Arial" w:cs="Arial"/>
          <w:b/>
          <w:u w:val="single"/>
          <w:lang w:val="es-CO" w:eastAsia="en-US"/>
        </w:rPr>
        <w:lastRenderedPageBreak/>
        <w:t xml:space="preserve">principio –salvo claras actuaciones viciadas que constituyan vía de hecho y que por supuesto no es el caso que aquí se presenta-, acudir a la invocación del habeas corpus. </w:t>
      </w:r>
    </w:p>
    <w:p w:rsidR="009A5533" w:rsidRPr="008D0287" w:rsidRDefault="003237D7" w:rsidP="009A5533">
      <w:pPr>
        <w:spacing w:after="200"/>
        <w:ind w:right="-96"/>
        <w:jc w:val="both"/>
        <w:rPr>
          <w:rFonts w:ascii="Arial" w:hAnsi="Arial" w:cs="Arial"/>
          <w:lang w:val="es-CO" w:eastAsia="en-US"/>
        </w:rPr>
      </w:pPr>
      <w:r>
        <w:rPr>
          <w:rFonts w:ascii="Arial" w:hAnsi="Arial" w:cs="Arial"/>
          <w:lang w:val="es-CO" w:eastAsia="en-US"/>
        </w:rPr>
        <w:t>6</w:t>
      </w:r>
      <w:r w:rsidR="006105DE" w:rsidRPr="008D0287">
        <w:rPr>
          <w:rFonts w:ascii="Arial" w:hAnsi="Arial" w:cs="Arial"/>
          <w:lang w:val="es-CO" w:eastAsia="en-US"/>
        </w:rPr>
        <w:t xml:space="preserve">. En el caso del señor </w:t>
      </w:r>
      <w:r w:rsidR="009A5533">
        <w:rPr>
          <w:rFonts w:ascii="Arial" w:hAnsi="Arial" w:cs="Arial"/>
          <w:lang w:val="es-CO" w:eastAsia="en-US"/>
        </w:rPr>
        <w:t>Ricardo Gaviria Rodríguez</w:t>
      </w:r>
      <w:r w:rsidR="006105DE">
        <w:rPr>
          <w:rFonts w:ascii="Arial" w:hAnsi="Arial" w:cs="Arial"/>
          <w:lang w:val="es-CO"/>
        </w:rPr>
        <w:t xml:space="preserve"> </w:t>
      </w:r>
      <w:r w:rsidR="006105DE" w:rsidRPr="008D0287">
        <w:rPr>
          <w:rFonts w:ascii="Arial" w:hAnsi="Arial" w:cs="Arial"/>
          <w:lang w:val="es-CO" w:eastAsia="en-US"/>
        </w:rPr>
        <w:t xml:space="preserve">se tiene que su detención no es arbitraria, ni mucho menos ilegal, </w:t>
      </w:r>
      <w:r w:rsidR="009A5533" w:rsidRPr="008D0287">
        <w:rPr>
          <w:rFonts w:ascii="Arial" w:hAnsi="Arial" w:cs="Arial"/>
          <w:lang w:val="es-CO" w:eastAsia="en-US"/>
        </w:rPr>
        <w:t xml:space="preserve">ya que la misma obedece una determinación adoptada por el juez competente, y tiene como fin el cumplimiento de una condena. </w:t>
      </w:r>
    </w:p>
    <w:p w:rsidR="006105DE" w:rsidRDefault="003237D7" w:rsidP="006105DE">
      <w:pPr>
        <w:spacing w:after="200"/>
        <w:ind w:right="-96"/>
        <w:jc w:val="both"/>
        <w:rPr>
          <w:rFonts w:ascii="Arial" w:hAnsi="Arial" w:cs="Arial"/>
          <w:lang w:val="es-CO" w:eastAsia="en-US"/>
        </w:rPr>
      </w:pPr>
      <w:r>
        <w:rPr>
          <w:rFonts w:ascii="Arial" w:hAnsi="Arial" w:cs="Arial"/>
          <w:lang w:val="es-CO" w:eastAsia="en-US"/>
        </w:rPr>
        <w:t>7</w:t>
      </w:r>
      <w:r w:rsidR="006105DE">
        <w:rPr>
          <w:rFonts w:ascii="Arial" w:hAnsi="Arial" w:cs="Arial"/>
          <w:lang w:val="es-CO" w:eastAsia="en-US"/>
        </w:rPr>
        <w:t xml:space="preserve">. Aunado a lo anterior, y pese a que en el escrito introductorio se hace referencia a una solicitud de habeas corpus, de lo expuesto por el accionante se infiere que se trata de una solicitud de libertad por vencimiento de términos fundada en las causales 4 y 5 del artículo 317 del CPP y con base en las disposiciones de las leyes 1760 de 2015 y 1786 de 2016. </w:t>
      </w:r>
    </w:p>
    <w:p w:rsidR="00670F42" w:rsidRDefault="003237D7" w:rsidP="00B707B2">
      <w:pPr>
        <w:jc w:val="both"/>
        <w:rPr>
          <w:rFonts w:ascii="Arial" w:hAnsi="Arial" w:cs="Arial"/>
          <w:lang w:eastAsia="en-US"/>
        </w:rPr>
      </w:pPr>
      <w:r>
        <w:rPr>
          <w:rFonts w:ascii="Arial" w:hAnsi="Arial" w:cs="Arial"/>
          <w:lang w:val="es-CO" w:eastAsia="en-US"/>
        </w:rPr>
        <w:t>8. Sobre el tema resulta apropiado hacer referencia al último pronunciamiento de la Sala Penal de la Corte Suprema de Justicia</w:t>
      </w:r>
      <w:r w:rsidR="00B707B2">
        <w:rPr>
          <w:rFonts w:ascii="Arial" w:hAnsi="Arial" w:cs="Arial"/>
          <w:lang w:val="es-CO" w:eastAsia="en-US"/>
        </w:rPr>
        <w:t>,</w:t>
      </w:r>
      <w:r w:rsidR="00B707B2" w:rsidRPr="006D2468">
        <w:rPr>
          <w:rFonts w:ascii="Arial" w:hAnsi="Arial" w:cs="Arial"/>
          <w:lang w:eastAsia="en-US"/>
        </w:rPr>
        <w:t xml:space="preserve"> del 9 de agosto de 2017, la cual se produjo dentro del expediente AP5052-2017 radicado 50861</w:t>
      </w:r>
      <w:r w:rsidR="00B707B2">
        <w:rPr>
          <w:rFonts w:ascii="Arial" w:hAnsi="Arial" w:cs="Arial"/>
          <w:lang w:eastAsia="en-US"/>
        </w:rPr>
        <w:t xml:space="preserve">, frente al que esta Corporación señaló lo siguiente: </w:t>
      </w:r>
    </w:p>
    <w:p w:rsidR="00B707B2" w:rsidRDefault="00B707B2" w:rsidP="00B707B2">
      <w:pPr>
        <w:jc w:val="both"/>
        <w:rPr>
          <w:rFonts w:ascii="Arial" w:hAnsi="Arial" w:cs="Arial"/>
          <w:lang w:eastAsia="en-US"/>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B707B2" w:rsidRPr="00405B94" w:rsidRDefault="00B707B2" w:rsidP="00B707B2">
      <w:pPr>
        <w:ind w:left="567" w:right="616"/>
        <w:jc w:val="both"/>
        <w:rPr>
          <w:rFonts w:ascii="Arial" w:hAnsi="Arial" w:cs="Arial"/>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B707B2" w:rsidRPr="00405B94" w:rsidRDefault="00B707B2" w:rsidP="00B707B2">
      <w:pPr>
        <w:ind w:left="567" w:right="616"/>
        <w:jc w:val="both"/>
        <w:rPr>
          <w:rFonts w:ascii="Arial" w:hAnsi="Arial" w:cs="Arial"/>
          <w:i/>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B707B2" w:rsidRPr="00405B94" w:rsidRDefault="00B707B2" w:rsidP="00B707B2">
      <w:pPr>
        <w:ind w:left="567" w:right="616"/>
        <w:jc w:val="both"/>
        <w:rPr>
          <w:rFonts w:ascii="Arial" w:hAnsi="Arial" w:cs="Arial"/>
          <w:i/>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B707B2" w:rsidRPr="00405B94" w:rsidRDefault="00B707B2" w:rsidP="00B707B2">
      <w:pPr>
        <w:ind w:left="567" w:right="616"/>
        <w:jc w:val="both"/>
        <w:rPr>
          <w:rFonts w:ascii="Arial" w:hAnsi="Arial" w:cs="Arial"/>
          <w:i/>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B707B2" w:rsidRPr="00405B94" w:rsidRDefault="00B707B2" w:rsidP="00B707B2">
      <w:pPr>
        <w:ind w:left="567" w:right="616"/>
        <w:jc w:val="both"/>
        <w:rPr>
          <w:rFonts w:ascii="Arial" w:hAnsi="Arial" w:cs="Arial"/>
          <w:i/>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 xml:space="preserve">Como con el anuncio del sentido del fallo deja de surtir efectos jurídicos la medida de aseguramiento, es al Juez con Funciones de Conocimiento a quien le </w:t>
      </w:r>
      <w:r w:rsidRPr="00405B94">
        <w:rPr>
          <w:rFonts w:ascii="Arial" w:hAnsi="Arial" w:cs="Arial"/>
          <w:i/>
          <w:sz w:val="20"/>
          <w:szCs w:val="20"/>
          <w:lang w:val="es-CO"/>
        </w:rPr>
        <w:lastRenderedPageBreak/>
        <w:t>compete pronunciarse sobre la libertad del procesado, bien concediéndola ora restringiéndola, tal y como lo establecen los artículos 449, 450 y 451 de la Ley 906 de 2004.</w:t>
      </w:r>
    </w:p>
    <w:p w:rsidR="00B707B2" w:rsidRPr="00405B94" w:rsidRDefault="00B707B2" w:rsidP="00B707B2">
      <w:pPr>
        <w:ind w:left="567" w:right="616"/>
        <w:jc w:val="both"/>
        <w:rPr>
          <w:rFonts w:ascii="Arial" w:hAnsi="Arial" w:cs="Arial"/>
          <w:i/>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B707B2" w:rsidRPr="00405B94" w:rsidRDefault="00B707B2" w:rsidP="00B707B2">
      <w:pPr>
        <w:ind w:left="567" w:right="616"/>
        <w:jc w:val="both"/>
        <w:rPr>
          <w:rFonts w:ascii="Arial" w:hAnsi="Arial" w:cs="Arial"/>
          <w:sz w:val="20"/>
          <w:szCs w:val="20"/>
          <w:lang w:val="es-CO"/>
        </w:rPr>
      </w:pPr>
    </w:p>
    <w:p w:rsidR="00B707B2" w:rsidRPr="00405B94" w:rsidRDefault="00B707B2" w:rsidP="00B707B2">
      <w:pPr>
        <w:ind w:left="567" w:right="616"/>
        <w:jc w:val="both"/>
        <w:rPr>
          <w:rFonts w:ascii="Arial" w:hAnsi="Arial" w:cs="Arial"/>
          <w:i/>
          <w:sz w:val="20"/>
          <w:szCs w:val="20"/>
          <w:lang w:val="es-CO"/>
        </w:rPr>
      </w:pPr>
      <w:r w:rsidRPr="00405B94">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B707B2" w:rsidRDefault="00B707B2" w:rsidP="00B707B2">
      <w:pPr>
        <w:jc w:val="both"/>
      </w:pPr>
    </w:p>
    <w:p w:rsidR="00392280" w:rsidRDefault="00B707B2" w:rsidP="00B707B2">
      <w:pPr>
        <w:spacing w:after="200"/>
        <w:ind w:right="-96"/>
        <w:jc w:val="both"/>
        <w:rPr>
          <w:rFonts w:ascii="Arial" w:hAnsi="Arial" w:cs="Arial"/>
          <w:lang w:val="es-CO" w:eastAsia="en-US"/>
        </w:rPr>
      </w:pPr>
      <w:r w:rsidRPr="00B707B2">
        <w:rPr>
          <w:rFonts w:ascii="Arial" w:hAnsi="Arial" w:cs="Arial"/>
          <w:lang w:val="es-CO" w:eastAsia="en-US"/>
        </w:rPr>
        <w:t xml:space="preserve">9. </w:t>
      </w:r>
      <w:r w:rsidR="00392280">
        <w:rPr>
          <w:rFonts w:ascii="Arial" w:hAnsi="Arial" w:cs="Arial"/>
          <w:lang w:val="es-CO" w:eastAsia="en-US"/>
        </w:rPr>
        <w:t xml:space="preserve">Finalmente, es preciso señalar que a la fecha el señor </w:t>
      </w:r>
      <w:r w:rsidR="009A5533">
        <w:rPr>
          <w:rFonts w:ascii="Arial" w:hAnsi="Arial" w:cs="Arial"/>
          <w:lang w:val="es-CO" w:eastAsia="en-US"/>
        </w:rPr>
        <w:t xml:space="preserve">Gaviria Rodríguez </w:t>
      </w:r>
      <w:r w:rsidR="00392280">
        <w:rPr>
          <w:rFonts w:ascii="Arial" w:hAnsi="Arial" w:cs="Arial"/>
          <w:lang w:val="es-CO" w:eastAsia="en-US"/>
        </w:rPr>
        <w:t>no ha elevado ante esta Colegiatura ninguna solicitud de libert</w:t>
      </w:r>
      <w:r w:rsidR="009A5533">
        <w:rPr>
          <w:rFonts w:ascii="Arial" w:hAnsi="Arial" w:cs="Arial"/>
          <w:lang w:val="es-CO" w:eastAsia="en-US"/>
        </w:rPr>
        <w:t xml:space="preserve">ad por vencimiento de términos </w:t>
      </w:r>
      <w:r w:rsidR="00EF4916">
        <w:rPr>
          <w:rFonts w:ascii="Arial" w:hAnsi="Arial" w:cs="Arial"/>
          <w:lang w:val="es-CO" w:eastAsia="en-US"/>
        </w:rPr>
        <w:t>y se desconoce si</w:t>
      </w:r>
      <w:bookmarkStart w:id="0" w:name="_GoBack"/>
      <w:bookmarkEnd w:id="0"/>
      <w:r w:rsidR="00392280">
        <w:rPr>
          <w:rFonts w:ascii="Arial" w:hAnsi="Arial" w:cs="Arial"/>
          <w:lang w:val="es-CO" w:eastAsia="en-US"/>
        </w:rPr>
        <w:t xml:space="preserve"> se ha tramitado algún requerimiento </w:t>
      </w:r>
      <w:r w:rsidR="009A5533">
        <w:rPr>
          <w:rFonts w:ascii="Arial" w:hAnsi="Arial" w:cs="Arial"/>
          <w:lang w:val="es-CO" w:eastAsia="en-US"/>
        </w:rPr>
        <w:t xml:space="preserve">en tal sentido. </w:t>
      </w:r>
    </w:p>
    <w:p w:rsidR="00B707B2" w:rsidRPr="00B707B2" w:rsidRDefault="00392280" w:rsidP="00B707B2">
      <w:pPr>
        <w:spacing w:after="200"/>
        <w:ind w:right="-96"/>
        <w:jc w:val="both"/>
        <w:rPr>
          <w:rFonts w:ascii="Arial" w:hAnsi="Arial" w:cs="Arial"/>
          <w:lang w:val="es-CO" w:eastAsia="en-US"/>
        </w:rPr>
      </w:pPr>
      <w:r>
        <w:rPr>
          <w:rFonts w:ascii="Arial" w:hAnsi="Arial" w:cs="Arial"/>
          <w:lang w:val="es-CO" w:eastAsia="en-US"/>
        </w:rPr>
        <w:t xml:space="preserve">10. </w:t>
      </w:r>
      <w:r w:rsidR="00B707B2" w:rsidRPr="00B707B2">
        <w:rPr>
          <w:rFonts w:ascii="Arial" w:hAnsi="Arial" w:cs="Arial"/>
          <w:lang w:val="es-CO" w:eastAsia="en-US"/>
        </w:rPr>
        <w:t>Por las razones antes expuestas solicito que se niegue por improcedente el habeas corpus interpuesto.</w:t>
      </w:r>
    </w:p>
    <w:p w:rsidR="00B707B2" w:rsidRDefault="00B707B2" w:rsidP="00B707B2">
      <w:pPr>
        <w:spacing w:after="200"/>
        <w:ind w:right="-96"/>
        <w:jc w:val="both"/>
        <w:rPr>
          <w:rFonts w:ascii="Arial" w:hAnsi="Arial" w:cs="Arial"/>
          <w:lang w:val="es-CO" w:eastAsia="en-US"/>
        </w:rPr>
      </w:pPr>
    </w:p>
    <w:p w:rsidR="00B707B2" w:rsidRPr="008D58DA" w:rsidRDefault="00B707B2" w:rsidP="00B707B2">
      <w:pPr>
        <w:spacing w:after="200"/>
        <w:ind w:right="-96"/>
        <w:jc w:val="both"/>
        <w:rPr>
          <w:rFonts w:ascii="Arial" w:hAnsi="Arial" w:cs="Arial"/>
          <w:lang w:val="es-CO" w:eastAsia="en-US"/>
        </w:rPr>
      </w:pPr>
      <w:r w:rsidRPr="008D58DA">
        <w:rPr>
          <w:rFonts w:ascii="Arial" w:hAnsi="Arial" w:cs="Arial"/>
          <w:lang w:val="es-CO" w:eastAsia="en-US"/>
        </w:rPr>
        <w:t xml:space="preserve">Atentamente, </w:t>
      </w:r>
    </w:p>
    <w:p w:rsidR="00B707B2" w:rsidRDefault="00B707B2" w:rsidP="00B707B2">
      <w:pPr>
        <w:spacing w:after="200"/>
        <w:ind w:right="-96"/>
        <w:jc w:val="both"/>
        <w:rPr>
          <w:rFonts w:ascii="Arial" w:hAnsi="Arial" w:cs="Arial"/>
          <w:lang w:val="es-CO" w:eastAsia="en-US"/>
        </w:rPr>
      </w:pPr>
    </w:p>
    <w:p w:rsidR="00143517" w:rsidRDefault="00143517" w:rsidP="00B707B2">
      <w:pPr>
        <w:spacing w:after="200"/>
        <w:ind w:right="-96"/>
        <w:jc w:val="both"/>
        <w:rPr>
          <w:rFonts w:ascii="Arial" w:hAnsi="Arial" w:cs="Arial"/>
          <w:lang w:val="es-CO" w:eastAsia="en-US"/>
        </w:rPr>
      </w:pPr>
    </w:p>
    <w:p w:rsidR="00B707B2" w:rsidRPr="00F158F2" w:rsidRDefault="002C642A" w:rsidP="00B707B2">
      <w:pPr>
        <w:pStyle w:val="Sinespaciado"/>
        <w:jc w:val="center"/>
        <w:rPr>
          <w:rFonts w:ascii="Arial" w:hAnsi="Arial" w:cs="Arial"/>
          <w:b/>
          <w:lang w:val="es-CO" w:eastAsia="en-US"/>
        </w:rPr>
      </w:pPr>
      <w:r>
        <w:rPr>
          <w:rFonts w:ascii="Arial" w:hAnsi="Arial" w:cs="Arial"/>
          <w:b/>
          <w:lang w:val="es-CO" w:eastAsia="en-US"/>
        </w:rPr>
        <w:t xml:space="preserve">JAIRO ERNESTO ESCOBAR SANZ </w:t>
      </w:r>
    </w:p>
    <w:p w:rsidR="00B707B2" w:rsidRPr="00F158F2" w:rsidRDefault="002C642A" w:rsidP="00B707B2">
      <w:pPr>
        <w:pStyle w:val="Sinespaciado"/>
        <w:jc w:val="center"/>
        <w:rPr>
          <w:rFonts w:ascii="Arial" w:hAnsi="Arial" w:cs="Arial"/>
          <w:b/>
          <w:lang w:val="es-CO" w:eastAsia="en-US"/>
        </w:rPr>
      </w:pPr>
      <w:r>
        <w:rPr>
          <w:rFonts w:ascii="Arial" w:hAnsi="Arial" w:cs="Arial"/>
          <w:b/>
          <w:lang w:val="es-CO" w:eastAsia="en-US"/>
        </w:rPr>
        <w:t>Magistrado</w:t>
      </w:r>
    </w:p>
    <w:p w:rsidR="00B707B2" w:rsidRPr="00F158F2" w:rsidRDefault="00B707B2" w:rsidP="00B707B2">
      <w:pPr>
        <w:pStyle w:val="Sinespaciado"/>
        <w:jc w:val="center"/>
        <w:rPr>
          <w:rFonts w:ascii="Arial" w:hAnsi="Arial" w:cs="Arial"/>
          <w:b/>
          <w:lang w:val="es-CO" w:eastAsia="en-US"/>
        </w:rPr>
      </w:pPr>
    </w:p>
    <w:p w:rsidR="00B707B2" w:rsidRPr="00725483" w:rsidRDefault="00B707B2" w:rsidP="00B707B2">
      <w:pPr>
        <w:pStyle w:val="Sinespaciado"/>
        <w:jc w:val="center"/>
        <w:rPr>
          <w:rFonts w:ascii="Arial" w:hAnsi="Arial" w:cs="Arial"/>
          <w:lang w:val="es-CO" w:eastAsia="en-US"/>
        </w:rPr>
      </w:pPr>
    </w:p>
    <w:p w:rsidR="00B707B2" w:rsidRPr="00725483" w:rsidRDefault="00B707B2" w:rsidP="00B707B2">
      <w:pPr>
        <w:pStyle w:val="Sinespaciado"/>
        <w:jc w:val="center"/>
        <w:rPr>
          <w:rFonts w:ascii="Arial" w:hAnsi="Arial" w:cs="Arial"/>
          <w:b/>
        </w:rPr>
      </w:pPr>
    </w:p>
    <w:p w:rsidR="00B707B2" w:rsidRDefault="00B707B2" w:rsidP="00B707B2"/>
    <w:p w:rsidR="00B707B2" w:rsidRDefault="00B707B2" w:rsidP="00B707B2">
      <w:pPr>
        <w:jc w:val="both"/>
      </w:pPr>
    </w:p>
    <w:sectPr w:rsidR="00B707B2" w:rsidSect="00B707B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D8F" w:rsidRDefault="009F7D8F" w:rsidP="00B707B2">
      <w:r>
        <w:separator/>
      </w:r>
    </w:p>
  </w:endnote>
  <w:endnote w:type="continuationSeparator" w:id="0">
    <w:p w:rsidR="009F7D8F" w:rsidRDefault="009F7D8F" w:rsidP="00B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D8F" w:rsidRDefault="009F7D8F" w:rsidP="00B707B2">
      <w:r>
        <w:separator/>
      </w:r>
    </w:p>
  </w:footnote>
  <w:footnote w:type="continuationSeparator" w:id="0">
    <w:p w:rsidR="009F7D8F" w:rsidRDefault="009F7D8F" w:rsidP="00B707B2">
      <w:r>
        <w:continuationSeparator/>
      </w:r>
    </w:p>
  </w:footnote>
  <w:footnote w:id="1">
    <w:p w:rsidR="00B707B2" w:rsidRPr="003708AA" w:rsidRDefault="00B707B2" w:rsidP="00B707B2">
      <w:pPr>
        <w:pStyle w:val="Sinespaciado"/>
        <w:jc w:val="both"/>
        <w:rPr>
          <w:rFonts w:ascii="Arial" w:hAnsi="Arial" w:cs="Arial"/>
          <w:sz w:val="20"/>
          <w:szCs w:val="20"/>
        </w:rPr>
      </w:pPr>
      <w:r w:rsidRPr="003708AA">
        <w:rPr>
          <w:rStyle w:val="Refdenotaalpie"/>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B707B2" w:rsidRPr="003708AA" w:rsidRDefault="00B707B2" w:rsidP="00B707B2">
      <w:pPr>
        <w:pStyle w:val="Sinespaciado"/>
        <w:jc w:val="both"/>
        <w:rPr>
          <w:rFonts w:ascii="Arial" w:hAnsi="Arial" w:cs="Arial"/>
          <w:sz w:val="20"/>
          <w:szCs w:val="20"/>
        </w:rPr>
      </w:pPr>
      <w:r w:rsidRPr="003708AA">
        <w:rPr>
          <w:rStyle w:val="Refdenotaalpie"/>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B707B2" w:rsidRPr="003708AA" w:rsidRDefault="00B707B2" w:rsidP="00B707B2">
      <w:pPr>
        <w:pStyle w:val="Sinespaciado"/>
        <w:jc w:val="both"/>
        <w:rPr>
          <w:rFonts w:ascii="Arial" w:hAnsi="Arial" w:cs="Arial"/>
          <w:sz w:val="20"/>
          <w:szCs w:val="20"/>
        </w:rPr>
      </w:pPr>
      <w:r w:rsidRPr="003708AA">
        <w:rPr>
          <w:rStyle w:val="Refdenotaalpie"/>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B707B2" w:rsidRPr="003708AA" w:rsidRDefault="00B707B2" w:rsidP="00B707B2">
      <w:pPr>
        <w:pStyle w:val="Sinespaciado"/>
        <w:jc w:val="both"/>
        <w:rPr>
          <w:rFonts w:ascii="Arial" w:hAnsi="Arial" w:cs="Arial"/>
        </w:rPr>
      </w:pPr>
      <w:r w:rsidRPr="003708AA">
        <w:rPr>
          <w:rStyle w:val="Refdenotaalpie"/>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B707B2" w:rsidRPr="003708AA" w:rsidRDefault="00B707B2" w:rsidP="00B707B2">
      <w:pPr>
        <w:pStyle w:val="Textonotapie"/>
        <w:rPr>
          <w:rFonts w:ascii="Arial" w:hAnsi="Arial" w:cs="Arial"/>
        </w:rPr>
      </w:pPr>
      <w:r w:rsidRPr="003708AA">
        <w:rPr>
          <w:rStyle w:val="Refdenotaalpie"/>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DE"/>
    <w:rsid w:val="00143517"/>
    <w:rsid w:val="001E3B66"/>
    <w:rsid w:val="002A48F9"/>
    <w:rsid w:val="002C642A"/>
    <w:rsid w:val="003237D7"/>
    <w:rsid w:val="00345E5C"/>
    <w:rsid w:val="00382987"/>
    <w:rsid w:val="00392280"/>
    <w:rsid w:val="003D459C"/>
    <w:rsid w:val="0042225D"/>
    <w:rsid w:val="00444EDB"/>
    <w:rsid w:val="00562C77"/>
    <w:rsid w:val="005C29B0"/>
    <w:rsid w:val="006105DE"/>
    <w:rsid w:val="00645D6E"/>
    <w:rsid w:val="00670F42"/>
    <w:rsid w:val="00743DFF"/>
    <w:rsid w:val="00882E05"/>
    <w:rsid w:val="00983DC2"/>
    <w:rsid w:val="009A5533"/>
    <w:rsid w:val="009F7D8F"/>
    <w:rsid w:val="00B707B2"/>
    <w:rsid w:val="00D86446"/>
    <w:rsid w:val="00EF4916"/>
    <w:rsid w:val="00F166EF"/>
    <w:rsid w:val="00F44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623D-AFCE-45AF-A033-9BF74BBA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59C"/>
    <w:pPr>
      <w:ind w:left="720"/>
      <w:contextualSpacing/>
    </w:pPr>
  </w:style>
  <w:style w:type="paragraph" w:styleId="Sinespaciado">
    <w:name w:val="No Spacing"/>
    <w:uiPriority w:val="1"/>
    <w:qFormat/>
    <w:rsid w:val="00B707B2"/>
    <w:pPr>
      <w:spacing w:after="0" w:line="240" w:lineRule="auto"/>
    </w:pPr>
    <w:rPr>
      <w:rFonts w:ascii="Times New Roman" w:eastAsia="Times New Roman" w:hAnsi="Times New Roman" w:cs="Times New Roman"/>
      <w:sz w:val="24"/>
      <w:szCs w:val="24"/>
      <w:lang w:eastAsia="es-ES"/>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semiHidden/>
    <w:locked/>
    <w:rsid w:val="00B707B2"/>
    <w:rPr>
      <w:rFonts w:ascii="Calibri" w:hAnsi="Calibri" w:cs="Calibri"/>
      <w:sz w:val="20"/>
      <w:szCs w:val="20"/>
      <w:lang w:val="es-CO" w:eastAsia="x-none"/>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semiHidden/>
    <w:rsid w:val="00B707B2"/>
    <w:rPr>
      <w:rFonts w:ascii="Calibri" w:eastAsiaTheme="minorHAnsi" w:hAnsi="Calibri" w:cs="Calibri"/>
      <w:sz w:val="20"/>
      <w:szCs w:val="20"/>
      <w:lang w:val="es-CO" w:eastAsia="x-none"/>
    </w:rPr>
  </w:style>
  <w:style w:type="character" w:customStyle="1" w:styleId="TextonotapieCar1">
    <w:name w:val="Texto nota pie Car1"/>
    <w:basedOn w:val="Fuentedeprrafopredeter"/>
    <w:uiPriority w:val="99"/>
    <w:semiHidden/>
    <w:rsid w:val="00B707B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B707B2"/>
    <w:rPr>
      <w:rFonts w:cs="Times New Roman"/>
      <w:vertAlign w:val="superscript"/>
    </w:rPr>
  </w:style>
  <w:style w:type="paragraph" w:styleId="Textodeglobo">
    <w:name w:val="Balloon Text"/>
    <w:basedOn w:val="Normal"/>
    <w:link w:val="TextodegloboCar"/>
    <w:uiPriority w:val="99"/>
    <w:semiHidden/>
    <w:unhideWhenUsed/>
    <w:rsid w:val="003922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28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Sandra Milena Pineda Echeverri</cp:lastModifiedBy>
  <cp:revision>10</cp:revision>
  <cp:lastPrinted>2017-09-22T21:44:00Z</cp:lastPrinted>
  <dcterms:created xsi:type="dcterms:W3CDTF">2017-10-23T20:40:00Z</dcterms:created>
  <dcterms:modified xsi:type="dcterms:W3CDTF">2017-10-24T11:39:00Z</dcterms:modified>
</cp:coreProperties>
</file>