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B652B" w:rsidRPr="00EB652B" w:rsidRDefault="00EB652B" w:rsidP="00EB652B">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val="es-CO" w:eastAsia="fr-FR"/>
        </w:rPr>
      </w:pPr>
      <w:r w:rsidRPr="00EB652B">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w:t>
      </w:r>
    </w:p>
    <w:p w:rsidR="00EB652B" w:rsidRPr="00EB652B" w:rsidRDefault="00EB652B" w:rsidP="00EB652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EB652B">
        <w:rPr>
          <w:rFonts w:ascii="Calibri" w:eastAsia="Calibri" w:hAnsi="Calibri" w:cs="Calibri"/>
          <w:color w:val="FF0000"/>
          <w:sz w:val="16"/>
          <w:szCs w:val="16"/>
          <w:lang w:val="es-CO" w:eastAsia="fr-FR"/>
        </w:rPr>
        <w:t>proceso. El contenido total y fiel de la decisión debe ser verificado en la Secretaría de esta Sala.</w:t>
      </w:r>
      <w:r w:rsidRPr="00EB652B">
        <w:rPr>
          <w:rFonts w:ascii="Calibri" w:eastAsia="Calibri" w:hAnsi="Calibri" w:cs="Calibri"/>
          <w:color w:val="222222"/>
          <w:sz w:val="18"/>
          <w:szCs w:val="18"/>
          <w:lang w:val="es-CO" w:eastAsia="fr-FR"/>
        </w:rPr>
        <w:t> </w:t>
      </w:r>
    </w:p>
    <w:p w:rsidR="00EB652B" w:rsidRPr="00EB652B" w:rsidRDefault="00EB652B" w:rsidP="00EB652B">
      <w:pPr>
        <w:shd w:val="clear" w:color="auto" w:fill="FFFFFF"/>
        <w:ind w:left="2124" w:hanging="2124"/>
        <w:jc w:val="both"/>
        <w:rPr>
          <w:rFonts w:ascii="Calibri" w:eastAsia="Calibri" w:hAnsi="Calibri" w:cs="Calibri"/>
          <w:color w:val="222222"/>
          <w:sz w:val="18"/>
          <w:szCs w:val="18"/>
          <w:lang w:val="es-CO" w:eastAsia="fr-FR"/>
        </w:rPr>
      </w:pPr>
      <w:r w:rsidRPr="00EB652B">
        <w:rPr>
          <w:rFonts w:ascii="Calibri" w:hAnsi="Calibri" w:cs="Calibri"/>
          <w:color w:val="222222"/>
          <w:sz w:val="18"/>
          <w:szCs w:val="18"/>
          <w:lang w:val="es-CO" w:eastAsia="fr-FR"/>
        </w:rPr>
        <w:t>Providencia:</w:t>
      </w:r>
      <w:r w:rsidRPr="00EB652B">
        <w:rPr>
          <w:rFonts w:ascii="Calibri" w:hAnsi="Calibri" w:cs="Calibri"/>
          <w:color w:val="222222"/>
          <w:sz w:val="18"/>
          <w:szCs w:val="18"/>
          <w:lang w:val="es-CO" w:eastAsia="fr-FR"/>
        </w:rPr>
        <w:tab/>
        <w:t>Auto – Incidente de desacato en el grado de consulta – 13 de marzo de 2017</w:t>
      </w:r>
    </w:p>
    <w:p w:rsidR="00EB652B" w:rsidRPr="00EB652B" w:rsidRDefault="00EB652B" w:rsidP="00EB652B">
      <w:pPr>
        <w:shd w:val="clear" w:color="auto" w:fill="FFFFFF"/>
        <w:tabs>
          <w:tab w:val="left" w:pos="1418"/>
        </w:tabs>
        <w:jc w:val="both"/>
        <w:rPr>
          <w:rFonts w:ascii="Calibri" w:eastAsia="Calibri" w:hAnsi="Calibri" w:cs="Calibri"/>
          <w:color w:val="222222"/>
          <w:sz w:val="18"/>
          <w:szCs w:val="18"/>
          <w:lang w:val="es-CO" w:eastAsia="fr-FR"/>
        </w:rPr>
      </w:pPr>
      <w:r w:rsidRPr="00EB652B">
        <w:rPr>
          <w:rFonts w:ascii="Calibri" w:eastAsia="Calibri" w:hAnsi="Calibri" w:cs="Calibri"/>
          <w:color w:val="222222"/>
          <w:sz w:val="18"/>
          <w:szCs w:val="18"/>
          <w:lang w:val="es-CO" w:eastAsia="fr-FR"/>
        </w:rPr>
        <w:t>Proceso:                </w:t>
      </w:r>
      <w:r w:rsidRPr="00EB652B">
        <w:rPr>
          <w:rFonts w:ascii="Calibri" w:eastAsia="Calibri" w:hAnsi="Calibri" w:cs="Calibri"/>
          <w:color w:val="222222"/>
          <w:sz w:val="18"/>
          <w:szCs w:val="18"/>
          <w:lang w:val="es-CO" w:eastAsia="fr-FR"/>
        </w:rPr>
        <w:tab/>
      </w:r>
      <w:r w:rsidRPr="00EB652B">
        <w:rPr>
          <w:rFonts w:ascii="Calibri" w:eastAsia="Calibri" w:hAnsi="Calibri" w:cs="Calibri"/>
          <w:color w:val="222222"/>
          <w:sz w:val="18"/>
          <w:szCs w:val="18"/>
          <w:lang w:val="es-CO" w:eastAsia="fr-FR"/>
        </w:rPr>
        <w:tab/>
        <w:t>Acción de Tutela – Decreta nulidad de la sanción s</w:t>
      </w:r>
    </w:p>
    <w:p w:rsidR="00EB652B" w:rsidRPr="00EB652B" w:rsidRDefault="00EB652B" w:rsidP="00EB652B">
      <w:pPr>
        <w:shd w:val="clear" w:color="auto" w:fill="FFFFFF"/>
        <w:tabs>
          <w:tab w:val="left" w:pos="1418"/>
        </w:tabs>
        <w:jc w:val="both"/>
        <w:rPr>
          <w:rFonts w:ascii="Calibri" w:eastAsia="Batang" w:hAnsi="Calibri" w:cs="Calibri"/>
          <w:sz w:val="18"/>
          <w:szCs w:val="18"/>
        </w:rPr>
      </w:pPr>
      <w:r w:rsidRPr="00EB652B">
        <w:rPr>
          <w:rFonts w:ascii="Calibri" w:eastAsia="Calibri" w:hAnsi="Calibri" w:cs="Calibri"/>
          <w:color w:val="222222"/>
          <w:sz w:val="18"/>
          <w:szCs w:val="18"/>
          <w:lang w:val="es-CO" w:eastAsia="fr-FR"/>
        </w:rPr>
        <w:t>Radicación Nro. :</w:t>
      </w:r>
      <w:r w:rsidRPr="00EB652B">
        <w:rPr>
          <w:rFonts w:ascii="Calibri" w:eastAsia="Calibri" w:hAnsi="Calibri" w:cs="Calibri"/>
          <w:color w:val="222222"/>
          <w:sz w:val="18"/>
          <w:szCs w:val="18"/>
          <w:lang w:val="es-CO" w:eastAsia="fr-FR"/>
        </w:rPr>
        <w:tab/>
        <w:t xml:space="preserve">  </w:t>
      </w:r>
      <w:r w:rsidRPr="00EB652B">
        <w:rPr>
          <w:rFonts w:ascii="Calibri" w:eastAsia="Calibri" w:hAnsi="Calibri" w:cs="Calibri"/>
          <w:color w:val="222222"/>
          <w:sz w:val="18"/>
          <w:szCs w:val="18"/>
          <w:lang w:val="es-CO" w:eastAsia="fr-FR"/>
        </w:rPr>
        <w:tab/>
      </w:r>
      <w:r w:rsidRPr="00EB652B">
        <w:rPr>
          <w:rFonts w:ascii="Calibri" w:eastAsia="Batang" w:hAnsi="Calibri" w:cs="Calibri"/>
          <w:sz w:val="18"/>
          <w:szCs w:val="18"/>
          <w:lang w:val="es-CO"/>
        </w:rPr>
        <w:t xml:space="preserve">66001 31 87 003 2016 00139 01     </w:t>
      </w:r>
      <w:r w:rsidRPr="00EB652B">
        <w:rPr>
          <w:rFonts w:ascii="Calibri" w:eastAsia="Batang" w:hAnsi="Calibri" w:cs="Calibri"/>
          <w:i/>
          <w:sz w:val="18"/>
          <w:szCs w:val="18"/>
          <w:lang w:val="es-CO"/>
        </w:rPr>
        <w:t xml:space="preserve">                                                           </w:t>
      </w:r>
    </w:p>
    <w:p w:rsidR="00EB652B" w:rsidRPr="00EB652B" w:rsidRDefault="00EB652B" w:rsidP="00EB652B">
      <w:pPr>
        <w:shd w:val="clear" w:color="auto" w:fill="FFFFFF"/>
        <w:tabs>
          <w:tab w:val="left" w:pos="1418"/>
        </w:tabs>
        <w:jc w:val="both"/>
        <w:rPr>
          <w:rFonts w:ascii="Calibri" w:eastAsia="Calibri" w:hAnsi="Calibri" w:cs="Calibri"/>
          <w:color w:val="222222"/>
          <w:sz w:val="18"/>
          <w:szCs w:val="18"/>
          <w:lang w:val="es-CO" w:eastAsia="fr-FR"/>
        </w:rPr>
      </w:pPr>
      <w:r w:rsidRPr="00EB652B">
        <w:rPr>
          <w:rFonts w:ascii="Calibri" w:eastAsia="Calibri" w:hAnsi="Calibri" w:cs="Calibri"/>
          <w:color w:val="222222"/>
          <w:sz w:val="18"/>
          <w:szCs w:val="18"/>
          <w:lang w:val="es-CO" w:eastAsia="fr-FR"/>
        </w:rPr>
        <w:t>Accionante:</w:t>
      </w:r>
      <w:r w:rsidRPr="00EB652B">
        <w:rPr>
          <w:rFonts w:ascii="Calibri" w:eastAsia="Calibri" w:hAnsi="Calibri" w:cs="Calibri"/>
          <w:color w:val="222222"/>
          <w:sz w:val="18"/>
          <w:szCs w:val="18"/>
          <w:lang w:val="es-CO" w:eastAsia="fr-FR"/>
        </w:rPr>
        <w:tab/>
      </w:r>
      <w:r w:rsidRPr="00EB652B">
        <w:rPr>
          <w:rFonts w:ascii="Calibri" w:eastAsia="Calibri" w:hAnsi="Calibri" w:cs="Calibri"/>
          <w:color w:val="222222"/>
          <w:sz w:val="18"/>
          <w:szCs w:val="18"/>
          <w:lang w:val="es-CO" w:eastAsia="fr-FR"/>
        </w:rPr>
        <w:tab/>
      </w:r>
      <w:r w:rsidRPr="00EB652B">
        <w:rPr>
          <w:rFonts w:ascii="Calibri" w:eastAsia="Calibri" w:hAnsi="Calibri" w:cs="Calibri"/>
          <w:color w:val="222222"/>
          <w:sz w:val="18"/>
          <w:szCs w:val="18"/>
          <w:lang w:eastAsia="fr-FR"/>
        </w:rPr>
        <w:t xml:space="preserve">JOSÉ URIEL SÁEZ SALAZAR </w:t>
      </w:r>
    </w:p>
    <w:p w:rsidR="00EB652B" w:rsidRPr="00EB652B" w:rsidRDefault="00EB652B" w:rsidP="00EB652B">
      <w:pPr>
        <w:shd w:val="clear" w:color="auto" w:fill="FFFFFF"/>
        <w:jc w:val="both"/>
        <w:rPr>
          <w:rFonts w:ascii="Calibri" w:eastAsia="Calibri" w:hAnsi="Calibri" w:cs="Calibri"/>
          <w:bCs/>
          <w:color w:val="222222"/>
          <w:sz w:val="18"/>
          <w:szCs w:val="18"/>
          <w:lang w:val="es-CO" w:eastAsia="fr-FR"/>
        </w:rPr>
      </w:pPr>
      <w:r w:rsidRPr="00EB652B">
        <w:rPr>
          <w:rFonts w:ascii="Calibri" w:eastAsia="Calibri" w:hAnsi="Calibri" w:cs="Calibri"/>
          <w:color w:val="222222"/>
          <w:sz w:val="18"/>
          <w:szCs w:val="18"/>
          <w:lang w:val="es-CO" w:eastAsia="fr-FR"/>
        </w:rPr>
        <w:t>Accionados:     </w:t>
      </w:r>
      <w:r w:rsidRPr="00EB652B">
        <w:rPr>
          <w:rFonts w:ascii="Calibri" w:eastAsia="Calibri" w:hAnsi="Calibri" w:cs="Calibri"/>
          <w:color w:val="222222"/>
          <w:sz w:val="18"/>
          <w:szCs w:val="18"/>
          <w:lang w:val="es-CO" w:eastAsia="fr-FR"/>
        </w:rPr>
        <w:tab/>
      </w:r>
      <w:r w:rsidRPr="00EB652B">
        <w:rPr>
          <w:rFonts w:ascii="Calibri" w:eastAsia="Calibri" w:hAnsi="Calibri" w:cs="Calibri"/>
          <w:color w:val="222222"/>
          <w:sz w:val="18"/>
          <w:szCs w:val="18"/>
          <w:lang w:val="es-CO" w:eastAsia="fr-FR"/>
        </w:rPr>
        <w:tab/>
      </w:r>
      <w:r w:rsidRPr="00EB652B">
        <w:rPr>
          <w:rFonts w:ascii="Calibri" w:eastAsia="Calibri" w:hAnsi="Calibri" w:cs="Calibri"/>
          <w:bCs/>
          <w:color w:val="222222"/>
          <w:sz w:val="18"/>
          <w:szCs w:val="18"/>
          <w:lang w:eastAsia="fr-FR"/>
        </w:rPr>
        <w:t>UNIDAD DE ATENCIÓN Y REPARACIÓN INTEGRAL A LAS VÍCTIMAS</w:t>
      </w:r>
    </w:p>
    <w:p w:rsidR="00EB652B" w:rsidRPr="00EB652B" w:rsidRDefault="00EB652B" w:rsidP="00EB652B">
      <w:pPr>
        <w:shd w:val="clear" w:color="auto" w:fill="FFFFFF"/>
        <w:jc w:val="both"/>
        <w:rPr>
          <w:rFonts w:ascii="Calibri" w:eastAsia="Calibri" w:hAnsi="Calibri" w:cs="Calibri"/>
          <w:bCs/>
          <w:iCs/>
          <w:color w:val="222222"/>
          <w:sz w:val="18"/>
          <w:szCs w:val="18"/>
          <w:lang w:val="es-CO" w:eastAsia="fr-FR"/>
        </w:rPr>
      </w:pPr>
      <w:r w:rsidRPr="00EB652B">
        <w:rPr>
          <w:rFonts w:ascii="Calibri" w:eastAsia="Calibri" w:hAnsi="Calibri" w:cs="Calibri"/>
          <w:color w:val="222222"/>
          <w:sz w:val="18"/>
          <w:szCs w:val="18"/>
          <w:lang w:val="es-CO" w:eastAsia="fr-FR"/>
        </w:rPr>
        <w:t>Magistrado Ponente: </w:t>
      </w:r>
      <w:r w:rsidRPr="00EB652B">
        <w:rPr>
          <w:rFonts w:ascii="Calibri" w:eastAsia="Calibri" w:hAnsi="Calibri" w:cs="Calibri"/>
          <w:color w:val="222222"/>
          <w:sz w:val="18"/>
          <w:szCs w:val="18"/>
          <w:lang w:val="es-CO" w:eastAsia="fr-FR"/>
        </w:rPr>
        <w:tab/>
      </w:r>
      <w:r w:rsidR="00C70FC6" w:rsidRPr="00FA3310">
        <w:rPr>
          <w:rFonts w:ascii="Calibri" w:eastAsia="Calibri" w:hAnsi="Calibri" w:cs="Calibri"/>
          <w:bCs/>
          <w:color w:val="222222"/>
          <w:sz w:val="18"/>
          <w:szCs w:val="18"/>
          <w:lang w:val="es-MX" w:eastAsia="fr-FR"/>
        </w:rPr>
        <w:t>MANUEL YARZAGARAY BANDERA</w:t>
      </w:r>
      <w:bookmarkStart w:id="0" w:name="_GoBack"/>
      <w:bookmarkEnd w:id="0"/>
    </w:p>
    <w:p w:rsidR="00EB652B" w:rsidRPr="00EB652B" w:rsidRDefault="00EB652B" w:rsidP="00EB652B">
      <w:pPr>
        <w:shd w:val="clear" w:color="auto" w:fill="FFFFFF"/>
        <w:ind w:left="2124" w:hanging="2124"/>
        <w:jc w:val="both"/>
        <w:rPr>
          <w:rFonts w:ascii="Calibri" w:eastAsia="Calibri" w:hAnsi="Calibri" w:cs="Calibri"/>
          <w:bCs/>
          <w:iCs/>
          <w:color w:val="222222"/>
          <w:sz w:val="10"/>
          <w:szCs w:val="10"/>
          <w:lang w:val="es-CO" w:eastAsia="fr-FR"/>
        </w:rPr>
      </w:pPr>
    </w:p>
    <w:p w:rsidR="00EB652B" w:rsidRPr="00EB652B" w:rsidRDefault="00EB652B" w:rsidP="00EB652B">
      <w:pPr>
        <w:shd w:val="clear" w:color="auto" w:fill="FFFFFF"/>
        <w:spacing w:after="200"/>
        <w:jc w:val="both"/>
        <w:rPr>
          <w:rFonts w:ascii="Calibri" w:hAnsi="Calibri" w:cs="Calibri"/>
          <w:b/>
          <w:color w:val="222222"/>
          <w:sz w:val="18"/>
          <w:szCs w:val="18"/>
          <w:lang w:val="es-MX" w:eastAsia="fr-FR"/>
        </w:rPr>
      </w:pPr>
      <w:r w:rsidRPr="00EB652B">
        <w:rPr>
          <w:rFonts w:ascii="Calibri" w:hAnsi="Calibri" w:cs="Calibri"/>
          <w:b/>
          <w:color w:val="222222"/>
          <w:sz w:val="18"/>
          <w:szCs w:val="18"/>
          <w:lang w:val="es-CO" w:eastAsia="fr-FR"/>
        </w:rPr>
        <w:t xml:space="preserve">Temas: </w:t>
      </w:r>
      <w:r w:rsidRPr="00EB652B">
        <w:rPr>
          <w:rFonts w:ascii="Calibri" w:hAnsi="Calibri" w:cs="Calibri"/>
          <w:b/>
          <w:color w:val="222222"/>
          <w:sz w:val="18"/>
          <w:szCs w:val="18"/>
          <w:lang w:val="es-CO" w:eastAsia="fr-FR"/>
        </w:rPr>
        <w:tab/>
      </w:r>
      <w:r w:rsidRPr="00EB652B">
        <w:rPr>
          <w:rFonts w:ascii="Calibri" w:hAnsi="Calibri" w:cs="Calibri"/>
          <w:b/>
          <w:color w:val="222222"/>
          <w:sz w:val="18"/>
          <w:szCs w:val="18"/>
          <w:lang w:val="es-CO" w:eastAsia="fr-FR"/>
        </w:rPr>
        <w:tab/>
      </w:r>
      <w:r w:rsidRPr="00EB652B">
        <w:rPr>
          <w:rFonts w:ascii="Calibri" w:hAnsi="Calibri" w:cs="Calibri"/>
          <w:b/>
          <w:color w:val="222222"/>
          <w:sz w:val="18"/>
          <w:szCs w:val="18"/>
          <w:lang w:val="es-CO" w:eastAsia="fr-FR"/>
        </w:rPr>
        <w:tab/>
        <w:t>NULIDAD DE LA SANCIÓN POR FALTA DE VINCULACIÓN DE LOS SUCESORES PROCESALES. “</w:t>
      </w:r>
      <w:r w:rsidRPr="00EB652B">
        <w:rPr>
          <w:rFonts w:ascii="Calibri" w:hAnsi="Calibri" w:cs="Calibri"/>
          <w:color w:val="222222"/>
          <w:sz w:val="18"/>
          <w:szCs w:val="18"/>
          <w:lang w:eastAsia="fr-FR"/>
        </w:rPr>
        <w:t>[E]n el momento de proferir las decisiones tomadas dentro de la acción de tutela por medio de las cuales se ampararon sus derechos fundamentales, la entidad encargada de dar cumplimiento a las mismas era CAPRECOM EICE, hoy liquidada, cual era la entidad encargada prestar los servicios en salud de las personas privadas de la libertad. (…) [E]n la actualidad, las labores tendientes a garantizar la prestación efectiva de este servicio han sido distribuidas entre la USPEC, el consorcio PPL y el INPEC (…)</w:t>
      </w:r>
      <w:r w:rsidRPr="00EB652B">
        <w:rPr>
          <w:rFonts w:ascii="Calibri" w:hAnsi="Calibri" w:cs="Calibri"/>
          <w:color w:val="222222"/>
          <w:sz w:val="18"/>
          <w:szCs w:val="18"/>
          <w:lang w:val="es-MX" w:eastAsia="fr-FR"/>
        </w:rPr>
        <w:t>es pertinente concluir que si bien la orden fue dada inicialmente a CAPRECOM, debido a las aludidas transformaciones del sistema de salud de la población privada de la libertad, esa entidad ya no tiene facultades para dar cumplimiento a la misma, por lo que en atención a la figura de la sucesión procesal de que trata el artículo 68 del Código General del Proceso, se advierte que las entidades anteriormente mencionadas funcionan de forma armónica con la distribución de funciones que a cada una de ellas se le ha impuesto, de modo que se hace imprescindible la vinculación de todas ellas a la hora de evaluar si se ha presentado un incumplimiento a las órdenes proferidas la acción de tutela a la cual se ha hecho referencia en este trámite, para determinar en quién recae esa desobediencia, sobre todo porque al verificar la información que reposa en el expediente, el Consorcio Fondo de Atención en Salud PPL informó que ya emitió las respectivas órdenes para dar cumplimiento a lo dispuesto en el fallo, las cuales se remitieron al área de sanidad del centro penitenciario para lo de su competencia, consistente en solicitar las atenciones autorizadas a la IPS encargada, pese a lo cual sostiene la parte accionante que ello no se ha logrado, sin que se pueda evidenciar en este caso, los tramites que se han efectuado por parte del INPEC y el USPEC para cumplir con las labores que le han sido encomendadas. (…) De acuerdo a lo anterior, y a pesar del evidente incumplimiento al fallo de tutela emitido el 28 de octubre de 2014 por la Juez Penal del Circuito de Santa Rosa de Cabal en favor del señor JOSÉ EDIER CARMONA CEBALLOS, encuentra esta Sala que es necesario decretar la nulidad de la sanción impuesta dentro del presente asunto, para que se rehagan las actuaciones dentro del incidente de desacato a partir del auto del 11 de abril de 2016 mediante el cual se efectuó el requerimiento previo de que trata el artículo 27 del Decreto 2591 de 1991, puesto que se hace necesario vincular al trámite las demás entidades que se han referido en el transcurso de esta decisión.”.</w:t>
      </w:r>
      <w:r w:rsidRPr="00EB652B">
        <w:rPr>
          <w:rFonts w:ascii="Calibri" w:hAnsi="Calibri" w:cs="Calibri"/>
          <w:b/>
          <w:color w:val="222222"/>
          <w:sz w:val="18"/>
          <w:szCs w:val="18"/>
          <w:lang w:val="es-MX" w:eastAsia="fr-FR"/>
        </w:rPr>
        <w:t xml:space="preserve"> </w:t>
      </w:r>
    </w:p>
    <w:p w:rsidR="00EB652B" w:rsidRDefault="00EB652B" w:rsidP="00B7326D">
      <w:pPr>
        <w:pStyle w:val="Textoindependiente"/>
        <w:spacing w:line="336" w:lineRule="auto"/>
        <w:jc w:val="center"/>
        <w:rPr>
          <w:rFonts w:ascii="Verdana" w:hAnsi="Verdana" w:cs="Arial"/>
          <w:b/>
          <w:sz w:val="26"/>
          <w:szCs w:val="26"/>
        </w:rPr>
      </w:pPr>
    </w:p>
    <w:p w:rsidR="003113D9" w:rsidRPr="00F70EE0" w:rsidRDefault="003113D9" w:rsidP="00B7326D">
      <w:pPr>
        <w:pStyle w:val="Textoindependiente"/>
        <w:spacing w:line="336"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B7326D">
      <w:pPr>
        <w:pStyle w:val="Textoindependiente"/>
        <w:spacing w:line="336"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B7326D">
      <w:pPr>
        <w:pStyle w:val="Textoindependiente"/>
        <w:spacing w:line="336"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814070" cy="7445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16269" cy="746587"/>
                    </a:xfrm>
                    <a:prstGeom prst="rect">
                      <a:avLst/>
                    </a:prstGeom>
                    <a:noFill/>
                    <a:ln w="9525">
                      <a:noFill/>
                      <a:miter lim="800000"/>
                      <a:headEnd/>
                      <a:tailEnd/>
                    </a:ln>
                  </pic:spPr>
                </pic:pic>
              </a:graphicData>
            </a:graphic>
          </wp:inline>
        </w:drawing>
      </w:r>
    </w:p>
    <w:p w:rsidR="003113D9" w:rsidRPr="00F70EE0" w:rsidRDefault="003113D9" w:rsidP="00B7326D">
      <w:pPr>
        <w:pStyle w:val="Textoindependiente"/>
        <w:spacing w:line="336"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B7326D">
      <w:pPr>
        <w:pStyle w:val="Textoindependiente"/>
        <w:spacing w:line="336"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B7326D" w:rsidRDefault="0086319F" w:rsidP="00705DC6">
      <w:pPr>
        <w:suppressAutoHyphens/>
        <w:spacing w:line="276" w:lineRule="auto"/>
        <w:rPr>
          <w:rFonts w:ascii="Verdana" w:hAnsi="Verdana" w:cs="Arial"/>
          <w:b/>
          <w:bCs/>
          <w:spacing w:val="-4"/>
          <w:sz w:val="12"/>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6A1511">
      <w:pPr>
        <w:widowControl w:val="0"/>
        <w:autoSpaceDE w:val="0"/>
        <w:autoSpaceDN w:val="0"/>
        <w:adjustRightInd w:val="0"/>
        <w:spacing w:line="276"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EB652B" w:rsidRPr="00EB652B" w:rsidRDefault="00EB652B" w:rsidP="00B7326D">
      <w:pPr>
        <w:widowControl w:val="0"/>
        <w:autoSpaceDE w:val="0"/>
        <w:autoSpaceDN w:val="0"/>
        <w:adjustRightInd w:val="0"/>
        <w:spacing w:line="288" w:lineRule="auto"/>
        <w:jc w:val="both"/>
        <w:rPr>
          <w:rFonts w:ascii="Verdana" w:hAnsi="Verdana" w:cs="Arial"/>
          <w:sz w:val="10"/>
          <w:szCs w:val="10"/>
        </w:rPr>
      </w:pPr>
    </w:p>
    <w:p w:rsidR="003113D9" w:rsidRPr="00F70EE0" w:rsidRDefault="000D5BD3" w:rsidP="00B7326D">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Pereira,</w:t>
      </w:r>
      <w:r w:rsidR="00670198">
        <w:rPr>
          <w:rFonts w:ascii="Verdana" w:hAnsi="Verdana" w:cs="Arial"/>
          <w:sz w:val="26"/>
          <w:szCs w:val="26"/>
        </w:rPr>
        <w:t xml:space="preserve"> lunes trece (13) de marzo de dos mil diecisiete (2017)</w:t>
      </w:r>
    </w:p>
    <w:p w:rsidR="003113D9" w:rsidRPr="00F70EE0" w:rsidRDefault="003113D9" w:rsidP="00B7326D">
      <w:pPr>
        <w:widowControl w:val="0"/>
        <w:autoSpaceDE w:val="0"/>
        <w:autoSpaceDN w:val="0"/>
        <w:adjustRightInd w:val="0"/>
        <w:spacing w:line="288" w:lineRule="auto"/>
        <w:jc w:val="both"/>
        <w:rPr>
          <w:rFonts w:ascii="Verdana" w:hAnsi="Verdana" w:cs="Arial"/>
          <w:sz w:val="26"/>
          <w:szCs w:val="26"/>
        </w:rPr>
      </w:pPr>
      <w:r w:rsidRPr="00F70EE0">
        <w:rPr>
          <w:rFonts w:ascii="Verdana" w:hAnsi="Verdana" w:cs="Arial"/>
          <w:sz w:val="26"/>
          <w:szCs w:val="26"/>
        </w:rPr>
        <w:t>Hora:</w:t>
      </w:r>
      <w:r w:rsidR="00670198">
        <w:rPr>
          <w:rFonts w:ascii="Verdana" w:hAnsi="Verdana" w:cs="Arial"/>
          <w:sz w:val="26"/>
          <w:szCs w:val="26"/>
        </w:rPr>
        <w:t xml:space="preserve"> 3:00 p.m.</w:t>
      </w:r>
    </w:p>
    <w:p w:rsidR="003113D9" w:rsidRDefault="006A1511" w:rsidP="00B7326D">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Aprobado por</w:t>
      </w:r>
      <w:r w:rsidR="003113D9" w:rsidRPr="00F70EE0">
        <w:rPr>
          <w:rFonts w:ascii="Verdana" w:hAnsi="Verdana" w:cs="Arial"/>
          <w:sz w:val="26"/>
          <w:szCs w:val="26"/>
        </w:rPr>
        <w:t xml:space="preserve"> Acta No.</w:t>
      </w:r>
      <w:r w:rsidR="00670198">
        <w:rPr>
          <w:rFonts w:ascii="Verdana" w:hAnsi="Verdana" w:cs="Arial"/>
          <w:sz w:val="26"/>
          <w:szCs w:val="26"/>
        </w:rPr>
        <w:t xml:space="preserve"> 0224</w:t>
      </w:r>
    </w:p>
    <w:p w:rsidR="00EB652B" w:rsidRPr="00EB652B" w:rsidRDefault="00EB652B" w:rsidP="00B7326D">
      <w:pPr>
        <w:widowControl w:val="0"/>
        <w:autoSpaceDE w:val="0"/>
        <w:autoSpaceDN w:val="0"/>
        <w:adjustRightInd w:val="0"/>
        <w:spacing w:line="288" w:lineRule="auto"/>
        <w:jc w:val="both"/>
        <w:rPr>
          <w:rFonts w:ascii="Verdana" w:hAnsi="Verdana" w:cs="Arial"/>
          <w:sz w:val="10"/>
          <w:szCs w:val="10"/>
        </w:rPr>
      </w:pPr>
    </w:p>
    <w:tbl>
      <w:tblPr>
        <w:tblStyle w:val="Tablaconcuadrcula"/>
        <w:tblW w:w="0" w:type="auto"/>
        <w:jc w:val="center"/>
        <w:tblLook w:val="04A0" w:firstRow="1" w:lastRow="0" w:firstColumn="1" w:lastColumn="0" w:noHBand="0" w:noVBand="1"/>
      </w:tblPr>
      <w:tblGrid>
        <w:gridCol w:w="1984"/>
        <w:gridCol w:w="5387"/>
      </w:tblGrid>
      <w:tr w:rsidR="006A1511" w:rsidTr="006A1511">
        <w:trPr>
          <w:jc w:val="center"/>
        </w:trPr>
        <w:tc>
          <w:tcPr>
            <w:tcW w:w="1984" w:type="dxa"/>
            <w:vAlign w:val="center"/>
          </w:tcPr>
          <w:p w:rsidR="006A1511" w:rsidRPr="006A1511" w:rsidRDefault="006A1511" w:rsidP="00363FF5">
            <w:pPr>
              <w:widowControl w:val="0"/>
              <w:autoSpaceDE w:val="0"/>
              <w:autoSpaceDN w:val="0"/>
              <w:adjustRightInd w:val="0"/>
              <w:rPr>
                <w:rFonts w:ascii="Corbel" w:hAnsi="Corbel" w:cs="Arial"/>
                <w:sz w:val="23"/>
                <w:szCs w:val="23"/>
              </w:rPr>
            </w:pPr>
            <w:r w:rsidRPr="006A1511">
              <w:rPr>
                <w:rFonts w:ascii="Corbel" w:hAnsi="Corbel" w:cs="Arial"/>
                <w:sz w:val="23"/>
                <w:szCs w:val="23"/>
              </w:rPr>
              <w:t xml:space="preserve">Radicación No.: </w:t>
            </w:r>
          </w:p>
        </w:tc>
        <w:tc>
          <w:tcPr>
            <w:tcW w:w="5387" w:type="dxa"/>
            <w:vAlign w:val="center"/>
          </w:tcPr>
          <w:p w:rsidR="006A1511" w:rsidRPr="006A1511" w:rsidRDefault="006A1511" w:rsidP="00363FF5">
            <w:pPr>
              <w:widowControl w:val="0"/>
              <w:autoSpaceDE w:val="0"/>
              <w:autoSpaceDN w:val="0"/>
              <w:adjustRightInd w:val="0"/>
              <w:ind w:right="51"/>
              <w:rPr>
                <w:rFonts w:ascii="Corbel" w:hAnsi="Corbel" w:cs="Arial"/>
                <w:bCs/>
                <w:sz w:val="23"/>
                <w:szCs w:val="23"/>
              </w:rPr>
            </w:pPr>
            <w:r w:rsidRPr="006A1511">
              <w:rPr>
                <w:rFonts w:ascii="Corbel" w:hAnsi="Corbel" w:cs="Arial"/>
                <w:bCs/>
                <w:sz w:val="23"/>
                <w:szCs w:val="23"/>
              </w:rPr>
              <w:t>66682-31-04-001-2014-00284-01</w:t>
            </w:r>
          </w:p>
        </w:tc>
      </w:tr>
      <w:tr w:rsidR="006A1511" w:rsidTr="006A1511">
        <w:trPr>
          <w:jc w:val="center"/>
        </w:trPr>
        <w:tc>
          <w:tcPr>
            <w:tcW w:w="1984" w:type="dxa"/>
            <w:vAlign w:val="center"/>
          </w:tcPr>
          <w:p w:rsidR="006A1511" w:rsidRPr="006A1511" w:rsidRDefault="006A1511" w:rsidP="00363FF5">
            <w:pPr>
              <w:widowControl w:val="0"/>
              <w:autoSpaceDE w:val="0"/>
              <w:autoSpaceDN w:val="0"/>
              <w:adjustRightInd w:val="0"/>
              <w:rPr>
                <w:rFonts w:ascii="Corbel" w:hAnsi="Corbel" w:cs="Arial"/>
                <w:sz w:val="23"/>
                <w:szCs w:val="23"/>
              </w:rPr>
            </w:pPr>
            <w:r w:rsidRPr="006A1511">
              <w:rPr>
                <w:rFonts w:ascii="Corbel" w:hAnsi="Corbel" w:cs="Arial"/>
                <w:sz w:val="23"/>
                <w:szCs w:val="23"/>
              </w:rPr>
              <w:t xml:space="preserve">Accionante: </w:t>
            </w:r>
          </w:p>
        </w:tc>
        <w:tc>
          <w:tcPr>
            <w:tcW w:w="5387" w:type="dxa"/>
            <w:vAlign w:val="center"/>
          </w:tcPr>
          <w:p w:rsidR="006A1511" w:rsidRPr="006A1511" w:rsidRDefault="006A1511" w:rsidP="00363FF5">
            <w:pPr>
              <w:widowControl w:val="0"/>
              <w:autoSpaceDE w:val="0"/>
              <w:autoSpaceDN w:val="0"/>
              <w:adjustRightInd w:val="0"/>
              <w:rPr>
                <w:rFonts w:ascii="Corbel" w:hAnsi="Corbel" w:cs="Arial"/>
                <w:sz w:val="23"/>
                <w:szCs w:val="23"/>
              </w:rPr>
            </w:pPr>
            <w:r>
              <w:rPr>
                <w:rFonts w:ascii="Corbel" w:hAnsi="Corbel" w:cs="Arial"/>
                <w:bCs/>
                <w:sz w:val="23"/>
                <w:szCs w:val="23"/>
              </w:rPr>
              <w:t>José Ed</w:t>
            </w:r>
            <w:r w:rsidR="002D14EB">
              <w:rPr>
                <w:rFonts w:ascii="Corbel" w:hAnsi="Corbel" w:cs="Arial"/>
                <w:bCs/>
                <w:sz w:val="23"/>
                <w:szCs w:val="23"/>
              </w:rPr>
              <w:t>i</w:t>
            </w:r>
            <w:r w:rsidRPr="006A1511">
              <w:rPr>
                <w:rFonts w:ascii="Corbel" w:hAnsi="Corbel" w:cs="Arial"/>
                <w:bCs/>
                <w:sz w:val="23"/>
                <w:szCs w:val="23"/>
              </w:rPr>
              <w:t xml:space="preserve">er Carmona Ceballos  </w:t>
            </w:r>
          </w:p>
        </w:tc>
      </w:tr>
      <w:tr w:rsidR="006A1511" w:rsidTr="006A1511">
        <w:trPr>
          <w:jc w:val="center"/>
        </w:trPr>
        <w:tc>
          <w:tcPr>
            <w:tcW w:w="1984" w:type="dxa"/>
            <w:vAlign w:val="center"/>
          </w:tcPr>
          <w:p w:rsidR="006A1511" w:rsidRPr="006A1511" w:rsidRDefault="006A1511" w:rsidP="00363FF5">
            <w:pPr>
              <w:widowControl w:val="0"/>
              <w:autoSpaceDE w:val="0"/>
              <w:autoSpaceDN w:val="0"/>
              <w:adjustRightInd w:val="0"/>
              <w:rPr>
                <w:rFonts w:ascii="Corbel" w:hAnsi="Corbel" w:cs="Arial"/>
                <w:sz w:val="23"/>
                <w:szCs w:val="23"/>
              </w:rPr>
            </w:pPr>
            <w:r w:rsidRPr="006A1511">
              <w:rPr>
                <w:rFonts w:ascii="Corbel" w:hAnsi="Corbel" w:cs="Arial"/>
                <w:sz w:val="23"/>
                <w:szCs w:val="23"/>
              </w:rPr>
              <w:t xml:space="preserve">Accionado: </w:t>
            </w:r>
          </w:p>
        </w:tc>
        <w:tc>
          <w:tcPr>
            <w:tcW w:w="5387" w:type="dxa"/>
            <w:vAlign w:val="center"/>
          </w:tcPr>
          <w:p w:rsidR="006A1511" w:rsidRPr="006A1511" w:rsidRDefault="006A1511" w:rsidP="00363FF5">
            <w:pPr>
              <w:widowControl w:val="0"/>
              <w:autoSpaceDE w:val="0"/>
              <w:autoSpaceDN w:val="0"/>
              <w:adjustRightInd w:val="0"/>
              <w:ind w:right="51"/>
              <w:rPr>
                <w:rFonts w:ascii="Corbel" w:hAnsi="Corbel" w:cs="Arial"/>
                <w:bCs/>
                <w:sz w:val="23"/>
                <w:szCs w:val="23"/>
              </w:rPr>
            </w:pPr>
            <w:r>
              <w:rPr>
                <w:rFonts w:ascii="Corbel" w:hAnsi="Corbel" w:cs="Arial"/>
                <w:bCs/>
                <w:sz w:val="23"/>
                <w:szCs w:val="23"/>
              </w:rPr>
              <w:t xml:space="preserve">Consorcio PPL </w:t>
            </w:r>
          </w:p>
        </w:tc>
      </w:tr>
      <w:tr w:rsidR="006A1511" w:rsidTr="006A1511">
        <w:trPr>
          <w:jc w:val="center"/>
        </w:trPr>
        <w:tc>
          <w:tcPr>
            <w:tcW w:w="1984" w:type="dxa"/>
            <w:vAlign w:val="center"/>
          </w:tcPr>
          <w:p w:rsidR="006A1511" w:rsidRPr="006A1511" w:rsidRDefault="006A1511" w:rsidP="00363FF5">
            <w:pPr>
              <w:widowControl w:val="0"/>
              <w:autoSpaceDE w:val="0"/>
              <w:autoSpaceDN w:val="0"/>
              <w:adjustRightInd w:val="0"/>
              <w:rPr>
                <w:rFonts w:ascii="Corbel" w:hAnsi="Corbel" w:cs="Arial"/>
                <w:sz w:val="23"/>
                <w:szCs w:val="23"/>
              </w:rPr>
            </w:pPr>
            <w:r w:rsidRPr="006A1511">
              <w:rPr>
                <w:rFonts w:ascii="Corbel" w:hAnsi="Corbel" w:cs="Arial"/>
                <w:sz w:val="23"/>
                <w:szCs w:val="23"/>
              </w:rPr>
              <w:t xml:space="preserve">Procedencia: </w:t>
            </w:r>
          </w:p>
        </w:tc>
        <w:tc>
          <w:tcPr>
            <w:tcW w:w="5387" w:type="dxa"/>
            <w:vAlign w:val="center"/>
          </w:tcPr>
          <w:p w:rsidR="006A1511" w:rsidRPr="006A1511" w:rsidRDefault="006A1511" w:rsidP="00363FF5">
            <w:pPr>
              <w:widowControl w:val="0"/>
              <w:autoSpaceDE w:val="0"/>
              <w:autoSpaceDN w:val="0"/>
              <w:adjustRightInd w:val="0"/>
              <w:rPr>
                <w:rFonts w:ascii="Corbel" w:hAnsi="Corbel" w:cs="Arial"/>
                <w:sz w:val="23"/>
                <w:szCs w:val="23"/>
              </w:rPr>
            </w:pPr>
            <w:r w:rsidRPr="006A1511">
              <w:rPr>
                <w:rFonts w:ascii="Corbel" w:hAnsi="Corbel" w:cs="Arial"/>
                <w:bCs/>
                <w:sz w:val="23"/>
                <w:szCs w:val="23"/>
              </w:rPr>
              <w:t>Juzgado Penal</w:t>
            </w:r>
            <w:r>
              <w:rPr>
                <w:rFonts w:ascii="Corbel" w:hAnsi="Corbel" w:cs="Arial"/>
                <w:bCs/>
                <w:sz w:val="23"/>
                <w:szCs w:val="23"/>
              </w:rPr>
              <w:t xml:space="preserve"> del Circuito de Santa Rosa de C</w:t>
            </w:r>
            <w:r w:rsidRPr="006A1511">
              <w:rPr>
                <w:rFonts w:ascii="Corbel" w:hAnsi="Corbel" w:cs="Arial"/>
                <w:bCs/>
                <w:sz w:val="23"/>
                <w:szCs w:val="23"/>
              </w:rPr>
              <w:t xml:space="preserve">abal                               </w:t>
            </w:r>
          </w:p>
        </w:tc>
      </w:tr>
      <w:tr w:rsidR="006A1511" w:rsidTr="006A1511">
        <w:trPr>
          <w:jc w:val="center"/>
        </w:trPr>
        <w:tc>
          <w:tcPr>
            <w:tcW w:w="1984" w:type="dxa"/>
            <w:vAlign w:val="center"/>
          </w:tcPr>
          <w:p w:rsidR="006A1511" w:rsidRPr="006A1511" w:rsidRDefault="006A1511" w:rsidP="00363FF5">
            <w:pPr>
              <w:widowControl w:val="0"/>
              <w:autoSpaceDE w:val="0"/>
              <w:autoSpaceDN w:val="0"/>
              <w:adjustRightInd w:val="0"/>
              <w:rPr>
                <w:rFonts w:ascii="Corbel" w:hAnsi="Corbel" w:cs="Arial"/>
                <w:sz w:val="23"/>
                <w:szCs w:val="23"/>
              </w:rPr>
            </w:pPr>
            <w:r w:rsidRPr="006A1511">
              <w:rPr>
                <w:rFonts w:ascii="Corbel" w:hAnsi="Corbel" w:cs="Arial"/>
                <w:sz w:val="23"/>
                <w:szCs w:val="23"/>
              </w:rPr>
              <w:t xml:space="preserve">Decisión: </w:t>
            </w:r>
          </w:p>
        </w:tc>
        <w:tc>
          <w:tcPr>
            <w:tcW w:w="5387" w:type="dxa"/>
            <w:vAlign w:val="center"/>
          </w:tcPr>
          <w:p w:rsidR="006A1511" w:rsidRPr="006A1511" w:rsidRDefault="006A1511" w:rsidP="00363FF5">
            <w:pPr>
              <w:widowControl w:val="0"/>
              <w:autoSpaceDE w:val="0"/>
              <w:autoSpaceDN w:val="0"/>
              <w:adjustRightInd w:val="0"/>
              <w:rPr>
                <w:rFonts w:ascii="Corbel" w:hAnsi="Corbel" w:cs="Arial"/>
                <w:sz w:val="23"/>
                <w:szCs w:val="23"/>
              </w:rPr>
            </w:pPr>
            <w:r w:rsidRPr="006A1511">
              <w:rPr>
                <w:rFonts w:ascii="Corbel" w:hAnsi="Corbel" w:cs="Arial"/>
                <w:sz w:val="23"/>
                <w:szCs w:val="23"/>
              </w:rPr>
              <w:t xml:space="preserve">Decreta nulidad </w:t>
            </w:r>
          </w:p>
        </w:tc>
      </w:tr>
    </w:tbl>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lastRenderedPageBreak/>
        <w:t>ASUNTO</w:t>
      </w:r>
    </w:p>
    <w:p w:rsidR="003113D9" w:rsidRPr="00F70EE0" w:rsidRDefault="003113D9" w:rsidP="00E42AA4">
      <w:pPr>
        <w:pStyle w:val="Textoindependiente"/>
        <w:jc w:val="both"/>
        <w:rPr>
          <w:rFonts w:ascii="Verdana" w:hAnsi="Verdana" w:cs="Arial"/>
          <w:sz w:val="26"/>
          <w:szCs w:val="26"/>
        </w:rPr>
      </w:pPr>
    </w:p>
    <w:p w:rsidR="003113D9" w:rsidRPr="00DB0D0C" w:rsidRDefault="003113D9" w:rsidP="00B7326D">
      <w:pPr>
        <w:pStyle w:val="Textoindependiente"/>
        <w:spacing w:line="336" w:lineRule="auto"/>
        <w:jc w:val="both"/>
        <w:rPr>
          <w:rFonts w:ascii="Verdana" w:hAnsi="Verdana" w:cs="Arial"/>
          <w:b/>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DB0D0C">
        <w:rPr>
          <w:rFonts w:ascii="Verdana" w:hAnsi="Verdana" w:cs="Arial"/>
          <w:sz w:val="26"/>
          <w:szCs w:val="26"/>
        </w:rPr>
        <w:t>0</w:t>
      </w:r>
      <w:r w:rsidR="0023749A">
        <w:rPr>
          <w:rFonts w:ascii="Verdana" w:hAnsi="Verdana" w:cs="Arial"/>
          <w:sz w:val="26"/>
          <w:szCs w:val="26"/>
        </w:rPr>
        <w:t>5 de Mayo</w:t>
      </w:r>
      <w:r w:rsidR="00F230B3">
        <w:rPr>
          <w:rFonts w:ascii="Verdana" w:hAnsi="Verdana" w:cs="Arial"/>
          <w:sz w:val="26"/>
          <w:szCs w:val="26"/>
        </w:rPr>
        <w:t xml:space="preserve"> de 2016</w:t>
      </w:r>
      <w:r w:rsidR="00680DC7">
        <w:rPr>
          <w:rFonts w:ascii="Verdana" w:hAnsi="Verdana" w:cs="Arial"/>
          <w:sz w:val="26"/>
          <w:szCs w:val="26"/>
        </w:rPr>
        <w:t xml:space="preserve"> </w:t>
      </w:r>
      <w:r w:rsidR="0023749A">
        <w:rPr>
          <w:rFonts w:ascii="Verdana" w:hAnsi="Verdana" w:cs="Arial"/>
          <w:sz w:val="26"/>
          <w:szCs w:val="26"/>
        </w:rPr>
        <w:t xml:space="preserve">por </w:t>
      </w:r>
      <w:r w:rsidR="00DB0D0C">
        <w:rPr>
          <w:rFonts w:ascii="Verdana" w:hAnsi="Verdana" w:cs="Arial"/>
          <w:sz w:val="26"/>
          <w:szCs w:val="26"/>
        </w:rPr>
        <w:t>parte del</w:t>
      </w:r>
      <w:r w:rsidR="0023749A">
        <w:rPr>
          <w:rFonts w:ascii="Verdana" w:hAnsi="Verdana" w:cs="Arial"/>
          <w:sz w:val="26"/>
          <w:szCs w:val="26"/>
        </w:rPr>
        <w:t xml:space="preserve"> Juzgado Penal del Circuito de Santa Rosa de Cabal</w:t>
      </w:r>
      <w:r w:rsidRPr="00F70EE0">
        <w:rPr>
          <w:rFonts w:ascii="Verdana" w:hAnsi="Verdana" w:cs="Arial"/>
          <w:sz w:val="26"/>
          <w:szCs w:val="26"/>
        </w:rPr>
        <w:t xml:space="preserve">, </w:t>
      </w:r>
      <w:r w:rsidR="00DB0D0C">
        <w:rPr>
          <w:rFonts w:ascii="Verdana" w:hAnsi="Verdana" w:cs="Arial"/>
          <w:sz w:val="26"/>
          <w:szCs w:val="26"/>
        </w:rPr>
        <w:t xml:space="preserve">con ocasión del </w:t>
      </w:r>
      <w:r w:rsidRPr="00F70EE0">
        <w:rPr>
          <w:rFonts w:ascii="Verdana" w:hAnsi="Verdana" w:cs="Arial"/>
          <w:sz w:val="26"/>
          <w:szCs w:val="26"/>
        </w:rPr>
        <w:t>trámite</w:t>
      </w:r>
      <w:r w:rsidR="00DB0D0C">
        <w:rPr>
          <w:rFonts w:ascii="Verdana" w:hAnsi="Verdana" w:cs="Arial"/>
          <w:sz w:val="26"/>
          <w:szCs w:val="26"/>
        </w:rPr>
        <w:t xml:space="preserve"> incidental de desacato promovido</w:t>
      </w:r>
      <w:r w:rsidRPr="00F70EE0">
        <w:rPr>
          <w:rFonts w:ascii="Verdana" w:hAnsi="Verdana" w:cs="Arial"/>
          <w:sz w:val="26"/>
          <w:szCs w:val="26"/>
        </w:rPr>
        <w:t xml:space="preserve"> </w:t>
      </w:r>
      <w:r w:rsidR="00E916FC">
        <w:rPr>
          <w:rFonts w:ascii="Verdana" w:hAnsi="Verdana" w:cs="Arial"/>
          <w:sz w:val="26"/>
          <w:szCs w:val="26"/>
        </w:rPr>
        <w:t>por la</w:t>
      </w:r>
      <w:r w:rsidR="006A2877">
        <w:rPr>
          <w:rFonts w:ascii="Verdana" w:hAnsi="Verdana" w:cs="Arial"/>
          <w:sz w:val="26"/>
          <w:szCs w:val="26"/>
        </w:rPr>
        <w:t xml:space="preserve"> agente oficiosa del</w:t>
      </w:r>
      <w:r w:rsidR="00D272D2">
        <w:rPr>
          <w:rFonts w:ascii="Verdana" w:hAnsi="Verdana" w:cs="Arial"/>
          <w:sz w:val="26"/>
          <w:szCs w:val="26"/>
        </w:rPr>
        <w:t xml:space="preserve"> </w:t>
      </w:r>
      <w:r w:rsidR="006A2877">
        <w:rPr>
          <w:rFonts w:ascii="Verdana" w:hAnsi="Verdana" w:cs="Arial"/>
          <w:sz w:val="26"/>
          <w:szCs w:val="26"/>
        </w:rPr>
        <w:t>Sr.</w:t>
      </w:r>
      <w:r w:rsidRPr="00F70EE0">
        <w:rPr>
          <w:rFonts w:ascii="Verdana" w:hAnsi="Verdana" w:cs="Arial"/>
          <w:sz w:val="26"/>
          <w:szCs w:val="26"/>
        </w:rPr>
        <w:t xml:space="preserve"> </w:t>
      </w:r>
      <w:r w:rsidR="000541C4">
        <w:rPr>
          <w:rFonts w:ascii="Verdana" w:hAnsi="Verdana" w:cs="Arial"/>
          <w:b/>
          <w:sz w:val="26"/>
          <w:szCs w:val="26"/>
        </w:rPr>
        <w:t>JOSE EDIER CARMONA CEBALLOS</w:t>
      </w:r>
      <w:r w:rsidR="00DB0D0C" w:rsidRPr="00DB0D0C">
        <w:rPr>
          <w:rFonts w:ascii="Verdana" w:hAnsi="Verdana" w:cs="Arial"/>
          <w:sz w:val="26"/>
          <w:szCs w:val="26"/>
        </w:rPr>
        <w:t>, en</w:t>
      </w:r>
      <w:r w:rsidR="00286107">
        <w:rPr>
          <w:rFonts w:ascii="Verdana" w:hAnsi="Verdana" w:cs="Arial"/>
          <w:b/>
          <w:sz w:val="26"/>
          <w:szCs w:val="26"/>
        </w:rPr>
        <w:t xml:space="preserve"> </w:t>
      </w:r>
      <w:r w:rsidR="00286107">
        <w:rPr>
          <w:rFonts w:ascii="Verdana" w:hAnsi="Verdana" w:cs="Arial"/>
          <w:sz w:val="26"/>
          <w:szCs w:val="26"/>
        </w:rPr>
        <w:t xml:space="preserve">contra </w:t>
      </w:r>
      <w:r w:rsidR="00DB0D0C">
        <w:rPr>
          <w:rFonts w:ascii="Verdana" w:hAnsi="Verdana" w:cs="Arial"/>
          <w:sz w:val="26"/>
          <w:szCs w:val="26"/>
        </w:rPr>
        <w:t xml:space="preserve">del </w:t>
      </w:r>
      <w:r w:rsidR="002D14EB" w:rsidRPr="00DB0D0C">
        <w:rPr>
          <w:rFonts w:ascii="Verdana" w:hAnsi="Verdana" w:cs="Arial"/>
          <w:b/>
          <w:sz w:val="26"/>
          <w:szCs w:val="26"/>
        </w:rPr>
        <w:t>CONSORCIO FONDO DE ATENCIÓN EN SALUD PPL.</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886F01" w:rsidRDefault="003113D9" w:rsidP="00B7326D">
      <w:pPr>
        <w:pStyle w:val="Textoindependiente"/>
        <w:spacing w:line="336" w:lineRule="auto"/>
        <w:jc w:val="both"/>
        <w:rPr>
          <w:rFonts w:ascii="Verdana" w:hAnsi="Verdana" w:cs="Arial"/>
          <w:sz w:val="26"/>
          <w:szCs w:val="26"/>
        </w:rPr>
      </w:pPr>
      <w:r w:rsidRPr="00650A0F">
        <w:rPr>
          <w:rFonts w:ascii="Verdana" w:hAnsi="Verdana" w:cs="Arial"/>
          <w:sz w:val="26"/>
          <w:szCs w:val="26"/>
        </w:rPr>
        <w:t xml:space="preserve">Mediante fallo </w:t>
      </w:r>
      <w:r w:rsidR="00EC070F" w:rsidRPr="00650A0F">
        <w:rPr>
          <w:rFonts w:ascii="Verdana" w:hAnsi="Verdana" w:cs="Arial"/>
          <w:sz w:val="26"/>
          <w:szCs w:val="26"/>
        </w:rPr>
        <w:t xml:space="preserve">de tutela </w:t>
      </w:r>
      <w:r w:rsidRPr="00650A0F">
        <w:rPr>
          <w:rFonts w:ascii="Verdana" w:hAnsi="Verdana" w:cs="Arial"/>
          <w:sz w:val="26"/>
          <w:szCs w:val="26"/>
        </w:rPr>
        <w:t xml:space="preserve">del </w:t>
      </w:r>
      <w:r w:rsidR="00501B68" w:rsidRPr="00650A0F">
        <w:rPr>
          <w:rFonts w:ascii="Verdana" w:hAnsi="Verdana" w:cs="Arial"/>
          <w:sz w:val="26"/>
          <w:szCs w:val="26"/>
        </w:rPr>
        <w:t>28</w:t>
      </w:r>
      <w:r w:rsidR="006D6D1C" w:rsidRPr="00650A0F">
        <w:rPr>
          <w:rFonts w:ascii="Verdana" w:hAnsi="Verdana" w:cs="Arial"/>
          <w:sz w:val="26"/>
          <w:szCs w:val="26"/>
        </w:rPr>
        <w:t xml:space="preserve"> de </w:t>
      </w:r>
      <w:r w:rsidR="00501B68" w:rsidRPr="00650A0F">
        <w:rPr>
          <w:rFonts w:ascii="Verdana" w:hAnsi="Verdana" w:cs="Arial"/>
          <w:sz w:val="26"/>
          <w:szCs w:val="26"/>
        </w:rPr>
        <w:t>Octu</w:t>
      </w:r>
      <w:r w:rsidR="00B71805" w:rsidRPr="00650A0F">
        <w:rPr>
          <w:rFonts w:ascii="Verdana" w:hAnsi="Verdana" w:cs="Arial"/>
          <w:sz w:val="26"/>
          <w:szCs w:val="26"/>
        </w:rPr>
        <w:t>bre del 2014</w:t>
      </w:r>
      <w:r w:rsidR="00501B68" w:rsidRPr="00650A0F">
        <w:rPr>
          <w:rFonts w:ascii="Verdana" w:hAnsi="Verdana" w:cs="Arial"/>
          <w:sz w:val="26"/>
          <w:szCs w:val="26"/>
        </w:rPr>
        <w:t>, el Juz</w:t>
      </w:r>
      <w:r w:rsidR="001B7DA2">
        <w:rPr>
          <w:rFonts w:ascii="Verdana" w:hAnsi="Verdana" w:cs="Arial"/>
          <w:sz w:val="26"/>
          <w:szCs w:val="26"/>
        </w:rPr>
        <w:t>gado</w:t>
      </w:r>
      <w:r w:rsidR="00501B68" w:rsidRPr="00650A0F">
        <w:rPr>
          <w:rFonts w:ascii="Verdana" w:hAnsi="Verdana" w:cs="Arial"/>
          <w:sz w:val="26"/>
          <w:szCs w:val="26"/>
        </w:rPr>
        <w:t xml:space="preserve"> Penal del Circuito</w:t>
      </w:r>
      <w:r w:rsidR="006D6D1C" w:rsidRPr="00650A0F">
        <w:rPr>
          <w:rFonts w:ascii="Verdana" w:hAnsi="Verdana" w:cs="Arial"/>
          <w:sz w:val="26"/>
          <w:szCs w:val="26"/>
        </w:rPr>
        <w:t xml:space="preserve"> </w:t>
      </w:r>
      <w:r w:rsidR="00501B68" w:rsidRPr="00650A0F">
        <w:rPr>
          <w:rFonts w:ascii="Verdana" w:hAnsi="Verdana" w:cs="Arial"/>
          <w:sz w:val="26"/>
          <w:szCs w:val="26"/>
        </w:rPr>
        <w:t>de Santa Rosa de Cabal tuteló los</w:t>
      </w:r>
      <w:r w:rsidRPr="00650A0F">
        <w:rPr>
          <w:rFonts w:ascii="Verdana" w:hAnsi="Verdana" w:cs="Arial"/>
          <w:sz w:val="26"/>
          <w:szCs w:val="26"/>
        </w:rPr>
        <w:t xml:space="preserve"> derecho</w:t>
      </w:r>
      <w:r w:rsidR="00501B68" w:rsidRPr="00650A0F">
        <w:rPr>
          <w:rFonts w:ascii="Verdana" w:hAnsi="Verdana" w:cs="Arial"/>
          <w:sz w:val="26"/>
          <w:szCs w:val="26"/>
        </w:rPr>
        <w:t>s</w:t>
      </w:r>
      <w:r w:rsidR="006B52EA" w:rsidRPr="00650A0F">
        <w:rPr>
          <w:rFonts w:ascii="Verdana" w:hAnsi="Verdana" w:cs="Arial"/>
          <w:sz w:val="26"/>
          <w:szCs w:val="26"/>
        </w:rPr>
        <w:t xml:space="preserve"> fundamental</w:t>
      </w:r>
      <w:r w:rsidR="00501B68" w:rsidRPr="00650A0F">
        <w:rPr>
          <w:rFonts w:ascii="Verdana" w:hAnsi="Verdana" w:cs="Arial"/>
          <w:sz w:val="26"/>
          <w:szCs w:val="26"/>
        </w:rPr>
        <w:t>es</w:t>
      </w:r>
      <w:r w:rsidRPr="00650A0F">
        <w:rPr>
          <w:rFonts w:ascii="Verdana" w:hAnsi="Verdana" w:cs="Arial"/>
          <w:sz w:val="26"/>
          <w:szCs w:val="26"/>
        </w:rPr>
        <w:t xml:space="preserve"> </w:t>
      </w:r>
      <w:r w:rsidR="006B52EA" w:rsidRPr="00650A0F">
        <w:rPr>
          <w:rFonts w:ascii="Verdana" w:hAnsi="Verdana" w:cs="Arial"/>
          <w:sz w:val="26"/>
          <w:szCs w:val="26"/>
        </w:rPr>
        <w:t>a la salud</w:t>
      </w:r>
      <w:r w:rsidR="001B7DA2">
        <w:rPr>
          <w:rFonts w:ascii="Verdana" w:hAnsi="Verdana" w:cs="Arial"/>
          <w:sz w:val="26"/>
          <w:szCs w:val="26"/>
        </w:rPr>
        <w:t xml:space="preserve"> y</w:t>
      </w:r>
      <w:r w:rsidR="00501B68" w:rsidRPr="00650A0F">
        <w:rPr>
          <w:rFonts w:ascii="Verdana" w:hAnsi="Verdana" w:cs="Arial"/>
          <w:sz w:val="26"/>
          <w:szCs w:val="26"/>
        </w:rPr>
        <w:t xml:space="preserve"> a la seguridad social</w:t>
      </w:r>
      <w:r w:rsidR="00B71805" w:rsidRPr="00650A0F">
        <w:rPr>
          <w:rFonts w:ascii="Verdana" w:hAnsi="Verdana" w:cs="Arial"/>
          <w:sz w:val="26"/>
          <w:szCs w:val="26"/>
        </w:rPr>
        <w:t xml:space="preserve"> </w:t>
      </w:r>
      <w:r w:rsidR="00766973" w:rsidRPr="00650A0F">
        <w:rPr>
          <w:rFonts w:ascii="Verdana" w:hAnsi="Verdana" w:cs="Arial"/>
          <w:sz w:val="26"/>
          <w:szCs w:val="26"/>
        </w:rPr>
        <w:t>del Sr.</w:t>
      </w:r>
      <w:r w:rsidR="00886F01">
        <w:rPr>
          <w:rFonts w:ascii="Verdana" w:hAnsi="Verdana" w:cs="Arial"/>
          <w:sz w:val="26"/>
          <w:szCs w:val="26"/>
        </w:rPr>
        <w:t xml:space="preserve"> JOSÉ</w:t>
      </w:r>
      <w:r w:rsidR="00501B68" w:rsidRPr="00650A0F">
        <w:rPr>
          <w:rFonts w:ascii="Verdana" w:hAnsi="Verdana" w:cs="Arial"/>
          <w:sz w:val="26"/>
          <w:szCs w:val="26"/>
        </w:rPr>
        <w:t xml:space="preserve"> EDIER CARMONA</w:t>
      </w:r>
      <w:r w:rsidR="00501B68">
        <w:rPr>
          <w:rFonts w:ascii="Verdana" w:hAnsi="Verdana" w:cs="Arial"/>
          <w:sz w:val="26"/>
          <w:szCs w:val="26"/>
        </w:rPr>
        <w:t xml:space="preserve"> CEBALLOS</w:t>
      </w:r>
      <w:r w:rsidR="001B7DA2">
        <w:rPr>
          <w:rFonts w:ascii="Verdana" w:hAnsi="Verdana" w:cs="Arial"/>
          <w:sz w:val="26"/>
          <w:szCs w:val="26"/>
        </w:rPr>
        <w:t xml:space="preserve">, dentro de la acción de tutela promovida por </w:t>
      </w:r>
      <w:r w:rsidR="004D3653">
        <w:rPr>
          <w:rFonts w:ascii="Verdana" w:hAnsi="Verdana" w:cs="Arial"/>
          <w:sz w:val="26"/>
          <w:szCs w:val="26"/>
        </w:rPr>
        <w:t>su agente oficiosa</w:t>
      </w:r>
      <w:r w:rsidR="00C325D2">
        <w:rPr>
          <w:rFonts w:ascii="Verdana" w:hAnsi="Verdana" w:cs="Arial"/>
          <w:sz w:val="26"/>
          <w:szCs w:val="26"/>
        </w:rPr>
        <w:t>;</w:t>
      </w:r>
      <w:r w:rsidR="001A633A">
        <w:rPr>
          <w:rFonts w:ascii="Verdana" w:hAnsi="Verdana" w:cs="Arial"/>
          <w:sz w:val="26"/>
          <w:szCs w:val="26"/>
        </w:rPr>
        <w:t xml:space="preserve"> de esa manera </w:t>
      </w:r>
      <w:r w:rsidR="00886F01">
        <w:rPr>
          <w:rFonts w:ascii="Verdana" w:hAnsi="Verdana" w:cs="Arial"/>
          <w:sz w:val="26"/>
          <w:szCs w:val="26"/>
        </w:rPr>
        <w:t xml:space="preserve">resolvió en esa disposición: </w:t>
      </w:r>
    </w:p>
    <w:p w:rsidR="00886F01" w:rsidRDefault="00886F01" w:rsidP="00E81295">
      <w:pPr>
        <w:pStyle w:val="Textoindependiente"/>
        <w:spacing w:line="312" w:lineRule="auto"/>
        <w:jc w:val="both"/>
        <w:rPr>
          <w:rFonts w:ascii="Verdana" w:hAnsi="Verdana" w:cs="Arial"/>
          <w:sz w:val="26"/>
          <w:szCs w:val="26"/>
        </w:rPr>
      </w:pPr>
    </w:p>
    <w:p w:rsidR="00840446" w:rsidRPr="00B7326D" w:rsidRDefault="00AE76A5" w:rsidP="00B7326D">
      <w:pPr>
        <w:pStyle w:val="Cuerpodeltexto0"/>
        <w:shd w:val="clear" w:color="auto" w:fill="auto"/>
        <w:tabs>
          <w:tab w:val="left" w:pos="8505"/>
          <w:tab w:val="center" w:pos="8701"/>
        </w:tabs>
        <w:spacing w:after="300" w:line="240" w:lineRule="exact"/>
        <w:ind w:left="567" w:right="567"/>
        <w:rPr>
          <w:rFonts w:ascii="Verdana" w:hAnsi="Verdana"/>
          <w:i/>
          <w:sz w:val="22"/>
          <w:szCs w:val="22"/>
        </w:rPr>
      </w:pPr>
      <w:r w:rsidRPr="00B7326D">
        <w:rPr>
          <w:rFonts w:ascii="Verdana" w:hAnsi="Verdana"/>
          <w:i/>
          <w:sz w:val="22"/>
          <w:szCs w:val="22"/>
        </w:rPr>
        <w:t>“</w:t>
      </w:r>
      <w:r w:rsidR="00840446" w:rsidRPr="00B7326D">
        <w:rPr>
          <w:rFonts w:ascii="Verdana" w:hAnsi="Verdana"/>
          <w:i/>
          <w:sz w:val="22"/>
          <w:szCs w:val="22"/>
        </w:rPr>
        <w:t>PRIMERO: TUTELAR los derechos fundamentales a l</w:t>
      </w:r>
      <w:r w:rsidRPr="00B7326D">
        <w:rPr>
          <w:rFonts w:ascii="Verdana" w:hAnsi="Verdana"/>
          <w:i/>
          <w:sz w:val="22"/>
          <w:szCs w:val="22"/>
        </w:rPr>
        <w:t xml:space="preserve">a salud y a la seguridad </w:t>
      </w:r>
      <w:r w:rsidR="00840446" w:rsidRPr="00B7326D">
        <w:rPr>
          <w:rFonts w:ascii="Verdana" w:hAnsi="Verdana"/>
          <w:i/>
          <w:sz w:val="22"/>
          <w:szCs w:val="22"/>
        </w:rPr>
        <w:t>social invocados por la agente oficiosa del señor JOSE EDIER CARMONA CEBALLOS, con fundamento en las razones expuestas en la parte motiva de esta providencia.</w:t>
      </w:r>
    </w:p>
    <w:p w:rsidR="00840446" w:rsidRPr="00B7326D" w:rsidRDefault="00840446" w:rsidP="00B7326D">
      <w:pPr>
        <w:pStyle w:val="Cuerpodeltexto0"/>
        <w:shd w:val="clear" w:color="auto" w:fill="auto"/>
        <w:tabs>
          <w:tab w:val="left" w:pos="8505"/>
        </w:tabs>
        <w:spacing w:after="0" w:line="240" w:lineRule="exact"/>
        <w:ind w:left="567" w:right="567"/>
        <w:rPr>
          <w:rFonts w:ascii="Verdana" w:hAnsi="Verdana"/>
          <w:i/>
          <w:sz w:val="22"/>
          <w:szCs w:val="22"/>
        </w:rPr>
      </w:pPr>
      <w:r w:rsidRPr="00B7326D">
        <w:rPr>
          <w:rFonts w:ascii="Verdana" w:hAnsi="Verdana"/>
          <w:i/>
          <w:sz w:val="22"/>
          <w:szCs w:val="22"/>
        </w:rPr>
        <w:t>SEGUNDO: Se ordena a CAPRECOM EPSS que en el término de cuarenta y ocho (48) horas siguientes a la notificación, programe las valoraciones autorizadas por la entidad las cuales deben ejecutarse en un término no mayor a diez (10) días de la Consulta por primera vez por medicina especializada en: consulta externa - medicina, interna según la NUA 14722152; Consulta externa- cirugía general según orden NUA14722135, y la Consulta externa - neurología según orden NUA 1428271, de carácter prioritario sin ningún tipo de dilación administrativa por encontrarse en el</w:t>
      </w:r>
      <w:r w:rsidR="004A2A58" w:rsidRPr="00B7326D">
        <w:rPr>
          <w:rFonts w:ascii="Verdana" w:hAnsi="Verdana"/>
          <w:i/>
          <w:sz w:val="22"/>
          <w:szCs w:val="22"/>
        </w:rPr>
        <w:t xml:space="preserve"> </w:t>
      </w:r>
      <w:r w:rsidRPr="00B7326D">
        <w:rPr>
          <w:rFonts w:ascii="Verdana" w:hAnsi="Verdana"/>
          <w:i/>
          <w:sz w:val="22"/>
          <w:szCs w:val="22"/>
        </w:rPr>
        <w:t>Plan Obligatorio de Salud, las cuales deberán realizarse en el Hospital Santa Mónica de Dosquebradas.</w:t>
      </w:r>
    </w:p>
    <w:p w:rsidR="004A2A58" w:rsidRPr="00B7326D" w:rsidRDefault="004A2A58" w:rsidP="00B7326D">
      <w:pPr>
        <w:pStyle w:val="Cuerpodeltexto0"/>
        <w:shd w:val="clear" w:color="auto" w:fill="auto"/>
        <w:tabs>
          <w:tab w:val="left" w:pos="8505"/>
        </w:tabs>
        <w:spacing w:after="0" w:line="240" w:lineRule="exact"/>
        <w:ind w:left="567" w:right="567"/>
        <w:rPr>
          <w:rFonts w:ascii="Verdana" w:hAnsi="Verdana"/>
          <w:i/>
          <w:sz w:val="22"/>
          <w:szCs w:val="22"/>
        </w:rPr>
      </w:pPr>
    </w:p>
    <w:p w:rsidR="00840446" w:rsidRPr="00B7326D" w:rsidRDefault="00840446" w:rsidP="00B7326D">
      <w:pPr>
        <w:pStyle w:val="Cuerpodeltexto0"/>
        <w:shd w:val="clear" w:color="auto" w:fill="auto"/>
        <w:tabs>
          <w:tab w:val="left" w:pos="8505"/>
        </w:tabs>
        <w:spacing w:after="237" w:line="240" w:lineRule="exact"/>
        <w:ind w:left="567" w:right="567"/>
        <w:rPr>
          <w:rFonts w:ascii="Verdana" w:hAnsi="Verdana"/>
          <w:i/>
          <w:sz w:val="22"/>
          <w:szCs w:val="22"/>
        </w:rPr>
      </w:pPr>
      <w:r w:rsidRPr="00B7326D">
        <w:rPr>
          <w:rFonts w:ascii="Verdana" w:hAnsi="Verdana"/>
          <w:i/>
          <w:sz w:val="22"/>
          <w:szCs w:val="22"/>
        </w:rPr>
        <w:t>TERCERO: Se ordena a Caprecom EPSS que en un término no mayor a quince (15) días a partir de la notificación de esta sentencia, proceda o realizar los exámenes de laboratorio de Cobre en orina, Cobre en San</w:t>
      </w:r>
      <w:r w:rsidR="004A2A58" w:rsidRPr="00B7326D">
        <w:rPr>
          <w:rFonts w:ascii="Verdana" w:hAnsi="Verdana"/>
          <w:i/>
          <w:sz w:val="22"/>
          <w:szCs w:val="22"/>
        </w:rPr>
        <w:t>gre, Ceruloplasmina y los que el</w:t>
      </w:r>
      <w:r w:rsidRPr="00B7326D">
        <w:rPr>
          <w:rFonts w:ascii="Verdana" w:hAnsi="Verdana"/>
          <w:i/>
          <w:sz w:val="22"/>
          <w:szCs w:val="22"/>
        </w:rPr>
        <w:t xml:space="preserve"> mé</w:t>
      </w:r>
      <w:r w:rsidR="004A2A58" w:rsidRPr="00B7326D">
        <w:rPr>
          <w:rFonts w:ascii="Verdana" w:hAnsi="Verdana"/>
          <w:i/>
          <w:sz w:val="22"/>
          <w:szCs w:val="22"/>
        </w:rPr>
        <w:t>dico tratante disponga, a fin d</w:t>
      </w:r>
      <w:r w:rsidRPr="00B7326D">
        <w:rPr>
          <w:rFonts w:ascii="Verdana" w:hAnsi="Verdana"/>
          <w:i/>
          <w:sz w:val="22"/>
          <w:szCs w:val="22"/>
        </w:rPr>
        <w:t>e det</w:t>
      </w:r>
      <w:r w:rsidR="004A2A58" w:rsidRPr="00B7326D">
        <w:rPr>
          <w:rFonts w:ascii="Verdana" w:hAnsi="Verdana"/>
          <w:i/>
          <w:sz w:val="22"/>
          <w:szCs w:val="22"/>
        </w:rPr>
        <w:t>erminar si el paciente padece el</w:t>
      </w:r>
      <w:r w:rsidRPr="00B7326D">
        <w:rPr>
          <w:rFonts w:ascii="Verdana" w:hAnsi="Verdana"/>
          <w:i/>
          <w:sz w:val="22"/>
          <w:szCs w:val="22"/>
        </w:rPr>
        <w:t xml:space="preserve"> Síndrome de Wils</w:t>
      </w:r>
      <w:r w:rsidR="004A2A58" w:rsidRPr="00B7326D">
        <w:rPr>
          <w:rFonts w:ascii="Verdana" w:hAnsi="Verdana"/>
          <w:i/>
          <w:sz w:val="22"/>
          <w:szCs w:val="22"/>
        </w:rPr>
        <w:t>on y realizar</w:t>
      </w:r>
      <w:r w:rsidRPr="00B7326D">
        <w:rPr>
          <w:rFonts w:ascii="Verdana" w:hAnsi="Verdana"/>
          <w:i/>
          <w:sz w:val="22"/>
          <w:szCs w:val="22"/>
        </w:rPr>
        <w:t>le su respectivo tratamiento.</w:t>
      </w:r>
    </w:p>
    <w:p w:rsidR="00840446" w:rsidRPr="00B7326D" w:rsidRDefault="00FE2A92" w:rsidP="00B7326D">
      <w:pPr>
        <w:pStyle w:val="Cuerpodeltexto0"/>
        <w:shd w:val="clear" w:color="auto" w:fill="auto"/>
        <w:tabs>
          <w:tab w:val="left" w:pos="8505"/>
        </w:tabs>
        <w:spacing w:after="237" w:line="240" w:lineRule="exact"/>
        <w:ind w:left="567" w:right="567"/>
        <w:rPr>
          <w:rFonts w:ascii="Verdana" w:hAnsi="Verdana"/>
          <w:i/>
          <w:sz w:val="22"/>
          <w:szCs w:val="22"/>
        </w:rPr>
      </w:pPr>
      <w:r w:rsidRPr="00B7326D">
        <w:rPr>
          <w:rFonts w:ascii="Verdana" w:hAnsi="Verdana"/>
          <w:i/>
          <w:sz w:val="22"/>
          <w:szCs w:val="22"/>
        </w:rPr>
        <w:t>CUARTO: Se ordena a Caprecom, l</w:t>
      </w:r>
      <w:r w:rsidR="00840446" w:rsidRPr="00B7326D">
        <w:rPr>
          <w:rFonts w:ascii="Verdana" w:hAnsi="Verdana"/>
          <w:i/>
          <w:sz w:val="22"/>
          <w:szCs w:val="22"/>
        </w:rPr>
        <w:t>a expedición inmediata de las a</w:t>
      </w:r>
      <w:r w:rsidRPr="00B7326D">
        <w:rPr>
          <w:rFonts w:ascii="Verdana" w:hAnsi="Verdana"/>
          <w:i/>
          <w:sz w:val="22"/>
          <w:szCs w:val="22"/>
        </w:rPr>
        <w:t>utorizaciones para el suministro</w:t>
      </w:r>
      <w:r w:rsidR="00840446" w:rsidRPr="00B7326D">
        <w:rPr>
          <w:rFonts w:ascii="Verdana" w:hAnsi="Verdana"/>
          <w:i/>
          <w:sz w:val="22"/>
          <w:szCs w:val="22"/>
        </w:rPr>
        <w:t xml:space="preserve"> del medicamento Toxina Butolínica No. 2 Tipo A (Botox) 1000 AM frasco, según prescripción realizada por el médico tratante </w:t>
      </w:r>
      <w:r w:rsidRPr="00B7326D">
        <w:rPr>
          <w:rFonts w:ascii="Verdana" w:hAnsi="Verdana"/>
          <w:i/>
          <w:sz w:val="22"/>
          <w:szCs w:val="22"/>
        </w:rPr>
        <w:t>y que es requerido para tratar la patología de Síndrome de Gilles de la Touret</w:t>
      </w:r>
      <w:r w:rsidR="00840446" w:rsidRPr="00B7326D">
        <w:rPr>
          <w:rFonts w:ascii="Verdana" w:hAnsi="Verdana"/>
          <w:i/>
          <w:sz w:val="22"/>
          <w:szCs w:val="22"/>
        </w:rPr>
        <w:t>te.</w:t>
      </w:r>
    </w:p>
    <w:p w:rsidR="00840446" w:rsidRPr="00B7326D" w:rsidRDefault="00840446" w:rsidP="00B7326D">
      <w:pPr>
        <w:pStyle w:val="Cuerpodeltexto0"/>
        <w:shd w:val="clear" w:color="auto" w:fill="auto"/>
        <w:tabs>
          <w:tab w:val="left" w:pos="8505"/>
        </w:tabs>
        <w:spacing w:after="237" w:line="240" w:lineRule="exact"/>
        <w:ind w:left="567" w:right="567"/>
        <w:rPr>
          <w:rFonts w:ascii="Verdana" w:hAnsi="Verdana"/>
          <w:i/>
          <w:sz w:val="22"/>
          <w:szCs w:val="22"/>
        </w:rPr>
      </w:pPr>
      <w:r w:rsidRPr="00B7326D">
        <w:rPr>
          <w:rFonts w:ascii="Verdana" w:hAnsi="Verdana"/>
          <w:i/>
          <w:sz w:val="22"/>
          <w:szCs w:val="22"/>
        </w:rPr>
        <w:t>QUINTO: Ordenar el tratam</w:t>
      </w:r>
      <w:r w:rsidR="002D14EB" w:rsidRPr="00B7326D">
        <w:rPr>
          <w:rFonts w:ascii="Verdana" w:hAnsi="Verdana"/>
          <w:i/>
          <w:sz w:val="22"/>
          <w:szCs w:val="22"/>
        </w:rPr>
        <w:t>iento integral al señor JOSÉ EDI</w:t>
      </w:r>
      <w:r w:rsidRPr="00B7326D">
        <w:rPr>
          <w:rFonts w:ascii="Verdana" w:hAnsi="Verdana"/>
          <w:i/>
          <w:sz w:val="22"/>
          <w:szCs w:val="22"/>
        </w:rPr>
        <w:t xml:space="preserve">ER CARMONA CEBALLOS de todo lo requerido para paliar las patologías </w:t>
      </w:r>
      <w:r w:rsidRPr="00B7326D">
        <w:rPr>
          <w:rFonts w:ascii="Verdana" w:hAnsi="Verdana"/>
          <w:i/>
          <w:sz w:val="22"/>
          <w:szCs w:val="22"/>
        </w:rPr>
        <w:lastRenderedPageBreak/>
        <w:t>que presenta</w:t>
      </w:r>
      <w:r w:rsidR="002D14EB" w:rsidRPr="00B7326D">
        <w:rPr>
          <w:rFonts w:ascii="Verdana" w:hAnsi="Verdana"/>
          <w:i/>
          <w:sz w:val="22"/>
          <w:szCs w:val="22"/>
        </w:rPr>
        <w:t>, es decir; quiste renal simple iz</w:t>
      </w:r>
      <w:r w:rsidRPr="00B7326D">
        <w:rPr>
          <w:rFonts w:ascii="Verdana" w:hAnsi="Verdana"/>
          <w:i/>
          <w:sz w:val="22"/>
          <w:szCs w:val="22"/>
        </w:rPr>
        <w:t>quierdo, adenomeg</w:t>
      </w:r>
      <w:r w:rsidR="00AE76A5" w:rsidRPr="00B7326D">
        <w:rPr>
          <w:rFonts w:ascii="Verdana" w:hAnsi="Verdana"/>
          <w:i/>
          <w:sz w:val="22"/>
          <w:szCs w:val="22"/>
        </w:rPr>
        <w:t>alias en espacio espinal</w:t>
      </w:r>
      <w:r w:rsidRPr="00B7326D">
        <w:rPr>
          <w:rFonts w:ascii="Verdana" w:hAnsi="Verdana"/>
          <w:i/>
          <w:sz w:val="22"/>
          <w:szCs w:val="22"/>
        </w:rPr>
        <w:t xml:space="preserve"> accesoria en forma bilateral y síndrome de </w:t>
      </w:r>
      <w:r w:rsidR="00AE76A5" w:rsidRPr="00B7326D">
        <w:rPr>
          <w:rFonts w:ascii="Verdana" w:hAnsi="Verdana"/>
          <w:i/>
          <w:sz w:val="22"/>
          <w:szCs w:val="22"/>
        </w:rPr>
        <w:t>Gilles de la Tourette</w:t>
      </w:r>
      <w:r w:rsidRPr="00B7326D">
        <w:rPr>
          <w:rFonts w:ascii="Verdana" w:hAnsi="Verdana"/>
          <w:i/>
          <w:sz w:val="22"/>
          <w:szCs w:val="22"/>
        </w:rPr>
        <w:t>, la cuales sean prescritas por los espe</w:t>
      </w:r>
      <w:r w:rsidR="00AE76A5" w:rsidRPr="00B7326D">
        <w:rPr>
          <w:rFonts w:ascii="Verdana" w:hAnsi="Verdana"/>
          <w:i/>
          <w:sz w:val="22"/>
          <w:szCs w:val="22"/>
        </w:rPr>
        <w:t>cialistas en salud adscritos a l</w:t>
      </w:r>
      <w:r w:rsidRPr="00B7326D">
        <w:rPr>
          <w:rFonts w:ascii="Verdana" w:hAnsi="Verdana"/>
          <w:i/>
          <w:sz w:val="22"/>
          <w:szCs w:val="22"/>
        </w:rPr>
        <w:t>a entidad esto es, medicamentos, tratamientos, cirugías, RX, valoraciones ya sea que se encuentre por fuera del servicio de beneficios POS.</w:t>
      </w:r>
    </w:p>
    <w:p w:rsidR="00840446" w:rsidRPr="00B7326D" w:rsidRDefault="00840446" w:rsidP="00B7326D">
      <w:pPr>
        <w:pStyle w:val="Cuerpodeltexto0"/>
        <w:shd w:val="clear" w:color="auto" w:fill="auto"/>
        <w:tabs>
          <w:tab w:val="left" w:pos="8505"/>
        </w:tabs>
        <w:spacing w:after="243" w:line="240" w:lineRule="exact"/>
        <w:ind w:left="567" w:right="567"/>
        <w:rPr>
          <w:rFonts w:ascii="Verdana" w:hAnsi="Verdana"/>
          <w:i/>
          <w:sz w:val="22"/>
          <w:szCs w:val="22"/>
        </w:rPr>
      </w:pPr>
      <w:r w:rsidRPr="00B7326D">
        <w:rPr>
          <w:rFonts w:ascii="Verdana" w:hAnsi="Verdana"/>
          <w:i/>
          <w:sz w:val="22"/>
          <w:szCs w:val="22"/>
        </w:rPr>
        <w:t xml:space="preserve">SEXTO: Se ordena a CAPRECOM EPSS el cubrimiento por concepto de transporte y demás prestaciones (alojamiento, alimentación) con un acompañante </w:t>
      </w:r>
      <w:r w:rsidR="00AE76A5" w:rsidRPr="00B7326D">
        <w:rPr>
          <w:rFonts w:ascii="Verdana" w:hAnsi="Verdana"/>
          <w:i/>
          <w:sz w:val="22"/>
          <w:szCs w:val="22"/>
        </w:rPr>
        <w:t>para</w:t>
      </w:r>
      <w:r w:rsidRPr="00B7326D">
        <w:rPr>
          <w:rFonts w:ascii="Verdana" w:hAnsi="Verdana"/>
          <w:i/>
          <w:sz w:val="22"/>
          <w:szCs w:val="22"/>
        </w:rPr>
        <w:t xml:space="preserve"> as</w:t>
      </w:r>
      <w:r w:rsidR="00AE76A5" w:rsidRPr="00B7326D">
        <w:rPr>
          <w:rFonts w:ascii="Verdana" w:hAnsi="Verdana"/>
          <w:i/>
          <w:sz w:val="22"/>
          <w:szCs w:val="22"/>
        </w:rPr>
        <w:t>istir a los procedimientos y valoraciones</w:t>
      </w:r>
      <w:r w:rsidRPr="00B7326D">
        <w:rPr>
          <w:rFonts w:ascii="Verdana" w:hAnsi="Verdana"/>
          <w:i/>
          <w:sz w:val="22"/>
          <w:szCs w:val="22"/>
        </w:rPr>
        <w:t xml:space="preserve"> de </w:t>
      </w:r>
      <w:r w:rsidR="00AE76A5" w:rsidRPr="00B7326D">
        <w:rPr>
          <w:rFonts w:ascii="Verdana" w:hAnsi="Verdana"/>
          <w:i/>
          <w:sz w:val="22"/>
          <w:szCs w:val="22"/>
        </w:rPr>
        <w:t>las patologías relacionadas en l</w:t>
      </w:r>
      <w:r w:rsidRPr="00B7326D">
        <w:rPr>
          <w:rFonts w:ascii="Verdana" w:hAnsi="Verdana"/>
          <w:i/>
          <w:sz w:val="22"/>
          <w:szCs w:val="22"/>
        </w:rPr>
        <w:t>os numerales anteriores cuando se requieran por parte de la Prestadora y no se ofrezcan en el lugar de su residencia en la ciudad de Santa Rosa de Cabal</w:t>
      </w:r>
      <w:r w:rsidR="00AE76A5" w:rsidRPr="00B7326D">
        <w:rPr>
          <w:rFonts w:ascii="Verdana" w:hAnsi="Verdana"/>
          <w:i/>
          <w:sz w:val="22"/>
          <w:szCs w:val="22"/>
        </w:rPr>
        <w:t>”</w:t>
      </w:r>
      <w:r w:rsidR="00B7326D" w:rsidRPr="00B7326D">
        <w:rPr>
          <w:rFonts w:ascii="Verdana" w:hAnsi="Verdana"/>
          <w:i/>
          <w:sz w:val="22"/>
          <w:szCs w:val="22"/>
        </w:rPr>
        <w:t>.</w:t>
      </w:r>
    </w:p>
    <w:p w:rsidR="00626FC1" w:rsidRPr="00626FC1" w:rsidRDefault="00626FC1" w:rsidP="00626FC1">
      <w:pPr>
        <w:pStyle w:val="Cuerpodeltexto0"/>
        <w:shd w:val="clear" w:color="auto" w:fill="auto"/>
        <w:tabs>
          <w:tab w:val="left" w:pos="8505"/>
        </w:tabs>
        <w:spacing w:after="0" w:line="240" w:lineRule="exact"/>
        <w:ind w:left="567" w:right="567"/>
        <w:rPr>
          <w:rFonts w:ascii="Verdana" w:hAnsi="Verdana"/>
          <w:i/>
          <w:sz w:val="23"/>
          <w:szCs w:val="23"/>
        </w:rPr>
      </w:pPr>
    </w:p>
    <w:p w:rsidR="00CF42F1" w:rsidRDefault="00626FC1" w:rsidP="00B7326D">
      <w:pPr>
        <w:pStyle w:val="Textoindependiente"/>
        <w:spacing w:line="336" w:lineRule="auto"/>
        <w:jc w:val="both"/>
        <w:rPr>
          <w:rFonts w:ascii="Verdana" w:hAnsi="Verdana" w:cs="Arial"/>
          <w:sz w:val="26"/>
          <w:szCs w:val="26"/>
        </w:rPr>
      </w:pPr>
      <w:r>
        <w:rPr>
          <w:rFonts w:ascii="Verdana" w:hAnsi="Verdana" w:cs="Arial"/>
          <w:sz w:val="26"/>
          <w:szCs w:val="26"/>
        </w:rPr>
        <w:t>A pesar de lo anterior, e</w:t>
      </w:r>
      <w:r w:rsidR="004B14B2">
        <w:rPr>
          <w:rFonts w:ascii="Verdana" w:hAnsi="Verdana" w:cs="Arial"/>
          <w:sz w:val="26"/>
          <w:szCs w:val="26"/>
        </w:rPr>
        <w:t>l 11 de Abril</w:t>
      </w:r>
      <w:r w:rsidR="00C83CD0">
        <w:rPr>
          <w:rFonts w:ascii="Verdana" w:hAnsi="Verdana" w:cs="Arial"/>
          <w:sz w:val="26"/>
          <w:szCs w:val="26"/>
        </w:rPr>
        <w:t xml:space="preserve"> d</w:t>
      </w:r>
      <w:r>
        <w:rPr>
          <w:rFonts w:ascii="Verdana" w:hAnsi="Verdana" w:cs="Arial"/>
          <w:sz w:val="26"/>
          <w:szCs w:val="26"/>
        </w:rPr>
        <w:t>e</w:t>
      </w:r>
      <w:r w:rsidR="004B14B2">
        <w:rPr>
          <w:rFonts w:ascii="Verdana" w:hAnsi="Verdana" w:cs="Arial"/>
          <w:sz w:val="26"/>
          <w:szCs w:val="26"/>
        </w:rPr>
        <w:t xml:space="preserve"> 201</w:t>
      </w:r>
      <w:r w:rsidR="00230BBF">
        <w:rPr>
          <w:rFonts w:ascii="Verdana" w:hAnsi="Verdana" w:cs="Arial"/>
          <w:sz w:val="26"/>
          <w:szCs w:val="26"/>
        </w:rPr>
        <w:t>6</w:t>
      </w:r>
      <w:r w:rsidR="004B14B2">
        <w:rPr>
          <w:rFonts w:ascii="Verdana" w:hAnsi="Verdana" w:cs="Arial"/>
          <w:sz w:val="26"/>
          <w:szCs w:val="26"/>
        </w:rPr>
        <w:t xml:space="preserve"> la Sra. LETICIA DEL PILAR ALZATE TOVAR</w:t>
      </w:r>
      <w:r>
        <w:rPr>
          <w:rFonts w:ascii="Verdana" w:hAnsi="Verdana" w:cs="Arial"/>
          <w:sz w:val="26"/>
          <w:szCs w:val="26"/>
        </w:rPr>
        <w:t>,</w:t>
      </w:r>
      <w:r w:rsidR="004B14B2">
        <w:rPr>
          <w:rFonts w:ascii="Verdana" w:hAnsi="Verdana" w:cs="Arial"/>
          <w:sz w:val="26"/>
          <w:szCs w:val="26"/>
        </w:rPr>
        <w:t xml:space="preserve"> </w:t>
      </w:r>
      <w:r w:rsidR="00230BBF">
        <w:rPr>
          <w:rFonts w:ascii="Verdana" w:hAnsi="Verdana" w:cs="Arial"/>
          <w:sz w:val="26"/>
          <w:szCs w:val="26"/>
        </w:rPr>
        <w:t>agente oficiosa del Sr. JOSÉ</w:t>
      </w:r>
      <w:r w:rsidR="004B14B2">
        <w:rPr>
          <w:rFonts w:ascii="Verdana" w:hAnsi="Verdana" w:cs="Arial"/>
          <w:sz w:val="26"/>
          <w:szCs w:val="26"/>
        </w:rPr>
        <w:t xml:space="preserve"> EDIER</w:t>
      </w:r>
      <w:r w:rsidR="00623129">
        <w:rPr>
          <w:rFonts w:ascii="Verdana" w:hAnsi="Verdana" w:cs="Arial"/>
          <w:sz w:val="26"/>
          <w:szCs w:val="26"/>
        </w:rPr>
        <w:t>,</w:t>
      </w:r>
      <w:r w:rsidR="004B14B2">
        <w:rPr>
          <w:rFonts w:ascii="Verdana" w:hAnsi="Verdana" w:cs="Arial"/>
          <w:sz w:val="26"/>
          <w:szCs w:val="26"/>
        </w:rPr>
        <w:t xml:space="preserve"> </w:t>
      </w:r>
      <w:r w:rsidR="00A50846">
        <w:rPr>
          <w:rFonts w:ascii="Verdana" w:hAnsi="Verdana" w:cs="Arial"/>
          <w:sz w:val="26"/>
          <w:szCs w:val="26"/>
        </w:rPr>
        <w:t xml:space="preserve">allegó </w:t>
      </w:r>
      <w:r w:rsidR="00623129">
        <w:rPr>
          <w:rFonts w:ascii="Verdana" w:hAnsi="Verdana" w:cs="Arial"/>
          <w:sz w:val="26"/>
          <w:szCs w:val="26"/>
        </w:rPr>
        <w:t xml:space="preserve">al Despacho de conocimiento un </w:t>
      </w:r>
      <w:r w:rsidR="00A50846">
        <w:rPr>
          <w:rFonts w:ascii="Verdana" w:hAnsi="Verdana" w:cs="Arial"/>
          <w:sz w:val="26"/>
          <w:szCs w:val="26"/>
        </w:rPr>
        <w:t xml:space="preserve">escrito solicitando </w:t>
      </w:r>
      <w:r w:rsidR="00230BBF">
        <w:rPr>
          <w:rFonts w:ascii="Verdana" w:hAnsi="Verdana" w:cs="Arial"/>
          <w:sz w:val="26"/>
          <w:szCs w:val="26"/>
        </w:rPr>
        <w:t>iniciar un</w:t>
      </w:r>
      <w:r w:rsidR="00A50846">
        <w:rPr>
          <w:rFonts w:ascii="Verdana" w:hAnsi="Verdana" w:cs="Arial"/>
          <w:sz w:val="26"/>
          <w:szCs w:val="26"/>
        </w:rPr>
        <w:t xml:space="preserve"> </w:t>
      </w:r>
      <w:r w:rsidR="00230BBF">
        <w:rPr>
          <w:rFonts w:ascii="Verdana" w:hAnsi="Verdana" w:cs="Arial"/>
          <w:sz w:val="26"/>
          <w:szCs w:val="26"/>
        </w:rPr>
        <w:t>i</w:t>
      </w:r>
      <w:r w:rsidR="00A50846">
        <w:rPr>
          <w:rFonts w:ascii="Verdana" w:hAnsi="Verdana" w:cs="Arial"/>
          <w:sz w:val="26"/>
          <w:szCs w:val="26"/>
        </w:rPr>
        <w:t xml:space="preserve">ncidente de </w:t>
      </w:r>
      <w:r w:rsidR="00230BBF">
        <w:rPr>
          <w:rFonts w:ascii="Verdana" w:hAnsi="Verdana" w:cs="Arial"/>
          <w:sz w:val="26"/>
          <w:szCs w:val="26"/>
        </w:rPr>
        <w:t>d</w:t>
      </w:r>
      <w:r w:rsidR="00A50846">
        <w:rPr>
          <w:rFonts w:ascii="Verdana" w:hAnsi="Verdana" w:cs="Arial"/>
          <w:sz w:val="26"/>
          <w:szCs w:val="26"/>
        </w:rPr>
        <w:t>esacato</w:t>
      </w:r>
      <w:r w:rsidR="004B14B2">
        <w:rPr>
          <w:rFonts w:ascii="Verdana" w:hAnsi="Verdana" w:cs="Arial"/>
          <w:sz w:val="26"/>
          <w:szCs w:val="26"/>
        </w:rPr>
        <w:t xml:space="preserve"> en contra de</w:t>
      </w:r>
      <w:r w:rsidR="00623129">
        <w:rPr>
          <w:rFonts w:ascii="Verdana" w:hAnsi="Verdana" w:cs="Arial"/>
          <w:sz w:val="26"/>
          <w:szCs w:val="26"/>
        </w:rPr>
        <w:t>l Consorcio Fondo de Atención en Salud PPL</w:t>
      </w:r>
      <w:r w:rsidR="00A50846">
        <w:rPr>
          <w:rFonts w:ascii="Verdana" w:hAnsi="Verdana" w:cs="Arial"/>
          <w:sz w:val="26"/>
          <w:szCs w:val="26"/>
        </w:rPr>
        <w:t xml:space="preserve">, por cuanto </w:t>
      </w:r>
      <w:r w:rsidR="00623129">
        <w:rPr>
          <w:rFonts w:ascii="Verdana" w:hAnsi="Verdana" w:cs="Arial"/>
          <w:sz w:val="26"/>
          <w:szCs w:val="26"/>
        </w:rPr>
        <w:t xml:space="preserve">éste </w:t>
      </w:r>
      <w:r w:rsidR="004B14B2">
        <w:rPr>
          <w:rFonts w:ascii="Verdana" w:hAnsi="Verdana" w:cs="Arial"/>
          <w:sz w:val="26"/>
          <w:szCs w:val="26"/>
        </w:rPr>
        <w:t xml:space="preserve">se ha abstenido de suministrar los medicamentos: </w:t>
      </w:r>
      <w:r w:rsidR="00623129">
        <w:rPr>
          <w:rFonts w:ascii="Verdana" w:hAnsi="Verdana" w:cs="Arial"/>
          <w:sz w:val="26"/>
          <w:szCs w:val="26"/>
        </w:rPr>
        <w:t>LANSOPRASOL</w:t>
      </w:r>
      <w:r w:rsidR="005E24C9">
        <w:rPr>
          <w:rFonts w:ascii="Verdana" w:hAnsi="Verdana" w:cs="Arial"/>
          <w:sz w:val="26"/>
          <w:szCs w:val="26"/>
        </w:rPr>
        <w:t xml:space="preserve"> 30MG</w:t>
      </w:r>
      <w:r w:rsidR="004B14B2">
        <w:rPr>
          <w:rFonts w:ascii="Verdana" w:hAnsi="Verdana" w:cs="Arial"/>
          <w:sz w:val="26"/>
          <w:szCs w:val="26"/>
        </w:rPr>
        <w:t xml:space="preserve">, </w:t>
      </w:r>
      <w:r w:rsidR="00623129">
        <w:rPr>
          <w:rFonts w:ascii="Verdana" w:hAnsi="Verdana" w:cs="Arial"/>
          <w:sz w:val="26"/>
          <w:szCs w:val="26"/>
        </w:rPr>
        <w:t xml:space="preserve">BROMURO DE OTILONIO TAB </w:t>
      </w:r>
      <w:r w:rsidR="005E24C9">
        <w:rPr>
          <w:rFonts w:ascii="Verdana" w:hAnsi="Verdana" w:cs="Arial"/>
          <w:sz w:val="26"/>
          <w:szCs w:val="26"/>
        </w:rPr>
        <w:t xml:space="preserve">30MG, </w:t>
      </w:r>
      <w:r w:rsidR="00623129">
        <w:rPr>
          <w:rFonts w:ascii="Verdana" w:hAnsi="Verdana" w:cs="Arial"/>
          <w:sz w:val="26"/>
          <w:szCs w:val="26"/>
        </w:rPr>
        <w:t>PREDNISOLONA AL 1% MAS FENILEFRINA AL 0,12%, HALOPERIDOL 2MG (0,2%) SOLUCIÓN ORAL</w:t>
      </w:r>
      <w:r w:rsidR="002222EC">
        <w:rPr>
          <w:rFonts w:ascii="Verdana" w:hAnsi="Verdana" w:cs="Arial"/>
          <w:sz w:val="26"/>
          <w:szCs w:val="26"/>
        </w:rPr>
        <w:t>. Tampoco se realizaron</w:t>
      </w:r>
      <w:r w:rsidR="00707B72">
        <w:rPr>
          <w:rFonts w:ascii="Verdana" w:hAnsi="Verdana" w:cs="Arial"/>
          <w:sz w:val="26"/>
          <w:szCs w:val="26"/>
        </w:rPr>
        <w:t xml:space="preserve"> los</w:t>
      </w:r>
      <w:r w:rsidR="005E24C9">
        <w:rPr>
          <w:rFonts w:ascii="Verdana" w:hAnsi="Verdana" w:cs="Arial"/>
          <w:sz w:val="26"/>
          <w:szCs w:val="26"/>
        </w:rPr>
        <w:t xml:space="preserve"> control</w:t>
      </w:r>
      <w:r w:rsidR="00707B72">
        <w:rPr>
          <w:rFonts w:ascii="Verdana" w:hAnsi="Verdana" w:cs="Arial"/>
          <w:sz w:val="26"/>
          <w:szCs w:val="26"/>
        </w:rPr>
        <w:t>es</w:t>
      </w:r>
      <w:r w:rsidR="005E24C9">
        <w:rPr>
          <w:rFonts w:ascii="Verdana" w:hAnsi="Verdana" w:cs="Arial"/>
          <w:sz w:val="26"/>
          <w:szCs w:val="26"/>
        </w:rPr>
        <w:t xml:space="preserve"> con el </w:t>
      </w:r>
      <w:r w:rsidR="002222EC">
        <w:rPr>
          <w:rFonts w:ascii="Verdana" w:hAnsi="Verdana" w:cs="Arial"/>
          <w:sz w:val="26"/>
          <w:szCs w:val="26"/>
        </w:rPr>
        <w:t>neurólogo</w:t>
      </w:r>
      <w:r w:rsidR="005E24C9">
        <w:rPr>
          <w:rFonts w:ascii="Verdana" w:hAnsi="Verdana" w:cs="Arial"/>
          <w:sz w:val="26"/>
          <w:szCs w:val="26"/>
        </w:rPr>
        <w:t xml:space="preserve"> para la aplicación de la botulínica</w:t>
      </w:r>
      <w:r w:rsidR="00707B72">
        <w:rPr>
          <w:rFonts w:ascii="Verdana" w:hAnsi="Verdana" w:cs="Arial"/>
          <w:sz w:val="26"/>
          <w:szCs w:val="26"/>
        </w:rPr>
        <w:t xml:space="preserve">, control de la ALT por la enfermedad de Wilson, control con el gastroenterólogo, el cirujano y </w:t>
      </w:r>
      <w:r w:rsidR="006C5BBC">
        <w:rPr>
          <w:rFonts w:ascii="Verdana" w:hAnsi="Verdana" w:cs="Arial"/>
          <w:sz w:val="26"/>
          <w:szCs w:val="26"/>
        </w:rPr>
        <w:t>el</w:t>
      </w:r>
      <w:r w:rsidR="00707B72">
        <w:rPr>
          <w:rFonts w:ascii="Verdana" w:hAnsi="Verdana" w:cs="Arial"/>
          <w:sz w:val="26"/>
          <w:szCs w:val="26"/>
        </w:rPr>
        <w:t xml:space="preserve"> nutricionista.</w:t>
      </w:r>
      <w:r w:rsidR="00E822F1">
        <w:rPr>
          <w:rFonts w:ascii="Verdana" w:hAnsi="Verdana" w:cs="Arial"/>
          <w:sz w:val="26"/>
          <w:szCs w:val="26"/>
        </w:rPr>
        <w:t xml:space="preserve"> </w:t>
      </w:r>
    </w:p>
    <w:p w:rsidR="00CF42F1" w:rsidRDefault="00CF42F1" w:rsidP="00B7326D">
      <w:pPr>
        <w:pStyle w:val="Textoindependiente"/>
        <w:spacing w:line="276" w:lineRule="auto"/>
        <w:jc w:val="both"/>
        <w:rPr>
          <w:rFonts w:ascii="Verdana" w:hAnsi="Verdana" w:cs="Arial"/>
          <w:sz w:val="26"/>
          <w:szCs w:val="26"/>
        </w:rPr>
      </w:pPr>
    </w:p>
    <w:p w:rsidR="00ED1FE7" w:rsidRDefault="00CF42F1" w:rsidP="00B7326D">
      <w:pPr>
        <w:pStyle w:val="Textoindependiente"/>
        <w:spacing w:line="336" w:lineRule="auto"/>
        <w:jc w:val="both"/>
        <w:rPr>
          <w:rFonts w:ascii="Verdana" w:hAnsi="Verdana" w:cs="Arial"/>
          <w:sz w:val="26"/>
          <w:szCs w:val="26"/>
        </w:rPr>
      </w:pPr>
      <w:r>
        <w:rPr>
          <w:rFonts w:ascii="Verdana" w:hAnsi="Verdana" w:cs="Arial"/>
          <w:sz w:val="26"/>
          <w:szCs w:val="26"/>
        </w:rPr>
        <w:t xml:space="preserve">En vista de lo anterior, </w:t>
      </w:r>
      <w:r w:rsidR="00546373" w:rsidRPr="00F70EE0">
        <w:rPr>
          <w:rFonts w:ascii="Verdana" w:hAnsi="Verdana" w:cs="Arial"/>
          <w:sz w:val="26"/>
          <w:szCs w:val="26"/>
        </w:rPr>
        <w:t>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procedió</w:t>
      </w:r>
      <w:r w:rsidR="009B7C5D">
        <w:rPr>
          <w:rFonts w:ascii="Verdana" w:hAnsi="Verdana" w:cs="Arial"/>
          <w:sz w:val="26"/>
          <w:szCs w:val="26"/>
        </w:rPr>
        <w:t xml:space="preserve"> en la misma fecha</w:t>
      </w:r>
      <w:r w:rsidR="00E25BC5">
        <w:rPr>
          <w:rFonts w:ascii="Verdana" w:hAnsi="Verdana" w:cs="Arial"/>
          <w:sz w:val="26"/>
          <w:szCs w:val="26"/>
        </w:rPr>
        <w:t xml:space="preserve"> </w:t>
      </w:r>
      <w:r w:rsidR="00EA442E">
        <w:rPr>
          <w:rFonts w:ascii="Verdana" w:hAnsi="Verdana" w:cs="Arial"/>
          <w:sz w:val="26"/>
          <w:szCs w:val="26"/>
        </w:rPr>
        <w:t>a emitir Requerimiento Previo de Desacato</w:t>
      </w:r>
      <w:r w:rsidR="009B7C5D">
        <w:rPr>
          <w:rFonts w:ascii="Verdana" w:hAnsi="Verdana" w:cs="Arial"/>
          <w:sz w:val="26"/>
          <w:szCs w:val="26"/>
        </w:rPr>
        <w:t xml:space="preserve">, en contra el Consorcio Fondo en Atención en Salud para la PPL, </w:t>
      </w:r>
      <w:r w:rsidR="00FD3775">
        <w:rPr>
          <w:rFonts w:ascii="Verdana" w:hAnsi="Verdana" w:cs="Arial"/>
          <w:sz w:val="26"/>
          <w:szCs w:val="26"/>
        </w:rPr>
        <w:t xml:space="preserve">con la finalidad de </w:t>
      </w:r>
      <w:r w:rsidR="008865DB">
        <w:rPr>
          <w:rFonts w:ascii="Verdana" w:hAnsi="Verdana" w:cs="Arial"/>
          <w:sz w:val="26"/>
          <w:szCs w:val="26"/>
        </w:rPr>
        <w:t>que diese efectivo cumplimiento al fallo de tutela r</w:t>
      </w:r>
      <w:r w:rsidR="002165B0">
        <w:rPr>
          <w:rFonts w:ascii="Verdana" w:hAnsi="Verdana" w:cs="Arial"/>
          <w:sz w:val="26"/>
          <w:szCs w:val="26"/>
        </w:rPr>
        <w:t>eferido</w:t>
      </w:r>
      <w:r w:rsidR="008865DB">
        <w:rPr>
          <w:rFonts w:ascii="Verdana" w:hAnsi="Verdana" w:cs="Arial"/>
          <w:sz w:val="26"/>
          <w:szCs w:val="26"/>
        </w:rPr>
        <w:t>.</w:t>
      </w:r>
    </w:p>
    <w:p w:rsidR="008865DB" w:rsidRDefault="008865DB" w:rsidP="00B7326D">
      <w:pPr>
        <w:pStyle w:val="Textoindependiente"/>
        <w:spacing w:line="276" w:lineRule="auto"/>
        <w:jc w:val="both"/>
        <w:rPr>
          <w:rFonts w:ascii="Verdana" w:hAnsi="Verdana" w:cs="Arial"/>
          <w:sz w:val="26"/>
          <w:szCs w:val="26"/>
        </w:rPr>
      </w:pPr>
    </w:p>
    <w:p w:rsidR="0002742D" w:rsidRDefault="00917B48"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El 22 de Abril del 2016 </w:t>
      </w:r>
      <w:r w:rsidR="00F628A9">
        <w:rPr>
          <w:rFonts w:ascii="Verdana" w:hAnsi="Verdana" w:cs="Arial"/>
          <w:sz w:val="26"/>
          <w:szCs w:val="26"/>
        </w:rPr>
        <w:t xml:space="preserve">se </w:t>
      </w:r>
      <w:r w:rsidR="0002742D">
        <w:rPr>
          <w:rFonts w:ascii="Verdana" w:hAnsi="Verdana" w:cs="Arial"/>
          <w:sz w:val="26"/>
          <w:szCs w:val="26"/>
        </w:rPr>
        <w:t xml:space="preserve">dispuso </w:t>
      </w:r>
      <w:r w:rsidR="00F628A9">
        <w:rPr>
          <w:rFonts w:ascii="Verdana" w:hAnsi="Verdana" w:cs="Arial"/>
          <w:sz w:val="26"/>
          <w:szCs w:val="26"/>
        </w:rPr>
        <w:t>la Apertura del</w:t>
      </w:r>
      <w:r w:rsidR="0002742D">
        <w:rPr>
          <w:rFonts w:ascii="Verdana" w:hAnsi="Verdana" w:cs="Arial"/>
          <w:sz w:val="26"/>
          <w:szCs w:val="26"/>
        </w:rPr>
        <w:t xml:space="preserve"> Incidente de Desacato en contra del</w:t>
      </w:r>
      <w:r w:rsidR="008865DB">
        <w:rPr>
          <w:rFonts w:ascii="Verdana" w:hAnsi="Verdana" w:cs="Arial"/>
          <w:sz w:val="26"/>
          <w:szCs w:val="26"/>
        </w:rPr>
        <w:t xml:space="preserve"> Dr. </w:t>
      </w:r>
      <w:r w:rsidR="0002742D">
        <w:rPr>
          <w:rFonts w:ascii="Verdana" w:hAnsi="Verdana" w:cs="Arial"/>
          <w:sz w:val="26"/>
          <w:szCs w:val="26"/>
        </w:rPr>
        <w:t>ERLES EDGARDO ESPINOSA</w:t>
      </w:r>
      <w:r w:rsidR="008865DB">
        <w:rPr>
          <w:rFonts w:ascii="Verdana" w:hAnsi="Verdana" w:cs="Arial"/>
          <w:sz w:val="26"/>
          <w:szCs w:val="26"/>
        </w:rPr>
        <w:t xml:space="preserve"> en su calidad de </w:t>
      </w:r>
      <w:r w:rsidR="0002742D">
        <w:rPr>
          <w:rFonts w:ascii="Verdana" w:hAnsi="Verdana" w:cs="Arial"/>
          <w:sz w:val="26"/>
          <w:szCs w:val="26"/>
        </w:rPr>
        <w:t>Representante</w:t>
      </w:r>
      <w:r w:rsidR="005813E5">
        <w:rPr>
          <w:rFonts w:ascii="Verdana" w:hAnsi="Verdana" w:cs="Arial"/>
          <w:sz w:val="26"/>
          <w:szCs w:val="26"/>
        </w:rPr>
        <w:t xml:space="preserve"> del Fondo de Atención en Salud para la PPL,</w:t>
      </w:r>
      <w:r w:rsidR="0002742D">
        <w:rPr>
          <w:rFonts w:ascii="Verdana" w:hAnsi="Verdana" w:cs="Arial"/>
          <w:sz w:val="26"/>
          <w:szCs w:val="26"/>
        </w:rPr>
        <w:t xml:space="preserve"> y de su superior jerárquico, Dr. MAURICIO IREGUI TARQUINO</w:t>
      </w:r>
      <w:r w:rsidR="00EB04F9">
        <w:rPr>
          <w:rFonts w:ascii="Verdana" w:hAnsi="Verdana" w:cs="Arial"/>
          <w:sz w:val="26"/>
          <w:szCs w:val="26"/>
        </w:rPr>
        <w:t>,</w:t>
      </w:r>
      <w:r w:rsidR="008865DB">
        <w:rPr>
          <w:rFonts w:ascii="Verdana" w:hAnsi="Verdana" w:cs="Arial"/>
          <w:sz w:val="26"/>
          <w:szCs w:val="26"/>
        </w:rPr>
        <w:t xml:space="preserve"> </w:t>
      </w:r>
      <w:r w:rsidR="0002742D">
        <w:rPr>
          <w:rFonts w:ascii="Verdana" w:hAnsi="Verdana" w:cs="Arial"/>
          <w:sz w:val="26"/>
          <w:szCs w:val="26"/>
        </w:rPr>
        <w:t>Gerente</w:t>
      </w:r>
      <w:r w:rsidR="00C9445E">
        <w:rPr>
          <w:rFonts w:ascii="Verdana" w:hAnsi="Verdana" w:cs="Arial"/>
          <w:sz w:val="26"/>
          <w:szCs w:val="26"/>
        </w:rPr>
        <w:t xml:space="preserve"> de dicha entidad. </w:t>
      </w:r>
    </w:p>
    <w:p w:rsidR="00661F0C" w:rsidRPr="00F70EE0" w:rsidRDefault="00661F0C" w:rsidP="00B7326D">
      <w:pPr>
        <w:pStyle w:val="Textoindependiente"/>
        <w:spacing w:line="276" w:lineRule="auto"/>
        <w:rPr>
          <w:rFonts w:ascii="Verdana" w:hAnsi="Verdana" w:cs="Arial"/>
          <w:sz w:val="26"/>
          <w:szCs w:val="26"/>
        </w:rPr>
      </w:pPr>
    </w:p>
    <w:p w:rsidR="0086319F" w:rsidRDefault="00661F0C" w:rsidP="00B7326D">
      <w:pPr>
        <w:pStyle w:val="Textoindependiente"/>
        <w:spacing w:line="324"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DE63DB">
        <w:rPr>
          <w:rFonts w:ascii="Verdana" w:hAnsi="Verdana" w:cs="Arial"/>
          <w:sz w:val="26"/>
          <w:szCs w:val="26"/>
        </w:rPr>
        <w:t>5</w:t>
      </w:r>
      <w:r w:rsidR="004A4C5B">
        <w:rPr>
          <w:rFonts w:ascii="Verdana" w:hAnsi="Verdana" w:cs="Arial"/>
          <w:sz w:val="26"/>
          <w:szCs w:val="26"/>
        </w:rPr>
        <w:t xml:space="preserve"> de </w:t>
      </w:r>
      <w:r w:rsidR="00DE63DB">
        <w:rPr>
          <w:rFonts w:ascii="Verdana" w:hAnsi="Verdana" w:cs="Arial"/>
          <w:sz w:val="26"/>
          <w:szCs w:val="26"/>
          <w:lang w:val="es-CO"/>
        </w:rPr>
        <w:t>Mayo</w:t>
      </w:r>
      <w:r w:rsidR="00C37264">
        <w:rPr>
          <w:rFonts w:ascii="Verdana" w:hAnsi="Verdana" w:cs="Arial"/>
          <w:sz w:val="26"/>
          <w:szCs w:val="26"/>
        </w:rPr>
        <w:t xml:space="preserve"> de 2</w:t>
      </w:r>
      <w:r w:rsidR="00960987">
        <w:rPr>
          <w:rFonts w:ascii="Verdana" w:hAnsi="Verdana" w:cs="Arial"/>
          <w:sz w:val="26"/>
          <w:szCs w:val="26"/>
        </w:rPr>
        <w:t>016</w:t>
      </w:r>
      <w:r w:rsidR="008159D1">
        <w:rPr>
          <w:rFonts w:ascii="Verdana" w:hAnsi="Verdana" w:cs="Arial"/>
          <w:sz w:val="26"/>
          <w:szCs w:val="26"/>
        </w:rPr>
        <w:t xml:space="preserve">, </w:t>
      </w:r>
      <w:r w:rsidR="001F739E">
        <w:rPr>
          <w:rFonts w:ascii="Verdana" w:hAnsi="Verdana" w:cs="Arial"/>
          <w:sz w:val="26"/>
          <w:szCs w:val="26"/>
        </w:rPr>
        <w:t>la</w:t>
      </w:r>
      <w:r w:rsidR="002B1E35">
        <w:rPr>
          <w:rFonts w:ascii="Verdana" w:hAnsi="Verdana" w:cs="Arial"/>
          <w:sz w:val="26"/>
          <w:szCs w:val="26"/>
        </w:rPr>
        <w:t xml:space="preserve"> </w:t>
      </w:r>
      <w:r w:rsidR="001F739E">
        <w:rPr>
          <w:rFonts w:ascii="Verdana" w:hAnsi="Verdana" w:cs="Arial"/>
          <w:sz w:val="26"/>
          <w:szCs w:val="26"/>
        </w:rPr>
        <w:t xml:space="preserve">Juez </w:t>
      </w:r>
      <w:r w:rsidR="002B1E35">
        <w:rPr>
          <w:rFonts w:ascii="Verdana" w:hAnsi="Verdana" w:cs="Arial"/>
          <w:sz w:val="26"/>
          <w:szCs w:val="26"/>
        </w:rPr>
        <w:t>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E8793D">
        <w:rPr>
          <w:rFonts w:ascii="Verdana" w:hAnsi="Verdana" w:cs="Arial"/>
          <w:sz w:val="26"/>
          <w:szCs w:val="26"/>
        </w:rPr>
        <w:t>un (1) SMLMV</w:t>
      </w:r>
      <w:r w:rsidRPr="00F70EE0">
        <w:rPr>
          <w:rFonts w:ascii="Verdana" w:hAnsi="Verdana" w:cs="Arial"/>
          <w:sz w:val="26"/>
          <w:szCs w:val="26"/>
        </w:rPr>
        <w:t>,</w:t>
      </w:r>
      <w:r w:rsidR="00EB3A12">
        <w:rPr>
          <w:rFonts w:ascii="Verdana" w:hAnsi="Verdana" w:cs="Arial"/>
          <w:sz w:val="26"/>
          <w:szCs w:val="26"/>
        </w:rPr>
        <w:t xml:space="preserve"> </w:t>
      </w:r>
      <w:r w:rsidR="00E8793D">
        <w:rPr>
          <w:rFonts w:ascii="Verdana" w:hAnsi="Verdana" w:cs="Arial"/>
          <w:sz w:val="26"/>
          <w:szCs w:val="26"/>
        </w:rPr>
        <w:t>a</w:t>
      </w:r>
      <w:r w:rsidR="00B30541">
        <w:rPr>
          <w:rFonts w:ascii="Verdana" w:hAnsi="Verdana" w:cs="Arial"/>
          <w:sz w:val="26"/>
          <w:szCs w:val="26"/>
        </w:rPr>
        <w:t xml:space="preserve"> ambos funcionarios,</w:t>
      </w:r>
      <w:r w:rsidR="00AB4F97">
        <w:rPr>
          <w:rFonts w:ascii="Verdana" w:hAnsi="Verdana" w:cs="Arial"/>
          <w:sz w:val="26"/>
          <w:szCs w:val="26"/>
        </w:rPr>
        <w:t xml:space="preserve"> por su desacato a la </w:t>
      </w:r>
      <w:r w:rsidR="00AB4F97">
        <w:rPr>
          <w:rFonts w:ascii="Verdana" w:hAnsi="Verdana" w:cs="Arial"/>
          <w:sz w:val="26"/>
          <w:szCs w:val="26"/>
        </w:rPr>
        <w:lastRenderedPageBreak/>
        <w:t>sen</w:t>
      </w:r>
      <w:r w:rsidR="008E5FC5">
        <w:rPr>
          <w:rFonts w:ascii="Verdana" w:hAnsi="Verdana" w:cs="Arial"/>
          <w:sz w:val="26"/>
          <w:szCs w:val="26"/>
        </w:rPr>
        <w:t>tencia de tutela proferida el 28 de Octu</w:t>
      </w:r>
      <w:r w:rsidR="00E8793D">
        <w:rPr>
          <w:rFonts w:ascii="Verdana" w:hAnsi="Verdana" w:cs="Arial"/>
          <w:sz w:val="26"/>
          <w:szCs w:val="26"/>
        </w:rPr>
        <w:t>bre 2014</w:t>
      </w:r>
      <w:r w:rsidR="004953A7">
        <w:rPr>
          <w:rFonts w:ascii="Verdana" w:hAnsi="Verdana" w:cs="Arial"/>
          <w:sz w:val="26"/>
          <w:szCs w:val="26"/>
        </w:rPr>
        <w:t>,</w:t>
      </w:r>
      <w:r w:rsidR="00AB4F97">
        <w:rPr>
          <w:rFonts w:ascii="Verdana" w:hAnsi="Verdana" w:cs="Arial"/>
          <w:sz w:val="26"/>
          <w:szCs w:val="26"/>
        </w:rPr>
        <w:t xml:space="preserve"> </w:t>
      </w:r>
      <w:r w:rsidRPr="00F70EE0">
        <w:rPr>
          <w:rFonts w:ascii="Verdana" w:hAnsi="Verdana" w:cs="Arial"/>
          <w:sz w:val="26"/>
          <w:szCs w:val="26"/>
        </w:rPr>
        <w:t>y ordenó la consulta de la decisión que hoy ocupa la atención de la Magistratura.</w:t>
      </w:r>
    </w:p>
    <w:p w:rsidR="00BF1C6F" w:rsidRDefault="00BF1C6F" w:rsidP="0086319F">
      <w:pPr>
        <w:pStyle w:val="Textoindependiente"/>
        <w:jc w:val="center"/>
        <w:rPr>
          <w:rFonts w:ascii="Verdana" w:hAnsi="Verdana" w:cs="Arial"/>
          <w:b/>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BF1C6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b/>
          <w:spacing w:val="-3"/>
          <w:sz w:val="26"/>
          <w:szCs w:val="26"/>
        </w:rPr>
      </w:pPr>
    </w:p>
    <w:p w:rsidR="00661F0C" w:rsidRPr="00F70EE0" w:rsidRDefault="00661F0C" w:rsidP="00B7326D">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24"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B7326D">
      <w:pPr>
        <w:widowControl w:val="0"/>
        <w:tabs>
          <w:tab w:val="left" w:pos="561"/>
        </w:tabs>
        <w:autoSpaceDE w:val="0"/>
        <w:autoSpaceDN w:val="0"/>
        <w:adjustRightInd w:val="0"/>
        <w:spacing w:line="276" w:lineRule="auto"/>
        <w:jc w:val="both"/>
        <w:rPr>
          <w:rFonts w:ascii="Verdana" w:hAnsi="Verdana" w:cs="Arial"/>
          <w:b/>
          <w:sz w:val="26"/>
          <w:szCs w:val="26"/>
        </w:rPr>
      </w:pPr>
    </w:p>
    <w:p w:rsidR="00661F0C" w:rsidRPr="00F70EE0" w:rsidRDefault="00661F0C" w:rsidP="001E0184">
      <w:pPr>
        <w:widowControl w:val="0"/>
        <w:tabs>
          <w:tab w:val="left" w:pos="561"/>
        </w:tabs>
        <w:autoSpaceDE w:val="0"/>
        <w:autoSpaceDN w:val="0"/>
        <w:adjustRightInd w:val="0"/>
        <w:spacing w:line="336"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661F0C" w:rsidRPr="00F70EE0" w:rsidRDefault="00661F0C" w:rsidP="00B7326D">
      <w:pPr>
        <w:pStyle w:val="Puesto1"/>
        <w:spacing w:line="276" w:lineRule="auto"/>
        <w:jc w:val="left"/>
        <w:rPr>
          <w:rFonts w:ascii="Verdana" w:hAnsi="Verdana" w:cs="Arial"/>
          <w:sz w:val="26"/>
          <w:szCs w:val="26"/>
        </w:rPr>
      </w:pPr>
    </w:p>
    <w:p w:rsidR="00661F0C" w:rsidRPr="00F70EE0" w:rsidRDefault="001A32FC" w:rsidP="001E0184">
      <w:pPr>
        <w:spacing w:line="336" w:lineRule="auto"/>
        <w:jc w:val="both"/>
        <w:rPr>
          <w:rFonts w:ascii="Verdana" w:hAnsi="Verdana" w:cs="Arial"/>
          <w:sz w:val="26"/>
          <w:szCs w:val="26"/>
        </w:rPr>
      </w:pPr>
      <w:r>
        <w:rPr>
          <w:rFonts w:ascii="Verdana" w:hAnsi="Verdana" w:cs="Arial"/>
          <w:sz w:val="26"/>
          <w:szCs w:val="26"/>
        </w:rPr>
        <w:t>El incidente de desacato contemplado</w:t>
      </w:r>
      <w:r w:rsidR="00661F0C" w:rsidRPr="00F70EE0">
        <w:rPr>
          <w:rFonts w:ascii="Verdana" w:hAnsi="Verdana" w:cs="Arial"/>
          <w:sz w:val="26"/>
          <w:szCs w:val="26"/>
        </w:rPr>
        <w:t xml:space="preserve"> en el artículo 52 del Decreto 2591 de 1991,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00661F0C"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00661F0C" w:rsidRPr="00F70EE0">
        <w:rPr>
          <w:rFonts w:ascii="Verdana" w:hAnsi="Verdana" w:cs="Arial"/>
          <w:sz w:val="26"/>
          <w:szCs w:val="26"/>
        </w:rPr>
        <w:t xml:space="preserve">, </w:t>
      </w:r>
      <w:r w:rsidR="007117EA" w:rsidRPr="00F70EE0">
        <w:rPr>
          <w:rFonts w:ascii="Verdana" w:hAnsi="Verdana" w:cs="Arial"/>
          <w:sz w:val="26"/>
          <w:szCs w:val="26"/>
        </w:rPr>
        <w:t>pues</w:t>
      </w:r>
      <w:r w:rsidR="00661F0C"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00661F0C"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00661F0C"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00661F0C" w:rsidRPr="00F70EE0">
        <w:rPr>
          <w:rFonts w:ascii="Verdana" w:hAnsi="Verdana" w:cs="Arial"/>
          <w:sz w:val="26"/>
          <w:szCs w:val="26"/>
        </w:rPr>
        <w:t>le</w:t>
      </w:r>
      <w:r w:rsidR="007117EA" w:rsidRPr="00F70EE0">
        <w:rPr>
          <w:rFonts w:ascii="Verdana" w:hAnsi="Verdana" w:cs="Arial"/>
          <w:sz w:val="26"/>
          <w:szCs w:val="26"/>
        </w:rPr>
        <w:t>y</w:t>
      </w:r>
      <w:r w:rsidR="002052B0">
        <w:rPr>
          <w:rFonts w:ascii="Verdana" w:hAnsi="Verdana" w:cs="Arial"/>
          <w:sz w:val="26"/>
          <w:szCs w:val="26"/>
        </w:rPr>
        <w:t xml:space="preserve">. No obstante, existen ciertos </w:t>
      </w:r>
      <w:r w:rsidR="00661F0C" w:rsidRPr="00F70EE0">
        <w:rPr>
          <w:rFonts w:ascii="Verdana" w:hAnsi="Verdana" w:cs="Arial"/>
          <w:sz w:val="26"/>
          <w:szCs w:val="26"/>
        </w:rPr>
        <w:t xml:space="preserve">límites, deberes y facultades del juez de primera instancia, </w:t>
      </w:r>
      <w:r w:rsidR="002052B0">
        <w:rPr>
          <w:rFonts w:ascii="Verdana" w:hAnsi="Verdana" w:cs="Arial"/>
          <w:sz w:val="26"/>
          <w:szCs w:val="26"/>
        </w:rPr>
        <w:t>para imponer la sanción cuando ésta ha sido desatendida</w:t>
      </w:r>
      <w:r w:rsidR="00661F0C" w:rsidRPr="00F70EE0">
        <w:rPr>
          <w:rFonts w:ascii="Verdana" w:hAnsi="Verdana" w:cs="Arial"/>
          <w:sz w:val="26"/>
          <w:szCs w:val="26"/>
        </w:rPr>
        <w:t>:</w:t>
      </w:r>
    </w:p>
    <w:p w:rsidR="00661F0C" w:rsidRPr="0036222F" w:rsidRDefault="00661F0C" w:rsidP="002052B0">
      <w:pPr>
        <w:tabs>
          <w:tab w:val="left" w:pos="8041"/>
        </w:tabs>
        <w:ind w:right="748"/>
        <w:jc w:val="both"/>
        <w:rPr>
          <w:rFonts w:ascii="Verdana" w:hAnsi="Verdana" w:cs="Arial"/>
          <w:i/>
        </w:rPr>
      </w:pPr>
    </w:p>
    <w:p w:rsidR="00661F0C" w:rsidRPr="00DB00F5" w:rsidRDefault="002052B0" w:rsidP="00B7326D">
      <w:pPr>
        <w:tabs>
          <w:tab w:val="left" w:pos="8041"/>
        </w:tabs>
        <w:spacing w:line="240" w:lineRule="exact"/>
        <w:ind w:left="567" w:right="567"/>
        <w:jc w:val="both"/>
        <w:rPr>
          <w:rFonts w:ascii="Verdana" w:hAnsi="Verdana" w:cs="Arial"/>
          <w:i/>
          <w:sz w:val="22"/>
          <w:szCs w:val="22"/>
        </w:rPr>
      </w:pPr>
      <w:r w:rsidRPr="00DB00F5">
        <w:rPr>
          <w:rFonts w:ascii="Verdana" w:hAnsi="Verdana" w:cs="Arial"/>
          <w:i/>
          <w:sz w:val="22"/>
          <w:szCs w:val="22"/>
        </w:rPr>
        <w:t>“</w:t>
      </w:r>
      <w:r w:rsidR="00661F0C" w:rsidRPr="00DB00F5">
        <w:rPr>
          <w:rFonts w:ascii="Verdana" w:hAnsi="Verdana" w:cs="Arial"/>
          <w:i/>
          <w:sz w:val="22"/>
          <w:szCs w:val="22"/>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DB00F5">
        <w:rPr>
          <w:rFonts w:ascii="Verdana" w:hAnsi="Verdana" w:cs="Arial"/>
          <w:i/>
          <w:sz w:val="22"/>
          <w:szCs w:val="22"/>
        </w:rPr>
        <w:t xml:space="preserve"> (…)”</w:t>
      </w:r>
      <w:r w:rsidRPr="00DB00F5">
        <w:rPr>
          <w:rStyle w:val="Refdenotaalpie"/>
          <w:rFonts w:ascii="Verdana" w:hAnsi="Verdana" w:cs="Arial"/>
          <w:i/>
          <w:sz w:val="22"/>
          <w:szCs w:val="22"/>
        </w:rPr>
        <w:footnoteReference w:id="1"/>
      </w:r>
      <w:r w:rsidR="00661F0C" w:rsidRPr="00DB00F5">
        <w:rPr>
          <w:rFonts w:ascii="Verdana" w:hAnsi="Verdana" w:cs="Arial"/>
          <w:i/>
          <w:sz w:val="22"/>
          <w:szCs w:val="22"/>
        </w:rPr>
        <w:t xml:space="preserve"> </w:t>
      </w:r>
    </w:p>
    <w:p w:rsidR="00661F0C" w:rsidRPr="002052B0" w:rsidRDefault="00661F0C" w:rsidP="002052B0">
      <w:pPr>
        <w:tabs>
          <w:tab w:val="left" w:pos="8041"/>
        </w:tabs>
        <w:spacing w:line="360" w:lineRule="auto"/>
        <w:ind w:left="561" w:right="748"/>
        <w:jc w:val="both"/>
        <w:rPr>
          <w:rFonts w:ascii="Verdana" w:hAnsi="Verdana" w:cs="Arial"/>
          <w:i/>
          <w:sz w:val="26"/>
          <w:szCs w:val="26"/>
        </w:rPr>
      </w:pPr>
    </w:p>
    <w:p w:rsidR="00661F0C" w:rsidRDefault="00661F0C" w:rsidP="001E0184">
      <w:pPr>
        <w:spacing w:line="336" w:lineRule="auto"/>
        <w:ind w:right="51"/>
        <w:jc w:val="both"/>
        <w:rPr>
          <w:rFonts w:ascii="Verdana" w:hAnsi="Verdana" w:cs="Arial"/>
          <w:sz w:val="26"/>
          <w:szCs w:val="26"/>
        </w:rPr>
      </w:pPr>
      <w:r w:rsidRPr="00F70EE0">
        <w:rPr>
          <w:rFonts w:ascii="Verdana" w:hAnsi="Verdana" w:cs="Arial"/>
          <w:sz w:val="26"/>
          <w:szCs w:val="26"/>
        </w:rPr>
        <w:t xml:space="preserve">El incidente de desacato es </w:t>
      </w:r>
      <w:r w:rsidR="007D1A5A">
        <w:rPr>
          <w:rFonts w:ascii="Verdana" w:hAnsi="Verdana" w:cs="Arial"/>
          <w:sz w:val="26"/>
          <w:szCs w:val="26"/>
        </w:rPr>
        <w:t>en otras palabras</w:t>
      </w:r>
      <w:r w:rsidRPr="00F70EE0">
        <w:rPr>
          <w:rFonts w:ascii="Verdana" w:hAnsi="Verdana" w:cs="Arial"/>
          <w:sz w:val="26"/>
          <w:szCs w:val="26"/>
        </w:rPr>
        <w:t xml:space="preserve">, el procedimiento ágil para hacer efectivos los derechos reconocidos y protegidos a través de la tutela, mediante la amenaza de una sanción en caso </w:t>
      </w:r>
      <w:r w:rsidRPr="00F70EE0">
        <w:rPr>
          <w:rFonts w:ascii="Verdana" w:hAnsi="Verdana" w:cs="Arial"/>
          <w:sz w:val="26"/>
          <w:szCs w:val="26"/>
        </w:rPr>
        <w:lastRenderedPageBreak/>
        <w:t xml:space="preserve">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w:t>
      </w:r>
    </w:p>
    <w:p w:rsidR="00DC0E9E" w:rsidRPr="00F70EE0" w:rsidRDefault="00DC0E9E" w:rsidP="00B7326D">
      <w:pPr>
        <w:spacing w:line="276" w:lineRule="auto"/>
        <w:ind w:right="51"/>
        <w:jc w:val="both"/>
        <w:rPr>
          <w:rFonts w:ascii="Verdana" w:hAnsi="Verdana" w:cs="Arial"/>
          <w:sz w:val="26"/>
          <w:szCs w:val="26"/>
        </w:rPr>
      </w:pPr>
    </w:p>
    <w:p w:rsidR="00067C1B" w:rsidRDefault="007D1A5A" w:rsidP="001E0184">
      <w:pPr>
        <w:spacing w:line="336" w:lineRule="auto"/>
        <w:jc w:val="both"/>
        <w:rPr>
          <w:rFonts w:ascii="Verdana" w:hAnsi="Verdana" w:cs="Arial"/>
          <w:sz w:val="26"/>
          <w:szCs w:val="26"/>
        </w:rPr>
      </w:pPr>
      <w:r>
        <w:rPr>
          <w:rFonts w:ascii="Verdana" w:hAnsi="Verdana" w:cs="Arial"/>
          <w:sz w:val="26"/>
          <w:szCs w:val="26"/>
        </w:rPr>
        <w:t xml:space="preserve">Cuando la decisión del </w:t>
      </w:r>
      <w:r w:rsidR="00661F0C" w:rsidRPr="00F70EE0">
        <w:rPr>
          <w:rFonts w:ascii="Verdana" w:hAnsi="Verdana" w:cs="Arial"/>
          <w:sz w:val="26"/>
          <w:szCs w:val="26"/>
        </w:rPr>
        <w:t>juez de tutela conlleva la imposición de una sanción</w:t>
      </w:r>
      <w:r w:rsidR="009D7378">
        <w:rPr>
          <w:rFonts w:ascii="Verdana" w:hAnsi="Verdana" w:cs="Arial"/>
          <w:sz w:val="26"/>
          <w:szCs w:val="26"/>
        </w:rPr>
        <w:t>, ésta</w:t>
      </w:r>
      <w:r w:rsidR="00661F0C" w:rsidRPr="00F70EE0">
        <w:rPr>
          <w:rFonts w:ascii="Verdana" w:hAnsi="Verdana" w:cs="Arial"/>
          <w:sz w:val="26"/>
          <w:szCs w:val="26"/>
        </w:rPr>
        <w:t xml:space="preserve">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067C1B" w:rsidRDefault="00067C1B" w:rsidP="00067C1B">
      <w:pPr>
        <w:spacing w:line="312" w:lineRule="auto"/>
        <w:jc w:val="both"/>
        <w:rPr>
          <w:rFonts w:ascii="Verdana" w:hAnsi="Verdana" w:cs="Arial"/>
          <w:sz w:val="26"/>
          <w:szCs w:val="26"/>
        </w:rPr>
      </w:pPr>
    </w:p>
    <w:p w:rsidR="00067C1B" w:rsidRDefault="00DB00F5" w:rsidP="00067C1B">
      <w:pPr>
        <w:spacing w:line="312" w:lineRule="auto"/>
        <w:jc w:val="both"/>
        <w:rPr>
          <w:rFonts w:ascii="Verdana" w:hAnsi="Verdana" w:cs="Arial"/>
          <w:b/>
          <w:sz w:val="26"/>
          <w:szCs w:val="26"/>
        </w:rPr>
      </w:pPr>
      <w:r w:rsidRPr="00DB00F5">
        <w:rPr>
          <w:rFonts w:ascii="Verdana" w:hAnsi="Verdana" w:cs="Arial"/>
          <w:b/>
          <w:sz w:val="26"/>
          <w:szCs w:val="26"/>
        </w:rPr>
        <w:t>Caso concreto:</w:t>
      </w:r>
    </w:p>
    <w:p w:rsidR="00067C1B" w:rsidRDefault="00067C1B" w:rsidP="00C302A1">
      <w:pPr>
        <w:jc w:val="both"/>
        <w:rPr>
          <w:rFonts w:ascii="Verdana" w:hAnsi="Verdana" w:cs="Arial"/>
          <w:b/>
          <w:sz w:val="26"/>
          <w:szCs w:val="26"/>
        </w:rPr>
      </w:pPr>
    </w:p>
    <w:p w:rsidR="00B71719" w:rsidRDefault="00067C1B" w:rsidP="001E0184">
      <w:pPr>
        <w:spacing w:line="336" w:lineRule="auto"/>
        <w:jc w:val="both"/>
        <w:rPr>
          <w:rFonts w:ascii="Verdana" w:hAnsi="Verdana"/>
          <w:sz w:val="26"/>
          <w:szCs w:val="26"/>
        </w:rPr>
      </w:pPr>
      <w:r>
        <w:rPr>
          <w:rFonts w:ascii="Verdana" w:hAnsi="Verdana"/>
          <w:sz w:val="26"/>
          <w:szCs w:val="26"/>
        </w:rPr>
        <w:t>Antes de entrar a resolver el caso concreto es necesario aclarar que</w:t>
      </w:r>
      <w:r w:rsidR="00870877">
        <w:rPr>
          <w:rFonts w:ascii="Verdana" w:hAnsi="Verdana"/>
          <w:sz w:val="26"/>
          <w:szCs w:val="26"/>
        </w:rPr>
        <w:t xml:space="preserve">: i) </w:t>
      </w:r>
      <w:r w:rsidR="008F1527">
        <w:rPr>
          <w:rFonts w:ascii="Verdana" w:hAnsi="Verdana"/>
          <w:sz w:val="26"/>
          <w:szCs w:val="26"/>
        </w:rPr>
        <w:t>e</w:t>
      </w:r>
      <w:r>
        <w:rPr>
          <w:rFonts w:ascii="Verdana" w:hAnsi="Verdana"/>
          <w:sz w:val="26"/>
          <w:szCs w:val="26"/>
        </w:rPr>
        <w:t>l señor JOSÉ EDIER CARDONA CEBALLOS se encuentra detenido en prisión domiciliaria a órdenes del INPEC de Santa Rosa de Cabal</w:t>
      </w:r>
      <w:r w:rsidR="008F1527">
        <w:rPr>
          <w:rFonts w:ascii="Verdana" w:hAnsi="Verdana"/>
          <w:sz w:val="26"/>
          <w:szCs w:val="26"/>
        </w:rPr>
        <w:t>,</w:t>
      </w:r>
      <w:r w:rsidR="001F55E7">
        <w:rPr>
          <w:rFonts w:ascii="Verdana" w:hAnsi="Verdana"/>
          <w:sz w:val="26"/>
          <w:szCs w:val="26"/>
        </w:rPr>
        <w:t xml:space="preserve"> conforme fue informado</w:t>
      </w:r>
      <w:r w:rsidR="009F72E0">
        <w:rPr>
          <w:rFonts w:ascii="Verdana" w:hAnsi="Verdana"/>
          <w:sz w:val="26"/>
          <w:szCs w:val="26"/>
        </w:rPr>
        <w:t xml:space="preserve"> a la Auxiliar Judicial de este Despacho Ponente</w:t>
      </w:r>
      <w:r w:rsidR="001F55E7">
        <w:rPr>
          <w:rFonts w:ascii="Verdana" w:hAnsi="Verdana"/>
          <w:sz w:val="26"/>
          <w:szCs w:val="26"/>
        </w:rPr>
        <w:t xml:space="preserve"> por </w:t>
      </w:r>
      <w:r w:rsidR="008F1527">
        <w:rPr>
          <w:rFonts w:ascii="Verdana" w:hAnsi="Verdana"/>
          <w:sz w:val="26"/>
          <w:szCs w:val="26"/>
        </w:rPr>
        <w:t xml:space="preserve">parte de </w:t>
      </w:r>
      <w:r w:rsidR="001F55E7">
        <w:rPr>
          <w:rFonts w:ascii="Verdana" w:hAnsi="Verdana"/>
          <w:sz w:val="26"/>
          <w:szCs w:val="26"/>
        </w:rPr>
        <w:t xml:space="preserve">la Técnica Operativa </w:t>
      </w:r>
      <w:r w:rsidR="00AE4666">
        <w:rPr>
          <w:rFonts w:ascii="Verdana" w:hAnsi="Verdana"/>
          <w:sz w:val="26"/>
          <w:szCs w:val="26"/>
        </w:rPr>
        <w:t>encargada de resolver lo concerniente al tema de prisión domiciliaria en ese establecimiento</w:t>
      </w:r>
      <w:r w:rsidR="008F1527">
        <w:rPr>
          <w:rFonts w:ascii="Verdana" w:hAnsi="Verdana"/>
          <w:sz w:val="26"/>
          <w:szCs w:val="26"/>
        </w:rPr>
        <w:t>;</w:t>
      </w:r>
      <w:r>
        <w:rPr>
          <w:rFonts w:ascii="Verdana" w:hAnsi="Verdana"/>
          <w:sz w:val="26"/>
          <w:szCs w:val="26"/>
        </w:rPr>
        <w:t xml:space="preserve"> y </w:t>
      </w:r>
      <w:r w:rsidR="00870877">
        <w:rPr>
          <w:rFonts w:ascii="Verdana" w:hAnsi="Verdana"/>
          <w:sz w:val="26"/>
          <w:szCs w:val="26"/>
        </w:rPr>
        <w:t xml:space="preserve">ii) </w:t>
      </w:r>
      <w:r>
        <w:rPr>
          <w:rFonts w:ascii="Verdana" w:hAnsi="Verdana"/>
          <w:sz w:val="26"/>
          <w:szCs w:val="26"/>
        </w:rPr>
        <w:t>que en el momento de proferir las decisiones tomadas dentro de la acción de tutela por medio de las cuales se ampar</w:t>
      </w:r>
      <w:r w:rsidR="00B71719">
        <w:rPr>
          <w:rFonts w:ascii="Verdana" w:hAnsi="Verdana"/>
          <w:sz w:val="26"/>
          <w:szCs w:val="26"/>
        </w:rPr>
        <w:t xml:space="preserve">aron sus derechos fundamentales, la entidad encargada de dar cumplimiento a las mismas era CAPRECOM </w:t>
      </w:r>
      <w:r w:rsidR="00997557">
        <w:rPr>
          <w:rFonts w:ascii="Verdana" w:hAnsi="Verdana" w:cs="Arial"/>
          <w:sz w:val="26"/>
          <w:szCs w:val="26"/>
        </w:rPr>
        <w:t>EICE</w:t>
      </w:r>
      <w:r w:rsidR="006D4185">
        <w:rPr>
          <w:rFonts w:ascii="Verdana" w:hAnsi="Verdana"/>
          <w:sz w:val="26"/>
          <w:szCs w:val="26"/>
        </w:rPr>
        <w:t xml:space="preserve">, hoy liquidada, </w:t>
      </w:r>
      <w:r w:rsidR="006D4185">
        <w:rPr>
          <w:rFonts w:ascii="Verdana" w:hAnsi="Verdana" w:cs="Arial"/>
          <w:sz w:val="26"/>
          <w:szCs w:val="26"/>
        </w:rPr>
        <w:t>cual era la entidad encargada prestar los servicios en salud de las personas privadas de la libertad</w:t>
      </w:r>
      <w:r w:rsidR="006D4185">
        <w:rPr>
          <w:rFonts w:ascii="Verdana" w:hAnsi="Verdana"/>
          <w:sz w:val="26"/>
          <w:szCs w:val="26"/>
        </w:rPr>
        <w:t xml:space="preserve">. </w:t>
      </w:r>
    </w:p>
    <w:p w:rsidR="00FD76E6" w:rsidRDefault="00FD76E6" w:rsidP="00B7326D">
      <w:pPr>
        <w:spacing w:line="276" w:lineRule="auto"/>
        <w:jc w:val="both"/>
        <w:rPr>
          <w:rFonts w:ascii="Verdana" w:hAnsi="Verdana"/>
          <w:sz w:val="26"/>
          <w:szCs w:val="26"/>
        </w:rPr>
      </w:pPr>
    </w:p>
    <w:p w:rsidR="000E0806" w:rsidRDefault="00FD76E6" w:rsidP="001E0184">
      <w:pPr>
        <w:spacing w:line="336" w:lineRule="auto"/>
        <w:jc w:val="both"/>
        <w:rPr>
          <w:rFonts w:ascii="Verdana" w:hAnsi="Verdana"/>
          <w:sz w:val="26"/>
          <w:szCs w:val="26"/>
        </w:rPr>
      </w:pPr>
      <w:r w:rsidRPr="00FD76E6">
        <w:rPr>
          <w:rFonts w:ascii="Verdana" w:hAnsi="Verdana"/>
          <w:sz w:val="26"/>
          <w:szCs w:val="26"/>
        </w:rPr>
        <w:t>No obstante, ese sistema de salud ha venido presentando una serie de transformaciones, de modo que hoy en día estamos frente a un modelo completamente diferente</w:t>
      </w:r>
      <w:r w:rsidR="000E0806">
        <w:rPr>
          <w:rFonts w:ascii="Verdana" w:hAnsi="Verdana"/>
          <w:sz w:val="26"/>
          <w:szCs w:val="26"/>
        </w:rPr>
        <w:t xml:space="preserve"> que se ha ido implementando a partir de</w:t>
      </w:r>
      <w:r w:rsidR="00865548">
        <w:rPr>
          <w:rFonts w:ascii="Verdana" w:hAnsi="Verdana"/>
          <w:sz w:val="26"/>
          <w:szCs w:val="26"/>
        </w:rPr>
        <w:t xml:space="preserve"> la Ley 1709 de 2014</w:t>
      </w:r>
      <w:r w:rsidR="00E631CB">
        <w:rPr>
          <w:rFonts w:ascii="Verdana" w:hAnsi="Verdana"/>
          <w:sz w:val="26"/>
          <w:szCs w:val="26"/>
        </w:rPr>
        <w:t xml:space="preserve">, </w:t>
      </w:r>
      <w:r w:rsidR="000E0806">
        <w:rPr>
          <w:rFonts w:ascii="Verdana" w:hAnsi="Verdana"/>
          <w:sz w:val="26"/>
          <w:szCs w:val="26"/>
        </w:rPr>
        <w:t xml:space="preserve">y que generó un proceso de transición, que </w:t>
      </w:r>
      <w:r w:rsidR="008B5ED2">
        <w:rPr>
          <w:rFonts w:ascii="Verdana" w:hAnsi="Verdana"/>
          <w:sz w:val="26"/>
          <w:szCs w:val="26"/>
        </w:rPr>
        <w:t>culminó con la liquidación de CAPRECOM EICE</w:t>
      </w:r>
      <w:r w:rsidR="00657502">
        <w:rPr>
          <w:rFonts w:ascii="Verdana" w:hAnsi="Verdana"/>
          <w:sz w:val="26"/>
          <w:szCs w:val="26"/>
        </w:rPr>
        <w:t>.</w:t>
      </w:r>
    </w:p>
    <w:p w:rsidR="000264F4" w:rsidRDefault="000264F4" w:rsidP="00B7326D">
      <w:pPr>
        <w:spacing w:line="276" w:lineRule="auto"/>
        <w:jc w:val="both"/>
        <w:rPr>
          <w:rFonts w:ascii="Verdana" w:hAnsi="Verdana"/>
          <w:sz w:val="26"/>
          <w:szCs w:val="26"/>
        </w:rPr>
      </w:pPr>
    </w:p>
    <w:p w:rsidR="0026415E" w:rsidRDefault="000E0806" w:rsidP="001E0184">
      <w:pPr>
        <w:spacing w:line="336" w:lineRule="auto"/>
        <w:jc w:val="both"/>
        <w:rPr>
          <w:rFonts w:ascii="Verdana" w:hAnsi="Verdana"/>
          <w:sz w:val="26"/>
          <w:szCs w:val="26"/>
        </w:rPr>
      </w:pPr>
      <w:r>
        <w:rPr>
          <w:rFonts w:ascii="Verdana" w:hAnsi="Verdana"/>
          <w:sz w:val="26"/>
          <w:szCs w:val="26"/>
        </w:rPr>
        <w:t xml:space="preserve">Por medio de dicha ley se </w:t>
      </w:r>
      <w:r w:rsidR="003E035D" w:rsidRPr="003E035D">
        <w:rPr>
          <w:rFonts w:ascii="Verdana" w:hAnsi="Verdana"/>
          <w:sz w:val="26"/>
          <w:szCs w:val="26"/>
        </w:rPr>
        <w:t>creó el Fondo Nacional de Salud de las Personas Privadas de la Libertad</w:t>
      </w:r>
      <w:r>
        <w:rPr>
          <w:rFonts w:ascii="Verdana" w:hAnsi="Verdana"/>
          <w:sz w:val="26"/>
          <w:szCs w:val="26"/>
        </w:rPr>
        <w:t>,</w:t>
      </w:r>
      <w:r w:rsidR="003E035D">
        <w:rPr>
          <w:rFonts w:ascii="Verdana" w:hAnsi="Verdana"/>
          <w:sz w:val="26"/>
          <w:szCs w:val="26"/>
        </w:rPr>
        <w:t xml:space="preserve"> </w:t>
      </w:r>
      <w:r w:rsidR="003E035D" w:rsidRPr="003E035D">
        <w:rPr>
          <w:rFonts w:ascii="Verdana" w:hAnsi="Verdana"/>
          <w:sz w:val="26"/>
          <w:szCs w:val="26"/>
        </w:rPr>
        <w:t xml:space="preserve">como una cuenta especial de la </w:t>
      </w:r>
      <w:r w:rsidR="003E035D" w:rsidRPr="00EC4911">
        <w:rPr>
          <w:rFonts w:ascii="Verdana" w:hAnsi="Verdana"/>
          <w:sz w:val="26"/>
          <w:szCs w:val="26"/>
        </w:rPr>
        <w:lastRenderedPageBreak/>
        <w:t>Nación que debía ser</w:t>
      </w:r>
      <w:r w:rsidR="003E035D">
        <w:t xml:space="preserve"> </w:t>
      </w:r>
      <w:r>
        <w:rPr>
          <w:rFonts w:ascii="Verdana" w:hAnsi="Verdana"/>
          <w:sz w:val="26"/>
          <w:szCs w:val="26"/>
        </w:rPr>
        <w:t>manejada</w:t>
      </w:r>
      <w:r w:rsidR="003E035D" w:rsidRPr="003E035D">
        <w:rPr>
          <w:rFonts w:ascii="Verdana" w:hAnsi="Verdana"/>
          <w:sz w:val="26"/>
          <w:szCs w:val="26"/>
        </w:rPr>
        <w:t xml:space="preserve"> por una entidad fiduciaria estatal o de economía mixta</w:t>
      </w:r>
      <w:r w:rsidR="003E035D">
        <w:rPr>
          <w:rFonts w:ascii="Verdana" w:hAnsi="Verdana"/>
          <w:sz w:val="26"/>
          <w:szCs w:val="26"/>
        </w:rPr>
        <w:t>.</w:t>
      </w:r>
      <w:r>
        <w:rPr>
          <w:rFonts w:ascii="Verdana" w:hAnsi="Verdana"/>
          <w:sz w:val="26"/>
          <w:szCs w:val="26"/>
        </w:rPr>
        <w:t xml:space="preserve"> </w:t>
      </w:r>
      <w:r w:rsidR="003E035D">
        <w:rPr>
          <w:rFonts w:ascii="Verdana" w:hAnsi="Verdana"/>
          <w:sz w:val="26"/>
          <w:szCs w:val="26"/>
        </w:rPr>
        <w:t xml:space="preserve">Igualmente </w:t>
      </w:r>
      <w:r w:rsidR="00865548">
        <w:rPr>
          <w:rFonts w:ascii="Verdana" w:hAnsi="Verdana"/>
          <w:sz w:val="26"/>
          <w:szCs w:val="26"/>
        </w:rPr>
        <w:t>delegó en</w:t>
      </w:r>
      <w:r w:rsidR="00FD76E6" w:rsidRPr="00FD76E6">
        <w:rPr>
          <w:rFonts w:ascii="Verdana" w:hAnsi="Verdana"/>
          <w:sz w:val="26"/>
          <w:szCs w:val="26"/>
        </w:rPr>
        <w:t xml:space="preserve"> la USPEC y el Ministerio de Salud y Protección Social </w:t>
      </w:r>
      <w:r w:rsidR="00BD4623">
        <w:rPr>
          <w:rFonts w:ascii="Verdana" w:hAnsi="Verdana"/>
          <w:sz w:val="26"/>
          <w:szCs w:val="26"/>
        </w:rPr>
        <w:t xml:space="preserve">la creación de dicho </w:t>
      </w:r>
      <w:r w:rsidR="00657502">
        <w:rPr>
          <w:rFonts w:ascii="Verdana" w:hAnsi="Verdana"/>
          <w:sz w:val="26"/>
          <w:szCs w:val="26"/>
        </w:rPr>
        <w:t>esquema</w:t>
      </w:r>
      <w:r w:rsidR="00FD76E6" w:rsidRPr="00FD76E6">
        <w:rPr>
          <w:rFonts w:ascii="Verdana" w:hAnsi="Verdana"/>
          <w:sz w:val="26"/>
          <w:szCs w:val="26"/>
        </w:rPr>
        <w:t xml:space="preserve"> de atención, </w:t>
      </w:r>
      <w:r w:rsidR="00C801BA">
        <w:rPr>
          <w:rFonts w:ascii="Verdana" w:hAnsi="Verdana"/>
          <w:sz w:val="26"/>
          <w:szCs w:val="26"/>
        </w:rPr>
        <w:t xml:space="preserve">así, en su artículo 66 </w:t>
      </w:r>
      <w:r w:rsidR="00EC4911">
        <w:rPr>
          <w:rFonts w:ascii="Verdana" w:hAnsi="Verdana"/>
          <w:sz w:val="26"/>
          <w:szCs w:val="26"/>
        </w:rPr>
        <w:t>dispuso</w:t>
      </w:r>
      <w:r w:rsidR="00C801BA">
        <w:rPr>
          <w:rFonts w:ascii="Verdana" w:hAnsi="Verdana"/>
          <w:sz w:val="26"/>
          <w:szCs w:val="26"/>
        </w:rPr>
        <w:t xml:space="preserve">: </w:t>
      </w:r>
    </w:p>
    <w:p w:rsidR="00C801BA" w:rsidRDefault="00C801BA" w:rsidP="00B7326D">
      <w:pPr>
        <w:spacing w:line="276" w:lineRule="auto"/>
        <w:jc w:val="both"/>
        <w:rPr>
          <w:rFonts w:ascii="Verdana" w:hAnsi="Verdana"/>
          <w:sz w:val="26"/>
          <w:szCs w:val="26"/>
        </w:rPr>
      </w:pPr>
    </w:p>
    <w:p w:rsidR="0026415E" w:rsidRPr="0026415E" w:rsidRDefault="0026415E" w:rsidP="00B7326D">
      <w:pPr>
        <w:spacing w:line="240" w:lineRule="exact"/>
        <w:ind w:left="567" w:right="567"/>
        <w:jc w:val="both"/>
        <w:rPr>
          <w:rFonts w:ascii="Verdana" w:hAnsi="Verdana"/>
          <w:i/>
          <w:sz w:val="22"/>
          <w:szCs w:val="22"/>
        </w:rPr>
      </w:pPr>
      <w:r w:rsidRPr="0026415E">
        <w:rPr>
          <w:rFonts w:ascii="Verdana" w:hAnsi="Verdana"/>
          <w:i/>
          <w:sz w:val="22"/>
          <w:szCs w:val="22"/>
        </w:rPr>
        <w:t>“El Ministerio de Salud y Protección Social y la Unidad de Servicios Penitenciarios y Carcelarios (Uspec)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intramural, extramural y una política de atención primaria en salud.</w:t>
      </w:r>
    </w:p>
    <w:p w:rsidR="0026415E" w:rsidRPr="0026415E" w:rsidRDefault="0026415E" w:rsidP="00B7326D">
      <w:pPr>
        <w:spacing w:line="240" w:lineRule="exact"/>
        <w:ind w:left="567" w:right="567"/>
        <w:jc w:val="both"/>
        <w:rPr>
          <w:rFonts w:ascii="Verdana" w:hAnsi="Verdana"/>
          <w:i/>
          <w:sz w:val="22"/>
          <w:szCs w:val="22"/>
        </w:rPr>
      </w:pPr>
    </w:p>
    <w:p w:rsidR="0026415E" w:rsidRPr="0026415E" w:rsidRDefault="0026415E" w:rsidP="00B7326D">
      <w:pPr>
        <w:spacing w:line="240" w:lineRule="exact"/>
        <w:ind w:left="567" w:right="567"/>
        <w:jc w:val="both"/>
        <w:rPr>
          <w:rFonts w:ascii="Verdana" w:hAnsi="Verdana"/>
          <w:i/>
          <w:sz w:val="22"/>
          <w:szCs w:val="22"/>
        </w:rPr>
      </w:pPr>
      <w:r w:rsidRPr="0026415E">
        <w:rPr>
          <w:rFonts w:ascii="Verdana" w:hAnsi="Verdana"/>
          <w:i/>
          <w:sz w:val="22"/>
          <w:szCs w:val="22"/>
        </w:rPr>
        <w:t>La Unidad de Servicios Penitenciarios y Carcelarios (Uspec) será la responsable de la adecuación de la infraestructura de las Unidades de Atención Primaria y de Atención Inicial de Urgencias en cada uno de los establecimientos Penitenciarios y Carcelarios en los cuales se prestará la atención intramural, conforme a los que establezca el modelo de atención en salud del que trata el presente artículo.</w:t>
      </w:r>
    </w:p>
    <w:p w:rsidR="0026415E" w:rsidRPr="0026415E" w:rsidRDefault="0026415E" w:rsidP="00B7326D">
      <w:pPr>
        <w:spacing w:line="240" w:lineRule="exact"/>
        <w:ind w:left="567" w:right="567"/>
        <w:jc w:val="both"/>
        <w:rPr>
          <w:rFonts w:ascii="Verdana" w:hAnsi="Verdana"/>
          <w:i/>
          <w:sz w:val="22"/>
          <w:szCs w:val="22"/>
        </w:rPr>
      </w:pPr>
    </w:p>
    <w:p w:rsidR="00EC4911" w:rsidRDefault="00EC4911" w:rsidP="00B7326D">
      <w:pPr>
        <w:spacing w:line="240" w:lineRule="exact"/>
        <w:ind w:left="567" w:right="567"/>
        <w:jc w:val="both"/>
        <w:rPr>
          <w:rFonts w:ascii="Verdana" w:hAnsi="Verdana" w:cs="Arial"/>
          <w:i/>
          <w:iCs/>
          <w:sz w:val="22"/>
          <w:szCs w:val="22"/>
        </w:rPr>
      </w:pPr>
      <w:r w:rsidRPr="00A5434A">
        <w:rPr>
          <w:rFonts w:ascii="Verdana" w:hAnsi="Verdana" w:cs="Arial"/>
          <w:bCs/>
          <w:i/>
          <w:iCs/>
          <w:sz w:val="22"/>
          <w:szCs w:val="22"/>
        </w:rPr>
        <w:t>P</w:t>
      </w:r>
      <w:r w:rsidR="00A5434A" w:rsidRPr="00A5434A">
        <w:rPr>
          <w:rFonts w:ascii="Verdana" w:hAnsi="Verdana" w:cs="Arial"/>
          <w:bCs/>
          <w:i/>
          <w:iCs/>
          <w:sz w:val="22"/>
          <w:szCs w:val="22"/>
        </w:rPr>
        <w:t>arágrafo 1o</w:t>
      </w:r>
      <w:r w:rsidR="00A5434A" w:rsidRPr="00A5434A">
        <w:rPr>
          <w:rFonts w:ascii="Verdana" w:hAnsi="Verdana" w:cs="Arial"/>
          <w:b/>
          <w:bCs/>
          <w:i/>
          <w:iCs/>
          <w:sz w:val="22"/>
          <w:szCs w:val="22"/>
        </w:rPr>
        <w:t>.</w:t>
      </w:r>
      <w:r w:rsidRPr="00A5434A">
        <w:rPr>
          <w:rStyle w:val="apple-converted-space"/>
          <w:rFonts w:ascii="Verdana" w:hAnsi="Verdana" w:cs="Arial"/>
          <w:i/>
          <w:iCs/>
          <w:sz w:val="22"/>
          <w:szCs w:val="22"/>
        </w:rPr>
        <w:t> </w:t>
      </w:r>
      <w:r w:rsidRPr="00A5434A">
        <w:rPr>
          <w:rFonts w:ascii="Verdana" w:hAnsi="Verdana" w:cs="Arial"/>
          <w:i/>
          <w:iCs/>
          <w:sz w:val="22"/>
          <w:szCs w:val="22"/>
        </w:rPr>
        <w:t>Créase el Fondo Nacional de Salud de las Personas Privadas de la Libertad</w:t>
      </w:r>
      <w:r w:rsidR="00A5434A" w:rsidRPr="00A5434A">
        <w:rPr>
          <w:rFonts w:ascii="Arial" w:hAnsi="Arial" w:cs="Arial"/>
          <w:i/>
          <w:iCs/>
          <w:sz w:val="21"/>
          <w:szCs w:val="21"/>
        </w:rPr>
        <w:t>,</w:t>
      </w:r>
      <w:r w:rsidR="00A5434A">
        <w:rPr>
          <w:rFonts w:ascii="Arial" w:hAnsi="Arial" w:cs="Arial"/>
          <w:i/>
          <w:iCs/>
          <w:color w:val="000000"/>
          <w:sz w:val="21"/>
          <w:szCs w:val="21"/>
        </w:rPr>
        <w:t xml:space="preserve"> </w:t>
      </w:r>
      <w:r w:rsidR="00A5434A" w:rsidRPr="00A5434A">
        <w:rPr>
          <w:rFonts w:ascii="Verdana" w:hAnsi="Verdana" w:cs="Arial"/>
          <w:i/>
          <w:iCs/>
          <w:sz w:val="22"/>
          <w:szCs w:val="22"/>
        </w:rPr>
        <w:t>como una cuenta especial de la Nación, con independencia patrimonial, contable y estadística, sin personería jurídica, el cual estará constituido por recursos del Presupuesto General de la Nación. Los recursos del Fondo serán manejados por una entidad fiduciaria estatal o de economía mixta, en la cual el Estado tenga más del 90% del capital. Para tal efecto, la Unidad Administrativa de Servicios Penitenciarios y Carcelarios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w:t>
      </w:r>
    </w:p>
    <w:p w:rsidR="00BF1C6F" w:rsidRPr="00A5434A" w:rsidRDefault="00BF1C6F" w:rsidP="00B7326D">
      <w:pPr>
        <w:spacing w:line="240" w:lineRule="exact"/>
        <w:ind w:left="567" w:right="567"/>
        <w:jc w:val="both"/>
        <w:rPr>
          <w:rFonts w:ascii="Verdana" w:hAnsi="Verdana"/>
          <w:i/>
          <w:sz w:val="22"/>
          <w:szCs w:val="22"/>
        </w:rPr>
      </w:pPr>
    </w:p>
    <w:p w:rsidR="0026415E" w:rsidRPr="0026415E" w:rsidRDefault="0026415E" w:rsidP="00B7326D">
      <w:pPr>
        <w:spacing w:line="240" w:lineRule="exact"/>
        <w:ind w:left="567" w:right="567"/>
        <w:jc w:val="both"/>
        <w:rPr>
          <w:rFonts w:ascii="Verdana" w:hAnsi="Verdana"/>
          <w:i/>
          <w:sz w:val="22"/>
          <w:szCs w:val="22"/>
        </w:rPr>
      </w:pPr>
      <w:r w:rsidRPr="0026415E">
        <w:rPr>
          <w:rFonts w:ascii="Verdana" w:hAnsi="Verdana"/>
          <w:i/>
          <w:sz w:val="22"/>
          <w:szCs w:val="22"/>
        </w:rPr>
        <w:t>Parágrafo 2°. El Fondo Nacional de Salud de las Personas Privadas de la Libertad, se encargará de contratar la prestación de los servicios de salud de todas las personas privadas de la libertad, de conformidad con el modelo de atención que se diseñe en virtud del presente artículo.</w:t>
      </w:r>
      <w:r w:rsidR="00B7326D">
        <w:rPr>
          <w:rFonts w:ascii="Verdana" w:hAnsi="Verdana"/>
          <w:i/>
          <w:sz w:val="22"/>
          <w:szCs w:val="22"/>
        </w:rPr>
        <w:t>”</w:t>
      </w:r>
    </w:p>
    <w:p w:rsidR="00882E00" w:rsidRDefault="00882E00" w:rsidP="00A56321">
      <w:pPr>
        <w:spacing w:line="360" w:lineRule="auto"/>
        <w:jc w:val="both"/>
        <w:rPr>
          <w:rFonts w:ascii="Verdana" w:hAnsi="Verdana"/>
          <w:sz w:val="26"/>
          <w:szCs w:val="26"/>
        </w:rPr>
      </w:pPr>
    </w:p>
    <w:p w:rsidR="00D53F91" w:rsidRDefault="00A5434A" w:rsidP="00B7326D">
      <w:pPr>
        <w:spacing w:line="324" w:lineRule="auto"/>
        <w:jc w:val="both"/>
        <w:rPr>
          <w:rFonts w:ascii="Verdana" w:hAnsi="Verdana"/>
          <w:sz w:val="26"/>
          <w:szCs w:val="26"/>
        </w:rPr>
      </w:pPr>
      <w:r>
        <w:rPr>
          <w:rFonts w:ascii="Verdana" w:hAnsi="Verdana"/>
          <w:sz w:val="26"/>
          <w:szCs w:val="26"/>
        </w:rPr>
        <w:t>Acorde con lo anterior,</w:t>
      </w:r>
      <w:r w:rsidR="00882E00">
        <w:rPr>
          <w:rFonts w:ascii="Verdana" w:hAnsi="Verdana"/>
          <w:sz w:val="26"/>
          <w:szCs w:val="26"/>
        </w:rPr>
        <w:t xml:space="preserve"> </w:t>
      </w:r>
      <w:r w:rsidR="000A1C4C" w:rsidRPr="000A1C4C">
        <w:rPr>
          <w:rFonts w:ascii="Verdana" w:hAnsi="Verdana"/>
          <w:sz w:val="26"/>
          <w:szCs w:val="26"/>
        </w:rPr>
        <w:t>el 23 de diciembre de 2015</w:t>
      </w:r>
      <w:r w:rsidR="000A1C4C">
        <w:rPr>
          <w:rFonts w:ascii="Verdana" w:hAnsi="Verdana"/>
          <w:sz w:val="26"/>
          <w:szCs w:val="26"/>
        </w:rPr>
        <w:t xml:space="preserve"> </w:t>
      </w:r>
      <w:r w:rsidR="00882E00" w:rsidRPr="00C801BA">
        <w:rPr>
          <w:rFonts w:ascii="Verdana" w:hAnsi="Verdana"/>
          <w:sz w:val="26"/>
          <w:szCs w:val="26"/>
        </w:rPr>
        <w:t xml:space="preserve">la USPEC suscribió contrato de fiducia mercantil con el Consorcio Fondo de Atención en Salud PPL 2015, </w:t>
      </w:r>
      <w:r w:rsidR="00882E00" w:rsidRPr="00646118">
        <w:rPr>
          <w:rFonts w:ascii="Verdana" w:hAnsi="Verdana" w:cs="Arial"/>
          <w:sz w:val="26"/>
          <w:szCs w:val="26"/>
        </w:rPr>
        <w:t>integrado por la Fiduprevisora S.A. y la Fiduagraria S.A</w:t>
      </w:r>
      <w:r w:rsidR="00882E00" w:rsidRPr="00646118">
        <w:rPr>
          <w:rFonts w:ascii="Verdana" w:hAnsi="Verdana"/>
          <w:sz w:val="26"/>
          <w:szCs w:val="26"/>
        </w:rPr>
        <w:t xml:space="preserve">, </w:t>
      </w:r>
      <w:r w:rsidR="00882E00" w:rsidRPr="00C801BA">
        <w:rPr>
          <w:rFonts w:ascii="Verdana" w:hAnsi="Verdana"/>
          <w:sz w:val="26"/>
          <w:szCs w:val="26"/>
        </w:rPr>
        <w:t>cuyo objeto es la administración de los recursos para la atención en salud de la pobl</w:t>
      </w:r>
      <w:r w:rsidR="00882E00">
        <w:rPr>
          <w:rFonts w:ascii="Verdana" w:hAnsi="Verdana"/>
          <w:sz w:val="26"/>
          <w:szCs w:val="26"/>
        </w:rPr>
        <w:t>ación reclusa a cargo del INPEC</w:t>
      </w:r>
      <w:r w:rsidR="008F49BB">
        <w:rPr>
          <w:rFonts w:ascii="Verdana" w:hAnsi="Verdana"/>
          <w:sz w:val="26"/>
          <w:szCs w:val="26"/>
        </w:rPr>
        <w:t>.</w:t>
      </w:r>
      <w:r w:rsidR="00D53F91" w:rsidRPr="00C801BA">
        <w:rPr>
          <w:rFonts w:ascii="Verdana" w:hAnsi="Verdana"/>
          <w:sz w:val="26"/>
          <w:szCs w:val="26"/>
        </w:rPr>
        <w:t xml:space="preserve"> </w:t>
      </w:r>
    </w:p>
    <w:p w:rsidR="00D53F91" w:rsidRDefault="00D53F91" w:rsidP="00B7326D">
      <w:pPr>
        <w:spacing w:line="276" w:lineRule="auto"/>
        <w:jc w:val="both"/>
        <w:rPr>
          <w:rFonts w:ascii="Verdana" w:hAnsi="Verdana"/>
          <w:sz w:val="26"/>
          <w:szCs w:val="26"/>
        </w:rPr>
      </w:pPr>
    </w:p>
    <w:p w:rsidR="00C801BA" w:rsidRPr="00DA4BFE" w:rsidRDefault="00E57DC4" w:rsidP="00B7326D">
      <w:pPr>
        <w:spacing w:line="336" w:lineRule="auto"/>
        <w:jc w:val="both"/>
        <w:rPr>
          <w:rFonts w:ascii="Verdana" w:hAnsi="Verdana"/>
          <w:sz w:val="26"/>
          <w:szCs w:val="26"/>
        </w:rPr>
      </w:pPr>
      <w:r>
        <w:rPr>
          <w:rFonts w:ascii="Verdana" w:hAnsi="Verdana"/>
          <w:sz w:val="26"/>
          <w:szCs w:val="26"/>
        </w:rPr>
        <w:t>Finalmente</w:t>
      </w:r>
      <w:r w:rsidR="00C801BA">
        <w:rPr>
          <w:rFonts w:ascii="Verdana" w:hAnsi="Verdana"/>
          <w:sz w:val="26"/>
          <w:szCs w:val="26"/>
        </w:rPr>
        <w:t xml:space="preserve">, </w:t>
      </w:r>
      <w:r w:rsidR="00C801BA" w:rsidRPr="00C801BA">
        <w:rPr>
          <w:rFonts w:ascii="Verdana" w:hAnsi="Verdana"/>
          <w:sz w:val="26"/>
          <w:szCs w:val="26"/>
        </w:rPr>
        <w:t xml:space="preserve">el </w:t>
      </w:r>
      <w:r>
        <w:rPr>
          <w:rFonts w:ascii="Verdana" w:hAnsi="Verdana"/>
          <w:sz w:val="26"/>
          <w:szCs w:val="26"/>
        </w:rPr>
        <w:t>Gobierno Nacional</w:t>
      </w:r>
      <w:r w:rsidR="00C801BA" w:rsidRPr="00C801BA">
        <w:rPr>
          <w:rFonts w:ascii="Verdana" w:hAnsi="Verdana"/>
          <w:sz w:val="26"/>
          <w:szCs w:val="26"/>
        </w:rPr>
        <w:t xml:space="preserve"> mediante el Decreto de 2519 de</w:t>
      </w:r>
      <w:r w:rsidR="000A1C4C">
        <w:rPr>
          <w:rFonts w:ascii="Verdana" w:hAnsi="Verdana"/>
          <w:sz w:val="26"/>
          <w:szCs w:val="26"/>
        </w:rPr>
        <w:t>l 28 de diciembre de</w:t>
      </w:r>
      <w:r w:rsidR="00C801BA" w:rsidRPr="00C801BA">
        <w:rPr>
          <w:rFonts w:ascii="Verdana" w:hAnsi="Verdana"/>
          <w:sz w:val="26"/>
          <w:szCs w:val="26"/>
        </w:rPr>
        <w:t xml:space="preserve"> 2015</w:t>
      </w:r>
      <w:r w:rsidR="008F49BB">
        <w:rPr>
          <w:rFonts w:ascii="Verdana" w:hAnsi="Verdana"/>
          <w:sz w:val="26"/>
          <w:szCs w:val="26"/>
        </w:rPr>
        <w:t>,</w:t>
      </w:r>
      <w:r w:rsidR="00C801BA" w:rsidRPr="00C801BA">
        <w:rPr>
          <w:rFonts w:ascii="Verdana" w:hAnsi="Verdana"/>
          <w:sz w:val="26"/>
          <w:szCs w:val="26"/>
        </w:rPr>
        <w:t xml:space="preserve"> ordenó la supresión y liquidación de </w:t>
      </w:r>
      <w:r w:rsidR="00C801BA" w:rsidRPr="00C801BA">
        <w:rPr>
          <w:rFonts w:ascii="Verdana" w:hAnsi="Verdana"/>
          <w:sz w:val="26"/>
          <w:szCs w:val="26"/>
        </w:rPr>
        <w:lastRenderedPageBreak/>
        <w:t xml:space="preserve">CAPRECOM EICE, </w:t>
      </w:r>
      <w:r w:rsidR="00743CD7">
        <w:rPr>
          <w:rFonts w:ascii="Verdana" w:hAnsi="Verdana"/>
          <w:sz w:val="26"/>
          <w:szCs w:val="26"/>
        </w:rPr>
        <w:t xml:space="preserve">y se planteó que dicha entidad seguiría prestando los servicios en salud de manera gradual, hasta tanto éstos fueran asumidos definitivamente por la USPEC. </w:t>
      </w:r>
    </w:p>
    <w:p w:rsidR="008F49BB" w:rsidRDefault="008F49BB" w:rsidP="00B7326D">
      <w:pPr>
        <w:spacing w:line="276" w:lineRule="auto"/>
        <w:jc w:val="both"/>
        <w:rPr>
          <w:rFonts w:ascii="Verdana" w:hAnsi="Verdana"/>
          <w:sz w:val="26"/>
          <w:szCs w:val="26"/>
        </w:rPr>
      </w:pPr>
    </w:p>
    <w:p w:rsidR="008F49BB" w:rsidRDefault="00DA4BFE" w:rsidP="00B7326D">
      <w:pPr>
        <w:spacing w:line="336" w:lineRule="auto"/>
        <w:jc w:val="both"/>
        <w:rPr>
          <w:rFonts w:ascii="Verdana" w:hAnsi="Verdana"/>
          <w:sz w:val="26"/>
          <w:szCs w:val="26"/>
        </w:rPr>
      </w:pPr>
      <w:r>
        <w:rPr>
          <w:rFonts w:ascii="Verdana" w:hAnsi="Verdana"/>
          <w:sz w:val="26"/>
          <w:szCs w:val="26"/>
        </w:rPr>
        <w:t xml:space="preserve">Es así como en la actualidad, las labores tendientes a garantizar la prestación efectiva de este servicio han sido distribuidas entre la USPEC, el consorcio PPL y el INPEC:   </w:t>
      </w:r>
    </w:p>
    <w:p w:rsidR="008B4E87" w:rsidRDefault="008B4E87" w:rsidP="00B7326D">
      <w:pPr>
        <w:spacing w:line="276" w:lineRule="auto"/>
        <w:jc w:val="both"/>
        <w:rPr>
          <w:rFonts w:ascii="Verdana" w:hAnsi="Verdana"/>
          <w:sz w:val="26"/>
          <w:szCs w:val="26"/>
        </w:rPr>
      </w:pPr>
    </w:p>
    <w:p w:rsidR="00F34E8F" w:rsidRDefault="008B4E87" w:rsidP="00B7326D">
      <w:pPr>
        <w:spacing w:line="336" w:lineRule="auto"/>
        <w:jc w:val="both"/>
        <w:rPr>
          <w:rStyle w:val="iaj"/>
          <w:rFonts w:ascii="Verdana" w:hAnsi="Verdana" w:cs="Arial"/>
          <w:i/>
          <w:iCs/>
          <w:sz w:val="22"/>
          <w:szCs w:val="22"/>
        </w:rPr>
      </w:pPr>
      <w:r>
        <w:rPr>
          <w:rFonts w:ascii="Verdana" w:hAnsi="Verdana"/>
          <w:sz w:val="26"/>
          <w:szCs w:val="26"/>
        </w:rPr>
        <w:t xml:space="preserve">De esta manera, </w:t>
      </w:r>
      <w:r w:rsidR="00E619BB">
        <w:rPr>
          <w:rFonts w:ascii="Verdana" w:hAnsi="Verdana"/>
          <w:sz w:val="26"/>
          <w:szCs w:val="26"/>
        </w:rPr>
        <w:t>según el parágrafo 2º de la Ley 1709 de 2014, una de las funciones del</w:t>
      </w:r>
      <w:r>
        <w:rPr>
          <w:rFonts w:ascii="Verdana" w:hAnsi="Verdana"/>
          <w:sz w:val="26"/>
          <w:szCs w:val="26"/>
        </w:rPr>
        <w:t xml:space="preserve"> Consorcio PPL como administrador de los recursos para la prestación de</w:t>
      </w:r>
      <w:r w:rsidR="000A6DE8">
        <w:rPr>
          <w:rFonts w:ascii="Verdana" w:hAnsi="Verdana"/>
          <w:sz w:val="26"/>
          <w:szCs w:val="26"/>
        </w:rPr>
        <w:t xml:space="preserve"> los servicios en salud de los internos</w:t>
      </w:r>
      <w:r w:rsidR="00E619BB">
        <w:rPr>
          <w:rFonts w:ascii="Verdana" w:hAnsi="Verdana"/>
          <w:sz w:val="26"/>
          <w:szCs w:val="26"/>
        </w:rPr>
        <w:t xml:space="preserve"> es: </w:t>
      </w:r>
      <w:r w:rsidR="00E619BB" w:rsidRPr="00E619BB">
        <w:rPr>
          <w:rFonts w:ascii="Verdana" w:hAnsi="Verdana"/>
          <w:sz w:val="22"/>
          <w:szCs w:val="22"/>
        </w:rPr>
        <w:t>“</w:t>
      </w:r>
      <w:r w:rsidR="000A6DE8" w:rsidRPr="00E619BB">
        <w:rPr>
          <w:rStyle w:val="iaj"/>
          <w:rFonts w:ascii="Verdana" w:hAnsi="Verdana" w:cs="Arial"/>
          <w:i/>
          <w:iCs/>
          <w:sz w:val="22"/>
          <w:szCs w:val="22"/>
        </w:rPr>
        <w:t>Garantizar la prestación de los servicios médico-asistenciales, que contratará con entidades de acuerdo con instrucciones que imparta el Consejo Directivo del Fondo.</w:t>
      </w:r>
      <w:r w:rsidR="00E619BB">
        <w:rPr>
          <w:rStyle w:val="iaj"/>
          <w:rFonts w:ascii="Verdana" w:hAnsi="Verdana" w:cs="Arial"/>
          <w:i/>
          <w:iCs/>
          <w:sz w:val="22"/>
          <w:szCs w:val="22"/>
        </w:rPr>
        <w:t>”</w:t>
      </w:r>
      <w:r w:rsidR="008F0D01">
        <w:rPr>
          <w:rStyle w:val="iaj"/>
          <w:rFonts w:ascii="Verdana" w:hAnsi="Verdana" w:cs="Arial"/>
          <w:i/>
          <w:iCs/>
          <w:sz w:val="22"/>
          <w:szCs w:val="22"/>
        </w:rPr>
        <w:t xml:space="preserve">, </w:t>
      </w:r>
    </w:p>
    <w:p w:rsidR="00F34E8F" w:rsidRPr="00B7326D" w:rsidRDefault="00F34E8F" w:rsidP="00B7326D">
      <w:pPr>
        <w:spacing w:line="276" w:lineRule="auto"/>
        <w:jc w:val="both"/>
        <w:rPr>
          <w:rStyle w:val="iaj"/>
          <w:rFonts w:ascii="Verdana" w:hAnsi="Verdana" w:cs="Arial"/>
          <w:i/>
          <w:iCs/>
          <w:sz w:val="26"/>
          <w:szCs w:val="26"/>
        </w:rPr>
      </w:pPr>
    </w:p>
    <w:p w:rsidR="000A6DE8" w:rsidRDefault="00F34E8F" w:rsidP="00B7326D">
      <w:pPr>
        <w:spacing w:line="336" w:lineRule="auto"/>
        <w:jc w:val="both"/>
        <w:rPr>
          <w:rFonts w:ascii="Verdana" w:hAnsi="Verdana"/>
          <w:i/>
          <w:sz w:val="22"/>
          <w:szCs w:val="22"/>
        </w:rPr>
      </w:pPr>
      <w:r>
        <w:rPr>
          <w:rStyle w:val="iaj"/>
          <w:rFonts w:ascii="Verdana" w:hAnsi="Verdana" w:cs="Arial"/>
          <w:iCs/>
          <w:sz w:val="26"/>
          <w:szCs w:val="26"/>
        </w:rPr>
        <w:t>A</w:t>
      </w:r>
      <w:r w:rsidR="008F0D01" w:rsidRPr="008F0D01">
        <w:rPr>
          <w:rStyle w:val="iaj"/>
          <w:rFonts w:ascii="Verdana" w:hAnsi="Verdana" w:cs="Arial"/>
          <w:iCs/>
          <w:sz w:val="26"/>
          <w:szCs w:val="26"/>
        </w:rPr>
        <w:t>hora, conforme al</w:t>
      </w:r>
      <w:r w:rsidR="008F0D01">
        <w:rPr>
          <w:rStyle w:val="iaj"/>
          <w:rFonts w:ascii="Verdana" w:hAnsi="Verdana" w:cs="Arial"/>
          <w:iCs/>
          <w:sz w:val="26"/>
          <w:szCs w:val="26"/>
        </w:rPr>
        <w:t xml:space="preserve"> artículo 4º del Decreto 4150 de 2011</w:t>
      </w:r>
      <w:r w:rsidR="00CE4532">
        <w:rPr>
          <w:rStyle w:val="iaj"/>
          <w:rFonts w:ascii="Verdana" w:hAnsi="Verdana" w:cs="Arial"/>
          <w:iCs/>
          <w:sz w:val="26"/>
          <w:szCs w:val="26"/>
        </w:rPr>
        <w:t>,</w:t>
      </w:r>
      <w:r w:rsidR="008F0D01">
        <w:rPr>
          <w:rStyle w:val="iaj"/>
          <w:rFonts w:ascii="Verdana" w:hAnsi="Verdana" w:cs="Arial"/>
          <w:iCs/>
          <w:sz w:val="26"/>
          <w:szCs w:val="26"/>
        </w:rPr>
        <w:t xml:space="preserve"> el objeto de la USPEC es </w:t>
      </w:r>
      <w:r w:rsidR="008F0D01" w:rsidRPr="008F0D01">
        <w:rPr>
          <w:rStyle w:val="iaj"/>
          <w:rFonts w:ascii="Verdana" w:hAnsi="Verdana" w:cs="Arial"/>
          <w:i/>
          <w:iCs/>
          <w:sz w:val="22"/>
          <w:szCs w:val="22"/>
        </w:rPr>
        <w:t>“gestionar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INPEC.</w:t>
      </w:r>
      <w:r w:rsidR="008F0D01">
        <w:rPr>
          <w:rStyle w:val="iaj"/>
          <w:rFonts w:ascii="Verdana" w:hAnsi="Verdana" w:cs="Arial"/>
          <w:i/>
          <w:iCs/>
          <w:sz w:val="22"/>
          <w:szCs w:val="22"/>
        </w:rPr>
        <w:t>”</w:t>
      </w:r>
      <w:r>
        <w:rPr>
          <w:rStyle w:val="iaj"/>
          <w:rFonts w:ascii="Verdana" w:hAnsi="Verdana" w:cs="Arial"/>
          <w:i/>
          <w:iCs/>
          <w:sz w:val="22"/>
          <w:szCs w:val="22"/>
        </w:rPr>
        <w:t xml:space="preserve">.  </w:t>
      </w:r>
      <w:r w:rsidRPr="00F34E8F">
        <w:rPr>
          <w:rStyle w:val="iaj"/>
          <w:rFonts w:ascii="Verdana" w:hAnsi="Verdana" w:cs="Arial"/>
          <w:iCs/>
          <w:sz w:val="26"/>
          <w:szCs w:val="26"/>
        </w:rPr>
        <w:t>Po</w:t>
      </w:r>
      <w:r>
        <w:rPr>
          <w:rStyle w:val="iaj"/>
          <w:rFonts w:ascii="Verdana" w:hAnsi="Verdana" w:cs="Arial"/>
          <w:iCs/>
          <w:sz w:val="26"/>
          <w:szCs w:val="26"/>
        </w:rPr>
        <w:t xml:space="preserve">r otra parte, la Resolución 5159 del Ministerio de Salud y Protección Social, señala que son funciones de dicha Unidad, entre otras: </w:t>
      </w:r>
      <w:r w:rsidRPr="00F34E8F">
        <w:rPr>
          <w:rStyle w:val="iaj"/>
          <w:rFonts w:ascii="Verdana" w:hAnsi="Verdana" w:cs="Arial"/>
          <w:i/>
          <w:iCs/>
          <w:sz w:val="22"/>
          <w:szCs w:val="22"/>
        </w:rPr>
        <w:t xml:space="preserve">“Contratar la entidad fiduciaria con cargo a los recursos del Fondo Nacional de Salud de la Personas Privadas de la Libertad y </w:t>
      </w:r>
      <w:r w:rsidRPr="005E79EB">
        <w:rPr>
          <w:rStyle w:val="iaj"/>
          <w:rFonts w:ascii="Verdana" w:hAnsi="Verdana" w:cs="Arial"/>
          <w:b/>
          <w:i/>
          <w:iCs/>
          <w:sz w:val="22"/>
          <w:szCs w:val="22"/>
        </w:rPr>
        <w:t>establecer las condiciones para que dicha entidad contrate la prestación integral y oportuna de los servicios de salud para la población privada de la libertad</w:t>
      </w:r>
      <w:r w:rsidRPr="00F34E8F">
        <w:rPr>
          <w:rStyle w:val="iaj"/>
          <w:rFonts w:ascii="Verdana" w:hAnsi="Verdana" w:cs="Arial"/>
          <w:i/>
          <w:iCs/>
          <w:sz w:val="22"/>
          <w:szCs w:val="22"/>
        </w:rPr>
        <w:t>, de acuerdo con las decisiones del Consejo Directivo del Fondo, así como con el Modelo de Atención en Servicios de Salud establecido y teniendo en consideración los respectivos manuales técnicos administrativos para la prestación de servicios de salud que se adopten .</w:t>
      </w:r>
      <w:r w:rsidR="005E79EB">
        <w:rPr>
          <w:rStyle w:val="iaj"/>
          <w:rFonts w:ascii="Verdana" w:hAnsi="Verdana" w:cs="Arial"/>
          <w:i/>
          <w:iCs/>
          <w:sz w:val="22"/>
          <w:szCs w:val="22"/>
        </w:rPr>
        <w:t>”</w:t>
      </w:r>
      <w:r w:rsidR="00D7610F" w:rsidRPr="00D7610F">
        <w:rPr>
          <w:rStyle w:val="iaj"/>
          <w:rFonts w:ascii="Verdana" w:hAnsi="Verdana" w:cs="Arial"/>
          <w:iCs/>
          <w:sz w:val="26"/>
          <w:szCs w:val="26"/>
        </w:rPr>
        <w:t>,</w:t>
      </w:r>
      <w:r w:rsidR="005E79EB">
        <w:rPr>
          <w:rStyle w:val="iaj"/>
          <w:rFonts w:ascii="Verdana" w:hAnsi="Verdana" w:cs="Arial"/>
          <w:i/>
          <w:iCs/>
          <w:sz w:val="22"/>
          <w:szCs w:val="22"/>
        </w:rPr>
        <w:t xml:space="preserve"> </w:t>
      </w:r>
      <w:r w:rsidR="00D7610F">
        <w:rPr>
          <w:rStyle w:val="iaj"/>
          <w:rFonts w:ascii="Verdana" w:hAnsi="Verdana" w:cs="Arial"/>
          <w:iCs/>
          <w:sz w:val="26"/>
          <w:szCs w:val="26"/>
        </w:rPr>
        <w:t>y</w:t>
      </w:r>
      <w:r w:rsidR="005E79EB" w:rsidRPr="005E79EB">
        <w:rPr>
          <w:rStyle w:val="iaj"/>
          <w:rFonts w:ascii="Verdana" w:hAnsi="Verdana" w:cs="Arial"/>
          <w:iCs/>
          <w:sz w:val="26"/>
          <w:szCs w:val="26"/>
        </w:rPr>
        <w:t xml:space="preserve">: </w:t>
      </w:r>
      <w:r w:rsidR="005E79EB" w:rsidRPr="005E79EB">
        <w:rPr>
          <w:rStyle w:val="iaj"/>
          <w:rFonts w:ascii="Verdana" w:hAnsi="Verdana" w:cs="Arial"/>
          <w:i/>
          <w:iCs/>
          <w:sz w:val="22"/>
          <w:szCs w:val="22"/>
        </w:rPr>
        <w:t>“</w:t>
      </w:r>
      <w:r w:rsidR="005E79EB" w:rsidRPr="005E79EB">
        <w:rPr>
          <w:rFonts w:ascii="Verdana" w:hAnsi="Verdana"/>
          <w:i/>
          <w:sz w:val="22"/>
          <w:szCs w:val="22"/>
        </w:rPr>
        <w:t>Las demás que sean necesarias para la prestación de los servicios de salud a la población privada de la libertad.”</w:t>
      </w:r>
    </w:p>
    <w:p w:rsidR="005A0779" w:rsidRPr="00B7326D" w:rsidRDefault="005A0779" w:rsidP="00B7326D">
      <w:pPr>
        <w:spacing w:line="276" w:lineRule="auto"/>
        <w:jc w:val="both"/>
        <w:rPr>
          <w:rFonts w:ascii="Verdana" w:hAnsi="Verdana"/>
          <w:i/>
          <w:sz w:val="26"/>
          <w:szCs w:val="26"/>
        </w:rPr>
      </w:pPr>
    </w:p>
    <w:p w:rsidR="005A0779" w:rsidRPr="00172CB4" w:rsidRDefault="005A0779" w:rsidP="00B7326D">
      <w:pPr>
        <w:spacing w:line="336" w:lineRule="auto"/>
        <w:jc w:val="both"/>
        <w:rPr>
          <w:rFonts w:ascii="Verdana" w:hAnsi="Verdana" w:cs="Arial"/>
          <w:iCs/>
          <w:sz w:val="22"/>
          <w:szCs w:val="22"/>
        </w:rPr>
      </w:pPr>
      <w:r w:rsidRPr="005A0779">
        <w:rPr>
          <w:rFonts w:ascii="Verdana" w:hAnsi="Verdana"/>
          <w:sz w:val="26"/>
          <w:szCs w:val="26"/>
        </w:rPr>
        <w:t xml:space="preserve">El INPEC por su parte, </w:t>
      </w:r>
      <w:r w:rsidR="004A236F">
        <w:rPr>
          <w:rFonts w:ascii="Verdana" w:hAnsi="Verdana"/>
          <w:sz w:val="26"/>
          <w:szCs w:val="26"/>
        </w:rPr>
        <w:t xml:space="preserve">a través del respectivo establecimiento penitenciario, </w:t>
      </w:r>
      <w:r w:rsidR="00172CB4">
        <w:rPr>
          <w:rFonts w:ascii="Verdana" w:hAnsi="Verdana"/>
          <w:sz w:val="26"/>
          <w:szCs w:val="26"/>
        </w:rPr>
        <w:t>tiene como función en lo relacionado con la prestación de los servicios en salud de la PPL</w:t>
      </w:r>
      <w:r w:rsidR="006C41E3">
        <w:rPr>
          <w:rStyle w:val="Refdenotaalpie"/>
          <w:rFonts w:ascii="Verdana" w:hAnsi="Verdana"/>
          <w:sz w:val="26"/>
          <w:szCs w:val="26"/>
        </w:rPr>
        <w:footnoteReference w:id="2"/>
      </w:r>
      <w:r w:rsidR="00172CB4">
        <w:rPr>
          <w:rFonts w:ascii="Verdana" w:hAnsi="Verdana"/>
          <w:sz w:val="26"/>
          <w:szCs w:val="26"/>
        </w:rPr>
        <w:t xml:space="preserve">: </w:t>
      </w:r>
      <w:r w:rsidR="00172CB4" w:rsidRPr="00172CB4">
        <w:rPr>
          <w:rFonts w:ascii="Verdana" w:hAnsi="Verdana"/>
          <w:i/>
          <w:sz w:val="26"/>
          <w:szCs w:val="26"/>
        </w:rPr>
        <w:t>“</w:t>
      </w:r>
      <w:r w:rsidR="00172CB4" w:rsidRPr="00172CB4">
        <w:rPr>
          <w:rFonts w:ascii="Verdana" w:hAnsi="Verdana"/>
          <w:i/>
          <w:sz w:val="22"/>
          <w:szCs w:val="22"/>
        </w:rPr>
        <w:t xml:space="preserve">Garantizar las </w:t>
      </w:r>
      <w:r w:rsidR="00172CB4" w:rsidRPr="00172CB4">
        <w:rPr>
          <w:rFonts w:ascii="Verdana" w:hAnsi="Verdana"/>
          <w:i/>
          <w:sz w:val="22"/>
          <w:szCs w:val="22"/>
        </w:rPr>
        <w:lastRenderedPageBreak/>
        <w:t>condiciones y medios para el traslado de personas privadas de la libertad a la prestación de servicios de salud, tanto al interior de los establecimientos de reclusión como cuando se requiera atención extramural, de conformidad con los artículos 2.2.1.11.4.2.3. y 2.2.1.11.4.2.4. del presente capítulo, y apoyar las actividades de referencia y contrarreferencia.</w:t>
      </w:r>
      <w:r w:rsidR="00172CB4" w:rsidRPr="00172CB4">
        <w:rPr>
          <w:rFonts w:ascii="Verdana" w:hAnsi="Verdana"/>
          <w:i/>
          <w:sz w:val="26"/>
          <w:szCs w:val="26"/>
        </w:rPr>
        <w:t>”; “</w:t>
      </w:r>
      <w:r w:rsidR="00172CB4" w:rsidRPr="00172CB4">
        <w:rPr>
          <w:rFonts w:ascii="Verdana" w:hAnsi="Verdana"/>
          <w:i/>
          <w:sz w:val="22"/>
          <w:szCs w:val="22"/>
        </w:rPr>
        <w:t>Expedir, en coordinación con la Unidad de Servicios Penitenciarios y Carcelarios — USPEC- los Manuales Técnicos Administrativos para la prestación de servicios de salud que se requieran conforme a las particularidades diferenciales de cada establecimiento de reclusión, acorde con el Modelo de Atención en Salud para la Población Privada d</w:t>
      </w:r>
      <w:r w:rsidR="00172CB4">
        <w:rPr>
          <w:rFonts w:ascii="Verdana" w:hAnsi="Verdana"/>
          <w:i/>
          <w:sz w:val="22"/>
          <w:szCs w:val="22"/>
        </w:rPr>
        <w:t>e la Libertad que se establezca</w:t>
      </w:r>
      <w:r w:rsidR="00172CB4" w:rsidRPr="00172CB4">
        <w:rPr>
          <w:rFonts w:ascii="Verdana" w:hAnsi="Verdana"/>
          <w:i/>
          <w:sz w:val="22"/>
          <w:szCs w:val="22"/>
        </w:rPr>
        <w:t>.</w:t>
      </w:r>
      <w:r w:rsidR="00172CB4" w:rsidRPr="00172CB4">
        <w:rPr>
          <w:rFonts w:ascii="Verdana" w:hAnsi="Verdana"/>
          <w:i/>
          <w:sz w:val="26"/>
          <w:szCs w:val="26"/>
        </w:rPr>
        <w:t>”</w:t>
      </w:r>
      <w:r w:rsidR="00172CB4">
        <w:rPr>
          <w:rFonts w:ascii="Verdana" w:hAnsi="Verdana"/>
          <w:i/>
          <w:sz w:val="26"/>
          <w:szCs w:val="26"/>
        </w:rPr>
        <w:t xml:space="preserve"> </w:t>
      </w:r>
      <w:r w:rsidR="00172CB4" w:rsidRPr="00172CB4">
        <w:rPr>
          <w:rFonts w:ascii="Verdana" w:hAnsi="Verdana"/>
          <w:sz w:val="26"/>
          <w:szCs w:val="26"/>
        </w:rPr>
        <w:t>y finalmente</w:t>
      </w:r>
      <w:r w:rsidR="00172CB4">
        <w:rPr>
          <w:rFonts w:ascii="Verdana" w:hAnsi="Verdana"/>
          <w:sz w:val="26"/>
          <w:szCs w:val="26"/>
        </w:rPr>
        <w:t xml:space="preserve"> “</w:t>
      </w:r>
      <w:r w:rsidR="00172CB4" w:rsidRPr="00172CB4">
        <w:rPr>
          <w:rFonts w:ascii="Verdana" w:hAnsi="Verdana"/>
          <w:i/>
          <w:sz w:val="22"/>
          <w:szCs w:val="22"/>
        </w:rPr>
        <w:t>Las demás que sean necesarias para la prestación de los servicios de salud de la población privada de la libertad</w:t>
      </w:r>
      <w:r w:rsidR="00172CB4">
        <w:rPr>
          <w:rFonts w:ascii="Verdana" w:hAnsi="Verdana"/>
          <w:i/>
          <w:sz w:val="22"/>
          <w:szCs w:val="22"/>
        </w:rPr>
        <w:t xml:space="preserve">”. </w:t>
      </w:r>
    </w:p>
    <w:p w:rsidR="003E035D" w:rsidRPr="00B7326D" w:rsidRDefault="003E035D" w:rsidP="00B7326D">
      <w:pPr>
        <w:pStyle w:val="Textoindependiente"/>
        <w:spacing w:line="276" w:lineRule="auto"/>
        <w:jc w:val="both"/>
        <w:rPr>
          <w:rFonts w:ascii="Verdana" w:hAnsi="Verdana" w:cs="Arial"/>
          <w:i/>
          <w:sz w:val="26"/>
          <w:szCs w:val="26"/>
        </w:rPr>
      </w:pPr>
    </w:p>
    <w:p w:rsidR="001C1474" w:rsidRDefault="0034539B" w:rsidP="00367A80">
      <w:pPr>
        <w:pStyle w:val="Textoindependiente"/>
        <w:spacing w:line="312" w:lineRule="auto"/>
        <w:jc w:val="both"/>
        <w:rPr>
          <w:rFonts w:ascii="Verdana" w:hAnsi="Verdana" w:cs="Arial"/>
          <w:sz w:val="26"/>
          <w:szCs w:val="26"/>
        </w:rPr>
      </w:pPr>
      <w:r>
        <w:rPr>
          <w:rFonts w:ascii="Verdana" w:hAnsi="Verdana" w:cs="Arial"/>
          <w:sz w:val="26"/>
          <w:szCs w:val="26"/>
        </w:rPr>
        <w:t xml:space="preserve">Teniendo en cuenta lo expuesto en precedencia, </w:t>
      </w:r>
      <w:r w:rsidR="00483BCA">
        <w:rPr>
          <w:rFonts w:ascii="Verdana" w:hAnsi="Verdana" w:cs="Arial"/>
          <w:sz w:val="26"/>
          <w:szCs w:val="26"/>
        </w:rPr>
        <w:t xml:space="preserve">es pertinente concluir que </w:t>
      </w:r>
      <w:r w:rsidR="00367A80">
        <w:rPr>
          <w:rFonts w:ascii="Verdana" w:hAnsi="Verdana" w:cs="Arial"/>
          <w:sz w:val="26"/>
          <w:szCs w:val="26"/>
        </w:rPr>
        <w:t xml:space="preserve">si bien </w:t>
      </w:r>
      <w:r w:rsidR="00483BCA">
        <w:rPr>
          <w:rFonts w:ascii="Verdana" w:hAnsi="Verdana" w:cs="Arial"/>
          <w:sz w:val="26"/>
          <w:szCs w:val="26"/>
        </w:rPr>
        <w:t>la orden fue dada inicialmente a CAPRECOM, debido a las aludidas transformaciones del sistema de salud de la población privada de la libertad, esa entidad ya no tiene facultades para dar cumplimiento a la misma</w:t>
      </w:r>
      <w:r w:rsidR="00B61E48">
        <w:rPr>
          <w:rFonts w:ascii="Verdana" w:hAnsi="Verdana" w:cs="Arial"/>
          <w:sz w:val="26"/>
          <w:szCs w:val="26"/>
        </w:rPr>
        <w:t>,</w:t>
      </w:r>
      <w:r w:rsidR="00483BCA">
        <w:rPr>
          <w:rFonts w:ascii="Verdana" w:hAnsi="Verdana" w:cs="Arial"/>
          <w:sz w:val="26"/>
          <w:szCs w:val="26"/>
        </w:rPr>
        <w:t xml:space="preserve"> por lo que en atención a la figura de la sucesión procesal</w:t>
      </w:r>
      <w:r w:rsidR="00367A80">
        <w:rPr>
          <w:rStyle w:val="Refdenotaalpie"/>
          <w:rFonts w:ascii="Verdana" w:hAnsi="Verdana" w:cs="Arial"/>
          <w:sz w:val="26"/>
          <w:szCs w:val="26"/>
        </w:rPr>
        <w:footnoteReference w:id="3"/>
      </w:r>
      <w:r w:rsidR="00B61E48">
        <w:rPr>
          <w:rFonts w:ascii="Verdana" w:hAnsi="Verdana" w:cs="Arial"/>
          <w:sz w:val="26"/>
          <w:szCs w:val="26"/>
        </w:rPr>
        <w:t xml:space="preserve"> de que trata el artículo 68 del Código General del Proceso, </w:t>
      </w:r>
      <w:r>
        <w:rPr>
          <w:rFonts w:ascii="Verdana" w:hAnsi="Verdana" w:cs="Arial"/>
          <w:sz w:val="26"/>
          <w:szCs w:val="26"/>
        </w:rPr>
        <w:t xml:space="preserve">se advierte que las entidades anteriormente </w:t>
      </w:r>
      <w:r w:rsidR="00367A80">
        <w:rPr>
          <w:rFonts w:ascii="Verdana" w:hAnsi="Verdana" w:cs="Arial"/>
          <w:sz w:val="26"/>
          <w:szCs w:val="26"/>
        </w:rPr>
        <w:t>mencionadas</w:t>
      </w:r>
      <w:r>
        <w:rPr>
          <w:rFonts w:ascii="Verdana" w:hAnsi="Verdana" w:cs="Arial"/>
          <w:sz w:val="26"/>
          <w:szCs w:val="26"/>
        </w:rPr>
        <w:t xml:space="preserve"> funcionan de forma arm</w:t>
      </w:r>
      <w:r w:rsidR="001A08F6">
        <w:rPr>
          <w:rFonts w:ascii="Verdana" w:hAnsi="Verdana" w:cs="Arial"/>
          <w:sz w:val="26"/>
          <w:szCs w:val="26"/>
        </w:rPr>
        <w:t>ónica</w:t>
      </w:r>
      <w:r>
        <w:rPr>
          <w:rFonts w:ascii="Verdana" w:hAnsi="Verdana" w:cs="Arial"/>
          <w:sz w:val="26"/>
          <w:szCs w:val="26"/>
        </w:rPr>
        <w:t xml:space="preserve"> con la distribución de funciones que a cada una de ellas se le ha impuesto, de modo que </w:t>
      </w:r>
      <w:r w:rsidR="00737054">
        <w:rPr>
          <w:rFonts w:ascii="Verdana" w:hAnsi="Verdana" w:cs="Arial"/>
          <w:sz w:val="26"/>
          <w:szCs w:val="26"/>
        </w:rPr>
        <w:t xml:space="preserve">se hace imprescindible </w:t>
      </w:r>
      <w:r w:rsidR="001A08F6">
        <w:rPr>
          <w:rFonts w:ascii="Verdana" w:hAnsi="Verdana" w:cs="Arial"/>
          <w:sz w:val="26"/>
          <w:szCs w:val="26"/>
        </w:rPr>
        <w:t xml:space="preserve">la vinculación de todas ellas a la hora de </w:t>
      </w:r>
      <w:r w:rsidR="00737054">
        <w:rPr>
          <w:rFonts w:ascii="Verdana" w:hAnsi="Verdana" w:cs="Arial"/>
          <w:sz w:val="26"/>
          <w:szCs w:val="26"/>
        </w:rPr>
        <w:t>evaluar</w:t>
      </w:r>
      <w:r w:rsidR="005E5927">
        <w:rPr>
          <w:rFonts w:ascii="Verdana" w:hAnsi="Verdana" w:cs="Arial"/>
          <w:sz w:val="26"/>
          <w:szCs w:val="26"/>
        </w:rPr>
        <w:t xml:space="preserve"> si se ha presentado un inc</w:t>
      </w:r>
      <w:r w:rsidR="001136C6">
        <w:rPr>
          <w:rFonts w:ascii="Verdana" w:hAnsi="Verdana" w:cs="Arial"/>
          <w:sz w:val="26"/>
          <w:szCs w:val="26"/>
        </w:rPr>
        <w:t xml:space="preserve">umplimiento a las órdenes proferidas </w:t>
      </w:r>
      <w:r w:rsidR="0066552D">
        <w:rPr>
          <w:rFonts w:ascii="Verdana" w:hAnsi="Verdana" w:cs="Arial"/>
          <w:sz w:val="26"/>
          <w:szCs w:val="26"/>
        </w:rPr>
        <w:t>la acción de tutela a la cual se ha hecho referencia en este trámite, para determinar en quién recae esa desobediencia</w:t>
      </w:r>
      <w:r w:rsidR="007C27D2">
        <w:rPr>
          <w:rFonts w:ascii="Verdana" w:hAnsi="Verdana" w:cs="Arial"/>
          <w:sz w:val="26"/>
          <w:szCs w:val="26"/>
        </w:rPr>
        <w:t xml:space="preserve">, sobre todo porque al verificar la información que reposa en el expediente, el Consorcio Fondo de Atención en Salud PPL informó que ya emitió las respectivas órdenes para dar cumplimiento a lo dispuesto en el fallo, las cuales se remitieron al </w:t>
      </w:r>
      <w:r w:rsidR="001C1474">
        <w:rPr>
          <w:rFonts w:ascii="Verdana" w:hAnsi="Verdana" w:cs="Arial"/>
          <w:sz w:val="26"/>
          <w:szCs w:val="26"/>
        </w:rPr>
        <w:t>área de sanidad del</w:t>
      </w:r>
      <w:r w:rsidR="007C27D2">
        <w:rPr>
          <w:rFonts w:ascii="Verdana" w:hAnsi="Verdana" w:cs="Arial"/>
          <w:sz w:val="26"/>
          <w:szCs w:val="26"/>
        </w:rPr>
        <w:t xml:space="preserve"> centro penitenciario para lo de su competencia, consistente en solicitar las atenciones autorizadas a la IPS encargada, pese a lo cual sostiene la parte accionante que ello no se ha logrado, sin que se pueda evidenciar en este caso, los </w:t>
      </w:r>
      <w:r w:rsidR="007C27D2">
        <w:rPr>
          <w:rFonts w:ascii="Verdana" w:hAnsi="Verdana" w:cs="Arial"/>
          <w:sz w:val="26"/>
          <w:szCs w:val="26"/>
        </w:rPr>
        <w:lastRenderedPageBreak/>
        <w:t>tramites que se han efectuado por parte del INPEC</w:t>
      </w:r>
      <w:r w:rsidR="004A236F">
        <w:rPr>
          <w:rFonts w:ascii="Verdana" w:hAnsi="Verdana" w:cs="Arial"/>
          <w:sz w:val="26"/>
          <w:szCs w:val="26"/>
        </w:rPr>
        <w:t xml:space="preserve"> y el USPEC</w:t>
      </w:r>
      <w:r w:rsidR="007C27D2">
        <w:rPr>
          <w:rFonts w:ascii="Verdana" w:hAnsi="Verdana" w:cs="Arial"/>
          <w:sz w:val="26"/>
          <w:szCs w:val="26"/>
        </w:rPr>
        <w:t xml:space="preserve"> para cumplir con las labores que le han sido encomendadas</w:t>
      </w:r>
      <w:r w:rsidR="001C1474">
        <w:rPr>
          <w:rFonts w:ascii="Verdana" w:hAnsi="Verdana" w:cs="Arial"/>
          <w:sz w:val="26"/>
          <w:szCs w:val="26"/>
        </w:rPr>
        <w:t xml:space="preserve">. </w:t>
      </w:r>
      <w:r w:rsidR="001136C6">
        <w:rPr>
          <w:rFonts w:ascii="Verdana" w:hAnsi="Verdana" w:cs="Arial"/>
          <w:sz w:val="26"/>
          <w:szCs w:val="26"/>
        </w:rPr>
        <w:t xml:space="preserve"> </w:t>
      </w:r>
    </w:p>
    <w:p w:rsidR="001C1474" w:rsidRDefault="001C1474" w:rsidP="00B7326D">
      <w:pPr>
        <w:pStyle w:val="Textoindependiente"/>
        <w:spacing w:line="276" w:lineRule="auto"/>
        <w:jc w:val="both"/>
        <w:rPr>
          <w:rFonts w:ascii="Verdana" w:hAnsi="Verdana" w:cs="Arial"/>
          <w:sz w:val="26"/>
          <w:szCs w:val="26"/>
        </w:rPr>
      </w:pPr>
    </w:p>
    <w:p w:rsidR="001C1474" w:rsidRPr="00DA12AF" w:rsidRDefault="001C1474" w:rsidP="00367A80">
      <w:pPr>
        <w:pStyle w:val="Textoindependiente"/>
        <w:spacing w:line="324" w:lineRule="auto"/>
        <w:jc w:val="both"/>
        <w:rPr>
          <w:rFonts w:ascii="Verdana" w:hAnsi="Verdana" w:cs="Arial"/>
          <w:sz w:val="26"/>
          <w:szCs w:val="26"/>
        </w:rPr>
      </w:pPr>
      <w:r>
        <w:rPr>
          <w:rFonts w:ascii="Verdana" w:hAnsi="Verdana" w:cs="Arial"/>
          <w:sz w:val="26"/>
          <w:szCs w:val="26"/>
        </w:rPr>
        <w:t>De acuerdo a lo anterior,</w:t>
      </w:r>
      <w:r w:rsidR="001136C6">
        <w:rPr>
          <w:rFonts w:ascii="Verdana" w:hAnsi="Verdana" w:cs="Arial"/>
          <w:sz w:val="26"/>
          <w:szCs w:val="26"/>
        </w:rPr>
        <w:t xml:space="preserve"> </w:t>
      </w:r>
      <w:r>
        <w:rPr>
          <w:rFonts w:ascii="Verdana" w:hAnsi="Verdana" w:cs="Arial"/>
          <w:sz w:val="26"/>
          <w:szCs w:val="26"/>
        </w:rPr>
        <w:t xml:space="preserve">y a pesar del evidente incumplimiento al </w:t>
      </w:r>
      <w:r w:rsidRPr="00DC4A4D">
        <w:rPr>
          <w:rFonts w:ascii="Verdana" w:hAnsi="Verdana" w:cs="Arial"/>
          <w:sz w:val="26"/>
          <w:szCs w:val="26"/>
        </w:rPr>
        <w:t xml:space="preserve">fallo de tutela emitido el </w:t>
      </w:r>
      <w:r>
        <w:rPr>
          <w:rFonts w:ascii="Verdana" w:hAnsi="Verdana" w:cs="Arial"/>
          <w:sz w:val="26"/>
          <w:szCs w:val="26"/>
        </w:rPr>
        <w:t xml:space="preserve">28 de octubre de 2014 por </w:t>
      </w:r>
      <w:r w:rsidR="000F3F86">
        <w:rPr>
          <w:rFonts w:ascii="Verdana" w:hAnsi="Verdana" w:cs="Arial"/>
          <w:sz w:val="26"/>
          <w:szCs w:val="26"/>
        </w:rPr>
        <w:t>la</w:t>
      </w:r>
      <w:r>
        <w:rPr>
          <w:rFonts w:ascii="Verdana" w:hAnsi="Verdana" w:cs="Arial"/>
          <w:sz w:val="26"/>
          <w:szCs w:val="26"/>
        </w:rPr>
        <w:t xml:space="preserve"> Juez </w:t>
      </w:r>
      <w:r w:rsidR="000F3F86">
        <w:rPr>
          <w:rFonts w:ascii="Verdana" w:hAnsi="Verdana" w:cs="Arial"/>
          <w:sz w:val="26"/>
          <w:szCs w:val="26"/>
        </w:rPr>
        <w:t xml:space="preserve">Penal </w:t>
      </w:r>
      <w:r>
        <w:rPr>
          <w:rFonts w:ascii="Verdana" w:hAnsi="Verdana" w:cs="Arial"/>
          <w:sz w:val="26"/>
          <w:szCs w:val="26"/>
        </w:rPr>
        <w:t>de</w:t>
      </w:r>
      <w:r w:rsidR="000F3F86">
        <w:rPr>
          <w:rFonts w:ascii="Verdana" w:hAnsi="Verdana" w:cs="Arial"/>
          <w:sz w:val="26"/>
          <w:szCs w:val="26"/>
        </w:rPr>
        <w:t xml:space="preserve">l Circuito de Santa Rosa de Cabal en favor del señor JOSÉ EDIER CARMONA CEBALLOS, </w:t>
      </w:r>
      <w:r w:rsidR="001136C6">
        <w:rPr>
          <w:rFonts w:ascii="Verdana" w:hAnsi="Verdana" w:cs="Arial"/>
          <w:sz w:val="26"/>
          <w:szCs w:val="26"/>
        </w:rPr>
        <w:t>encuentra esta Sala que</w:t>
      </w:r>
      <w:r w:rsidR="0066552D">
        <w:rPr>
          <w:rFonts w:ascii="Verdana" w:hAnsi="Verdana" w:cs="Arial"/>
          <w:sz w:val="26"/>
          <w:szCs w:val="26"/>
        </w:rPr>
        <w:t xml:space="preserve"> es necesario decretar </w:t>
      </w:r>
      <w:r w:rsidR="000F3F86">
        <w:rPr>
          <w:rFonts w:ascii="Verdana" w:hAnsi="Verdana" w:cs="Arial"/>
          <w:sz w:val="26"/>
          <w:szCs w:val="26"/>
        </w:rPr>
        <w:t>la</w:t>
      </w:r>
      <w:r w:rsidR="0066552D">
        <w:rPr>
          <w:rFonts w:ascii="Verdana" w:hAnsi="Verdana" w:cs="Arial"/>
          <w:sz w:val="26"/>
          <w:szCs w:val="26"/>
        </w:rPr>
        <w:t xml:space="preserve"> nulidad </w:t>
      </w:r>
      <w:r>
        <w:rPr>
          <w:rFonts w:ascii="Verdana" w:hAnsi="Verdana" w:cs="Arial"/>
          <w:sz w:val="26"/>
          <w:szCs w:val="26"/>
        </w:rPr>
        <w:t xml:space="preserve">de la sanción impuesta dentro del presente asunto, para que se rehagan las actuaciones dentro del incidente de desacato a partir del auto del </w:t>
      </w:r>
      <w:r w:rsidR="000F3F86">
        <w:rPr>
          <w:rFonts w:ascii="Verdana" w:hAnsi="Verdana" w:cs="Arial"/>
          <w:sz w:val="26"/>
          <w:szCs w:val="26"/>
        </w:rPr>
        <w:t>11 de abril</w:t>
      </w:r>
      <w:r>
        <w:rPr>
          <w:rFonts w:ascii="Verdana" w:hAnsi="Verdana" w:cs="Arial"/>
          <w:sz w:val="26"/>
          <w:szCs w:val="26"/>
        </w:rPr>
        <w:t xml:space="preserve"> de 2016</w:t>
      </w:r>
      <w:r w:rsidR="000F3F86">
        <w:rPr>
          <w:rFonts w:ascii="Verdana" w:hAnsi="Verdana" w:cs="Arial"/>
          <w:sz w:val="26"/>
          <w:szCs w:val="26"/>
        </w:rPr>
        <w:t xml:space="preserve"> mediante el cual se efectuó el requerimiento previo de que trata el artículo 27 del Decreto 2591 de 1991</w:t>
      </w:r>
      <w:r>
        <w:rPr>
          <w:rFonts w:ascii="Verdana" w:hAnsi="Verdana" w:cs="Arial"/>
          <w:sz w:val="26"/>
          <w:szCs w:val="26"/>
        </w:rPr>
        <w:t xml:space="preserve">, </w:t>
      </w:r>
      <w:r w:rsidR="000F3F86">
        <w:rPr>
          <w:rFonts w:ascii="Verdana" w:hAnsi="Verdana" w:cs="Arial"/>
          <w:sz w:val="26"/>
          <w:szCs w:val="26"/>
        </w:rPr>
        <w:t xml:space="preserve">puesto que se hace necesario vincular al trámite las demás entidades que se han referido en el transcurso de esta decisión. </w:t>
      </w:r>
    </w:p>
    <w:p w:rsidR="001C1474" w:rsidRDefault="001C1474" w:rsidP="00B7326D">
      <w:pPr>
        <w:spacing w:line="276" w:lineRule="auto"/>
        <w:jc w:val="both"/>
        <w:rPr>
          <w:rFonts w:ascii="Verdana" w:hAnsi="Verdana" w:cs="Arial"/>
          <w:sz w:val="26"/>
          <w:szCs w:val="26"/>
        </w:rPr>
      </w:pPr>
    </w:p>
    <w:p w:rsidR="001C1474" w:rsidRPr="00CD4DDD" w:rsidRDefault="001C1474" w:rsidP="00367A80">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3128CB">
        <w:rPr>
          <w:rFonts w:ascii="Verdana" w:hAnsi="Verdana" w:cs="Arial"/>
          <w:sz w:val="26"/>
          <w:szCs w:val="26"/>
        </w:rPr>
        <w:t xml:space="preserve">En mérito de lo discurrido, El Tribunal Superior del Distrito Judicial de Pereira, en Sala de Decisión Penal, </w:t>
      </w:r>
    </w:p>
    <w:p w:rsidR="001C1474" w:rsidRPr="00B05913" w:rsidRDefault="001C1474" w:rsidP="001C1474">
      <w:pPr>
        <w:widowControl w:val="0"/>
        <w:autoSpaceDE w:val="0"/>
        <w:autoSpaceDN w:val="0"/>
        <w:adjustRightInd w:val="0"/>
        <w:spacing w:line="360" w:lineRule="auto"/>
        <w:rPr>
          <w:rFonts w:ascii="Verdana" w:hAnsi="Verdana" w:cs="Arial"/>
          <w:b/>
          <w:sz w:val="22"/>
          <w:szCs w:val="26"/>
        </w:rPr>
      </w:pPr>
    </w:p>
    <w:p w:rsidR="001C1474" w:rsidRPr="003618C8" w:rsidRDefault="001C1474" w:rsidP="001C1474">
      <w:pPr>
        <w:widowControl w:val="0"/>
        <w:autoSpaceDE w:val="0"/>
        <w:autoSpaceDN w:val="0"/>
        <w:adjustRightInd w:val="0"/>
        <w:jc w:val="center"/>
        <w:rPr>
          <w:rFonts w:ascii="Verdana" w:hAnsi="Verdana" w:cs="Arial"/>
          <w:b/>
          <w:sz w:val="26"/>
          <w:szCs w:val="26"/>
        </w:rPr>
      </w:pPr>
      <w:r w:rsidRPr="003618C8">
        <w:rPr>
          <w:rFonts w:ascii="Verdana" w:hAnsi="Verdana" w:cs="Arial"/>
          <w:b/>
          <w:sz w:val="26"/>
          <w:szCs w:val="26"/>
        </w:rPr>
        <w:t>RESUELVE:</w:t>
      </w:r>
    </w:p>
    <w:p w:rsidR="001C1474" w:rsidRPr="003128CB" w:rsidRDefault="001C1474" w:rsidP="001C1474">
      <w:pPr>
        <w:widowControl w:val="0"/>
        <w:autoSpaceDE w:val="0"/>
        <w:autoSpaceDN w:val="0"/>
        <w:adjustRightInd w:val="0"/>
        <w:jc w:val="center"/>
        <w:rPr>
          <w:rFonts w:ascii="Verdana" w:hAnsi="Verdana" w:cs="Arial"/>
          <w:b/>
          <w:sz w:val="26"/>
          <w:szCs w:val="26"/>
        </w:rPr>
      </w:pPr>
    </w:p>
    <w:p w:rsidR="001C1474" w:rsidRDefault="001C1474" w:rsidP="00367A80">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Pr>
          <w:rFonts w:ascii="Verdana" w:hAnsi="Verdana" w:cs="Arial"/>
          <w:b/>
          <w:sz w:val="26"/>
          <w:szCs w:val="26"/>
        </w:rPr>
        <w:t xml:space="preserve">PRIMERO: DECRETAR LA NULIDAD </w:t>
      </w:r>
      <w:r w:rsidRPr="00F76632">
        <w:rPr>
          <w:rFonts w:ascii="Verdana" w:hAnsi="Verdana" w:cs="Arial"/>
          <w:sz w:val="26"/>
          <w:szCs w:val="26"/>
        </w:rPr>
        <w:t>de lo actuado a partir del</w:t>
      </w:r>
      <w:r>
        <w:rPr>
          <w:rFonts w:ascii="Verdana" w:hAnsi="Verdana" w:cs="Arial"/>
          <w:b/>
          <w:sz w:val="26"/>
          <w:szCs w:val="26"/>
        </w:rPr>
        <w:t xml:space="preserve"> </w:t>
      </w:r>
      <w:r>
        <w:rPr>
          <w:rFonts w:ascii="Verdana" w:hAnsi="Verdana" w:cs="Arial"/>
          <w:sz w:val="26"/>
          <w:szCs w:val="26"/>
        </w:rPr>
        <w:t xml:space="preserve">auto </w:t>
      </w:r>
      <w:r w:rsidR="000F3F86">
        <w:rPr>
          <w:rFonts w:ascii="Verdana" w:hAnsi="Verdana" w:cs="Arial"/>
          <w:sz w:val="26"/>
          <w:szCs w:val="26"/>
        </w:rPr>
        <w:t>del 11 de abril de 2016</w:t>
      </w:r>
      <w:r>
        <w:rPr>
          <w:rFonts w:ascii="Verdana" w:hAnsi="Verdana" w:cs="Arial"/>
          <w:sz w:val="26"/>
          <w:szCs w:val="26"/>
        </w:rPr>
        <w:t>, mediante el cual se dispuso el requerimiento</w:t>
      </w:r>
      <w:r w:rsidR="000F3F86">
        <w:rPr>
          <w:rFonts w:ascii="Verdana" w:hAnsi="Verdana" w:cs="Arial"/>
          <w:sz w:val="26"/>
          <w:szCs w:val="26"/>
        </w:rPr>
        <w:t xml:space="preserve"> previo de que trata el artículo 27 del Decreto 2591 de 1991</w:t>
      </w:r>
      <w:r>
        <w:rPr>
          <w:rFonts w:ascii="Verdana" w:hAnsi="Verdana" w:cs="Arial"/>
          <w:sz w:val="26"/>
          <w:szCs w:val="26"/>
        </w:rPr>
        <w:t xml:space="preserve">, para que se rehagan las actuaciones dentro del incidente de desacato atendiendo los lineamientos expuestos en la parte motiva de esta decisión. </w:t>
      </w:r>
    </w:p>
    <w:p w:rsidR="001C1474" w:rsidRPr="00367A80" w:rsidRDefault="001C1474" w:rsidP="001C1474">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0"/>
          <w:szCs w:val="26"/>
        </w:rPr>
      </w:pPr>
    </w:p>
    <w:p w:rsidR="001C1474" w:rsidRPr="003E5B5B" w:rsidRDefault="001C1474" w:rsidP="00367A80">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b/>
          <w:sz w:val="26"/>
          <w:szCs w:val="26"/>
        </w:rPr>
      </w:pPr>
      <w:r w:rsidRPr="00E55443">
        <w:rPr>
          <w:rFonts w:ascii="Verdana" w:hAnsi="Verdana" w:cs="Arial"/>
          <w:b/>
          <w:sz w:val="26"/>
          <w:szCs w:val="26"/>
        </w:rPr>
        <w:t xml:space="preserve">SEGUNDO: </w:t>
      </w:r>
      <w:r>
        <w:rPr>
          <w:rFonts w:ascii="Verdana" w:hAnsi="Verdana" w:cs="Arial"/>
          <w:b/>
          <w:sz w:val="26"/>
          <w:szCs w:val="26"/>
        </w:rPr>
        <w:t xml:space="preserve">ORDENAR </w:t>
      </w:r>
      <w:r>
        <w:rPr>
          <w:rFonts w:ascii="Verdana" w:hAnsi="Verdana" w:cs="Arial"/>
          <w:sz w:val="26"/>
          <w:szCs w:val="26"/>
        </w:rPr>
        <w:t>que por Secretaría de la Sala, se remita el presente expediente al Juzgado de origen, para los fines pertinentes</w:t>
      </w:r>
      <w:r w:rsidRPr="003E5B5B">
        <w:rPr>
          <w:rFonts w:ascii="Verdana" w:hAnsi="Verdana" w:cs="Arial"/>
          <w:b/>
          <w:sz w:val="26"/>
          <w:szCs w:val="26"/>
        </w:rPr>
        <w:t xml:space="preserve">. </w:t>
      </w:r>
    </w:p>
    <w:p w:rsidR="001C1474" w:rsidRDefault="001C1474" w:rsidP="001C1474">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b/>
          <w:sz w:val="26"/>
          <w:szCs w:val="26"/>
        </w:rPr>
      </w:pPr>
    </w:p>
    <w:p w:rsidR="001C1474" w:rsidRDefault="001C1474" w:rsidP="001C1474">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6"/>
          <w:szCs w:val="26"/>
        </w:rPr>
      </w:pPr>
      <w:r w:rsidRPr="00E55443">
        <w:rPr>
          <w:rFonts w:ascii="Verdana" w:hAnsi="Verdana" w:cs="Arial"/>
          <w:sz w:val="26"/>
          <w:szCs w:val="26"/>
        </w:rPr>
        <w:t>Contra esta decisión no procede recurso alguno.</w:t>
      </w:r>
    </w:p>
    <w:p w:rsidR="001C1474" w:rsidRPr="008D3D6B" w:rsidRDefault="001C1474" w:rsidP="001C1474">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0"/>
          <w:szCs w:val="26"/>
        </w:rPr>
      </w:pPr>
    </w:p>
    <w:p w:rsidR="001C1474" w:rsidRPr="003C491B" w:rsidRDefault="001C1474" w:rsidP="001C1474">
      <w:pPr>
        <w:pStyle w:val="Textoindependiente"/>
        <w:spacing w:line="360" w:lineRule="auto"/>
        <w:jc w:val="center"/>
        <w:rPr>
          <w:rFonts w:ascii="Verdana" w:hAnsi="Verdana" w:cs="Arial"/>
          <w:b/>
          <w:sz w:val="26"/>
          <w:szCs w:val="26"/>
        </w:rPr>
      </w:pPr>
      <w:r w:rsidRPr="003C491B">
        <w:rPr>
          <w:rFonts w:ascii="Verdana" w:hAnsi="Verdana" w:cs="Arial"/>
          <w:b/>
          <w:sz w:val="26"/>
          <w:szCs w:val="26"/>
        </w:rPr>
        <w:t>NOTIFÍQUESE, CÓPIESE Y CÚMPLASE.</w:t>
      </w:r>
    </w:p>
    <w:p w:rsidR="001C1474" w:rsidRDefault="001C1474" w:rsidP="001C1474">
      <w:pPr>
        <w:pStyle w:val="Textoindependiente"/>
        <w:spacing w:line="360" w:lineRule="auto"/>
        <w:rPr>
          <w:rFonts w:ascii="Verdana" w:hAnsi="Verdana" w:cs="Arial"/>
          <w:sz w:val="26"/>
          <w:szCs w:val="26"/>
        </w:rPr>
      </w:pPr>
    </w:p>
    <w:p w:rsidR="001C1474" w:rsidRDefault="001C1474" w:rsidP="001C1474">
      <w:pPr>
        <w:spacing w:line="360" w:lineRule="auto"/>
        <w:rPr>
          <w:rFonts w:ascii="Verdana" w:hAnsi="Verdana" w:cs="Arial"/>
          <w:b/>
          <w:sz w:val="26"/>
          <w:szCs w:val="26"/>
        </w:rPr>
      </w:pPr>
    </w:p>
    <w:p w:rsidR="001C1474" w:rsidRPr="003C491B" w:rsidRDefault="001C1474" w:rsidP="001C1474">
      <w:pPr>
        <w:jc w:val="center"/>
        <w:rPr>
          <w:rFonts w:ascii="Verdana" w:hAnsi="Verdana" w:cs="Arial"/>
          <w:b/>
          <w:sz w:val="26"/>
          <w:szCs w:val="26"/>
        </w:rPr>
      </w:pPr>
      <w:r w:rsidRPr="003C491B">
        <w:rPr>
          <w:rFonts w:ascii="Verdana" w:hAnsi="Verdana" w:cs="Arial"/>
          <w:b/>
          <w:sz w:val="26"/>
          <w:szCs w:val="26"/>
        </w:rPr>
        <w:t>MANUEL YARZAGARAY BANDERA</w:t>
      </w:r>
    </w:p>
    <w:p w:rsidR="001C1474" w:rsidRPr="003C491B" w:rsidRDefault="001C1474" w:rsidP="001C1474">
      <w:pPr>
        <w:jc w:val="center"/>
        <w:rPr>
          <w:rFonts w:ascii="Verdana" w:hAnsi="Verdana" w:cs="Arial"/>
          <w:sz w:val="26"/>
          <w:szCs w:val="26"/>
        </w:rPr>
      </w:pPr>
      <w:r w:rsidRPr="003C491B">
        <w:rPr>
          <w:rFonts w:ascii="Verdana" w:hAnsi="Verdana" w:cs="Arial"/>
          <w:sz w:val="26"/>
          <w:szCs w:val="26"/>
        </w:rPr>
        <w:t>Magistrado</w:t>
      </w:r>
    </w:p>
    <w:p w:rsidR="001C1474" w:rsidRDefault="001C1474" w:rsidP="001C1474">
      <w:pPr>
        <w:spacing w:line="360" w:lineRule="auto"/>
        <w:rPr>
          <w:rFonts w:ascii="Verdana" w:hAnsi="Verdana" w:cs="Arial"/>
          <w:sz w:val="26"/>
          <w:szCs w:val="26"/>
        </w:rPr>
      </w:pPr>
    </w:p>
    <w:p w:rsidR="001C1474" w:rsidRPr="003C491B" w:rsidRDefault="001C1474" w:rsidP="001C1474">
      <w:pPr>
        <w:spacing w:line="360" w:lineRule="auto"/>
        <w:jc w:val="center"/>
        <w:rPr>
          <w:rFonts w:ascii="Verdana" w:hAnsi="Verdana" w:cs="Arial"/>
          <w:sz w:val="26"/>
          <w:szCs w:val="26"/>
        </w:rPr>
      </w:pPr>
    </w:p>
    <w:p w:rsidR="001C1474" w:rsidRPr="003C491B" w:rsidRDefault="001C1474" w:rsidP="001C1474">
      <w:pPr>
        <w:jc w:val="center"/>
        <w:rPr>
          <w:rFonts w:ascii="Verdana" w:hAnsi="Verdana" w:cs="Arial"/>
          <w:b/>
          <w:sz w:val="26"/>
          <w:szCs w:val="26"/>
        </w:rPr>
      </w:pPr>
      <w:r w:rsidRPr="003C491B">
        <w:rPr>
          <w:rFonts w:ascii="Verdana" w:hAnsi="Verdana" w:cs="Arial"/>
          <w:b/>
          <w:sz w:val="26"/>
          <w:szCs w:val="26"/>
        </w:rPr>
        <w:t>JORGE ARTURO CASTAÑO DUQUE</w:t>
      </w:r>
    </w:p>
    <w:p w:rsidR="001C1474" w:rsidRPr="003C491B" w:rsidRDefault="001C1474" w:rsidP="001C1474">
      <w:pPr>
        <w:jc w:val="center"/>
        <w:rPr>
          <w:rFonts w:ascii="Verdana" w:hAnsi="Verdana" w:cs="Arial"/>
          <w:sz w:val="26"/>
          <w:szCs w:val="26"/>
        </w:rPr>
      </w:pPr>
      <w:r w:rsidRPr="003C491B">
        <w:rPr>
          <w:rFonts w:ascii="Verdana" w:hAnsi="Verdana" w:cs="Arial"/>
          <w:sz w:val="26"/>
          <w:szCs w:val="26"/>
        </w:rPr>
        <w:t>Magistrado</w:t>
      </w:r>
    </w:p>
    <w:p w:rsidR="001C1474" w:rsidRDefault="001C1474" w:rsidP="001C1474">
      <w:pPr>
        <w:spacing w:line="360" w:lineRule="auto"/>
        <w:rPr>
          <w:rFonts w:ascii="Verdana" w:hAnsi="Verdana" w:cs="Arial"/>
          <w:b/>
          <w:sz w:val="26"/>
          <w:szCs w:val="26"/>
        </w:rPr>
      </w:pPr>
    </w:p>
    <w:p w:rsidR="001C1474" w:rsidRDefault="001C1474" w:rsidP="001C1474">
      <w:pPr>
        <w:spacing w:line="360" w:lineRule="auto"/>
        <w:jc w:val="center"/>
        <w:rPr>
          <w:rFonts w:ascii="Verdana" w:hAnsi="Verdana" w:cs="Arial"/>
          <w:b/>
          <w:sz w:val="26"/>
          <w:szCs w:val="26"/>
        </w:rPr>
      </w:pPr>
    </w:p>
    <w:p w:rsidR="001C1474" w:rsidRPr="003C491B" w:rsidRDefault="001C1474" w:rsidP="001C1474">
      <w:pPr>
        <w:jc w:val="center"/>
        <w:rPr>
          <w:rFonts w:ascii="Verdana" w:hAnsi="Verdana" w:cs="Arial"/>
          <w:b/>
          <w:sz w:val="26"/>
          <w:szCs w:val="26"/>
        </w:rPr>
      </w:pPr>
      <w:r>
        <w:rPr>
          <w:rFonts w:ascii="Verdana" w:hAnsi="Verdana" w:cs="Arial"/>
          <w:b/>
          <w:sz w:val="26"/>
          <w:szCs w:val="26"/>
        </w:rPr>
        <w:t>JAIRO ERNESTO ESCOBAR SANZ</w:t>
      </w:r>
    </w:p>
    <w:p w:rsidR="001C1474" w:rsidRDefault="001C1474" w:rsidP="001C1474">
      <w:pPr>
        <w:jc w:val="center"/>
        <w:rPr>
          <w:rFonts w:ascii="Verdana" w:hAnsi="Verdana" w:cs="Arial"/>
          <w:sz w:val="26"/>
          <w:szCs w:val="26"/>
        </w:rPr>
      </w:pPr>
      <w:r>
        <w:rPr>
          <w:rFonts w:ascii="Verdana" w:hAnsi="Verdana" w:cs="Arial"/>
          <w:sz w:val="26"/>
          <w:szCs w:val="26"/>
        </w:rPr>
        <w:t>Magistrado</w:t>
      </w:r>
    </w:p>
    <w:p w:rsidR="001C1474" w:rsidRDefault="001C1474" w:rsidP="001C1474">
      <w:pPr>
        <w:jc w:val="center"/>
        <w:rPr>
          <w:rFonts w:ascii="Verdana" w:hAnsi="Verdana" w:cs="Arial"/>
          <w:sz w:val="26"/>
          <w:szCs w:val="26"/>
        </w:rPr>
      </w:pPr>
    </w:p>
    <w:p w:rsidR="001C1474" w:rsidRDefault="001C1474" w:rsidP="001C1474">
      <w:pPr>
        <w:rPr>
          <w:rFonts w:ascii="Verdana" w:hAnsi="Verdana" w:cs="Arial"/>
          <w:sz w:val="26"/>
          <w:szCs w:val="26"/>
        </w:rPr>
      </w:pPr>
    </w:p>
    <w:p w:rsidR="001C1474" w:rsidRPr="003C491B" w:rsidRDefault="001C1474" w:rsidP="001C1474">
      <w:pPr>
        <w:spacing w:line="360" w:lineRule="auto"/>
        <w:jc w:val="center"/>
        <w:rPr>
          <w:rFonts w:ascii="Verdana" w:hAnsi="Verdana" w:cs="Arial"/>
          <w:sz w:val="26"/>
          <w:szCs w:val="26"/>
        </w:rPr>
      </w:pPr>
    </w:p>
    <w:p w:rsidR="001C1474" w:rsidRPr="003C491B" w:rsidRDefault="001C1474" w:rsidP="001C1474">
      <w:pPr>
        <w:jc w:val="center"/>
        <w:rPr>
          <w:rFonts w:ascii="Verdana" w:hAnsi="Verdana" w:cs="Arial"/>
          <w:b/>
          <w:sz w:val="26"/>
          <w:szCs w:val="26"/>
        </w:rPr>
      </w:pPr>
      <w:r>
        <w:rPr>
          <w:rFonts w:ascii="Verdana" w:hAnsi="Verdana" w:cs="Arial"/>
          <w:b/>
          <w:sz w:val="26"/>
          <w:szCs w:val="26"/>
        </w:rPr>
        <w:t>WILSON FREDY LÓPEZ</w:t>
      </w:r>
    </w:p>
    <w:p w:rsidR="00661F0C" w:rsidRPr="00F70EE0" w:rsidRDefault="001C1474" w:rsidP="001E0184">
      <w:pPr>
        <w:pStyle w:val="Textoindependiente"/>
        <w:spacing w:line="312" w:lineRule="auto"/>
        <w:jc w:val="center"/>
        <w:rPr>
          <w:rFonts w:ascii="Verdana" w:hAnsi="Verdana" w:cs="Arial"/>
          <w:sz w:val="26"/>
          <w:szCs w:val="26"/>
        </w:rPr>
      </w:pPr>
      <w:r>
        <w:rPr>
          <w:rFonts w:ascii="Verdana" w:hAnsi="Verdana"/>
          <w:sz w:val="26"/>
          <w:szCs w:val="26"/>
        </w:rPr>
        <w:t>Secretario</w:t>
      </w:r>
    </w:p>
    <w:sectPr w:rsidR="00661F0C" w:rsidRPr="00F70EE0" w:rsidSect="00DB0D0C">
      <w:headerReference w:type="even" r:id="rId8"/>
      <w:headerReference w:type="default" r:id="rId9"/>
      <w:footerReference w:type="default" r:id="rId10"/>
      <w:headerReference w:type="first" r:id="rId11"/>
      <w:footerReference w:type="first" r:id="rId12"/>
      <w:pgSz w:w="12242" w:h="18722" w:code="121"/>
      <w:pgMar w:top="1588" w:right="1588" w:bottom="1418" w:left="1758"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18" w:rsidRDefault="00084B18">
      <w:r>
        <w:separator/>
      </w:r>
    </w:p>
  </w:endnote>
  <w:endnote w:type="continuationSeparator" w:id="0">
    <w:p w:rsidR="00084B18" w:rsidRDefault="0008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A1" w:rsidRPr="008C49A0" w:rsidRDefault="002100A1" w:rsidP="00565F33">
    <w:pPr>
      <w:pStyle w:val="Piedepgina"/>
      <w:pBdr>
        <w:top w:val="single" w:sz="4" w:space="1" w:color="auto"/>
      </w:pBdr>
      <w:jc w:val="right"/>
      <w:rPr>
        <w:rStyle w:val="Nmerodepgina"/>
        <w:rFonts w:ascii="Corbel" w:hAnsi="Corbel"/>
      </w:rPr>
    </w:pPr>
    <w:r w:rsidRPr="008C49A0">
      <w:rPr>
        <w:rStyle w:val="Nmerodepgina"/>
        <w:rFonts w:ascii="Corbel" w:hAnsi="Corbel"/>
      </w:rPr>
      <w:t xml:space="preserve">Página </w:t>
    </w:r>
    <w:r w:rsidRPr="008C49A0">
      <w:rPr>
        <w:rStyle w:val="Nmerodepgina"/>
        <w:rFonts w:ascii="Corbel" w:hAnsi="Corbel"/>
      </w:rPr>
      <w:fldChar w:fldCharType="begin"/>
    </w:r>
    <w:r w:rsidRPr="008C49A0">
      <w:rPr>
        <w:rStyle w:val="Nmerodepgina"/>
        <w:rFonts w:ascii="Corbel" w:hAnsi="Corbel"/>
      </w:rPr>
      <w:instrText xml:space="preserve"> PAGE </w:instrText>
    </w:r>
    <w:r w:rsidRPr="008C49A0">
      <w:rPr>
        <w:rStyle w:val="Nmerodepgina"/>
        <w:rFonts w:ascii="Corbel" w:hAnsi="Corbel"/>
      </w:rPr>
      <w:fldChar w:fldCharType="separate"/>
    </w:r>
    <w:r w:rsidR="00C70FC6">
      <w:rPr>
        <w:rStyle w:val="Nmerodepgina"/>
        <w:rFonts w:ascii="Corbel" w:hAnsi="Corbel"/>
        <w:noProof/>
      </w:rPr>
      <w:t>3</w:t>
    </w:r>
    <w:r w:rsidRPr="008C49A0">
      <w:rPr>
        <w:rStyle w:val="Nmerodepgina"/>
        <w:rFonts w:ascii="Corbel" w:hAnsi="Corbel"/>
      </w:rPr>
      <w:fldChar w:fldCharType="end"/>
    </w:r>
    <w:r w:rsidRPr="008C49A0">
      <w:rPr>
        <w:rStyle w:val="Nmerodepgina"/>
        <w:rFonts w:ascii="Corbel" w:hAnsi="Corbel"/>
      </w:rPr>
      <w:t xml:space="preserve"> de </w:t>
    </w:r>
    <w:r w:rsidRPr="008C49A0">
      <w:rPr>
        <w:rStyle w:val="Nmerodepgina"/>
        <w:rFonts w:ascii="Corbel" w:hAnsi="Corbel"/>
      </w:rPr>
      <w:fldChar w:fldCharType="begin"/>
    </w:r>
    <w:r w:rsidRPr="008C49A0">
      <w:rPr>
        <w:rStyle w:val="Nmerodepgina"/>
        <w:rFonts w:ascii="Corbel" w:hAnsi="Corbel"/>
      </w:rPr>
      <w:instrText xml:space="preserve"> NUMPAGES </w:instrText>
    </w:r>
    <w:r w:rsidRPr="008C49A0">
      <w:rPr>
        <w:rStyle w:val="Nmerodepgina"/>
        <w:rFonts w:ascii="Corbel" w:hAnsi="Corbel"/>
      </w:rPr>
      <w:fldChar w:fldCharType="separate"/>
    </w:r>
    <w:r w:rsidR="00C70FC6">
      <w:rPr>
        <w:rStyle w:val="Nmerodepgina"/>
        <w:rFonts w:ascii="Corbel" w:hAnsi="Corbel"/>
        <w:noProof/>
      </w:rPr>
      <w:t>10</w:t>
    </w:r>
    <w:r w:rsidRPr="008C49A0">
      <w:rPr>
        <w:rStyle w:val="Nmerodepgina"/>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A1" w:rsidRDefault="002100A1"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18" w:rsidRDefault="00084B18">
      <w:r>
        <w:separator/>
      </w:r>
    </w:p>
  </w:footnote>
  <w:footnote w:type="continuationSeparator" w:id="0">
    <w:p w:rsidR="00084B18" w:rsidRDefault="00084B18">
      <w:r>
        <w:continuationSeparator/>
      </w:r>
    </w:p>
  </w:footnote>
  <w:footnote w:id="1">
    <w:p w:rsidR="002100A1" w:rsidRPr="002100A1" w:rsidRDefault="002100A1" w:rsidP="00367A80">
      <w:pPr>
        <w:pStyle w:val="Textonotapie"/>
        <w:spacing w:line="240" w:lineRule="exact"/>
        <w:jc w:val="both"/>
        <w:rPr>
          <w:rFonts w:ascii="Corbel" w:hAnsi="Corbel" w:cs="Arial"/>
          <w:sz w:val="19"/>
          <w:szCs w:val="19"/>
          <w:lang w:val="fr-FR"/>
        </w:rPr>
      </w:pPr>
      <w:r w:rsidRPr="00367A80">
        <w:rPr>
          <w:rStyle w:val="Refdenotaalpie"/>
          <w:rFonts w:ascii="Corbel" w:hAnsi="Corbel" w:cs="Arial"/>
          <w:sz w:val="19"/>
          <w:szCs w:val="19"/>
        </w:rPr>
        <w:footnoteRef/>
      </w:r>
      <w:r w:rsidRPr="002100A1">
        <w:rPr>
          <w:rFonts w:ascii="Corbel" w:hAnsi="Corbel" w:cs="Arial"/>
          <w:sz w:val="19"/>
          <w:szCs w:val="19"/>
          <w:lang w:val="fr-FR"/>
        </w:rPr>
        <w:t xml:space="preserve"> Sentencias T-553 de 2002 y T-368de 2005.</w:t>
      </w:r>
    </w:p>
  </w:footnote>
  <w:footnote w:id="2">
    <w:p w:rsidR="002100A1" w:rsidRPr="00367A80" w:rsidRDefault="002100A1" w:rsidP="00367A80">
      <w:pPr>
        <w:pStyle w:val="Textonotapie"/>
        <w:spacing w:line="240" w:lineRule="exact"/>
        <w:rPr>
          <w:rFonts w:ascii="Corbel" w:hAnsi="Corbel"/>
          <w:sz w:val="19"/>
          <w:szCs w:val="19"/>
          <w:lang w:val="es-CO"/>
        </w:rPr>
      </w:pPr>
      <w:r w:rsidRPr="00367A80">
        <w:rPr>
          <w:rStyle w:val="Refdenotaalpie"/>
          <w:rFonts w:ascii="Corbel" w:hAnsi="Corbel"/>
          <w:sz w:val="19"/>
          <w:szCs w:val="19"/>
        </w:rPr>
        <w:footnoteRef/>
      </w:r>
      <w:r w:rsidRPr="00367A80">
        <w:rPr>
          <w:rFonts w:ascii="Corbel" w:hAnsi="Corbel"/>
          <w:sz w:val="19"/>
          <w:szCs w:val="19"/>
        </w:rPr>
        <w:t xml:space="preserve">Ministerio de Salud y Protección Social, </w:t>
      </w:r>
      <w:r w:rsidRPr="00367A80">
        <w:rPr>
          <w:rFonts w:ascii="Corbel" w:hAnsi="Corbel"/>
          <w:sz w:val="19"/>
          <w:szCs w:val="19"/>
          <w:lang w:val="es-CO"/>
        </w:rPr>
        <w:t xml:space="preserve">Resolución 5159 de 2015. </w:t>
      </w:r>
    </w:p>
  </w:footnote>
  <w:footnote w:id="3">
    <w:p w:rsidR="002100A1" w:rsidRPr="00670198" w:rsidRDefault="002100A1" w:rsidP="00BF1C6F">
      <w:pPr>
        <w:pStyle w:val="Textoindependiente"/>
        <w:jc w:val="both"/>
        <w:rPr>
          <w:rFonts w:ascii="Corbel" w:hAnsi="Corbel" w:cs="Arial"/>
          <w:sz w:val="20"/>
        </w:rPr>
      </w:pPr>
      <w:r w:rsidRPr="00367A80">
        <w:rPr>
          <w:rStyle w:val="Refdenotaalpie"/>
          <w:rFonts w:ascii="Corbel" w:hAnsi="Corbel"/>
          <w:sz w:val="19"/>
          <w:szCs w:val="19"/>
        </w:rPr>
        <w:footnoteRef/>
      </w:r>
      <w:r w:rsidRPr="00367A80">
        <w:rPr>
          <w:rFonts w:ascii="Corbel" w:hAnsi="Corbel"/>
          <w:sz w:val="19"/>
          <w:szCs w:val="19"/>
        </w:rPr>
        <w:t xml:space="preserve"> </w:t>
      </w:r>
      <w:r w:rsidRPr="00367A80">
        <w:rPr>
          <w:rFonts w:ascii="Corbel" w:hAnsi="Corbel" w:cs="Arial"/>
          <w:sz w:val="19"/>
          <w:szCs w:val="19"/>
        </w:rPr>
        <w:t>“</w:t>
      </w:r>
      <w:r w:rsidRPr="00367A80">
        <w:rPr>
          <w:rFonts w:ascii="Corbel" w:hAnsi="Corbel"/>
          <w:iCs/>
          <w:sz w:val="19"/>
          <w:szCs w:val="19"/>
          <w:bdr w:val="none" w:sz="0" w:space="0" w:color="auto" w:frame="1"/>
          <w:lang w:val="es-CO"/>
        </w:rPr>
        <w:t xml:space="preserve">La figura de la sucesión procesal </w:t>
      </w:r>
      <w:r w:rsidRPr="00367A80">
        <w:rPr>
          <w:rFonts w:ascii="Corbel" w:hAnsi="Corbel"/>
          <w:b/>
          <w:iCs/>
          <w:sz w:val="19"/>
          <w:szCs w:val="19"/>
          <w:bdr w:val="none" w:sz="0" w:space="0" w:color="auto" w:frame="1"/>
          <w:lang w:val="es-CO"/>
        </w:rPr>
        <w:t>consiste en el reemplazo total de una de las partes procesales</w:t>
      </w:r>
      <w:r w:rsidRPr="00367A80">
        <w:rPr>
          <w:rFonts w:ascii="Corbel" w:hAnsi="Corbel"/>
          <w:iCs/>
          <w:sz w:val="19"/>
          <w:szCs w:val="19"/>
          <w:bdr w:val="none" w:sz="0" w:space="0" w:color="auto" w:frame="1"/>
          <w:lang w:val="es-CO"/>
        </w:rPr>
        <w:t xml:space="preserve">, con el fin de alterar su integración </w:t>
      </w:r>
      <w:r w:rsidRPr="00367A80">
        <w:rPr>
          <w:rFonts w:ascii="Corbel" w:hAnsi="Corbel"/>
          <w:b/>
          <w:iCs/>
          <w:sz w:val="19"/>
          <w:szCs w:val="19"/>
          <w:bdr w:val="none" w:sz="0" w:space="0" w:color="auto" w:frame="1"/>
          <w:lang w:val="es-CO"/>
        </w:rPr>
        <w:t>por la inclusión de un tercero en el lugar de aquella</w:t>
      </w:r>
      <w:r w:rsidRPr="00367A80">
        <w:rPr>
          <w:rFonts w:ascii="Corbel" w:hAnsi="Corbel"/>
          <w:iCs/>
          <w:sz w:val="19"/>
          <w:szCs w:val="19"/>
          <w:bdr w:val="none" w:sz="0" w:space="0" w:color="auto" w:frame="1"/>
          <w:lang w:val="es-CO"/>
        </w:rPr>
        <w:t>. La sucesión se surte por varias formas, dependiendo de si se predica de personas naturales o jurídicas, o de si la sustitución se origina por acto entre vivos o por la muerte de una persona natural o la extinción de una jurídica. (…) Sobre esta figura, la jurisprudencia de la Corte se ha pronunciado tanto en sede de constitucionalidad como en asuntos de tutela</w:t>
      </w:r>
      <w:r w:rsidRPr="00670198">
        <w:rPr>
          <w:rFonts w:ascii="Corbel" w:hAnsi="Corbel"/>
          <w:iCs/>
          <w:sz w:val="19"/>
          <w:szCs w:val="19"/>
          <w:bdr w:val="none" w:sz="0" w:space="0" w:color="auto" w:frame="1"/>
          <w:lang w:val="es-CO"/>
        </w:rPr>
        <w:t xml:space="preserve">.” </w:t>
      </w:r>
      <w:r>
        <w:rPr>
          <w:rFonts w:ascii="Corbel" w:hAnsi="Corbel"/>
          <w:iCs/>
          <w:sz w:val="19"/>
          <w:szCs w:val="19"/>
          <w:bdr w:val="none" w:sz="0" w:space="0" w:color="auto" w:frame="1"/>
          <w:lang w:val="es-CO"/>
        </w:rPr>
        <w:t>(Corte Constitucional -</w:t>
      </w:r>
      <w:r w:rsidRPr="00670198">
        <w:rPr>
          <w:rFonts w:ascii="Corbel" w:hAnsi="Corbel"/>
          <w:bCs/>
          <w:sz w:val="19"/>
          <w:szCs w:val="19"/>
          <w:bdr w:val="none" w:sz="0" w:space="0" w:color="auto" w:frame="1"/>
          <w:lang w:val="fr-FR"/>
        </w:rPr>
        <w:t>Sentencia T-374/14</w:t>
      </w:r>
      <w:r>
        <w:rPr>
          <w:rFonts w:ascii="Corbel" w:hAnsi="Corbel"/>
          <w:bCs/>
          <w:sz w:val="19"/>
          <w:szCs w:val="19"/>
          <w:bdr w:val="none" w:sz="0" w:space="0" w:color="auto" w:frame="1"/>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A1" w:rsidRDefault="002100A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100A1" w:rsidRDefault="002100A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A1" w:rsidRDefault="002100A1" w:rsidP="008C49A0">
    <w:pPr>
      <w:pStyle w:val="Puesto1"/>
      <w:jc w:val="right"/>
      <w:rPr>
        <w:rFonts w:ascii="Corbel" w:hAnsi="Corbel" w:cs="Arial"/>
        <w:sz w:val="20"/>
      </w:rPr>
    </w:pPr>
    <w:r w:rsidRPr="008C49A0">
      <w:rPr>
        <w:rFonts w:ascii="Corbel" w:hAnsi="Corbel" w:cs="Arial"/>
        <w:sz w:val="20"/>
      </w:rPr>
      <w:t>Radicado: 2014-00189-01</w:t>
    </w:r>
  </w:p>
  <w:p w:rsidR="002100A1" w:rsidRPr="008C49A0" w:rsidRDefault="002100A1" w:rsidP="008C49A0">
    <w:pPr>
      <w:pStyle w:val="Puesto1"/>
      <w:jc w:val="right"/>
      <w:rPr>
        <w:rFonts w:ascii="Corbel" w:hAnsi="Corbel" w:cs="Arial"/>
        <w:sz w:val="20"/>
      </w:rPr>
    </w:pPr>
    <w:r w:rsidRPr="008C49A0">
      <w:rPr>
        <w:rFonts w:ascii="Corbel" w:hAnsi="Corbel" w:cs="Arial"/>
        <w:sz w:val="20"/>
      </w:rPr>
      <w:t xml:space="preserve">Actor: </w:t>
    </w:r>
    <w:r>
      <w:rPr>
        <w:rFonts w:ascii="Corbel" w:hAnsi="Corbel" w:cs="Arial"/>
        <w:sz w:val="20"/>
      </w:rPr>
      <w:t>José Edi</w:t>
    </w:r>
    <w:r w:rsidRPr="008C49A0">
      <w:rPr>
        <w:rFonts w:ascii="Corbel" w:hAnsi="Corbel" w:cs="Arial"/>
        <w:sz w:val="20"/>
      </w:rPr>
      <w:t>er Carmona Ceballos</w:t>
    </w:r>
  </w:p>
  <w:p w:rsidR="002100A1" w:rsidRPr="008C49A0" w:rsidRDefault="002100A1" w:rsidP="008C49A0">
    <w:pPr>
      <w:pStyle w:val="Puesto1"/>
      <w:tabs>
        <w:tab w:val="left" w:pos="708"/>
        <w:tab w:val="left" w:pos="1416"/>
        <w:tab w:val="left" w:pos="2124"/>
        <w:tab w:val="left" w:pos="2832"/>
        <w:tab w:val="left" w:pos="3540"/>
        <w:tab w:val="left" w:pos="5880"/>
      </w:tabs>
      <w:ind w:left="2127" w:hanging="2127"/>
      <w:jc w:val="right"/>
      <w:rPr>
        <w:rFonts w:ascii="Corbel" w:hAnsi="Corbel" w:cs="Arial"/>
        <w:sz w:val="20"/>
      </w:rPr>
    </w:pPr>
    <w:r w:rsidRPr="008C49A0">
      <w:rPr>
        <w:rFonts w:ascii="Corbel" w:hAnsi="Corbel" w:cs="Arial"/>
        <w:sz w:val="20"/>
      </w:rPr>
      <w:t xml:space="preserve">Accionado: </w:t>
    </w:r>
    <w:r>
      <w:rPr>
        <w:rFonts w:ascii="Corbel" w:hAnsi="Corbel" w:cs="Arial"/>
        <w:sz w:val="20"/>
      </w:rPr>
      <w:t>Consorcio PPL</w:t>
    </w:r>
  </w:p>
  <w:p w:rsidR="002100A1" w:rsidRPr="008C49A0" w:rsidRDefault="002100A1" w:rsidP="008C49A0">
    <w:pPr>
      <w:pStyle w:val="Puesto1"/>
      <w:jc w:val="right"/>
      <w:rPr>
        <w:rFonts w:ascii="Corbel" w:hAnsi="Corbel" w:cs="Arial"/>
        <w:sz w:val="20"/>
      </w:rPr>
    </w:pPr>
    <w:r w:rsidRPr="008C49A0">
      <w:rPr>
        <w:rFonts w:ascii="Corbel" w:hAnsi="Corbel" w:cs="Arial"/>
        <w:sz w:val="20"/>
      </w:rPr>
      <w:t xml:space="preserve">Decisión: </w:t>
    </w:r>
    <w:r>
      <w:rPr>
        <w:rFonts w:ascii="Corbel" w:hAnsi="Corbel" w:cs="Arial"/>
        <w:sz w:val="20"/>
      </w:rPr>
      <w:t>Decreta nulidad</w:t>
    </w:r>
  </w:p>
  <w:p w:rsidR="002100A1" w:rsidRPr="008F26C3" w:rsidRDefault="002100A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A1" w:rsidRDefault="002100A1" w:rsidP="00062ACD">
    <w:pPr>
      <w:pStyle w:val="Puesto1"/>
      <w:jc w:val="right"/>
      <w:rPr>
        <w:rFonts w:ascii="Verdana" w:hAnsi="Verdana"/>
        <w:sz w:val="16"/>
        <w:szCs w:val="16"/>
      </w:rPr>
    </w:pPr>
    <w:r>
      <w:rPr>
        <w:rFonts w:ascii="Verdana" w:hAnsi="Verdana"/>
        <w:sz w:val="16"/>
        <w:szCs w:val="16"/>
      </w:rPr>
      <w:t xml:space="preserve">               </w:t>
    </w:r>
  </w:p>
  <w:p w:rsidR="002100A1" w:rsidRDefault="002100A1"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216F"/>
    <w:rsid w:val="00003EC6"/>
    <w:rsid w:val="0000447A"/>
    <w:rsid w:val="0001439E"/>
    <w:rsid w:val="00016C83"/>
    <w:rsid w:val="0002184F"/>
    <w:rsid w:val="000264F4"/>
    <w:rsid w:val="0002742D"/>
    <w:rsid w:val="000312F4"/>
    <w:rsid w:val="00033877"/>
    <w:rsid w:val="0003695C"/>
    <w:rsid w:val="0003773E"/>
    <w:rsid w:val="00043896"/>
    <w:rsid w:val="00047D8A"/>
    <w:rsid w:val="000541C4"/>
    <w:rsid w:val="000560AE"/>
    <w:rsid w:val="0006060A"/>
    <w:rsid w:val="00062ACD"/>
    <w:rsid w:val="00063C64"/>
    <w:rsid w:val="0006630B"/>
    <w:rsid w:val="00067C1B"/>
    <w:rsid w:val="00072EB6"/>
    <w:rsid w:val="00076752"/>
    <w:rsid w:val="000834F4"/>
    <w:rsid w:val="00084B18"/>
    <w:rsid w:val="0008556A"/>
    <w:rsid w:val="000935EC"/>
    <w:rsid w:val="0009391C"/>
    <w:rsid w:val="000946F7"/>
    <w:rsid w:val="00094A1A"/>
    <w:rsid w:val="0009543C"/>
    <w:rsid w:val="000974FD"/>
    <w:rsid w:val="000A11A1"/>
    <w:rsid w:val="000A1C4C"/>
    <w:rsid w:val="000A351C"/>
    <w:rsid w:val="000A590B"/>
    <w:rsid w:val="000A69E3"/>
    <w:rsid w:val="000A6DE8"/>
    <w:rsid w:val="000B119E"/>
    <w:rsid w:val="000B3903"/>
    <w:rsid w:val="000B7A9E"/>
    <w:rsid w:val="000C1EBB"/>
    <w:rsid w:val="000C46F0"/>
    <w:rsid w:val="000C79FD"/>
    <w:rsid w:val="000C7D7F"/>
    <w:rsid w:val="000D16BB"/>
    <w:rsid w:val="000D30E3"/>
    <w:rsid w:val="000D5BD3"/>
    <w:rsid w:val="000E0806"/>
    <w:rsid w:val="000E179C"/>
    <w:rsid w:val="000F0133"/>
    <w:rsid w:val="000F15B7"/>
    <w:rsid w:val="000F370D"/>
    <w:rsid w:val="000F3F86"/>
    <w:rsid w:val="000F46FD"/>
    <w:rsid w:val="000F4B1E"/>
    <w:rsid w:val="000F5B0A"/>
    <w:rsid w:val="00100767"/>
    <w:rsid w:val="00100CCC"/>
    <w:rsid w:val="00101E0E"/>
    <w:rsid w:val="00102494"/>
    <w:rsid w:val="00103E7C"/>
    <w:rsid w:val="0010412B"/>
    <w:rsid w:val="00105C1D"/>
    <w:rsid w:val="00106137"/>
    <w:rsid w:val="00111D04"/>
    <w:rsid w:val="001136C6"/>
    <w:rsid w:val="00113CBE"/>
    <w:rsid w:val="001173CD"/>
    <w:rsid w:val="00120577"/>
    <w:rsid w:val="001229BC"/>
    <w:rsid w:val="00123107"/>
    <w:rsid w:val="00126339"/>
    <w:rsid w:val="00132586"/>
    <w:rsid w:val="00133657"/>
    <w:rsid w:val="001431C0"/>
    <w:rsid w:val="0014385F"/>
    <w:rsid w:val="00147B8F"/>
    <w:rsid w:val="00151F03"/>
    <w:rsid w:val="00152E70"/>
    <w:rsid w:val="00153F5B"/>
    <w:rsid w:val="001547F6"/>
    <w:rsid w:val="00160305"/>
    <w:rsid w:val="001712BA"/>
    <w:rsid w:val="001722FA"/>
    <w:rsid w:val="0017283D"/>
    <w:rsid w:val="00172CB4"/>
    <w:rsid w:val="001801CC"/>
    <w:rsid w:val="0018560C"/>
    <w:rsid w:val="00186E64"/>
    <w:rsid w:val="00190B60"/>
    <w:rsid w:val="001A08F6"/>
    <w:rsid w:val="001A0B51"/>
    <w:rsid w:val="001A32FC"/>
    <w:rsid w:val="001A4E42"/>
    <w:rsid w:val="001A512C"/>
    <w:rsid w:val="001A633A"/>
    <w:rsid w:val="001B3E53"/>
    <w:rsid w:val="001B5D1F"/>
    <w:rsid w:val="001B7DA2"/>
    <w:rsid w:val="001C1474"/>
    <w:rsid w:val="001C17CD"/>
    <w:rsid w:val="001C41D5"/>
    <w:rsid w:val="001C73B3"/>
    <w:rsid w:val="001D0364"/>
    <w:rsid w:val="001D1B8A"/>
    <w:rsid w:val="001D28C9"/>
    <w:rsid w:val="001D4064"/>
    <w:rsid w:val="001D5C2A"/>
    <w:rsid w:val="001E0184"/>
    <w:rsid w:val="001E1D35"/>
    <w:rsid w:val="001E28F6"/>
    <w:rsid w:val="001F1D54"/>
    <w:rsid w:val="001F414B"/>
    <w:rsid w:val="001F4763"/>
    <w:rsid w:val="001F55E7"/>
    <w:rsid w:val="001F5BEE"/>
    <w:rsid w:val="001F6661"/>
    <w:rsid w:val="001F739E"/>
    <w:rsid w:val="00203272"/>
    <w:rsid w:val="00204490"/>
    <w:rsid w:val="002052B0"/>
    <w:rsid w:val="00205E39"/>
    <w:rsid w:val="00206772"/>
    <w:rsid w:val="00206E85"/>
    <w:rsid w:val="00207EEC"/>
    <w:rsid w:val="002100A1"/>
    <w:rsid w:val="002134C2"/>
    <w:rsid w:val="002157C6"/>
    <w:rsid w:val="002165B0"/>
    <w:rsid w:val="002222EC"/>
    <w:rsid w:val="00222A97"/>
    <w:rsid w:val="00224C8D"/>
    <w:rsid w:val="00230BBF"/>
    <w:rsid w:val="00235E65"/>
    <w:rsid w:val="0023749A"/>
    <w:rsid w:val="00240370"/>
    <w:rsid w:val="00240918"/>
    <w:rsid w:val="00241D4C"/>
    <w:rsid w:val="00245735"/>
    <w:rsid w:val="00254E9D"/>
    <w:rsid w:val="002573DF"/>
    <w:rsid w:val="0025788B"/>
    <w:rsid w:val="00262918"/>
    <w:rsid w:val="002629C1"/>
    <w:rsid w:val="0026415E"/>
    <w:rsid w:val="00264FDE"/>
    <w:rsid w:val="0026686F"/>
    <w:rsid w:val="00271096"/>
    <w:rsid w:val="00273BBA"/>
    <w:rsid w:val="00274ED3"/>
    <w:rsid w:val="0027540E"/>
    <w:rsid w:val="002809F2"/>
    <w:rsid w:val="0028201D"/>
    <w:rsid w:val="00283C88"/>
    <w:rsid w:val="00283E0A"/>
    <w:rsid w:val="00286107"/>
    <w:rsid w:val="00293609"/>
    <w:rsid w:val="002A19D5"/>
    <w:rsid w:val="002A6732"/>
    <w:rsid w:val="002B0C23"/>
    <w:rsid w:val="002B118C"/>
    <w:rsid w:val="002B1E35"/>
    <w:rsid w:val="002B2793"/>
    <w:rsid w:val="002B49A7"/>
    <w:rsid w:val="002B4DBD"/>
    <w:rsid w:val="002B765D"/>
    <w:rsid w:val="002C0628"/>
    <w:rsid w:val="002C2B38"/>
    <w:rsid w:val="002C4944"/>
    <w:rsid w:val="002D14EB"/>
    <w:rsid w:val="002D63B2"/>
    <w:rsid w:val="002E07A0"/>
    <w:rsid w:val="002E46BB"/>
    <w:rsid w:val="002E508E"/>
    <w:rsid w:val="002F06BE"/>
    <w:rsid w:val="002F2A8A"/>
    <w:rsid w:val="002F32D3"/>
    <w:rsid w:val="003018C0"/>
    <w:rsid w:val="00303498"/>
    <w:rsid w:val="0030729D"/>
    <w:rsid w:val="00307CE9"/>
    <w:rsid w:val="003113D9"/>
    <w:rsid w:val="00321920"/>
    <w:rsid w:val="003224BD"/>
    <w:rsid w:val="003254B7"/>
    <w:rsid w:val="0033401A"/>
    <w:rsid w:val="00334408"/>
    <w:rsid w:val="0033480E"/>
    <w:rsid w:val="00336552"/>
    <w:rsid w:val="00336F13"/>
    <w:rsid w:val="00337449"/>
    <w:rsid w:val="00337DF9"/>
    <w:rsid w:val="0034539B"/>
    <w:rsid w:val="00345667"/>
    <w:rsid w:val="0036222F"/>
    <w:rsid w:val="003624D7"/>
    <w:rsid w:val="00363FF5"/>
    <w:rsid w:val="0036458D"/>
    <w:rsid w:val="00367A80"/>
    <w:rsid w:val="003708A8"/>
    <w:rsid w:val="00372574"/>
    <w:rsid w:val="00376F4F"/>
    <w:rsid w:val="00380C36"/>
    <w:rsid w:val="00381123"/>
    <w:rsid w:val="0038266D"/>
    <w:rsid w:val="003908F4"/>
    <w:rsid w:val="00390A18"/>
    <w:rsid w:val="003919D8"/>
    <w:rsid w:val="003A34A5"/>
    <w:rsid w:val="003B536F"/>
    <w:rsid w:val="003C1C2B"/>
    <w:rsid w:val="003C1D12"/>
    <w:rsid w:val="003C28BF"/>
    <w:rsid w:val="003C2DC1"/>
    <w:rsid w:val="003C3BA6"/>
    <w:rsid w:val="003C4D8A"/>
    <w:rsid w:val="003C50CD"/>
    <w:rsid w:val="003C6503"/>
    <w:rsid w:val="003D6580"/>
    <w:rsid w:val="003D70DB"/>
    <w:rsid w:val="003E035D"/>
    <w:rsid w:val="003E45EB"/>
    <w:rsid w:val="003F01F7"/>
    <w:rsid w:val="003F4B68"/>
    <w:rsid w:val="003F53FE"/>
    <w:rsid w:val="003F6E3D"/>
    <w:rsid w:val="00404912"/>
    <w:rsid w:val="00405328"/>
    <w:rsid w:val="00405787"/>
    <w:rsid w:val="00412CD4"/>
    <w:rsid w:val="004142AF"/>
    <w:rsid w:val="004230FA"/>
    <w:rsid w:val="004278A9"/>
    <w:rsid w:val="0043745F"/>
    <w:rsid w:val="004404B6"/>
    <w:rsid w:val="00440C47"/>
    <w:rsid w:val="004450A5"/>
    <w:rsid w:val="00446224"/>
    <w:rsid w:val="00446770"/>
    <w:rsid w:val="004537E9"/>
    <w:rsid w:val="004568BA"/>
    <w:rsid w:val="00457156"/>
    <w:rsid w:val="004602A2"/>
    <w:rsid w:val="004635C7"/>
    <w:rsid w:val="00465A65"/>
    <w:rsid w:val="004662A9"/>
    <w:rsid w:val="0047169D"/>
    <w:rsid w:val="00477BB2"/>
    <w:rsid w:val="00482124"/>
    <w:rsid w:val="00482739"/>
    <w:rsid w:val="00483BCA"/>
    <w:rsid w:val="0048470B"/>
    <w:rsid w:val="00487E46"/>
    <w:rsid w:val="00490FC8"/>
    <w:rsid w:val="0049191E"/>
    <w:rsid w:val="004953A7"/>
    <w:rsid w:val="004958F3"/>
    <w:rsid w:val="004965A6"/>
    <w:rsid w:val="004A004C"/>
    <w:rsid w:val="004A1B02"/>
    <w:rsid w:val="004A236F"/>
    <w:rsid w:val="004A26F5"/>
    <w:rsid w:val="004A2A58"/>
    <w:rsid w:val="004A494F"/>
    <w:rsid w:val="004A4C5B"/>
    <w:rsid w:val="004A5A11"/>
    <w:rsid w:val="004B0860"/>
    <w:rsid w:val="004B12E6"/>
    <w:rsid w:val="004B14B2"/>
    <w:rsid w:val="004B5981"/>
    <w:rsid w:val="004C0B7C"/>
    <w:rsid w:val="004C1BC9"/>
    <w:rsid w:val="004C3DCA"/>
    <w:rsid w:val="004C64A2"/>
    <w:rsid w:val="004D3653"/>
    <w:rsid w:val="004D3844"/>
    <w:rsid w:val="004D50D1"/>
    <w:rsid w:val="004E36C9"/>
    <w:rsid w:val="004E3BAE"/>
    <w:rsid w:val="004F297F"/>
    <w:rsid w:val="004F45A9"/>
    <w:rsid w:val="00501B68"/>
    <w:rsid w:val="00504542"/>
    <w:rsid w:val="0050459F"/>
    <w:rsid w:val="00511B1E"/>
    <w:rsid w:val="00513AC1"/>
    <w:rsid w:val="00515209"/>
    <w:rsid w:val="00516960"/>
    <w:rsid w:val="00516BA2"/>
    <w:rsid w:val="00516E16"/>
    <w:rsid w:val="00520826"/>
    <w:rsid w:val="00521078"/>
    <w:rsid w:val="00530591"/>
    <w:rsid w:val="00537008"/>
    <w:rsid w:val="00542CA5"/>
    <w:rsid w:val="00546171"/>
    <w:rsid w:val="00546373"/>
    <w:rsid w:val="00552632"/>
    <w:rsid w:val="00552E1D"/>
    <w:rsid w:val="00563843"/>
    <w:rsid w:val="005638A3"/>
    <w:rsid w:val="00563C83"/>
    <w:rsid w:val="00565F33"/>
    <w:rsid w:val="00566F20"/>
    <w:rsid w:val="0058057E"/>
    <w:rsid w:val="005813E5"/>
    <w:rsid w:val="00584519"/>
    <w:rsid w:val="005858A4"/>
    <w:rsid w:val="00591B48"/>
    <w:rsid w:val="005970CC"/>
    <w:rsid w:val="005A0779"/>
    <w:rsid w:val="005A2005"/>
    <w:rsid w:val="005A3373"/>
    <w:rsid w:val="005A6825"/>
    <w:rsid w:val="005A6A47"/>
    <w:rsid w:val="005B3E8A"/>
    <w:rsid w:val="005B44B9"/>
    <w:rsid w:val="005C03DD"/>
    <w:rsid w:val="005C3023"/>
    <w:rsid w:val="005C4A61"/>
    <w:rsid w:val="005C61F7"/>
    <w:rsid w:val="005D0F43"/>
    <w:rsid w:val="005D49A4"/>
    <w:rsid w:val="005D7E81"/>
    <w:rsid w:val="005E24C9"/>
    <w:rsid w:val="005E5927"/>
    <w:rsid w:val="005E5ECD"/>
    <w:rsid w:val="005E79EB"/>
    <w:rsid w:val="005F2249"/>
    <w:rsid w:val="005F3791"/>
    <w:rsid w:val="005F5714"/>
    <w:rsid w:val="00601D6F"/>
    <w:rsid w:val="00602ABE"/>
    <w:rsid w:val="00606167"/>
    <w:rsid w:val="00607F14"/>
    <w:rsid w:val="00613FB0"/>
    <w:rsid w:val="006224A6"/>
    <w:rsid w:val="00622A0C"/>
    <w:rsid w:val="00623129"/>
    <w:rsid w:val="00625ACB"/>
    <w:rsid w:val="00626FC1"/>
    <w:rsid w:val="006341D7"/>
    <w:rsid w:val="006342D9"/>
    <w:rsid w:val="00636573"/>
    <w:rsid w:val="00646118"/>
    <w:rsid w:val="00650A0F"/>
    <w:rsid w:val="00657502"/>
    <w:rsid w:val="00661287"/>
    <w:rsid w:val="00661ACF"/>
    <w:rsid w:val="00661F0C"/>
    <w:rsid w:val="0066243A"/>
    <w:rsid w:val="0066552D"/>
    <w:rsid w:val="00670198"/>
    <w:rsid w:val="00673876"/>
    <w:rsid w:val="006777F5"/>
    <w:rsid w:val="00677ABB"/>
    <w:rsid w:val="00680DC7"/>
    <w:rsid w:val="006812D1"/>
    <w:rsid w:val="00682129"/>
    <w:rsid w:val="006826AE"/>
    <w:rsid w:val="00683DFE"/>
    <w:rsid w:val="00683F01"/>
    <w:rsid w:val="00686143"/>
    <w:rsid w:val="00690597"/>
    <w:rsid w:val="00690DC0"/>
    <w:rsid w:val="00696DC4"/>
    <w:rsid w:val="00697D6C"/>
    <w:rsid w:val="006A1511"/>
    <w:rsid w:val="006A2877"/>
    <w:rsid w:val="006A3038"/>
    <w:rsid w:val="006A3599"/>
    <w:rsid w:val="006A408D"/>
    <w:rsid w:val="006A40B3"/>
    <w:rsid w:val="006B52EA"/>
    <w:rsid w:val="006B5808"/>
    <w:rsid w:val="006B6325"/>
    <w:rsid w:val="006B6A2F"/>
    <w:rsid w:val="006C26C8"/>
    <w:rsid w:val="006C286D"/>
    <w:rsid w:val="006C41E3"/>
    <w:rsid w:val="006C5B79"/>
    <w:rsid w:val="006C5BBC"/>
    <w:rsid w:val="006D4185"/>
    <w:rsid w:val="006D6D1C"/>
    <w:rsid w:val="006E3298"/>
    <w:rsid w:val="006F6695"/>
    <w:rsid w:val="006F7081"/>
    <w:rsid w:val="006F75DB"/>
    <w:rsid w:val="00704E4C"/>
    <w:rsid w:val="0070544B"/>
    <w:rsid w:val="00705DC6"/>
    <w:rsid w:val="00706DC0"/>
    <w:rsid w:val="00707B72"/>
    <w:rsid w:val="007117EA"/>
    <w:rsid w:val="0071221F"/>
    <w:rsid w:val="007218B3"/>
    <w:rsid w:val="0072327D"/>
    <w:rsid w:val="00724253"/>
    <w:rsid w:val="00727517"/>
    <w:rsid w:val="0073585A"/>
    <w:rsid w:val="00737054"/>
    <w:rsid w:val="00743CD7"/>
    <w:rsid w:val="00746EDF"/>
    <w:rsid w:val="007575F8"/>
    <w:rsid w:val="00761B68"/>
    <w:rsid w:val="00766462"/>
    <w:rsid w:val="00766973"/>
    <w:rsid w:val="007858A6"/>
    <w:rsid w:val="00794CAE"/>
    <w:rsid w:val="007950F0"/>
    <w:rsid w:val="007963FA"/>
    <w:rsid w:val="00797D4C"/>
    <w:rsid w:val="007A2E57"/>
    <w:rsid w:val="007A5121"/>
    <w:rsid w:val="007A6B81"/>
    <w:rsid w:val="007C27D2"/>
    <w:rsid w:val="007D1162"/>
    <w:rsid w:val="007D1A5A"/>
    <w:rsid w:val="007D37BA"/>
    <w:rsid w:val="007D4159"/>
    <w:rsid w:val="007E1EBB"/>
    <w:rsid w:val="007E58A8"/>
    <w:rsid w:val="007E58B3"/>
    <w:rsid w:val="007E601F"/>
    <w:rsid w:val="007F5F6E"/>
    <w:rsid w:val="007F77F9"/>
    <w:rsid w:val="0080501A"/>
    <w:rsid w:val="00811DC3"/>
    <w:rsid w:val="00811EB7"/>
    <w:rsid w:val="00814B6B"/>
    <w:rsid w:val="008155CB"/>
    <w:rsid w:val="008159D1"/>
    <w:rsid w:val="00816C45"/>
    <w:rsid w:val="0081712C"/>
    <w:rsid w:val="00822F18"/>
    <w:rsid w:val="00824DC1"/>
    <w:rsid w:val="0083061B"/>
    <w:rsid w:val="00834981"/>
    <w:rsid w:val="0084031E"/>
    <w:rsid w:val="00840446"/>
    <w:rsid w:val="00847219"/>
    <w:rsid w:val="0086319F"/>
    <w:rsid w:val="00863408"/>
    <w:rsid w:val="00865548"/>
    <w:rsid w:val="00866A47"/>
    <w:rsid w:val="0087078B"/>
    <w:rsid w:val="00870877"/>
    <w:rsid w:val="008762F3"/>
    <w:rsid w:val="008817D0"/>
    <w:rsid w:val="00882E00"/>
    <w:rsid w:val="008835E6"/>
    <w:rsid w:val="008865DB"/>
    <w:rsid w:val="00886F01"/>
    <w:rsid w:val="0089280C"/>
    <w:rsid w:val="00892893"/>
    <w:rsid w:val="00892901"/>
    <w:rsid w:val="008973D1"/>
    <w:rsid w:val="008A169A"/>
    <w:rsid w:val="008B4E87"/>
    <w:rsid w:val="008B5ED2"/>
    <w:rsid w:val="008C39F1"/>
    <w:rsid w:val="008C49A0"/>
    <w:rsid w:val="008C6CBF"/>
    <w:rsid w:val="008C7B75"/>
    <w:rsid w:val="008D1E41"/>
    <w:rsid w:val="008D2DF8"/>
    <w:rsid w:val="008D3C18"/>
    <w:rsid w:val="008D655E"/>
    <w:rsid w:val="008D7034"/>
    <w:rsid w:val="008D7209"/>
    <w:rsid w:val="008E425C"/>
    <w:rsid w:val="008E5FC5"/>
    <w:rsid w:val="008E66B8"/>
    <w:rsid w:val="008F0D01"/>
    <w:rsid w:val="008F0E99"/>
    <w:rsid w:val="008F1527"/>
    <w:rsid w:val="008F26C3"/>
    <w:rsid w:val="008F2D7A"/>
    <w:rsid w:val="008F363C"/>
    <w:rsid w:val="008F43C7"/>
    <w:rsid w:val="008F49BB"/>
    <w:rsid w:val="008F6936"/>
    <w:rsid w:val="008F7D2F"/>
    <w:rsid w:val="0090479B"/>
    <w:rsid w:val="00906350"/>
    <w:rsid w:val="00917B48"/>
    <w:rsid w:val="00921037"/>
    <w:rsid w:val="00924024"/>
    <w:rsid w:val="009317F4"/>
    <w:rsid w:val="009344E1"/>
    <w:rsid w:val="00940AAA"/>
    <w:rsid w:val="00940B20"/>
    <w:rsid w:val="00950401"/>
    <w:rsid w:val="00956DDD"/>
    <w:rsid w:val="00960987"/>
    <w:rsid w:val="00974561"/>
    <w:rsid w:val="009818CE"/>
    <w:rsid w:val="00983C58"/>
    <w:rsid w:val="00985510"/>
    <w:rsid w:val="009904E6"/>
    <w:rsid w:val="00991BBF"/>
    <w:rsid w:val="00992B5C"/>
    <w:rsid w:val="00997557"/>
    <w:rsid w:val="009A03A0"/>
    <w:rsid w:val="009A19FA"/>
    <w:rsid w:val="009A5E41"/>
    <w:rsid w:val="009A5E67"/>
    <w:rsid w:val="009A6C0B"/>
    <w:rsid w:val="009A72D3"/>
    <w:rsid w:val="009B52F0"/>
    <w:rsid w:val="009B637D"/>
    <w:rsid w:val="009B69CF"/>
    <w:rsid w:val="009B7C5D"/>
    <w:rsid w:val="009B7DEB"/>
    <w:rsid w:val="009C67D7"/>
    <w:rsid w:val="009C75E2"/>
    <w:rsid w:val="009D1CA6"/>
    <w:rsid w:val="009D2149"/>
    <w:rsid w:val="009D32EA"/>
    <w:rsid w:val="009D3C37"/>
    <w:rsid w:val="009D7378"/>
    <w:rsid w:val="009E3D92"/>
    <w:rsid w:val="009E49AA"/>
    <w:rsid w:val="009E49CC"/>
    <w:rsid w:val="009E4A6D"/>
    <w:rsid w:val="009E63E1"/>
    <w:rsid w:val="009E767E"/>
    <w:rsid w:val="009F0616"/>
    <w:rsid w:val="009F4801"/>
    <w:rsid w:val="009F64B1"/>
    <w:rsid w:val="009F6EFF"/>
    <w:rsid w:val="009F72E0"/>
    <w:rsid w:val="00A003CD"/>
    <w:rsid w:val="00A03FA2"/>
    <w:rsid w:val="00A14DC3"/>
    <w:rsid w:val="00A152F5"/>
    <w:rsid w:val="00A175E4"/>
    <w:rsid w:val="00A2179D"/>
    <w:rsid w:val="00A21BC1"/>
    <w:rsid w:val="00A2414C"/>
    <w:rsid w:val="00A264B3"/>
    <w:rsid w:val="00A32E81"/>
    <w:rsid w:val="00A3481B"/>
    <w:rsid w:val="00A43051"/>
    <w:rsid w:val="00A47ED5"/>
    <w:rsid w:val="00A50846"/>
    <w:rsid w:val="00A53598"/>
    <w:rsid w:val="00A538D8"/>
    <w:rsid w:val="00A5434A"/>
    <w:rsid w:val="00A56321"/>
    <w:rsid w:val="00A62C50"/>
    <w:rsid w:val="00A67ED8"/>
    <w:rsid w:val="00A73D34"/>
    <w:rsid w:val="00A747C7"/>
    <w:rsid w:val="00A7541B"/>
    <w:rsid w:val="00A77526"/>
    <w:rsid w:val="00A80569"/>
    <w:rsid w:val="00A808E0"/>
    <w:rsid w:val="00A862D6"/>
    <w:rsid w:val="00A8640A"/>
    <w:rsid w:val="00A867E2"/>
    <w:rsid w:val="00A9237A"/>
    <w:rsid w:val="00A97D09"/>
    <w:rsid w:val="00A97E30"/>
    <w:rsid w:val="00AA22D1"/>
    <w:rsid w:val="00AA3126"/>
    <w:rsid w:val="00AB4F97"/>
    <w:rsid w:val="00AB5079"/>
    <w:rsid w:val="00AC0126"/>
    <w:rsid w:val="00AC235A"/>
    <w:rsid w:val="00AC5BBE"/>
    <w:rsid w:val="00AC6688"/>
    <w:rsid w:val="00AD7212"/>
    <w:rsid w:val="00AE4666"/>
    <w:rsid w:val="00AE76A5"/>
    <w:rsid w:val="00AF6FCC"/>
    <w:rsid w:val="00B20E4F"/>
    <w:rsid w:val="00B23764"/>
    <w:rsid w:val="00B245A5"/>
    <w:rsid w:val="00B25194"/>
    <w:rsid w:val="00B30541"/>
    <w:rsid w:val="00B321B1"/>
    <w:rsid w:val="00B3450C"/>
    <w:rsid w:val="00B347E6"/>
    <w:rsid w:val="00B37957"/>
    <w:rsid w:val="00B46256"/>
    <w:rsid w:val="00B47BFE"/>
    <w:rsid w:val="00B507B2"/>
    <w:rsid w:val="00B60A4C"/>
    <w:rsid w:val="00B61E48"/>
    <w:rsid w:val="00B63F6C"/>
    <w:rsid w:val="00B678D2"/>
    <w:rsid w:val="00B7096A"/>
    <w:rsid w:val="00B71719"/>
    <w:rsid w:val="00B71805"/>
    <w:rsid w:val="00B726A7"/>
    <w:rsid w:val="00B7326D"/>
    <w:rsid w:val="00B776DC"/>
    <w:rsid w:val="00B81836"/>
    <w:rsid w:val="00B8407D"/>
    <w:rsid w:val="00B85433"/>
    <w:rsid w:val="00B86889"/>
    <w:rsid w:val="00B924F8"/>
    <w:rsid w:val="00B93A2E"/>
    <w:rsid w:val="00B95131"/>
    <w:rsid w:val="00B955A7"/>
    <w:rsid w:val="00B959BE"/>
    <w:rsid w:val="00B969B7"/>
    <w:rsid w:val="00B96FFC"/>
    <w:rsid w:val="00BA4E8F"/>
    <w:rsid w:val="00BB063F"/>
    <w:rsid w:val="00BB392F"/>
    <w:rsid w:val="00BB7B2C"/>
    <w:rsid w:val="00BB7DA8"/>
    <w:rsid w:val="00BC1E7E"/>
    <w:rsid w:val="00BD4623"/>
    <w:rsid w:val="00BD6FD6"/>
    <w:rsid w:val="00BE0162"/>
    <w:rsid w:val="00BE1FA6"/>
    <w:rsid w:val="00BE21E8"/>
    <w:rsid w:val="00BE2A61"/>
    <w:rsid w:val="00BE41C3"/>
    <w:rsid w:val="00BE76BB"/>
    <w:rsid w:val="00BF0445"/>
    <w:rsid w:val="00BF1C6F"/>
    <w:rsid w:val="00C01529"/>
    <w:rsid w:val="00C02AD7"/>
    <w:rsid w:val="00C05DB4"/>
    <w:rsid w:val="00C069A7"/>
    <w:rsid w:val="00C13CD5"/>
    <w:rsid w:val="00C13E21"/>
    <w:rsid w:val="00C22BEE"/>
    <w:rsid w:val="00C23C14"/>
    <w:rsid w:val="00C26238"/>
    <w:rsid w:val="00C27B9E"/>
    <w:rsid w:val="00C302A1"/>
    <w:rsid w:val="00C325D2"/>
    <w:rsid w:val="00C3593C"/>
    <w:rsid w:val="00C36E90"/>
    <w:rsid w:val="00C37264"/>
    <w:rsid w:val="00C37353"/>
    <w:rsid w:val="00C4000A"/>
    <w:rsid w:val="00C410A5"/>
    <w:rsid w:val="00C43FB5"/>
    <w:rsid w:val="00C44425"/>
    <w:rsid w:val="00C50E28"/>
    <w:rsid w:val="00C513EF"/>
    <w:rsid w:val="00C518C2"/>
    <w:rsid w:val="00C53DC8"/>
    <w:rsid w:val="00C609B2"/>
    <w:rsid w:val="00C624B2"/>
    <w:rsid w:val="00C6375F"/>
    <w:rsid w:val="00C67CD8"/>
    <w:rsid w:val="00C70A2F"/>
    <w:rsid w:val="00C70FC6"/>
    <w:rsid w:val="00C71878"/>
    <w:rsid w:val="00C77938"/>
    <w:rsid w:val="00C801BA"/>
    <w:rsid w:val="00C83CD0"/>
    <w:rsid w:val="00C924EE"/>
    <w:rsid w:val="00C92BC2"/>
    <w:rsid w:val="00C93FDD"/>
    <w:rsid w:val="00C9445E"/>
    <w:rsid w:val="00C94599"/>
    <w:rsid w:val="00C94AFC"/>
    <w:rsid w:val="00C95ED2"/>
    <w:rsid w:val="00C96147"/>
    <w:rsid w:val="00CB17E3"/>
    <w:rsid w:val="00CB4A0A"/>
    <w:rsid w:val="00CC133D"/>
    <w:rsid w:val="00CC1E5A"/>
    <w:rsid w:val="00CC450B"/>
    <w:rsid w:val="00CC4F66"/>
    <w:rsid w:val="00CC6881"/>
    <w:rsid w:val="00CD091D"/>
    <w:rsid w:val="00CD3E7C"/>
    <w:rsid w:val="00CD5E24"/>
    <w:rsid w:val="00CD7233"/>
    <w:rsid w:val="00CE1E36"/>
    <w:rsid w:val="00CE4532"/>
    <w:rsid w:val="00CE4971"/>
    <w:rsid w:val="00CF26E2"/>
    <w:rsid w:val="00CF42F1"/>
    <w:rsid w:val="00CF6AA2"/>
    <w:rsid w:val="00D00A62"/>
    <w:rsid w:val="00D017BD"/>
    <w:rsid w:val="00D1324C"/>
    <w:rsid w:val="00D1558A"/>
    <w:rsid w:val="00D16968"/>
    <w:rsid w:val="00D17D7D"/>
    <w:rsid w:val="00D20748"/>
    <w:rsid w:val="00D272D2"/>
    <w:rsid w:val="00D30530"/>
    <w:rsid w:val="00D30A29"/>
    <w:rsid w:val="00D30E09"/>
    <w:rsid w:val="00D35F5F"/>
    <w:rsid w:val="00D369A3"/>
    <w:rsid w:val="00D42927"/>
    <w:rsid w:val="00D43FE3"/>
    <w:rsid w:val="00D44E6D"/>
    <w:rsid w:val="00D44E7A"/>
    <w:rsid w:val="00D45D25"/>
    <w:rsid w:val="00D470F5"/>
    <w:rsid w:val="00D52451"/>
    <w:rsid w:val="00D53F91"/>
    <w:rsid w:val="00D56574"/>
    <w:rsid w:val="00D62A16"/>
    <w:rsid w:val="00D64D6B"/>
    <w:rsid w:val="00D70A94"/>
    <w:rsid w:val="00D73966"/>
    <w:rsid w:val="00D75268"/>
    <w:rsid w:val="00D7610F"/>
    <w:rsid w:val="00D778B1"/>
    <w:rsid w:val="00D807B4"/>
    <w:rsid w:val="00D82EBA"/>
    <w:rsid w:val="00D900F0"/>
    <w:rsid w:val="00D91F3E"/>
    <w:rsid w:val="00D92A1A"/>
    <w:rsid w:val="00D93A9B"/>
    <w:rsid w:val="00D9793C"/>
    <w:rsid w:val="00DA0AC0"/>
    <w:rsid w:val="00DA3CDB"/>
    <w:rsid w:val="00DA4BFE"/>
    <w:rsid w:val="00DA55C7"/>
    <w:rsid w:val="00DB00F5"/>
    <w:rsid w:val="00DB0487"/>
    <w:rsid w:val="00DB0D0C"/>
    <w:rsid w:val="00DB4DB6"/>
    <w:rsid w:val="00DB772D"/>
    <w:rsid w:val="00DC0E9E"/>
    <w:rsid w:val="00DC3541"/>
    <w:rsid w:val="00DC6065"/>
    <w:rsid w:val="00DD0D02"/>
    <w:rsid w:val="00DD2314"/>
    <w:rsid w:val="00DE2CB9"/>
    <w:rsid w:val="00DE3CAF"/>
    <w:rsid w:val="00DE54ED"/>
    <w:rsid w:val="00DE63DB"/>
    <w:rsid w:val="00DF7BB6"/>
    <w:rsid w:val="00E024A4"/>
    <w:rsid w:val="00E13CEB"/>
    <w:rsid w:val="00E249CC"/>
    <w:rsid w:val="00E25BC5"/>
    <w:rsid w:val="00E40DF5"/>
    <w:rsid w:val="00E42AA4"/>
    <w:rsid w:val="00E43AF8"/>
    <w:rsid w:val="00E45C91"/>
    <w:rsid w:val="00E51394"/>
    <w:rsid w:val="00E539EB"/>
    <w:rsid w:val="00E57310"/>
    <w:rsid w:val="00E57DC4"/>
    <w:rsid w:val="00E61903"/>
    <w:rsid w:val="00E619BB"/>
    <w:rsid w:val="00E631CB"/>
    <w:rsid w:val="00E6750F"/>
    <w:rsid w:val="00E7043E"/>
    <w:rsid w:val="00E70E51"/>
    <w:rsid w:val="00E73974"/>
    <w:rsid w:val="00E81295"/>
    <w:rsid w:val="00E822F1"/>
    <w:rsid w:val="00E8793D"/>
    <w:rsid w:val="00E916FC"/>
    <w:rsid w:val="00E92652"/>
    <w:rsid w:val="00E93567"/>
    <w:rsid w:val="00E93ABA"/>
    <w:rsid w:val="00E964F5"/>
    <w:rsid w:val="00EA442E"/>
    <w:rsid w:val="00EA6386"/>
    <w:rsid w:val="00EB04F9"/>
    <w:rsid w:val="00EB3771"/>
    <w:rsid w:val="00EB3A12"/>
    <w:rsid w:val="00EB49A8"/>
    <w:rsid w:val="00EB4CE4"/>
    <w:rsid w:val="00EB652B"/>
    <w:rsid w:val="00EC070F"/>
    <w:rsid w:val="00EC2CF2"/>
    <w:rsid w:val="00EC4911"/>
    <w:rsid w:val="00EC6671"/>
    <w:rsid w:val="00ED1397"/>
    <w:rsid w:val="00ED17FE"/>
    <w:rsid w:val="00ED1FE7"/>
    <w:rsid w:val="00EE1582"/>
    <w:rsid w:val="00EE1B3B"/>
    <w:rsid w:val="00EE258F"/>
    <w:rsid w:val="00EE6A85"/>
    <w:rsid w:val="00EF08AD"/>
    <w:rsid w:val="00EF0CAA"/>
    <w:rsid w:val="00EF38B4"/>
    <w:rsid w:val="00EF41F9"/>
    <w:rsid w:val="00EF580B"/>
    <w:rsid w:val="00EF6EA6"/>
    <w:rsid w:val="00F04E85"/>
    <w:rsid w:val="00F07238"/>
    <w:rsid w:val="00F10E08"/>
    <w:rsid w:val="00F12443"/>
    <w:rsid w:val="00F230B3"/>
    <w:rsid w:val="00F2439B"/>
    <w:rsid w:val="00F246C1"/>
    <w:rsid w:val="00F310B8"/>
    <w:rsid w:val="00F324F8"/>
    <w:rsid w:val="00F34E8F"/>
    <w:rsid w:val="00F429A9"/>
    <w:rsid w:val="00F628A9"/>
    <w:rsid w:val="00F66602"/>
    <w:rsid w:val="00F70154"/>
    <w:rsid w:val="00F70EE0"/>
    <w:rsid w:val="00F714C0"/>
    <w:rsid w:val="00F72247"/>
    <w:rsid w:val="00F7475C"/>
    <w:rsid w:val="00F7722F"/>
    <w:rsid w:val="00F807F1"/>
    <w:rsid w:val="00F81BA4"/>
    <w:rsid w:val="00F81FAB"/>
    <w:rsid w:val="00F8267F"/>
    <w:rsid w:val="00F86AC7"/>
    <w:rsid w:val="00F91FFD"/>
    <w:rsid w:val="00F92931"/>
    <w:rsid w:val="00F95FEB"/>
    <w:rsid w:val="00F9729B"/>
    <w:rsid w:val="00FA0BF6"/>
    <w:rsid w:val="00FB1EE2"/>
    <w:rsid w:val="00FB2B63"/>
    <w:rsid w:val="00FD2315"/>
    <w:rsid w:val="00FD35EA"/>
    <w:rsid w:val="00FD3775"/>
    <w:rsid w:val="00FD66F5"/>
    <w:rsid w:val="00FD76E6"/>
    <w:rsid w:val="00FE2A92"/>
    <w:rsid w:val="00FE3D72"/>
    <w:rsid w:val="00FE6681"/>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8075ECA3-A6B7-489F-B2DB-83482923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uiPriority w:val="99"/>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584519"/>
    <w:rPr>
      <w:sz w:val="28"/>
      <w:lang w:val="es-MX"/>
    </w:rPr>
  </w:style>
  <w:style w:type="table" w:styleId="Tablaconcuadrcula">
    <w:name w:val="Table Grid"/>
    <w:basedOn w:val="Tablanormal"/>
    <w:rsid w:val="006A1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
    <w:name w:val="Cuerpo del texto_"/>
    <w:basedOn w:val="Fuentedeprrafopredeter"/>
    <w:link w:val="Cuerpodeltexto0"/>
    <w:rsid w:val="00840446"/>
    <w:rPr>
      <w:rFonts w:ascii="Segoe UI" w:eastAsia="Segoe UI" w:hAnsi="Segoe UI" w:cs="Segoe UI"/>
      <w:sz w:val="26"/>
      <w:szCs w:val="26"/>
      <w:shd w:val="clear" w:color="auto" w:fill="FFFFFF"/>
    </w:rPr>
  </w:style>
  <w:style w:type="character" w:customStyle="1" w:styleId="CuerpodeltextoEspaciado1pto">
    <w:name w:val="Cuerpo del texto + Espaciado 1 pto"/>
    <w:basedOn w:val="Cuerpodeltexto"/>
    <w:rsid w:val="00840446"/>
    <w:rPr>
      <w:rFonts w:ascii="Segoe UI" w:eastAsia="Segoe UI" w:hAnsi="Segoe UI" w:cs="Segoe UI"/>
      <w:color w:val="000000"/>
      <w:spacing w:val="30"/>
      <w:w w:val="100"/>
      <w:position w:val="0"/>
      <w:sz w:val="26"/>
      <w:szCs w:val="26"/>
      <w:shd w:val="clear" w:color="auto" w:fill="FFFFFF"/>
      <w:lang w:val="es-ES"/>
    </w:rPr>
  </w:style>
  <w:style w:type="paragraph" w:customStyle="1" w:styleId="Cuerpodeltexto0">
    <w:name w:val="Cuerpo del texto"/>
    <w:basedOn w:val="Normal"/>
    <w:link w:val="Cuerpodeltexto"/>
    <w:rsid w:val="00840446"/>
    <w:pPr>
      <w:widowControl w:val="0"/>
      <w:shd w:val="clear" w:color="auto" w:fill="FFFFFF"/>
      <w:spacing w:after="360" w:line="320" w:lineRule="exact"/>
      <w:jc w:val="both"/>
    </w:pPr>
    <w:rPr>
      <w:rFonts w:ascii="Segoe UI" w:eastAsia="Segoe UI" w:hAnsi="Segoe UI" w:cs="Segoe UI"/>
      <w:sz w:val="26"/>
      <w:szCs w:val="26"/>
    </w:rPr>
  </w:style>
  <w:style w:type="character" w:styleId="Hipervnculo">
    <w:name w:val="Hyperlink"/>
    <w:basedOn w:val="Fuentedeprrafopredeter"/>
    <w:uiPriority w:val="99"/>
    <w:semiHidden/>
    <w:unhideWhenUsed/>
    <w:rsid w:val="00E631CB"/>
    <w:rPr>
      <w:color w:val="0000FF"/>
      <w:u w:val="single"/>
    </w:rPr>
  </w:style>
  <w:style w:type="character" w:customStyle="1" w:styleId="apple-converted-space">
    <w:name w:val="apple-converted-space"/>
    <w:basedOn w:val="Fuentedeprrafopredeter"/>
    <w:rsid w:val="00E631CB"/>
  </w:style>
  <w:style w:type="character" w:customStyle="1" w:styleId="iaj">
    <w:name w:val="i_aj"/>
    <w:basedOn w:val="Fuentedeprrafopredeter"/>
    <w:rsid w:val="000A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 w:id="10100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8DD81-8BC8-4FB3-A89B-F640AA55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3203</Words>
  <Characters>17621</Characters>
  <Application>Microsoft Office Word</Application>
  <DocSecurity>0</DocSecurity>
  <Lines>146</Lines>
  <Paragraphs>41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20783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6</cp:revision>
  <cp:lastPrinted>2017-03-14T12:47:00Z</cp:lastPrinted>
  <dcterms:created xsi:type="dcterms:W3CDTF">2017-03-14T12:50:00Z</dcterms:created>
  <dcterms:modified xsi:type="dcterms:W3CDTF">2017-05-30T19:29:00Z</dcterms:modified>
</cp:coreProperties>
</file>