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36" w:rsidRPr="00FC0736" w:rsidRDefault="00FC0736" w:rsidP="00FC073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eastAsia="fr-FR"/>
        </w:rPr>
      </w:pPr>
      <w:bookmarkStart w:id="0" w:name="_GoBack"/>
      <w:bookmarkEnd w:id="0"/>
      <w:r w:rsidRPr="00FC0736">
        <w:rPr>
          <w:rFonts w:ascii="Calibri" w:eastAsia="Calibri" w:hAnsi="Calibri" w:cs="Calibri"/>
          <w:color w:val="FF0000"/>
          <w:sz w:val="16"/>
          <w:szCs w:val="16"/>
          <w:lang w:eastAsia="fr-FR"/>
        </w:rPr>
        <w:t xml:space="preserve">El siguiente es el documento presentado por el Magistrado Ponente. </w:t>
      </w:r>
    </w:p>
    <w:p w:rsidR="00FC0736" w:rsidRPr="00FC0736" w:rsidRDefault="00FC0736" w:rsidP="00FC0736">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eastAsia="fr-FR"/>
        </w:rPr>
      </w:pPr>
      <w:r w:rsidRPr="00FC0736">
        <w:rPr>
          <w:rFonts w:ascii="Calibri" w:eastAsia="Calibri" w:hAnsi="Calibri" w:cs="Calibri"/>
          <w:color w:val="FF0000"/>
          <w:sz w:val="16"/>
          <w:szCs w:val="16"/>
          <w:lang w:eastAsia="fr-FR"/>
        </w:rPr>
        <w:t>El contenido total y fiel debe ser verificado en la Secretaría de esta Sala.</w:t>
      </w:r>
      <w:r w:rsidRPr="00FC0736">
        <w:rPr>
          <w:rFonts w:ascii="Calibri" w:eastAsia="Calibri" w:hAnsi="Calibri" w:cs="Calibri"/>
          <w:color w:val="222222"/>
          <w:sz w:val="18"/>
          <w:szCs w:val="18"/>
          <w:lang w:eastAsia="fr-FR"/>
        </w:rPr>
        <w:t> </w:t>
      </w:r>
    </w:p>
    <w:p w:rsidR="00FC0736" w:rsidRPr="00FC0736" w:rsidRDefault="00FC0736" w:rsidP="00FC0736">
      <w:pPr>
        <w:shd w:val="clear" w:color="auto" w:fill="FFFFFF"/>
        <w:ind w:left="2124" w:hanging="2124"/>
        <w:jc w:val="both"/>
        <w:rPr>
          <w:rFonts w:ascii="Calibri" w:eastAsia="Times New Roman" w:hAnsi="Calibri" w:cs="Calibri"/>
          <w:color w:val="222222"/>
          <w:sz w:val="18"/>
          <w:szCs w:val="18"/>
          <w:lang w:eastAsia="fr-FR"/>
        </w:rPr>
      </w:pPr>
      <w:r w:rsidRPr="00FC0736">
        <w:rPr>
          <w:rFonts w:ascii="Calibri" w:eastAsia="Times New Roman" w:hAnsi="Calibri" w:cs="Calibri"/>
          <w:color w:val="222222"/>
          <w:sz w:val="18"/>
          <w:szCs w:val="18"/>
          <w:lang w:eastAsia="fr-FR"/>
        </w:rPr>
        <w:t>Providencia:</w:t>
      </w:r>
      <w:r w:rsidRPr="00FC0736">
        <w:rPr>
          <w:rFonts w:ascii="Calibri" w:eastAsia="Times New Roman" w:hAnsi="Calibri" w:cs="Calibri"/>
          <w:color w:val="222222"/>
          <w:sz w:val="18"/>
          <w:szCs w:val="18"/>
          <w:lang w:eastAsia="fr-FR"/>
        </w:rPr>
        <w:tab/>
        <w:t xml:space="preserve">Auto  </w:t>
      </w:r>
      <w:r w:rsidRPr="00FC0736">
        <w:rPr>
          <w:rFonts w:ascii="Calibri" w:eastAsia="Calibri" w:hAnsi="Calibri" w:cs="Calibri"/>
          <w:color w:val="222222"/>
          <w:sz w:val="18"/>
          <w:szCs w:val="18"/>
          <w:lang w:val="es-MX" w:eastAsia="fr-FR"/>
        </w:rPr>
        <w:t>–</w:t>
      </w:r>
      <w:r w:rsidRPr="00FC0736">
        <w:rPr>
          <w:rFonts w:ascii="Calibri" w:eastAsia="Times New Roman" w:hAnsi="Calibri" w:cs="Calibri"/>
          <w:color w:val="222222"/>
          <w:sz w:val="18"/>
          <w:szCs w:val="18"/>
          <w:lang w:eastAsia="fr-FR"/>
        </w:rPr>
        <w:t xml:space="preserve"> 2ª instancia </w:t>
      </w:r>
      <w:r w:rsidRPr="00FC0736">
        <w:rPr>
          <w:rFonts w:ascii="Calibri" w:eastAsia="Calibri" w:hAnsi="Calibri" w:cs="Calibri"/>
          <w:color w:val="222222"/>
          <w:sz w:val="18"/>
          <w:szCs w:val="18"/>
          <w:lang w:val="es-MX" w:eastAsia="fr-FR"/>
        </w:rPr>
        <w:t xml:space="preserve">– </w:t>
      </w:r>
      <w:r w:rsidRPr="00FC0736">
        <w:rPr>
          <w:rFonts w:ascii="Calibri" w:eastAsia="Times New Roman" w:hAnsi="Calibri" w:cs="Calibri"/>
          <w:color w:val="222222"/>
          <w:sz w:val="18"/>
          <w:szCs w:val="18"/>
          <w:lang w:eastAsia="fr-FR"/>
        </w:rPr>
        <w:t xml:space="preserve">31 de agosto de 2017 </w:t>
      </w:r>
    </w:p>
    <w:p w:rsidR="00FC0736" w:rsidRPr="00FC0736" w:rsidRDefault="00FC0736" w:rsidP="00FC0736">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val="es-ES" w:eastAsia="fr-FR"/>
        </w:rPr>
      </w:pPr>
      <w:r w:rsidRPr="00FC0736">
        <w:rPr>
          <w:rFonts w:ascii="Calibri" w:eastAsia="Calibri" w:hAnsi="Calibri" w:cs="Calibri"/>
          <w:color w:val="222222"/>
          <w:sz w:val="18"/>
          <w:szCs w:val="18"/>
          <w:lang w:val="es-MX" w:eastAsia="fr-FR"/>
        </w:rPr>
        <w:t xml:space="preserve">Proceso: </w:t>
      </w:r>
      <w:r w:rsidRPr="00FC0736">
        <w:rPr>
          <w:rFonts w:ascii="Calibri" w:eastAsia="Calibri" w:hAnsi="Calibri" w:cs="Calibri"/>
          <w:color w:val="222222"/>
          <w:sz w:val="18"/>
          <w:szCs w:val="18"/>
          <w:lang w:val="es-MX" w:eastAsia="fr-FR"/>
        </w:rPr>
        <w:tab/>
      </w:r>
      <w:r w:rsidRPr="00FC0736">
        <w:rPr>
          <w:rFonts w:ascii="Calibri" w:eastAsia="Calibri" w:hAnsi="Calibri" w:cs="Calibri"/>
          <w:color w:val="222222"/>
          <w:sz w:val="18"/>
          <w:szCs w:val="18"/>
          <w:lang w:val="es-MX" w:eastAsia="fr-FR"/>
        </w:rPr>
        <w:tab/>
      </w:r>
      <w:r w:rsidRPr="00FC0736">
        <w:rPr>
          <w:rFonts w:ascii="Calibri" w:eastAsia="Calibri" w:hAnsi="Calibri" w:cs="Calibri"/>
          <w:color w:val="222222"/>
          <w:sz w:val="18"/>
          <w:szCs w:val="18"/>
          <w:lang w:val="es-MX" w:eastAsia="fr-FR"/>
        </w:rPr>
        <w:tab/>
      </w:r>
      <w:r w:rsidRPr="00FC0736">
        <w:rPr>
          <w:rFonts w:ascii="Calibri" w:eastAsia="Calibri" w:hAnsi="Calibri" w:cs="Calibri"/>
          <w:color w:val="222222"/>
          <w:sz w:val="18"/>
          <w:szCs w:val="18"/>
          <w:lang w:val="es-MX" w:eastAsia="fr-FR"/>
        </w:rPr>
        <w:tab/>
      </w:r>
      <w:r w:rsidRPr="00FC0736">
        <w:rPr>
          <w:rFonts w:ascii="Calibri" w:eastAsia="Calibri" w:hAnsi="Calibri" w:cs="Calibri"/>
          <w:color w:val="222222"/>
          <w:sz w:val="18"/>
          <w:szCs w:val="18"/>
          <w:lang w:val="es-MX" w:eastAsia="fr-FR"/>
        </w:rPr>
        <w:tab/>
        <w:t>Penal – Aclaración y salvamento parcial de voto</w:t>
      </w:r>
    </w:p>
    <w:p w:rsidR="00FC0736" w:rsidRPr="00FC0736" w:rsidRDefault="00FC0736" w:rsidP="00FC0736">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val="es-ES" w:eastAsia="fr-FR"/>
        </w:rPr>
      </w:pPr>
      <w:r w:rsidRPr="00FC0736">
        <w:rPr>
          <w:rFonts w:ascii="Calibri" w:eastAsia="Calibri" w:hAnsi="Calibri" w:cs="Calibri"/>
          <w:color w:val="222222"/>
          <w:sz w:val="18"/>
          <w:szCs w:val="18"/>
          <w:lang w:eastAsia="fr-FR"/>
        </w:rPr>
        <w:t>Radicación Nro. :</w:t>
      </w:r>
      <w:r w:rsidRPr="00FC0736">
        <w:rPr>
          <w:rFonts w:ascii="Calibri" w:eastAsia="Calibri" w:hAnsi="Calibri" w:cs="Calibri"/>
          <w:color w:val="222222"/>
          <w:sz w:val="18"/>
          <w:szCs w:val="18"/>
          <w:lang w:eastAsia="fr-FR"/>
        </w:rPr>
        <w:tab/>
        <w:t xml:space="preserve">  </w:t>
      </w:r>
      <w:r w:rsidRPr="00FC0736">
        <w:rPr>
          <w:rFonts w:ascii="Calibri" w:eastAsia="Calibri" w:hAnsi="Calibri" w:cs="Calibri"/>
          <w:color w:val="222222"/>
          <w:sz w:val="18"/>
          <w:szCs w:val="18"/>
          <w:lang w:eastAsia="fr-FR"/>
        </w:rPr>
        <w:tab/>
        <w:t xml:space="preserve"> </w:t>
      </w:r>
      <w:r w:rsidRPr="00FC0736">
        <w:rPr>
          <w:rFonts w:ascii="Calibri" w:eastAsia="Calibri" w:hAnsi="Calibri" w:cs="Calibri"/>
          <w:bCs/>
          <w:color w:val="222222"/>
          <w:sz w:val="18"/>
          <w:szCs w:val="18"/>
          <w:lang w:eastAsia="fr-FR"/>
        </w:rPr>
        <w:t>66440600006820100025301</w:t>
      </w:r>
    </w:p>
    <w:p w:rsidR="00FC0736" w:rsidRPr="00FC0736" w:rsidRDefault="00FC0736" w:rsidP="00FC0736">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val="es-ES" w:eastAsia="fr-FR"/>
        </w:rPr>
      </w:pPr>
      <w:r w:rsidRPr="00FC0736">
        <w:rPr>
          <w:rFonts w:ascii="Calibri" w:eastAsia="Calibri" w:hAnsi="Calibri" w:cs="Calibri"/>
          <w:color w:val="222222"/>
          <w:sz w:val="18"/>
          <w:szCs w:val="18"/>
          <w:lang w:val="es-MX" w:eastAsia="fr-FR"/>
        </w:rPr>
        <w:t>Procesado:</w:t>
      </w:r>
      <w:r w:rsidRPr="00FC0736">
        <w:rPr>
          <w:rFonts w:ascii="Calibri" w:eastAsia="Calibri" w:hAnsi="Calibri" w:cs="Calibri"/>
          <w:color w:val="222222"/>
          <w:sz w:val="18"/>
          <w:szCs w:val="18"/>
          <w:lang w:val="es-MX" w:eastAsia="fr-FR"/>
        </w:rPr>
        <w:tab/>
      </w:r>
      <w:r w:rsidRPr="00FC0736">
        <w:rPr>
          <w:rFonts w:ascii="Calibri" w:eastAsia="Calibri" w:hAnsi="Calibri" w:cs="Calibri"/>
          <w:color w:val="222222"/>
          <w:sz w:val="18"/>
          <w:szCs w:val="18"/>
          <w:lang w:val="es-MX" w:eastAsia="fr-FR"/>
        </w:rPr>
        <w:tab/>
        <w:t xml:space="preserve"> </w:t>
      </w:r>
      <w:r w:rsidRPr="00FC0736">
        <w:rPr>
          <w:rFonts w:ascii="Calibri" w:eastAsia="Calibri" w:hAnsi="Calibri" w:cs="Calibri"/>
          <w:color w:val="222222"/>
          <w:sz w:val="18"/>
          <w:szCs w:val="18"/>
          <w:lang w:eastAsia="fr-FR"/>
        </w:rPr>
        <w:t>JUAN JOSÉ BOHÓRQUEZ y otro</w:t>
      </w:r>
    </w:p>
    <w:p w:rsidR="00FC0736" w:rsidRPr="00FC0736" w:rsidRDefault="00FC0736" w:rsidP="00FC0736">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val="es-MX" w:eastAsia="fr-FR"/>
        </w:rPr>
      </w:pPr>
      <w:r w:rsidRPr="00FC0736">
        <w:rPr>
          <w:rFonts w:ascii="Calibri" w:eastAsia="Calibri" w:hAnsi="Calibri" w:cs="Calibri"/>
          <w:color w:val="222222"/>
          <w:sz w:val="18"/>
          <w:szCs w:val="18"/>
          <w:lang w:val="es-MX" w:eastAsia="fr-FR"/>
        </w:rPr>
        <w:t xml:space="preserve">Magistrado Sustanciador: </w:t>
      </w:r>
      <w:r w:rsidRPr="00FC0736">
        <w:rPr>
          <w:rFonts w:ascii="Calibri" w:eastAsia="Calibri" w:hAnsi="Calibri" w:cs="Calibri"/>
          <w:color w:val="222222"/>
          <w:sz w:val="18"/>
          <w:szCs w:val="18"/>
          <w:lang w:val="es-MX" w:eastAsia="fr-FR"/>
        </w:rPr>
        <w:tab/>
        <w:t xml:space="preserve"> </w:t>
      </w:r>
      <w:r w:rsidRPr="00FC0736">
        <w:rPr>
          <w:rFonts w:ascii="Calibri" w:eastAsia="Calibri" w:hAnsi="Calibri" w:cs="Calibri"/>
          <w:bCs/>
          <w:iCs/>
          <w:color w:val="222222"/>
          <w:sz w:val="18"/>
          <w:szCs w:val="18"/>
          <w:lang w:val="es-ES" w:eastAsia="fr-FR"/>
        </w:rPr>
        <w:t xml:space="preserve">MANUEL </w:t>
      </w:r>
      <w:proofErr w:type="spellStart"/>
      <w:r w:rsidRPr="00FC0736">
        <w:rPr>
          <w:rFonts w:ascii="Calibri" w:eastAsia="Calibri" w:hAnsi="Calibri" w:cs="Calibri"/>
          <w:bCs/>
          <w:iCs/>
          <w:color w:val="222222"/>
          <w:sz w:val="18"/>
          <w:szCs w:val="18"/>
          <w:lang w:val="es-ES" w:eastAsia="fr-FR"/>
        </w:rPr>
        <w:t>YARZAGARAY</w:t>
      </w:r>
      <w:proofErr w:type="spellEnd"/>
      <w:r w:rsidRPr="00FC0736">
        <w:rPr>
          <w:rFonts w:ascii="Calibri" w:eastAsia="Calibri" w:hAnsi="Calibri" w:cs="Calibri"/>
          <w:bCs/>
          <w:iCs/>
          <w:color w:val="222222"/>
          <w:sz w:val="18"/>
          <w:szCs w:val="18"/>
          <w:lang w:val="es-ES" w:eastAsia="fr-FR"/>
        </w:rPr>
        <w:t xml:space="preserve"> BANDERA</w:t>
      </w:r>
    </w:p>
    <w:p w:rsidR="00FC0736" w:rsidRDefault="00FC0736" w:rsidP="00B21EAB">
      <w:pPr>
        <w:spacing w:line="276" w:lineRule="auto"/>
        <w:jc w:val="center"/>
        <w:rPr>
          <w:rFonts w:eastAsia="Arial Unicode MS" w:cs="Arial"/>
          <w:b/>
          <w:sz w:val="24"/>
          <w:szCs w:val="24"/>
        </w:rPr>
      </w:pPr>
    </w:p>
    <w:p w:rsidR="00B21EAB" w:rsidRPr="00B21EAB" w:rsidRDefault="00B21EAB" w:rsidP="00B21EAB">
      <w:pPr>
        <w:spacing w:line="276" w:lineRule="auto"/>
        <w:jc w:val="center"/>
        <w:rPr>
          <w:rFonts w:eastAsia="Arial Unicode MS" w:cs="Arial"/>
          <w:b/>
          <w:sz w:val="24"/>
          <w:szCs w:val="24"/>
        </w:rPr>
      </w:pPr>
      <w:r w:rsidRPr="00B21EAB">
        <w:rPr>
          <w:rFonts w:eastAsia="Arial Unicode MS" w:cs="Arial"/>
          <w:b/>
          <w:sz w:val="24"/>
          <w:szCs w:val="24"/>
        </w:rPr>
        <w:t>ACLARACIÓN Y SALVAMENTO PARCIAL DE VOTO:</w:t>
      </w:r>
    </w:p>
    <w:p w:rsidR="00B21EAB" w:rsidRPr="00B21EAB" w:rsidRDefault="00B21EAB" w:rsidP="00B21EAB">
      <w:pPr>
        <w:spacing w:line="276" w:lineRule="auto"/>
        <w:jc w:val="both"/>
        <w:rPr>
          <w:rFonts w:eastAsia="Arial Unicode MS" w:cs="Arial"/>
          <w:sz w:val="24"/>
          <w:szCs w:val="24"/>
        </w:rPr>
      </w:pPr>
    </w:p>
    <w:p w:rsidR="00B21EAB" w:rsidRPr="00B21EAB" w:rsidRDefault="00B21EAB" w:rsidP="00B21EAB">
      <w:pPr>
        <w:spacing w:line="276" w:lineRule="auto"/>
        <w:jc w:val="both"/>
        <w:rPr>
          <w:rFonts w:cs="Microsoft Sans Serif"/>
          <w:sz w:val="24"/>
          <w:szCs w:val="24"/>
        </w:rPr>
      </w:pPr>
      <w:r w:rsidRPr="00B21EAB">
        <w:rPr>
          <w:rFonts w:eastAsia="Arial Unicode MS" w:cs="Arial"/>
          <w:sz w:val="24"/>
          <w:szCs w:val="24"/>
        </w:rPr>
        <w:t>A pesar de que al suscrito</w:t>
      </w:r>
      <w:r>
        <w:rPr>
          <w:rFonts w:eastAsia="Arial Unicode MS" w:cs="Arial"/>
          <w:sz w:val="24"/>
          <w:szCs w:val="24"/>
        </w:rPr>
        <w:t xml:space="preserve"> comparte en su parte esencial el proyecto aprobado por la Sala mayoritaria, discrepa del mismo en todo aquello que tiene que ver con los </w:t>
      </w:r>
      <w:r w:rsidRPr="00B21EAB">
        <w:rPr>
          <w:rFonts w:eastAsia="Arial Unicode MS" w:cs="Arial"/>
          <w:sz w:val="24"/>
          <w:szCs w:val="24"/>
        </w:rPr>
        <w:t xml:space="preserve"> recursos que procederían en contra del presente fallo de 2ª instancia</w:t>
      </w:r>
      <w:r>
        <w:rPr>
          <w:rFonts w:eastAsia="Arial Unicode MS" w:cs="Arial"/>
          <w:sz w:val="24"/>
          <w:szCs w:val="24"/>
        </w:rPr>
        <w:t>,</w:t>
      </w:r>
      <w:r w:rsidRPr="00B21EAB">
        <w:rPr>
          <w:rFonts w:eastAsia="Arial Unicode MS" w:cs="Arial"/>
          <w:sz w:val="24"/>
          <w:szCs w:val="24"/>
        </w:rPr>
        <w:t xml:space="preserve"> ya que el </w:t>
      </w:r>
      <w:r w:rsidRPr="00B21EAB">
        <w:rPr>
          <w:rFonts w:cs="Microsoft Sans Serif"/>
          <w:bCs/>
          <w:sz w:val="24"/>
          <w:szCs w:val="24"/>
        </w:rPr>
        <w:t xml:space="preserve">suscrito es de la opinión que en contra de lo resuelto en el caso </w:t>
      </w:r>
      <w:proofErr w:type="spellStart"/>
      <w:r w:rsidRPr="00B21EAB">
        <w:rPr>
          <w:rFonts w:cs="Microsoft Sans Serif"/>
          <w:bCs/>
          <w:i/>
          <w:sz w:val="24"/>
          <w:szCs w:val="24"/>
        </w:rPr>
        <w:t>subexamine</w:t>
      </w:r>
      <w:proofErr w:type="spellEnd"/>
      <w:r w:rsidRPr="00B21EAB">
        <w:rPr>
          <w:rFonts w:cs="Microsoft Sans Serif"/>
          <w:bCs/>
          <w:i/>
          <w:sz w:val="24"/>
          <w:szCs w:val="24"/>
        </w:rPr>
        <w:t xml:space="preserve"> </w:t>
      </w:r>
      <w:r w:rsidRPr="00B21EAB">
        <w:rPr>
          <w:rFonts w:cs="Microsoft Sans Serif"/>
          <w:bCs/>
          <w:sz w:val="24"/>
          <w:szCs w:val="24"/>
        </w:rPr>
        <w:t xml:space="preserve">en sede de 2ª instancia, procedía el recurso de apelación, lo que vendría siendo una consecuencia de acatar lo decidido por la Corte Constitucional en tanto en la sentencia # C-792 de 2014, como en la </w:t>
      </w:r>
      <w:r w:rsidRPr="00B21EAB">
        <w:rPr>
          <w:rFonts w:cs="Arial"/>
          <w:sz w:val="24"/>
          <w:szCs w:val="24"/>
        </w:rPr>
        <w:t>SU-215 de 2016</w:t>
      </w:r>
      <w:r w:rsidRPr="00B21EAB">
        <w:rPr>
          <w:rFonts w:cs="Microsoft Sans Serif"/>
          <w:bCs/>
          <w:sz w:val="24"/>
          <w:szCs w:val="24"/>
        </w:rPr>
        <w:t xml:space="preserve">, en la cual se declaró la </w:t>
      </w:r>
      <w:r w:rsidRPr="00B21EAB">
        <w:rPr>
          <w:rFonts w:cs="Microsoft Sans Serif"/>
          <w:sz w:val="24"/>
          <w:szCs w:val="24"/>
        </w:rPr>
        <w:t>inconstitucionalidad con efectos diferidos</w:t>
      </w:r>
      <w:r w:rsidRPr="00B21EAB">
        <w:rPr>
          <w:rFonts w:cs="Microsoft Sans Serif"/>
          <w:b/>
          <w:sz w:val="24"/>
          <w:szCs w:val="24"/>
        </w:rPr>
        <w:t xml:space="preserve"> </w:t>
      </w:r>
      <w:r w:rsidRPr="00B21EAB">
        <w:rPr>
          <w:rFonts w:cs="Microsoft Sans Serif"/>
          <w:sz w:val="24"/>
          <w:szCs w:val="24"/>
        </w:rPr>
        <w:t>de las expresiones demandadas contenidas en los artículos 20, 32, 161, 176, 179, 179B, 194 y 481 del C.P.P. y como quiera que en la actualidad se encuentra vencido el plazo de 1 año que se le concedió al Congreso de la Republica para que legislará sobre esos tópicos, reiteramos que en contra del presente proveído de 2ª instancia, el que acorde con los términos expuestos por la Corte Constitucional en las sentencias aludidas debe ser considerada como una 1ª sentencia condenatoria, procedería el recurso de apelación, el cual deberá ser interpuesto y sustentado dentro de las oportunidades de ley.</w:t>
      </w:r>
    </w:p>
    <w:p w:rsidR="00B21EAB" w:rsidRPr="00B21EAB" w:rsidRDefault="00B21EAB" w:rsidP="00B21EAB">
      <w:pPr>
        <w:spacing w:line="276" w:lineRule="auto"/>
        <w:jc w:val="both"/>
        <w:rPr>
          <w:rFonts w:eastAsia="Calibri" w:cs="Microsoft Sans Serif"/>
          <w:sz w:val="24"/>
          <w:szCs w:val="24"/>
        </w:rPr>
      </w:pPr>
    </w:p>
    <w:p w:rsidR="00B21EAB" w:rsidRPr="00B21EAB" w:rsidRDefault="00B21EAB" w:rsidP="00B21EAB">
      <w:pPr>
        <w:spacing w:line="276" w:lineRule="auto"/>
        <w:jc w:val="both"/>
        <w:rPr>
          <w:rFonts w:eastAsia="Arial Unicode MS" w:cs="Arial"/>
          <w:sz w:val="24"/>
          <w:szCs w:val="24"/>
        </w:rPr>
      </w:pPr>
      <w:r w:rsidRPr="00B21EAB">
        <w:rPr>
          <w:rFonts w:eastAsia="Calibri" w:cs="Microsoft Sans Serif"/>
          <w:sz w:val="24"/>
          <w:szCs w:val="24"/>
        </w:rPr>
        <w:t xml:space="preserve">Ahora bien, no se desconoce la </w:t>
      </w:r>
      <w:r w:rsidRPr="00B21EAB">
        <w:rPr>
          <w:rFonts w:eastAsia="Calibri" w:cs="Arial"/>
          <w:sz w:val="24"/>
          <w:szCs w:val="24"/>
        </w:rPr>
        <w:t xml:space="preserve">posición asumida por la Sala de Casación Penal de la Corte Suprema de Justicia </w:t>
      </w:r>
      <w:r w:rsidRPr="00B21EAB">
        <w:rPr>
          <w:rFonts w:eastAsia="Arial Unicode MS" w:cs="Arial"/>
          <w:sz w:val="24"/>
          <w:szCs w:val="24"/>
        </w:rPr>
        <w:t xml:space="preserve">en la providencia del </w:t>
      </w:r>
      <w:r w:rsidRPr="00B21EAB">
        <w:rPr>
          <w:rFonts w:eastAsia="Calibri" w:cs="Arial"/>
          <w:sz w:val="24"/>
          <w:szCs w:val="24"/>
        </w:rPr>
        <w:t>27 de julio 2016, Radicado # 48442, la cual, a fin de hacerle el esquince al derecho que le asiste a los Procesados para impugnar de manera excepcional el primer fallo de condena, expuso lo siguiente:</w:t>
      </w:r>
    </w:p>
    <w:p w:rsidR="00B21EAB" w:rsidRPr="00B21EAB" w:rsidRDefault="00B21EAB" w:rsidP="00B21EAB">
      <w:pPr>
        <w:spacing w:line="276" w:lineRule="auto"/>
        <w:jc w:val="both"/>
        <w:rPr>
          <w:rFonts w:eastAsia="Arial Unicode MS" w:cs="Arial"/>
          <w:sz w:val="24"/>
          <w:szCs w:val="24"/>
        </w:rPr>
      </w:pPr>
    </w:p>
    <w:p w:rsidR="00B21EAB" w:rsidRPr="00B21EAB" w:rsidRDefault="00B21EAB" w:rsidP="00B21EAB">
      <w:pPr>
        <w:spacing w:line="276" w:lineRule="auto"/>
        <w:ind w:left="567" w:right="902"/>
        <w:jc w:val="both"/>
        <w:rPr>
          <w:rFonts w:eastAsia="Calibri" w:cs="Arial"/>
          <w:sz w:val="20"/>
          <w:szCs w:val="20"/>
        </w:rPr>
      </w:pPr>
      <w:r w:rsidRPr="00B21EAB">
        <w:rPr>
          <w:rFonts w:eastAsia="Arial Unicode MS" w:cs="Arial"/>
          <w:sz w:val="24"/>
          <w:szCs w:val="24"/>
        </w:rPr>
        <w:t xml:space="preserve"> </w:t>
      </w:r>
      <w:r w:rsidRPr="00B21EAB">
        <w:rPr>
          <w:rFonts w:eastAsia="Calibri" w:cs="Arial"/>
          <w:sz w:val="20"/>
          <w:szCs w:val="20"/>
        </w:rPr>
        <w:t>“La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procesal vigente para el caso, Ley 906 de 2004, solo habilita el recurso extraordinario de casación, de conformidad con el procedimiento allí establecido.</w:t>
      </w:r>
    </w:p>
    <w:p w:rsidR="00B21EAB" w:rsidRPr="00B21EAB" w:rsidRDefault="00B21EAB" w:rsidP="00B21EAB">
      <w:pPr>
        <w:spacing w:line="276" w:lineRule="auto"/>
        <w:ind w:left="567" w:right="902"/>
        <w:jc w:val="both"/>
        <w:rPr>
          <w:rFonts w:eastAsia="Calibri" w:cs="Arial"/>
          <w:sz w:val="20"/>
          <w:szCs w:val="20"/>
        </w:rPr>
      </w:pPr>
    </w:p>
    <w:p w:rsidR="00B21EAB" w:rsidRPr="00B21EAB" w:rsidRDefault="00B21EAB" w:rsidP="00B21EAB">
      <w:pPr>
        <w:spacing w:line="276" w:lineRule="auto"/>
        <w:ind w:left="567" w:right="902"/>
        <w:jc w:val="both"/>
        <w:rPr>
          <w:rFonts w:eastAsia="Calibri" w:cs="Arial"/>
          <w:sz w:val="20"/>
          <w:szCs w:val="20"/>
        </w:rPr>
      </w:pPr>
      <w:r w:rsidRPr="00B21EAB">
        <w:rPr>
          <w:rFonts w:eastAsia="Calibri" w:cs="Arial"/>
          <w:sz w:val="20"/>
          <w:szCs w:val="20"/>
        </w:rPr>
        <w:t xml:space="preserve">Y si bien, como se anota en la justificación surtida por el Ad </w:t>
      </w:r>
      <w:proofErr w:type="spellStart"/>
      <w:r w:rsidRPr="00B21EAB">
        <w:rPr>
          <w:rFonts w:eastAsia="Calibri" w:cs="Arial"/>
          <w:sz w:val="20"/>
          <w:szCs w:val="20"/>
        </w:rPr>
        <w:t>quem</w:t>
      </w:r>
      <w:proofErr w:type="spellEnd"/>
      <w:r w:rsidRPr="00B21EAB">
        <w:rPr>
          <w:rFonts w:eastAsia="Calibri" w:cs="Arial"/>
          <w:sz w:val="20"/>
          <w:szCs w:val="20"/>
        </w:rPr>
        <w:t xml:space="preserve">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efecto, impide materializar esa posibilidad, así en la parte sustancial de la referida sentencia de </w:t>
      </w:r>
      <w:proofErr w:type="spellStart"/>
      <w:r w:rsidRPr="00B21EAB">
        <w:rPr>
          <w:rFonts w:eastAsia="Calibri" w:cs="Arial"/>
          <w:sz w:val="20"/>
          <w:szCs w:val="20"/>
        </w:rPr>
        <w:t>exequibilidad</w:t>
      </w:r>
      <w:proofErr w:type="spellEnd"/>
      <w:r w:rsidRPr="00B21EAB">
        <w:rPr>
          <w:rFonts w:eastAsia="Calibri" w:cs="Arial"/>
          <w:sz w:val="20"/>
          <w:szCs w:val="20"/>
        </w:rPr>
        <w:t xml:space="preserve">, la Corte Constitucional signifique que procede la dicha impugnación incluso para el caso en que se desatendiera, como sucedió, su exhorto al legislativo. </w:t>
      </w:r>
    </w:p>
    <w:p w:rsidR="00B21EAB" w:rsidRPr="00B21EAB" w:rsidRDefault="00B21EAB" w:rsidP="00B21EAB">
      <w:pPr>
        <w:spacing w:line="276" w:lineRule="auto"/>
        <w:ind w:left="567" w:right="902"/>
        <w:jc w:val="both"/>
        <w:rPr>
          <w:rFonts w:eastAsia="Calibri" w:cs="Arial"/>
          <w:sz w:val="20"/>
          <w:szCs w:val="20"/>
        </w:rPr>
      </w:pPr>
      <w:r w:rsidRPr="00B21EAB">
        <w:rPr>
          <w:rFonts w:eastAsia="Calibri" w:cs="Arial"/>
          <w:sz w:val="20"/>
          <w:szCs w:val="20"/>
        </w:rPr>
        <w:lastRenderedPageBreak/>
        <w:t>(::::)</w:t>
      </w:r>
    </w:p>
    <w:p w:rsidR="00B21EAB" w:rsidRPr="00B21EAB" w:rsidRDefault="00B21EAB" w:rsidP="00B21EAB">
      <w:pPr>
        <w:spacing w:line="276" w:lineRule="auto"/>
        <w:ind w:left="567" w:right="902"/>
        <w:jc w:val="both"/>
        <w:rPr>
          <w:rFonts w:eastAsia="Calibri" w:cs="Arial"/>
          <w:sz w:val="20"/>
          <w:szCs w:val="20"/>
        </w:rPr>
      </w:pPr>
    </w:p>
    <w:p w:rsidR="00B21EAB" w:rsidRPr="00B21EAB" w:rsidRDefault="00B21EAB" w:rsidP="00B21EAB">
      <w:pPr>
        <w:spacing w:line="276" w:lineRule="auto"/>
        <w:ind w:left="567" w:right="902"/>
        <w:jc w:val="both"/>
        <w:rPr>
          <w:rFonts w:eastAsia="Calibri" w:cs="Arial"/>
          <w:sz w:val="20"/>
          <w:szCs w:val="20"/>
        </w:rPr>
      </w:pPr>
      <w:r w:rsidRPr="00B21EAB">
        <w:rPr>
          <w:rFonts w:eastAsia="Calibri" w:cs="Arial"/>
          <w:sz w:val="20"/>
          <w:szCs w:val="20"/>
        </w:rPr>
        <w:t>Nada más debe añadir la Sala a lo consignado en la transcripción precedente, pues, se reitera, con el irregular trámite ofrecido a la defensa por el Tribunal, no solo asumió una competencia jamás deferida por la ley, sino que creó un recurso inexistente a partir de un trámite que, huelga anotar, tampoco comporta soporte legal.</w:t>
      </w:r>
    </w:p>
    <w:p w:rsidR="00B21EAB" w:rsidRPr="00B21EAB" w:rsidRDefault="00B21EAB" w:rsidP="00B21EAB">
      <w:pPr>
        <w:spacing w:line="276" w:lineRule="auto"/>
        <w:ind w:left="567" w:right="902"/>
        <w:jc w:val="both"/>
        <w:rPr>
          <w:rFonts w:eastAsia="Calibri" w:cs="Arial"/>
          <w:sz w:val="20"/>
          <w:szCs w:val="20"/>
        </w:rPr>
      </w:pPr>
    </w:p>
    <w:p w:rsidR="00B21EAB" w:rsidRPr="00B21EAB" w:rsidRDefault="00B21EAB" w:rsidP="00B21EAB">
      <w:pPr>
        <w:spacing w:line="276" w:lineRule="auto"/>
        <w:ind w:left="567" w:right="902"/>
        <w:jc w:val="both"/>
        <w:rPr>
          <w:rFonts w:eastAsia="Calibri" w:cs="Arial"/>
          <w:sz w:val="20"/>
          <w:szCs w:val="20"/>
        </w:rPr>
      </w:pPr>
      <w:r w:rsidRPr="00B21EAB">
        <w:rPr>
          <w:rFonts w:eastAsia="Calibri" w:cs="Arial"/>
          <w:sz w:val="20"/>
          <w:szCs w:val="20"/>
        </w:rPr>
        <w:t>De esta manera, como se evidencia claro que en contra de la sentencia de segunda instancia, no importa su contenido, solo opera el recurso extraordinario de casación, el cual ha sido soslayado para introducir un mecanismo ordinario hoy carente de sustento legal, la Corte no solo debe restablecer 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B21EAB" w:rsidRPr="00B21EAB" w:rsidRDefault="00B21EAB" w:rsidP="00B21EAB">
      <w:pPr>
        <w:spacing w:line="276" w:lineRule="auto"/>
        <w:ind w:left="567" w:right="902"/>
        <w:jc w:val="both"/>
        <w:rPr>
          <w:rFonts w:eastAsia="Arial Unicode MS" w:cs="Arial"/>
          <w:sz w:val="20"/>
          <w:szCs w:val="20"/>
        </w:rPr>
      </w:pPr>
    </w:p>
    <w:p w:rsidR="00B21EAB" w:rsidRPr="00B21EAB" w:rsidRDefault="00B21EAB" w:rsidP="00B21EAB">
      <w:pPr>
        <w:spacing w:line="276" w:lineRule="auto"/>
        <w:ind w:left="567" w:right="902"/>
        <w:jc w:val="both"/>
        <w:rPr>
          <w:rFonts w:eastAsia="Arial Unicode MS" w:cs="Arial"/>
          <w:sz w:val="20"/>
          <w:szCs w:val="20"/>
        </w:rPr>
      </w:pPr>
      <w:r w:rsidRPr="00B21EAB">
        <w:rPr>
          <w:rFonts w:eastAsia="Arial Unicode MS" w:cs="Arial"/>
          <w:sz w:val="20"/>
          <w:szCs w:val="20"/>
        </w:rPr>
        <w:t>Con base en lo anterior, dejo expresada las razones y motivos por las cuales me vi en la imperiosa necesidad de aclarar mi voto en el presente asunto…..”</w:t>
      </w:r>
      <w:r w:rsidRPr="00B21EAB">
        <w:rPr>
          <w:rFonts w:eastAsia="Arial Unicode MS" w:cs="Arial"/>
          <w:sz w:val="20"/>
          <w:szCs w:val="20"/>
          <w:vertAlign w:val="superscript"/>
        </w:rPr>
        <w:footnoteReference w:id="1"/>
      </w:r>
      <w:r w:rsidRPr="00B21EAB">
        <w:rPr>
          <w:rFonts w:eastAsia="Arial Unicode MS" w:cs="Arial"/>
          <w:sz w:val="20"/>
          <w:szCs w:val="20"/>
        </w:rPr>
        <w:t>.</w:t>
      </w:r>
    </w:p>
    <w:p w:rsidR="00B21EAB" w:rsidRPr="00B21EAB" w:rsidRDefault="00B21EAB" w:rsidP="00B21EAB">
      <w:pPr>
        <w:spacing w:line="276" w:lineRule="auto"/>
        <w:jc w:val="both"/>
        <w:rPr>
          <w:rFonts w:eastAsia="Arial Unicode MS" w:cs="Arial"/>
          <w:sz w:val="24"/>
          <w:szCs w:val="24"/>
        </w:rPr>
      </w:pPr>
    </w:p>
    <w:p w:rsidR="00B21EAB" w:rsidRPr="00B21EAB" w:rsidRDefault="00B21EAB" w:rsidP="00B21EAB">
      <w:pPr>
        <w:spacing w:line="276" w:lineRule="auto"/>
        <w:jc w:val="both"/>
        <w:rPr>
          <w:rFonts w:eastAsia="Calibri" w:cs="Arial"/>
          <w:sz w:val="24"/>
          <w:szCs w:val="24"/>
          <w:lang w:val="es-ES"/>
        </w:rPr>
      </w:pPr>
      <w:r w:rsidRPr="00B21EAB">
        <w:rPr>
          <w:rFonts w:eastAsia="Arial Unicode MS" w:cs="Arial"/>
          <w:sz w:val="24"/>
          <w:szCs w:val="24"/>
        </w:rPr>
        <w:t xml:space="preserve">Pero lo dicho por la Sala de Casación Penal de la Corte Suprema de Justicia es algo de dudoso obedecimiento o acatamiento, lo  que de tajo está desconociendo la obligatoriedad de lo fallado por la Corte Constitucional en las sentencias # </w:t>
      </w:r>
      <w:r w:rsidRPr="00B21EAB">
        <w:rPr>
          <w:rFonts w:eastAsia="Calibri" w:cs="Arial"/>
          <w:sz w:val="24"/>
          <w:szCs w:val="24"/>
        </w:rPr>
        <w:t xml:space="preserve">C-792 de 2014 y SU-215 de 2016, en las cuales como consecuencia de la declaratoria de </w:t>
      </w:r>
      <w:r w:rsidRPr="00B21EAB">
        <w:rPr>
          <w:rFonts w:eastAsia="Calibri" w:cs="Arial"/>
          <w:sz w:val="24"/>
          <w:szCs w:val="24"/>
          <w:lang w:val="es-ES"/>
        </w:rPr>
        <w:t>inconstitucionalidad con efectos diferidos</w:t>
      </w:r>
      <w:r w:rsidRPr="00B21EAB">
        <w:rPr>
          <w:rFonts w:eastAsia="Calibri" w:cs="Arial"/>
          <w:b/>
          <w:sz w:val="24"/>
          <w:szCs w:val="24"/>
          <w:lang w:val="es-ES"/>
        </w:rPr>
        <w:t xml:space="preserve"> </w:t>
      </w:r>
      <w:r w:rsidRPr="00B21EAB">
        <w:rPr>
          <w:rFonts w:eastAsia="Calibri" w:cs="Arial"/>
          <w:sz w:val="24"/>
          <w:szCs w:val="24"/>
          <w:lang w:val="es-ES"/>
        </w:rPr>
        <w:t>de las expresiones demandadas contenidas en los artículos 20, 32, 161, 176, 179, 179B, 194 y 481 del C.P.P. se reconoció el derecho que tienen los Procesados absueltos de apelar el fallo que revoca la absolución.</w:t>
      </w:r>
    </w:p>
    <w:p w:rsidR="00B21EAB" w:rsidRPr="00B21EAB" w:rsidRDefault="00B21EAB" w:rsidP="00B21EAB">
      <w:pPr>
        <w:spacing w:line="276" w:lineRule="auto"/>
        <w:jc w:val="both"/>
        <w:rPr>
          <w:rFonts w:eastAsia="Calibri" w:cs="Arial"/>
          <w:sz w:val="24"/>
          <w:szCs w:val="24"/>
          <w:lang w:val="es-ES"/>
        </w:rPr>
      </w:pPr>
    </w:p>
    <w:p w:rsidR="00B21EAB" w:rsidRPr="00B21EAB" w:rsidRDefault="00B21EAB" w:rsidP="00B21EAB">
      <w:pPr>
        <w:spacing w:line="276" w:lineRule="auto"/>
        <w:jc w:val="both"/>
        <w:rPr>
          <w:rFonts w:eastAsia="Calibri" w:cs="Arial"/>
          <w:sz w:val="24"/>
          <w:szCs w:val="24"/>
          <w:lang w:val="es-ES"/>
        </w:rPr>
      </w:pPr>
      <w:r w:rsidRPr="00B21EAB">
        <w:rPr>
          <w:rFonts w:eastAsia="Calibri" w:cs="Arial"/>
          <w:sz w:val="24"/>
          <w:szCs w:val="24"/>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 como bien de manera categórica lo expresó la Corte Constitucional en los siguientes términos:</w:t>
      </w:r>
    </w:p>
    <w:p w:rsidR="00B21EAB" w:rsidRPr="00B21EAB" w:rsidRDefault="00B21EAB" w:rsidP="00B21EAB">
      <w:pPr>
        <w:spacing w:line="276" w:lineRule="auto"/>
        <w:jc w:val="both"/>
        <w:rPr>
          <w:rFonts w:eastAsia="Calibri" w:cs="Arial"/>
          <w:sz w:val="24"/>
          <w:szCs w:val="24"/>
          <w:lang w:val="es-ES"/>
        </w:rPr>
      </w:pPr>
    </w:p>
    <w:p w:rsidR="00B21EAB" w:rsidRPr="00B21EAB" w:rsidRDefault="00B21EAB" w:rsidP="00B21EAB">
      <w:pPr>
        <w:spacing w:line="276" w:lineRule="auto"/>
        <w:ind w:left="567" w:right="902"/>
        <w:jc w:val="both"/>
        <w:rPr>
          <w:rFonts w:eastAsia="Times New Roman" w:cs="Arial"/>
          <w:b/>
          <w:i/>
          <w:sz w:val="20"/>
          <w:szCs w:val="20"/>
          <w:lang w:eastAsia="es-ES"/>
        </w:rPr>
      </w:pPr>
      <w:r w:rsidRPr="00B21EAB">
        <w:rPr>
          <w:rFonts w:eastAsia="Times New Roman" w:cs="Arial"/>
          <w:sz w:val="20"/>
          <w:szCs w:val="20"/>
          <w:lang w:eastAsia="es-ES"/>
        </w:rPr>
        <w:t xml:space="preserve">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rsidR="00B21EAB" w:rsidRPr="00B21EAB" w:rsidRDefault="00B21EAB" w:rsidP="00B21EAB">
      <w:pPr>
        <w:spacing w:line="276" w:lineRule="auto"/>
        <w:ind w:left="567" w:right="567"/>
        <w:jc w:val="both"/>
        <w:rPr>
          <w:rFonts w:eastAsia="Times New Roman" w:cs="Arial"/>
          <w:b/>
          <w:i/>
          <w:sz w:val="20"/>
          <w:szCs w:val="20"/>
          <w:lang w:eastAsia="es-ES"/>
        </w:rPr>
      </w:pPr>
    </w:p>
    <w:p w:rsidR="00B21EAB" w:rsidRPr="00B21EAB" w:rsidRDefault="00B21EAB" w:rsidP="00B21EAB">
      <w:pPr>
        <w:spacing w:line="276" w:lineRule="auto"/>
        <w:ind w:left="567" w:right="567"/>
        <w:jc w:val="both"/>
        <w:rPr>
          <w:rFonts w:eastAsia="Times New Roman" w:cs="Arial"/>
          <w:sz w:val="20"/>
          <w:szCs w:val="20"/>
          <w:lang w:eastAsia="es-ES"/>
        </w:rPr>
      </w:pPr>
      <w:r w:rsidRPr="00B21EAB">
        <w:rPr>
          <w:rFonts w:eastAsia="Times New Roman" w:cs="Arial"/>
          <w:sz w:val="20"/>
          <w:szCs w:val="20"/>
          <w:lang w:eastAsia="es-ES"/>
        </w:rPr>
        <w:t>(:::)</w:t>
      </w:r>
    </w:p>
    <w:p w:rsidR="00B21EAB" w:rsidRPr="00B21EAB" w:rsidRDefault="00B21EAB" w:rsidP="00B21EAB">
      <w:pPr>
        <w:spacing w:line="276" w:lineRule="auto"/>
        <w:ind w:left="567" w:right="567"/>
        <w:jc w:val="both"/>
        <w:rPr>
          <w:rFonts w:eastAsia="Times New Roman" w:cs="Arial"/>
          <w:b/>
          <w:i/>
          <w:sz w:val="20"/>
          <w:szCs w:val="20"/>
          <w:lang w:eastAsia="es-ES"/>
        </w:rPr>
      </w:pPr>
    </w:p>
    <w:p w:rsidR="00B21EAB" w:rsidRPr="00B21EAB" w:rsidRDefault="00B21EAB" w:rsidP="00B21EAB">
      <w:pPr>
        <w:tabs>
          <w:tab w:val="left" w:pos="7938"/>
        </w:tabs>
        <w:spacing w:line="276" w:lineRule="auto"/>
        <w:ind w:left="567" w:right="902"/>
        <w:jc w:val="both"/>
        <w:rPr>
          <w:rFonts w:eastAsia="Times New Roman" w:cs="Arial"/>
          <w:sz w:val="20"/>
          <w:szCs w:val="20"/>
          <w:lang w:eastAsia="es-ES"/>
        </w:rPr>
      </w:pPr>
      <w:r w:rsidRPr="00B21EAB">
        <w:rPr>
          <w:rFonts w:eastAsia="Times New Roman" w:cs="Arial"/>
          <w:sz w:val="20"/>
          <w:szCs w:val="20"/>
          <w:lang w:eastAsia="es-ES"/>
        </w:rPr>
        <w:t xml:space="preserve">Por esta circunstancia, el mecanismo idóneo para subsanar el déficit normativo no es un fallo de </w:t>
      </w:r>
      <w:proofErr w:type="spellStart"/>
      <w:r w:rsidRPr="00B21EAB">
        <w:rPr>
          <w:rFonts w:eastAsia="Times New Roman" w:cs="Arial"/>
          <w:sz w:val="20"/>
          <w:szCs w:val="20"/>
          <w:lang w:eastAsia="es-ES"/>
        </w:rPr>
        <w:t>exequibilidad</w:t>
      </w:r>
      <w:proofErr w:type="spellEnd"/>
      <w:r w:rsidRPr="00B21EAB">
        <w:rPr>
          <w:rFonts w:eastAsia="Times New Roman" w:cs="Arial"/>
          <w:sz w:val="20"/>
          <w:szCs w:val="20"/>
          <w:lang w:eastAsia="es-ES"/>
        </w:rPr>
        <w:t xml:space="preserve"> condicionada, porque se requiere de la intervención </w:t>
      </w:r>
      <w:r w:rsidRPr="00B21EAB">
        <w:rPr>
          <w:rFonts w:eastAsia="Times New Roman" w:cs="Arial"/>
          <w:sz w:val="20"/>
          <w:szCs w:val="20"/>
          <w:lang w:eastAsia="es-ES"/>
        </w:rPr>
        <w:lastRenderedPageBreak/>
        <w:t xml:space="preserve">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w:t>
      </w:r>
      <w:proofErr w:type="spellStart"/>
      <w:r w:rsidRPr="00B21EAB">
        <w:rPr>
          <w:rFonts w:eastAsia="Times New Roman" w:cs="Arial"/>
          <w:sz w:val="20"/>
          <w:szCs w:val="20"/>
          <w:lang w:eastAsia="es-ES"/>
        </w:rPr>
        <w:t>exequibilidad</w:t>
      </w:r>
      <w:proofErr w:type="spellEnd"/>
      <w:r w:rsidRPr="00B21EAB">
        <w:rPr>
          <w:rFonts w:eastAsia="Times New Roman" w:cs="Arial"/>
          <w:sz w:val="20"/>
          <w:szCs w:val="20"/>
          <w:lang w:eastAsia="es-ES"/>
        </w:rPr>
        <w:t xml:space="preserve">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B21EAB">
        <w:rPr>
          <w:rFonts w:eastAsia="Times New Roman" w:cs="Arial"/>
          <w:b/>
          <w:sz w:val="20"/>
          <w:szCs w:val="20"/>
          <w:lang w:eastAsia="es-ES"/>
        </w:rPr>
        <w:t>(v) se dispondrá que en caso de que el legislador incumpla el deber anterior, se entenderá que procede la impugnación de los referidos fallos ante el superior jerárquico o funcional de quien impuso la condena……</w:t>
      </w:r>
      <w:r w:rsidRPr="00B21EAB">
        <w:rPr>
          <w:rFonts w:eastAsia="Times New Roman" w:cs="Arial"/>
          <w:sz w:val="20"/>
          <w:szCs w:val="20"/>
          <w:lang w:eastAsia="es-ES"/>
        </w:rPr>
        <w:t>”</w:t>
      </w:r>
      <w:r w:rsidRPr="00B21EAB">
        <w:rPr>
          <w:rFonts w:eastAsia="Times New Roman" w:cs="Arial"/>
          <w:sz w:val="20"/>
          <w:szCs w:val="20"/>
          <w:vertAlign w:val="superscript"/>
          <w:lang w:eastAsia="es-ES"/>
        </w:rPr>
        <w:footnoteReference w:id="2"/>
      </w:r>
      <w:r w:rsidRPr="00B21EAB">
        <w:rPr>
          <w:rFonts w:eastAsia="Times New Roman" w:cs="Arial"/>
          <w:sz w:val="20"/>
          <w:szCs w:val="20"/>
          <w:lang w:eastAsia="es-ES"/>
        </w:rPr>
        <w:t xml:space="preserve">.  </w:t>
      </w:r>
    </w:p>
    <w:p w:rsidR="00B21EAB" w:rsidRPr="00B21EAB" w:rsidRDefault="00B21EAB" w:rsidP="00B21EAB">
      <w:pPr>
        <w:spacing w:line="276" w:lineRule="auto"/>
        <w:jc w:val="both"/>
        <w:rPr>
          <w:rFonts w:eastAsia="Times New Roman" w:cs="Arial"/>
          <w:sz w:val="24"/>
          <w:szCs w:val="24"/>
          <w:lang w:val="es-ES" w:eastAsia="es-ES"/>
        </w:rPr>
      </w:pPr>
    </w:p>
    <w:p w:rsidR="00B21EAB" w:rsidRPr="00B21EAB" w:rsidRDefault="00B21EAB" w:rsidP="00B21EAB">
      <w:pPr>
        <w:spacing w:line="276" w:lineRule="auto"/>
        <w:jc w:val="both"/>
        <w:rPr>
          <w:rFonts w:eastAsia="Times New Roman" w:cs="Arial"/>
          <w:sz w:val="24"/>
          <w:szCs w:val="24"/>
          <w:lang w:val="es-ES" w:eastAsia="es-ES"/>
        </w:rPr>
      </w:pPr>
      <w:r w:rsidRPr="00B21EAB">
        <w:rPr>
          <w:rFonts w:eastAsia="Times New Roman" w:cs="Arial"/>
          <w:sz w:val="24"/>
          <w:szCs w:val="24"/>
          <w:lang w:val="es-ES" w:eastAsia="es-ES"/>
        </w:rPr>
        <w:t>A lo anterior se hace necesario adicionar que por tratarse uno de los precedentes enunciados de una sentencia de constitucionalidad, los mismos son de obligatorio cumplimientos y acatamiento con bien nos lo indica el artículo 48 de la Ley Estatutaria de la Administración de Justicia de la siguiente manera:</w:t>
      </w:r>
    </w:p>
    <w:p w:rsidR="00B21EAB" w:rsidRPr="00B21EAB" w:rsidRDefault="00B21EAB" w:rsidP="00B21EAB">
      <w:pPr>
        <w:spacing w:line="276" w:lineRule="auto"/>
        <w:jc w:val="both"/>
        <w:rPr>
          <w:rFonts w:eastAsia="Times New Roman" w:cs="Arial"/>
          <w:sz w:val="24"/>
          <w:szCs w:val="24"/>
          <w:lang w:val="es-ES" w:eastAsia="es-ES"/>
        </w:rPr>
      </w:pPr>
    </w:p>
    <w:p w:rsidR="00B21EAB" w:rsidRPr="00B21EAB" w:rsidRDefault="00B21EAB" w:rsidP="00B21EAB">
      <w:pPr>
        <w:spacing w:line="276" w:lineRule="auto"/>
        <w:ind w:left="567" w:right="902"/>
        <w:jc w:val="both"/>
        <w:rPr>
          <w:rFonts w:eastAsia="Calibri" w:cs="Arial"/>
          <w:sz w:val="20"/>
          <w:szCs w:val="20"/>
          <w:lang w:eastAsia="es-CO"/>
        </w:rPr>
      </w:pPr>
      <w:r w:rsidRPr="00B21EAB">
        <w:rPr>
          <w:rFonts w:eastAsia="Calibri" w:cs="Arial"/>
          <w:sz w:val="20"/>
          <w:szCs w:val="20"/>
          <w:lang w:eastAsia="es-CO"/>
        </w:rPr>
        <w:t>“Las sentencias proferidas en cumplimiento del control constitucional tienen el siguiente efecto:</w:t>
      </w:r>
    </w:p>
    <w:p w:rsidR="00B21EAB" w:rsidRPr="00B21EAB" w:rsidRDefault="00B21EAB" w:rsidP="00B21EAB">
      <w:pPr>
        <w:spacing w:line="276" w:lineRule="auto"/>
        <w:ind w:left="567" w:right="902"/>
        <w:jc w:val="both"/>
        <w:rPr>
          <w:rFonts w:eastAsia="Calibri" w:cs="Arial"/>
          <w:sz w:val="20"/>
          <w:szCs w:val="20"/>
          <w:lang w:eastAsia="es-CO"/>
        </w:rPr>
      </w:pPr>
    </w:p>
    <w:p w:rsidR="00B21EAB" w:rsidRPr="00B21EAB" w:rsidRDefault="00B21EAB" w:rsidP="00B21EAB">
      <w:pPr>
        <w:spacing w:line="276" w:lineRule="auto"/>
        <w:ind w:left="567" w:right="902"/>
        <w:jc w:val="both"/>
        <w:rPr>
          <w:rFonts w:eastAsia="Calibri" w:cs="Arial"/>
          <w:sz w:val="20"/>
          <w:szCs w:val="20"/>
          <w:lang w:eastAsia="es-CO"/>
        </w:rPr>
      </w:pPr>
      <w:r w:rsidRPr="00B21EAB">
        <w:rPr>
          <w:rFonts w:eastAsia="Calibri" w:cs="Arial"/>
          <w:sz w:val="20"/>
          <w:szCs w:val="20"/>
          <w:lang w:eastAsia="es-CO"/>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B21EAB">
        <w:rPr>
          <w:rFonts w:eastAsia="Calibri" w:cs="Arial"/>
          <w:sz w:val="20"/>
          <w:szCs w:val="20"/>
          <w:vertAlign w:val="superscript"/>
          <w:lang w:eastAsia="es-CO"/>
        </w:rPr>
        <w:footnoteReference w:id="3"/>
      </w:r>
      <w:r w:rsidRPr="00B21EAB">
        <w:rPr>
          <w:rFonts w:eastAsia="Calibri" w:cs="Arial"/>
          <w:sz w:val="20"/>
          <w:szCs w:val="20"/>
          <w:lang w:eastAsia="es-CO"/>
        </w:rPr>
        <w:t>.</w:t>
      </w:r>
    </w:p>
    <w:p w:rsidR="00B21EAB" w:rsidRPr="00B21EAB" w:rsidRDefault="00B21EAB" w:rsidP="00B21EAB">
      <w:pPr>
        <w:spacing w:line="276" w:lineRule="auto"/>
        <w:jc w:val="both"/>
        <w:rPr>
          <w:rFonts w:eastAsia="Calibri" w:cs="Arial"/>
          <w:sz w:val="24"/>
          <w:szCs w:val="24"/>
          <w:lang w:eastAsia="es-CO"/>
        </w:rPr>
      </w:pPr>
    </w:p>
    <w:p w:rsidR="00B21EAB" w:rsidRPr="00B21EAB" w:rsidRDefault="00B21EAB" w:rsidP="00B21EAB">
      <w:pPr>
        <w:spacing w:line="276" w:lineRule="auto"/>
        <w:jc w:val="both"/>
        <w:rPr>
          <w:rFonts w:cs="Arial"/>
          <w:sz w:val="24"/>
          <w:szCs w:val="24"/>
          <w:lang w:val="es-ES"/>
        </w:rPr>
      </w:pPr>
      <w:r w:rsidRPr="00B21EAB">
        <w:rPr>
          <w:rFonts w:cs="Arial"/>
          <w:sz w:val="24"/>
          <w:szCs w:val="24"/>
        </w:rPr>
        <w:t>Con base en lo anteriores argumentos, dejo sentadas las razones y motivos por las cuales de manera parcial me vi forzado a salvar mi voto en el presente asunto.</w:t>
      </w:r>
    </w:p>
    <w:p w:rsidR="00B21EAB" w:rsidRPr="00B21EAB" w:rsidRDefault="00B21EAB" w:rsidP="00B21EAB">
      <w:pPr>
        <w:spacing w:line="276" w:lineRule="auto"/>
        <w:jc w:val="both"/>
        <w:rPr>
          <w:rFonts w:eastAsia="Calibri" w:cs="Arial"/>
          <w:sz w:val="24"/>
          <w:szCs w:val="24"/>
          <w:lang w:val="es-ES"/>
        </w:rPr>
      </w:pPr>
    </w:p>
    <w:p w:rsidR="00B21EAB" w:rsidRPr="00B21EAB" w:rsidRDefault="00B21EAB" w:rsidP="00B21EAB">
      <w:pPr>
        <w:spacing w:line="276" w:lineRule="auto"/>
        <w:jc w:val="both"/>
        <w:rPr>
          <w:rFonts w:eastAsia="Arial Unicode MS" w:cs="Arial"/>
          <w:sz w:val="24"/>
          <w:szCs w:val="24"/>
        </w:rPr>
      </w:pPr>
    </w:p>
    <w:p w:rsidR="00B21EAB" w:rsidRPr="00B21EAB" w:rsidRDefault="00B21EAB" w:rsidP="00B21EAB">
      <w:pPr>
        <w:spacing w:line="276" w:lineRule="auto"/>
        <w:jc w:val="both"/>
        <w:rPr>
          <w:rFonts w:eastAsia="Arial Unicode MS" w:cs="Arial"/>
          <w:sz w:val="24"/>
          <w:szCs w:val="24"/>
        </w:rPr>
      </w:pPr>
    </w:p>
    <w:p w:rsidR="00B21EAB" w:rsidRPr="00B21EAB" w:rsidRDefault="00B21EAB" w:rsidP="00B21EAB">
      <w:pPr>
        <w:spacing w:line="276" w:lineRule="auto"/>
        <w:jc w:val="both"/>
        <w:rPr>
          <w:rFonts w:eastAsia="Arial Unicode MS" w:cs="Arial"/>
          <w:sz w:val="24"/>
          <w:szCs w:val="24"/>
        </w:rPr>
      </w:pPr>
    </w:p>
    <w:p w:rsidR="00B21EAB" w:rsidRPr="00B21EAB" w:rsidRDefault="00B21EAB" w:rsidP="00B21EAB">
      <w:pPr>
        <w:spacing w:line="276" w:lineRule="auto"/>
        <w:jc w:val="both"/>
        <w:rPr>
          <w:rFonts w:eastAsia="Arial Unicode MS" w:cs="Arial"/>
          <w:sz w:val="24"/>
          <w:szCs w:val="24"/>
        </w:rPr>
      </w:pPr>
    </w:p>
    <w:p w:rsidR="00B21EAB" w:rsidRPr="00B21EAB" w:rsidRDefault="00B21EAB" w:rsidP="00B21EAB">
      <w:pPr>
        <w:spacing w:line="276" w:lineRule="auto"/>
        <w:jc w:val="both"/>
        <w:rPr>
          <w:rFonts w:eastAsia="Arial Unicode MS" w:cs="Arial"/>
          <w:sz w:val="24"/>
          <w:szCs w:val="24"/>
        </w:rPr>
      </w:pPr>
    </w:p>
    <w:p w:rsidR="00B21EAB" w:rsidRPr="00B21EAB" w:rsidRDefault="00B21EAB" w:rsidP="00B21EAB">
      <w:pPr>
        <w:spacing w:line="276" w:lineRule="auto"/>
        <w:jc w:val="both"/>
        <w:rPr>
          <w:rFonts w:eastAsia="Arial Unicode MS" w:cs="Arial"/>
          <w:sz w:val="24"/>
          <w:szCs w:val="24"/>
        </w:rPr>
      </w:pPr>
      <w:r w:rsidRPr="00B21EAB">
        <w:rPr>
          <w:rFonts w:eastAsia="Arial Unicode MS" w:cs="Arial"/>
          <w:sz w:val="24"/>
          <w:szCs w:val="24"/>
        </w:rPr>
        <w:t>MANUEL YARZAGARAY BANDERA</w:t>
      </w:r>
    </w:p>
    <w:p w:rsidR="00B21EAB" w:rsidRPr="00B21EAB" w:rsidRDefault="00B21EAB" w:rsidP="00B21EAB">
      <w:pPr>
        <w:spacing w:line="276" w:lineRule="auto"/>
        <w:jc w:val="both"/>
        <w:rPr>
          <w:rFonts w:eastAsia="Arial Unicode MS" w:cs="Arial"/>
          <w:sz w:val="24"/>
          <w:szCs w:val="24"/>
        </w:rPr>
      </w:pPr>
      <w:r w:rsidRPr="00B21EAB">
        <w:rPr>
          <w:rFonts w:eastAsia="Arial Unicode MS" w:cs="Arial"/>
          <w:sz w:val="24"/>
          <w:szCs w:val="24"/>
        </w:rPr>
        <w:t xml:space="preserve">Magistrado </w:t>
      </w:r>
    </w:p>
    <w:p w:rsidR="00B21EAB" w:rsidRPr="00B21EAB" w:rsidRDefault="00B21EAB" w:rsidP="00B21EAB">
      <w:pPr>
        <w:spacing w:line="276" w:lineRule="auto"/>
        <w:jc w:val="both"/>
        <w:rPr>
          <w:rFonts w:eastAsia="Arial Unicode MS" w:cs="Arial"/>
          <w:sz w:val="24"/>
          <w:szCs w:val="24"/>
        </w:rPr>
      </w:pPr>
    </w:p>
    <w:p w:rsidR="00B21EAB" w:rsidRPr="00B21EAB" w:rsidRDefault="00B21EAB" w:rsidP="00B21EAB">
      <w:pPr>
        <w:spacing w:line="276" w:lineRule="auto"/>
        <w:jc w:val="both"/>
      </w:pPr>
      <w:r w:rsidRPr="00B21EAB">
        <w:rPr>
          <w:rFonts w:eastAsia="Arial Unicode MS" w:cs="Arial"/>
          <w:i/>
          <w:sz w:val="24"/>
          <w:szCs w:val="24"/>
        </w:rPr>
        <w:t xml:space="preserve">Fecha Et Supra </w:t>
      </w:r>
    </w:p>
    <w:p w:rsidR="00B21EAB" w:rsidRPr="00B21EAB" w:rsidRDefault="00B21EAB" w:rsidP="00B21EAB">
      <w:pPr>
        <w:pStyle w:val="Sansinterligne"/>
      </w:pPr>
    </w:p>
    <w:p w:rsidR="00DF63E3" w:rsidRDefault="00452F54" w:rsidP="00B21EAB">
      <w:pPr>
        <w:pStyle w:val="Sansinterligne"/>
      </w:pPr>
    </w:p>
    <w:sectPr w:rsidR="00DF63E3" w:rsidSect="000C3752">
      <w:headerReference w:type="default" r:id="rId7"/>
      <w:footerReference w:type="default" r:id="rId8"/>
      <w:headerReference w:type="first" r:id="rId9"/>
      <w:pgSz w:w="12242" w:h="19442" w:code="268"/>
      <w:pgMar w:top="1418" w:right="1134" w:bottom="1418" w:left="1134"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54" w:rsidRDefault="00452F54" w:rsidP="00B21EAB">
      <w:r>
        <w:separator/>
      </w:r>
    </w:p>
  </w:endnote>
  <w:endnote w:type="continuationSeparator" w:id="0">
    <w:p w:rsidR="00452F54" w:rsidRDefault="00452F54" w:rsidP="00B2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 Helvetica"/>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Sans Typewriter" w:hAnsi="Lucida Sans Typewriter"/>
        <w:sz w:val="18"/>
        <w:szCs w:val="18"/>
      </w:rPr>
      <w:id w:val="-1528639706"/>
      <w:docPartObj>
        <w:docPartGallery w:val="Page Numbers (Bottom of Page)"/>
        <w:docPartUnique/>
      </w:docPartObj>
    </w:sdtPr>
    <w:sdtEndPr/>
    <w:sdtContent>
      <w:sdt>
        <w:sdtPr>
          <w:rPr>
            <w:rFonts w:ascii="Lucida Sans Typewriter" w:hAnsi="Lucida Sans Typewriter"/>
            <w:sz w:val="18"/>
            <w:szCs w:val="18"/>
          </w:rPr>
          <w:id w:val="-1769616900"/>
          <w:docPartObj>
            <w:docPartGallery w:val="Page Numbers (Top of Page)"/>
            <w:docPartUnique/>
          </w:docPartObj>
        </w:sdtPr>
        <w:sdtEndPr/>
        <w:sdtContent>
          <w:p w:rsidR="001B6AE3" w:rsidRPr="001B6AE3" w:rsidRDefault="008C4A3B">
            <w:pPr>
              <w:pStyle w:val="Pieddepage"/>
              <w:jc w:val="right"/>
              <w:rPr>
                <w:rFonts w:ascii="Lucida Sans Typewriter" w:hAnsi="Lucida Sans Typewriter"/>
                <w:sz w:val="18"/>
                <w:szCs w:val="18"/>
              </w:rPr>
            </w:pPr>
            <w:r w:rsidRPr="001B6AE3">
              <w:rPr>
                <w:rFonts w:ascii="Lucida Sans Typewriter" w:hAnsi="Lucida Sans Typewriter"/>
                <w:sz w:val="18"/>
                <w:szCs w:val="18"/>
                <w:lang w:val="es-ES"/>
              </w:rPr>
              <w:t xml:space="preserve">Página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PAGE</w:instrText>
            </w:r>
            <w:r w:rsidRPr="001B6AE3">
              <w:rPr>
                <w:rFonts w:ascii="Lucida Sans Typewriter" w:hAnsi="Lucida Sans Typewriter"/>
                <w:b/>
                <w:bCs/>
                <w:sz w:val="18"/>
                <w:szCs w:val="18"/>
              </w:rPr>
              <w:fldChar w:fldCharType="separate"/>
            </w:r>
            <w:r w:rsidR="00FC0736">
              <w:rPr>
                <w:rFonts w:ascii="Lucida Sans Typewriter" w:hAnsi="Lucida Sans Typewriter"/>
                <w:b/>
                <w:bCs/>
                <w:noProof/>
                <w:sz w:val="18"/>
                <w:szCs w:val="18"/>
              </w:rPr>
              <w:t>3</w:t>
            </w:r>
            <w:r w:rsidRPr="001B6AE3">
              <w:rPr>
                <w:rFonts w:ascii="Lucida Sans Typewriter" w:hAnsi="Lucida Sans Typewriter"/>
                <w:b/>
                <w:bCs/>
                <w:sz w:val="18"/>
                <w:szCs w:val="18"/>
              </w:rPr>
              <w:fldChar w:fldCharType="end"/>
            </w:r>
            <w:r w:rsidRPr="001B6AE3">
              <w:rPr>
                <w:rFonts w:ascii="Lucida Sans Typewriter" w:hAnsi="Lucida Sans Typewriter"/>
                <w:sz w:val="18"/>
                <w:szCs w:val="18"/>
                <w:lang w:val="es-ES"/>
              </w:rPr>
              <w:t xml:space="preserve"> de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NUMPAGES</w:instrText>
            </w:r>
            <w:r w:rsidRPr="001B6AE3">
              <w:rPr>
                <w:rFonts w:ascii="Lucida Sans Typewriter" w:hAnsi="Lucida Sans Typewriter"/>
                <w:b/>
                <w:bCs/>
                <w:sz w:val="18"/>
                <w:szCs w:val="18"/>
              </w:rPr>
              <w:fldChar w:fldCharType="separate"/>
            </w:r>
            <w:r w:rsidR="00FC0736">
              <w:rPr>
                <w:rFonts w:ascii="Lucida Sans Typewriter" w:hAnsi="Lucida Sans Typewriter"/>
                <w:b/>
                <w:bCs/>
                <w:noProof/>
                <w:sz w:val="18"/>
                <w:szCs w:val="18"/>
              </w:rPr>
              <w:t>3</w:t>
            </w:r>
            <w:r w:rsidRPr="001B6AE3">
              <w:rPr>
                <w:rFonts w:ascii="Lucida Sans Typewriter" w:hAnsi="Lucida Sans Typewriter"/>
                <w:b/>
                <w:bCs/>
                <w:sz w:val="18"/>
                <w:szCs w:val="18"/>
              </w:rPr>
              <w:fldChar w:fldCharType="end"/>
            </w:r>
          </w:p>
        </w:sdtContent>
      </w:sdt>
    </w:sdtContent>
  </w:sdt>
  <w:p w:rsidR="001B6AE3" w:rsidRPr="001B6AE3" w:rsidRDefault="00452F54">
    <w:pPr>
      <w:pStyle w:val="Pieddepage"/>
      <w:rPr>
        <w:rFonts w:ascii="Lucida Sans Typewriter" w:hAnsi="Lucida Sans Typewrite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54" w:rsidRDefault="00452F54" w:rsidP="00B21EAB">
      <w:r>
        <w:separator/>
      </w:r>
    </w:p>
  </w:footnote>
  <w:footnote w:type="continuationSeparator" w:id="0">
    <w:p w:rsidR="00452F54" w:rsidRDefault="00452F54" w:rsidP="00B21EAB">
      <w:r>
        <w:continuationSeparator/>
      </w:r>
    </w:p>
  </w:footnote>
  <w:footnote w:id="1">
    <w:p w:rsidR="00B21EAB" w:rsidRPr="00616396" w:rsidRDefault="00B21EAB" w:rsidP="00B21EAB">
      <w:pPr>
        <w:pStyle w:val="Sansinterligne"/>
        <w:jc w:val="both"/>
        <w:rPr>
          <w:rFonts w:ascii="Times New Roman" w:hAnsi="Times New Roman" w:cs="Times New Roman"/>
          <w:sz w:val="20"/>
          <w:szCs w:val="20"/>
        </w:rPr>
      </w:pPr>
      <w:r w:rsidRPr="00616396">
        <w:rPr>
          <w:rStyle w:val="Appelnotedebasdep"/>
          <w:rFonts w:ascii="Times New Roman" w:hAnsi="Times New Roman" w:cs="Times New Roman"/>
          <w:sz w:val="20"/>
          <w:szCs w:val="20"/>
        </w:rPr>
        <w:footnoteRef/>
      </w:r>
      <w:r w:rsidRPr="00616396">
        <w:rPr>
          <w:rFonts w:ascii="Times New Roman" w:hAnsi="Times New Roman" w:cs="Times New Roman"/>
          <w:sz w:val="20"/>
          <w:szCs w:val="20"/>
        </w:rPr>
        <w:t xml:space="preserve"> Corte Suprema de Justicia, Sala de Casación Pena</w:t>
      </w:r>
      <w:r>
        <w:rPr>
          <w:rFonts w:ascii="Times New Roman" w:hAnsi="Times New Roman" w:cs="Times New Roman"/>
          <w:sz w:val="20"/>
          <w:szCs w:val="20"/>
        </w:rPr>
        <w:t>l: Providencia del 27</w:t>
      </w:r>
      <w:r w:rsidRPr="00616396">
        <w:rPr>
          <w:rFonts w:ascii="Times New Roman" w:hAnsi="Times New Roman" w:cs="Times New Roman"/>
          <w:sz w:val="20"/>
          <w:szCs w:val="20"/>
        </w:rPr>
        <w:t xml:space="preserve"> julio de 2016. AP4810-2016. Radicado # 48442. M.P. GUSTAVO ENRIQUE MALO FERNÁNDEZ.</w:t>
      </w:r>
      <w:r w:rsidRPr="00616396">
        <w:rPr>
          <w:rFonts w:ascii="Times New Roman" w:hAnsi="Times New Roman" w:cs="Times New Roman"/>
          <w:b/>
          <w:sz w:val="20"/>
          <w:szCs w:val="20"/>
        </w:rPr>
        <w:t xml:space="preserve"> </w:t>
      </w:r>
    </w:p>
    <w:p w:rsidR="00B21EAB" w:rsidRPr="00616396" w:rsidRDefault="00B21EAB" w:rsidP="00B21EAB">
      <w:pPr>
        <w:pStyle w:val="Sansinterligne"/>
        <w:jc w:val="both"/>
        <w:rPr>
          <w:rFonts w:ascii="Times New Roman" w:hAnsi="Times New Roman" w:cs="Times New Roman"/>
          <w:sz w:val="20"/>
          <w:szCs w:val="20"/>
        </w:rPr>
      </w:pPr>
    </w:p>
  </w:footnote>
  <w:footnote w:id="2">
    <w:p w:rsidR="00B21EAB" w:rsidRPr="00616396" w:rsidRDefault="00B21EAB" w:rsidP="00B21EAB">
      <w:pPr>
        <w:pStyle w:val="Notedebasdepage"/>
        <w:rPr>
          <w:rFonts w:ascii="Times New Roman" w:hAnsi="Times New Roman" w:cs="Times New Roman"/>
        </w:rPr>
      </w:pPr>
      <w:r w:rsidRPr="00616396">
        <w:rPr>
          <w:rStyle w:val="Appelnotedebasdep"/>
          <w:rFonts w:ascii="Times New Roman" w:eastAsiaTheme="majorEastAsia" w:hAnsi="Times New Roman" w:cs="Times New Roman"/>
        </w:rPr>
        <w:footnoteRef/>
      </w:r>
      <w:r w:rsidRPr="00616396">
        <w:rPr>
          <w:rFonts w:ascii="Times New Roman" w:hAnsi="Times New Roman" w:cs="Times New Roman"/>
        </w:rPr>
        <w:t xml:space="preserve"> Corte Constitucional: Sentencia # C-792 del 29 de octubre de 2014. M.P. LUIS GUILLERMO GUERRERO PÉREZ. {Negrillas fuera del texto}.</w:t>
      </w:r>
    </w:p>
  </w:footnote>
  <w:footnote w:id="3">
    <w:p w:rsidR="00B21EAB" w:rsidRPr="00616396" w:rsidRDefault="00B21EAB" w:rsidP="00B21EAB">
      <w:pPr>
        <w:pStyle w:val="Notedebasdepage"/>
        <w:rPr>
          <w:rFonts w:ascii="Times New Roman" w:hAnsi="Times New Roman" w:cs="Times New Roman"/>
        </w:rPr>
      </w:pPr>
      <w:r w:rsidRPr="00616396">
        <w:rPr>
          <w:rStyle w:val="Appelnotedebasdep"/>
          <w:rFonts w:ascii="Times New Roman" w:hAnsi="Times New Roman" w:cs="Times New Roman"/>
        </w:rPr>
        <w:footnoteRef/>
      </w:r>
      <w:r w:rsidRPr="00616396">
        <w:rPr>
          <w:rFonts w:ascii="Times New Roman" w:hAnsi="Times New Roman" w:cs="Times New Roman"/>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AB" w:rsidRPr="00B21EAB" w:rsidRDefault="008C4A3B" w:rsidP="00B21EAB">
    <w:pPr>
      <w:pStyle w:val="En-tte"/>
      <w:ind w:left="3969"/>
      <w:rPr>
        <w:rFonts w:ascii="Arial Black" w:hAnsi="Arial Black" w:cs="Microsoft Sans Serif"/>
        <w:sz w:val="16"/>
        <w:szCs w:val="16"/>
      </w:rPr>
    </w:pPr>
    <w:r w:rsidRPr="00AE2587">
      <w:rPr>
        <w:rFonts w:ascii="Arial Rounded MT Bold" w:hAnsi="Arial Rounded MT Bold"/>
      </w:rPr>
      <w:tab/>
    </w:r>
    <w:r w:rsidR="00B21EAB" w:rsidRPr="00B21EAB">
      <w:rPr>
        <w:rFonts w:ascii="Arial Black" w:hAnsi="Arial Black" w:cs="Microsoft Sans Serif"/>
        <w:sz w:val="16"/>
        <w:szCs w:val="16"/>
      </w:rPr>
      <w:t xml:space="preserve">Procesado: JUAN JOSÉ BOHÓRQUEZ y otro </w:t>
    </w:r>
  </w:p>
  <w:p w:rsidR="00B21EAB" w:rsidRPr="00B21EAB" w:rsidRDefault="00B21EAB" w:rsidP="00B21EAB">
    <w:pPr>
      <w:pStyle w:val="En-tte"/>
      <w:ind w:left="3969"/>
      <w:rPr>
        <w:rFonts w:ascii="Arial Black" w:hAnsi="Arial Black" w:cs="Microsoft Sans Serif"/>
        <w:sz w:val="16"/>
        <w:szCs w:val="16"/>
      </w:rPr>
    </w:pPr>
    <w:r w:rsidRPr="00B21EAB">
      <w:rPr>
        <w:rFonts w:ascii="Arial Black" w:hAnsi="Arial Black" w:cs="Microsoft Sans Serif"/>
        <w:sz w:val="16"/>
        <w:szCs w:val="16"/>
      </w:rPr>
      <w:t>Delito: Homicidio</w:t>
    </w:r>
  </w:p>
  <w:p w:rsidR="00B21EAB" w:rsidRPr="00B21EAB" w:rsidRDefault="00B21EAB" w:rsidP="00B21EAB">
    <w:pPr>
      <w:pStyle w:val="En-tte"/>
      <w:ind w:left="3969"/>
      <w:rPr>
        <w:rFonts w:ascii="Arial Black" w:hAnsi="Arial Black" w:cs="Microsoft Sans Serif"/>
        <w:sz w:val="16"/>
        <w:szCs w:val="16"/>
      </w:rPr>
    </w:pPr>
    <w:r w:rsidRPr="00B21EAB">
      <w:rPr>
        <w:rFonts w:ascii="Arial Black" w:hAnsi="Arial Black" w:cs="Microsoft Sans Serif"/>
        <w:sz w:val="16"/>
        <w:szCs w:val="16"/>
      </w:rPr>
      <w:t>Rad. # 66440600006820100025301</w:t>
    </w:r>
  </w:p>
  <w:p w:rsidR="00AC428C" w:rsidRDefault="00B21EAB" w:rsidP="00B21EAB">
    <w:pPr>
      <w:pStyle w:val="En-tte"/>
      <w:ind w:left="3969"/>
      <w:rPr>
        <w:rFonts w:ascii="Arial Black" w:hAnsi="Arial Black" w:cs="Microsoft Sans Serif"/>
        <w:sz w:val="16"/>
        <w:szCs w:val="16"/>
      </w:rPr>
    </w:pPr>
    <w:r w:rsidRPr="00B21EAB">
      <w:rPr>
        <w:rFonts w:ascii="Arial Black" w:hAnsi="Arial Black" w:cs="Microsoft Sans Serif"/>
        <w:sz w:val="16"/>
        <w:szCs w:val="16"/>
      </w:rPr>
      <w:t>Asunto: Salvamento parcial de voto</w:t>
    </w:r>
  </w:p>
  <w:p w:rsidR="00B21EAB" w:rsidRPr="00AE2587" w:rsidRDefault="00B21EAB" w:rsidP="00B21EAB">
    <w:pPr>
      <w:pStyle w:val="En-tte"/>
      <w:ind w:left="3969"/>
      <w:rPr>
        <w:rFonts w:ascii="Arial Rounded MT Bold" w:hAnsi="Arial Rounded MT Bol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25" w:rsidRPr="008F040D" w:rsidRDefault="00B21EAB" w:rsidP="007C3525">
    <w:pPr>
      <w:pStyle w:val="En-tte"/>
      <w:ind w:left="3969"/>
      <w:rPr>
        <w:rFonts w:ascii="Arial Black" w:hAnsi="Arial Black" w:cs="Microsoft Sans Serif"/>
        <w:sz w:val="16"/>
        <w:szCs w:val="16"/>
      </w:rPr>
    </w:pPr>
    <w:r>
      <w:rPr>
        <w:rFonts w:ascii="Arial Black" w:hAnsi="Arial Black" w:cs="Microsoft Sans Serif"/>
        <w:sz w:val="16"/>
        <w:szCs w:val="16"/>
      </w:rPr>
      <w:t>Procesado</w:t>
    </w:r>
    <w:r w:rsidR="008C4A3B" w:rsidRPr="008F040D">
      <w:rPr>
        <w:rFonts w:ascii="Arial Black" w:hAnsi="Arial Black" w:cs="Microsoft Sans Serif"/>
        <w:sz w:val="16"/>
        <w:szCs w:val="16"/>
      </w:rPr>
      <w:t xml:space="preserve">: </w:t>
    </w:r>
    <w:r>
      <w:rPr>
        <w:rFonts w:ascii="Arial Black" w:hAnsi="Arial Black" w:cs="Microsoft Sans Serif"/>
        <w:sz w:val="16"/>
        <w:szCs w:val="16"/>
      </w:rPr>
      <w:t>JUAN JOSÉ BOHÓRQUEZ y otro</w:t>
    </w:r>
    <w:r w:rsidR="008C4A3B" w:rsidRPr="008F040D">
      <w:rPr>
        <w:rFonts w:ascii="Arial Black" w:hAnsi="Arial Black" w:cs="Microsoft Sans Serif"/>
        <w:sz w:val="16"/>
        <w:szCs w:val="16"/>
      </w:rPr>
      <w:t xml:space="preserve"> </w:t>
    </w:r>
  </w:p>
  <w:p w:rsidR="007C3525" w:rsidRPr="008F040D" w:rsidRDefault="008C4A3B" w:rsidP="007C3525">
    <w:pPr>
      <w:pStyle w:val="En-tte"/>
      <w:ind w:left="3969"/>
      <w:rPr>
        <w:rFonts w:ascii="Arial Black" w:hAnsi="Arial Black" w:cs="Microsoft Sans Serif"/>
        <w:sz w:val="16"/>
        <w:szCs w:val="16"/>
      </w:rPr>
    </w:pPr>
    <w:r w:rsidRPr="008F040D">
      <w:rPr>
        <w:rFonts w:ascii="Arial Black" w:hAnsi="Arial Black" w:cs="Microsoft Sans Serif"/>
        <w:sz w:val="16"/>
        <w:szCs w:val="16"/>
      </w:rPr>
      <w:t xml:space="preserve">Delito: </w:t>
    </w:r>
    <w:r w:rsidR="00B21EAB">
      <w:rPr>
        <w:rFonts w:ascii="Arial Black" w:hAnsi="Arial Black" w:cs="Microsoft Sans Serif"/>
        <w:sz w:val="16"/>
        <w:szCs w:val="16"/>
      </w:rPr>
      <w:t>Homicidio</w:t>
    </w:r>
  </w:p>
  <w:p w:rsidR="007C3525" w:rsidRPr="00E00B30" w:rsidRDefault="008C4A3B" w:rsidP="007C3525">
    <w:pPr>
      <w:pStyle w:val="En-tte"/>
      <w:ind w:left="3969"/>
      <w:rPr>
        <w:rFonts w:ascii="Arial Black" w:hAnsi="Arial Black" w:cs="Microsoft Sans Serif"/>
        <w:b/>
        <w:sz w:val="16"/>
        <w:szCs w:val="16"/>
      </w:rPr>
    </w:pPr>
    <w:r w:rsidRPr="008F040D">
      <w:rPr>
        <w:rFonts w:ascii="Arial Black" w:hAnsi="Arial Black" w:cs="Microsoft Sans Serif"/>
        <w:sz w:val="16"/>
        <w:szCs w:val="16"/>
      </w:rPr>
      <w:t xml:space="preserve">Rad. # </w:t>
    </w:r>
    <w:r w:rsidR="00B21EAB">
      <w:rPr>
        <w:rFonts w:ascii="Arial Black" w:hAnsi="Arial Black" w:cs="Microsoft Sans Serif"/>
        <w:sz w:val="16"/>
        <w:szCs w:val="16"/>
      </w:rPr>
      <w:t>66440600006820100025301</w:t>
    </w:r>
  </w:p>
  <w:p w:rsidR="007C3525" w:rsidRPr="008F040D" w:rsidRDefault="008C4A3B" w:rsidP="007C3525">
    <w:pPr>
      <w:pStyle w:val="En-tte"/>
      <w:tabs>
        <w:tab w:val="left" w:pos="8838"/>
      </w:tabs>
      <w:ind w:left="3969"/>
      <w:rPr>
        <w:rFonts w:ascii="Arial Black" w:hAnsi="Arial Black" w:cs="Microsoft Sans Serif"/>
        <w:sz w:val="16"/>
        <w:szCs w:val="16"/>
      </w:rPr>
    </w:pPr>
    <w:r w:rsidRPr="008F040D">
      <w:rPr>
        <w:rFonts w:ascii="Arial Black" w:hAnsi="Arial Black" w:cs="Microsoft Sans Serif"/>
        <w:sz w:val="16"/>
        <w:szCs w:val="16"/>
      </w:rPr>
      <w:t>Asunto: Salvamento parcial de voto</w:t>
    </w:r>
    <w:r>
      <w:rPr>
        <w:rFonts w:ascii="Arial Black" w:hAnsi="Arial Black" w:cs="Microsoft Sans Serif"/>
        <w:sz w:val="16"/>
        <w:szCs w:val="16"/>
      </w:rPr>
      <w:tab/>
    </w:r>
  </w:p>
  <w:p w:rsidR="001A38EB" w:rsidRDefault="00452F5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AB"/>
    <w:rsid w:val="000C3752"/>
    <w:rsid w:val="00452F54"/>
    <w:rsid w:val="00766030"/>
    <w:rsid w:val="008C4A3B"/>
    <w:rsid w:val="009F3B2A"/>
    <w:rsid w:val="00B21EAB"/>
    <w:rsid w:val="00C324CF"/>
    <w:rsid w:val="00DD577A"/>
    <w:rsid w:val="00FC07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B21EAB"/>
  </w:style>
  <w:style w:type="paragraph" w:styleId="En-tte">
    <w:name w:val="header"/>
    <w:basedOn w:val="Normal"/>
    <w:link w:val="En-tteCar"/>
    <w:unhideWhenUsed/>
    <w:rsid w:val="00B21EAB"/>
    <w:pPr>
      <w:tabs>
        <w:tab w:val="center" w:pos="4419"/>
        <w:tab w:val="right" w:pos="8838"/>
      </w:tabs>
      <w:jc w:val="both"/>
    </w:pPr>
    <w:rPr>
      <w:rFonts w:ascii="Verdana" w:eastAsia="Calibri" w:hAnsi="Verdana" w:cs="Verdana"/>
    </w:rPr>
  </w:style>
  <w:style w:type="character" w:customStyle="1" w:styleId="En-tteCar">
    <w:name w:val="En-tête Car"/>
    <w:basedOn w:val="Policepardfaut"/>
    <w:link w:val="En-tte"/>
    <w:rsid w:val="00B21EAB"/>
    <w:rPr>
      <w:rFonts w:ascii="Verdana" w:eastAsia="Calibri" w:hAnsi="Verdana" w:cs="Verdana"/>
    </w:rPr>
  </w:style>
  <w:style w:type="paragraph" w:styleId="Pieddepage">
    <w:name w:val="footer"/>
    <w:basedOn w:val="Normal"/>
    <w:link w:val="PieddepageCar"/>
    <w:uiPriority w:val="99"/>
    <w:unhideWhenUsed/>
    <w:rsid w:val="00B21EAB"/>
    <w:pPr>
      <w:tabs>
        <w:tab w:val="center" w:pos="4419"/>
        <w:tab w:val="right" w:pos="8838"/>
      </w:tabs>
      <w:jc w:val="both"/>
    </w:pPr>
    <w:rPr>
      <w:rFonts w:ascii="Verdana" w:eastAsia="Calibri" w:hAnsi="Verdana" w:cs="Verdana"/>
    </w:rPr>
  </w:style>
  <w:style w:type="character" w:customStyle="1" w:styleId="PieddepageCar">
    <w:name w:val="Pied de page Car"/>
    <w:basedOn w:val="Policepardfaut"/>
    <w:link w:val="Pieddepage"/>
    <w:uiPriority w:val="99"/>
    <w:rsid w:val="00B21EAB"/>
    <w:rPr>
      <w:rFonts w:ascii="Verdana" w:eastAsia="Calibri" w:hAnsi="Verdana" w:cs="Verdana"/>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B21EAB"/>
    <w:pPr>
      <w:jc w:val="both"/>
    </w:pPr>
    <w:rPr>
      <w:rFonts w:ascii="Verdana" w:eastAsia="Calibri" w:hAnsi="Verdana" w:cs="Verdana"/>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B21EAB"/>
    <w:rPr>
      <w:rFonts w:ascii="Verdana" w:eastAsia="Calibri" w:hAnsi="Verdana" w:cs="Verdana"/>
      <w:sz w:val="20"/>
      <w:szCs w:val="20"/>
    </w:rPr>
  </w:style>
  <w:style w:type="character" w:styleId="Appelnotedebasdep">
    <w:name w:val="footnote reference"/>
    <w:aliases w:val="Texto de nota al pie,referencia nota al pie"/>
    <w:basedOn w:val="Policepardfaut"/>
    <w:uiPriority w:val="99"/>
    <w:unhideWhenUsed/>
    <w:rsid w:val="00B21EAB"/>
    <w:rPr>
      <w:vertAlign w:val="superscript"/>
    </w:rPr>
  </w:style>
  <w:style w:type="paragraph" w:styleId="Textedebulles">
    <w:name w:val="Balloon Text"/>
    <w:basedOn w:val="Normal"/>
    <w:link w:val="TextedebullesCar"/>
    <w:uiPriority w:val="99"/>
    <w:semiHidden/>
    <w:unhideWhenUsed/>
    <w:rsid w:val="000C37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7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B21EAB"/>
  </w:style>
  <w:style w:type="paragraph" w:styleId="En-tte">
    <w:name w:val="header"/>
    <w:basedOn w:val="Normal"/>
    <w:link w:val="En-tteCar"/>
    <w:unhideWhenUsed/>
    <w:rsid w:val="00B21EAB"/>
    <w:pPr>
      <w:tabs>
        <w:tab w:val="center" w:pos="4419"/>
        <w:tab w:val="right" w:pos="8838"/>
      </w:tabs>
      <w:jc w:val="both"/>
    </w:pPr>
    <w:rPr>
      <w:rFonts w:ascii="Verdana" w:eastAsia="Calibri" w:hAnsi="Verdana" w:cs="Verdana"/>
    </w:rPr>
  </w:style>
  <w:style w:type="character" w:customStyle="1" w:styleId="En-tteCar">
    <w:name w:val="En-tête Car"/>
    <w:basedOn w:val="Policepardfaut"/>
    <w:link w:val="En-tte"/>
    <w:rsid w:val="00B21EAB"/>
    <w:rPr>
      <w:rFonts w:ascii="Verdana" w:eastAsia="Calibri" w:hAnsi="Verdana" w:cs="Verdana"/>
    </w:rPr>
  </w:style>
  <w:style w:type="paragraph" w:styleId="Pieddepage">
    <w:name w:val="footer"/>
    <w:basedOn w:val="Normal"/>
    <w:link w:val="PieddepageCar"/>
    <w:uiPriority w:val="99"/>
    <w:unhideWhenUsed/>
    <w:rsid w:val="00B21EAB"/>
    <w:pPr>
      <w:tabs>
        <w:tab w:val="center" w:pos="4419"/>
        <w:tab w:val="right" w:pos="8838"/>
      </w:tabs>
      <w:jc w:val="both"/>
    </w:pPr>
    <w:rPr>
      <w:rFonts w:ascii="Verdana" w:eastAsia="Calibri" w:hAnsi="Verdana" w:cs="Verdana"/>
    </w:rPr>
  </w:style>
  <w:style w:type="character" w:customStyle="1" w:styleId="PieddepageCar">
    <w:name w:val="Pied de page Car"/>
    <w:basedOn w:val="Policepardfaut"/>
    <w:link w:val="Pieddepage"/>
    <w:uiPriority w:val="99"/>
    <w:rsid w:val="00B21EAB"/>
    <w:rPr>
      <w:rFonts w:ascii="Verdana" w:eastAsia="Calibri" w:hAnsi="Verdana" w:cs="Verdana"/>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B21EAB"/>
    <w:pPr>
      <w:jc w:val="both"/>
    </w:pPr>
    <w:rPr>
      <w:rFonts w:ascii="Verdana" w:eastAsia="Calibri" w:hAnsi="Verdana" w:cs="Verdana"/>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B21EAB"/>
    <w:rPr>
      <w:rFonts w:ascii="Verdana" w:eastAsia="Calibri" w:hAnsi="Verdana" w:cs="Verdana"/>
      <w:sz w:val="20"/>
      <w:szCs w:val="20"/>
    </w:rPr>
  </w:style>
  <w:style w:type="character" w:styleId="Appelnotedebasdep">
    <w:name w:val="footnote reference"/>
    <w:aliases w:val="Texto de nota al pie,referencia nota al pie"/>
    <w:basedOn w:val="Policepardfaut"/>
    <w:uiPriority w:val="99"/>
    <w:unhideWhenUsed/>
    <w:rsid w:val="00B21EAB"/>
    <w:rPr>
      <w:vertAlign w:val="superscript"/>
    </w:rPr>
  </w:style>
  <w:style w:type="paragraph" w:styleId="Textedebulles">
    <w:name w:val="Balloon Text"/>
    <w:basedOn w:val="Normal"/>
    <w:link w:val="TextedebullesCar"/>
    <w:uiPriority w:val="99"/>
    <w:semiHidden/>
    <w:unhideWhenUsed/>
    <w:rsid w:val="000C37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1322</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4</cp:revision>
  <cp:lastPrinted>2017-08-28T12:43:00Z</cp:lastPrinted>
  <dcterms:created xsi:type="dcterms:W3CDTF">2017-08-28T12:34:00Z</dcterms:created>
  <dcterms:modified xsi:type="dcterms:W3CDTF">2017-10-04T12:55:00Z</dcterms:modified>
</cp:coreProperties>
</file>