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13E13" w:rsidRPr="00F05785" w:rsidRDefault="00E13E13" w:rsidP="00E13E13">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6"/>
          <w:szCs w:val="16"/>
          <w:lang w:val="es-CO" w:eastAsia="fr-FR"/>
        </w:rPr>
      </w:pPr>
      <w:r w:rsidRPr="00F05785">
        <w:rPr>
          <w:rFonts w:asciiTheme="minorHAnsi" w:eastAsia="Calibri" w:hAnsiTheme="minorHAns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05785">
        <w:rPr>
          <w:rFonts w:asciiTheme="minorHAnsi" w:eastAsia="Calibri" w:hAnsiTheme="minorHAnsi" w:cs="Calibri"/>
          <w:color w:val="222222"/>
          <w:sz w:val="16"/>
          <w:szCs w:val="16"/>
          <w:lang w:val="es-CO" w:eastAsia="fr-FR"/>
        </w:rPr>
        <w:t> </w:t>
      </w:r>
    </w:p>
    <w:p w:rsidR="00E13E13" w:rsidRPr="00D373FB" w:rsidRDefault="00E13E13" w:rsidP="00E13E13">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-25</w:t>
      </w:r>
      <w:r w:rsidR="000D31DF">
        <w:rPr>
          <w:rFonts w:asciiTheme="minorHAnsi" w:hAnsiTheme="minorHAnsi" w:cs="Calibri"/>
          <w:color w:val="222222"/>
          <w:sz w:val="18"/>
          <w:szCs w:val="18"/>
          <w:lang w:val="es-CO" w:eastAsia="fr-FR"/>
        </w:rPr>
        <w:t xml:space="preserve"> de enero de 2018</w:t>
      </w:r>
      <w:bookmarkStart w:id="0" w:name="_GoBack"/>
      <w:bookmarkEnd w:id="0"/>
    </w:p>
    <w:p w:rsidR="00E13E13" w:rsidRPr="00D373FB" w:rsidRDefault="00E13E13" w:rsidP="00E13E13">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E13E13">
        <w:rPr>
          <w:rFonts w:asciiTheme="minorHAnsi" w:eastAsia="Calibri" w:hAnsiTheme="minorHAnsi" w:cs="Calibri"/>
          <w:color w:val="222222"/>
          <w:sz w:val="18"/>
          <w:szCs w:val="18"/>
          <w:lang w:eastAsia="fr-FR"/>
        </w:rPr>
        <w:t>2018-00002-00</w:t>
      </w:r>
      <w:r>
        <w:rPr>
          <w:rFonts w:asciiTheme="minorHAnsi" w:eastAsia="Calibri" w:hAnsiTheme="minorHAnsi" w:cs="Calibri"/>
          <w:color w:val="222222"/>
          <w:sz w:val="18"/>
          <w:szCs w:val="18"/>
          <w:lang w:eastAsia="fr-FR"/>
        </w:rPr>
        <w:t>)</w:t>
      </w:r>
    </w:p>
    <w:p w:rsidR="00E13E13" w:rsidRPr="00D373FB" w:rsidRDefault="00E13E13" w:rsidP="00E13E13">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E13E13">
        <w:rPr>
          <w:rFonts w:asciiTheme="minorHAnsi" w:eastAsia="Calibri" w:hAnsiTheme="minorHAnsi" w:cs="Calibri"/>
          <w:bCs/>
          <w:color w:val="222222"/>
          <w:sz w:val="18"/>
          <w:szCs w:val="18"/>
          <w:lang w:val="es-CO" w:eastAsia="fr-FR"/>
        </w:rPr>
        <w:t>Carlos Mario Zapata Hernández</w:t>
      </w:r>
      <w:r w:rsidRPr="00D373FB">
        <w:rPr>
          <w:rFonts w:asciiTheme="minorHAnsi" w:eastAsia="Calibri" w:hAnsiTheme="minorHAnsi" w:cs="Calibri"/>
          <w:bCs/>
          <w:color w:val="222222"/>
          <w:sz w:val="18"/>
          <w:szCs w:val="18"/>
          <w:lang w:val="es-CO" w:eastAsia="fr-FR"/>
        </w:rPr>
        <w:t>.</w:t>
      </w:r>
    </w:p>
    <w:p w:rsidR="00E13E13" w:rsidRPr="00E13E13" w:rsidRDefault="00E13E13" w:rsidP="00E13E13">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E13E13">
        <w:rPr>
          <w:rFonts w:asciiTheme="minorHAnsi" w:eastAsia="Calibri" w:hAnsiTheme="minorHAnsi" w:cs="Calibri"/>
          <w:bCs/>
          <w:color w:val="222222"/>
          <w:sz w:val="18"/>
          <w:szCs w:val="18"/>
          <w:lang w:val="es-CO" w:eastAsia="fr-FR"/>
        </w:rPr>
        <w:t xml:space="preserve">Juzgado Primero Penal del Circuito para Adolescentes con función de conocimiento de Pereira </w:t>
      </w:r>
    </w:p>
    <w:p w:rsidR="00E13E13" w:rsidRDefault="00E13E13" w:rsidP="00E13E13">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val="es-CO" w:eastAsia="fr-FR"/>
        </w:rPr>
        <w:t>Vinculado (s):</w:t>
      </w:r>
      <w:r>
        <w:rPr>
          <w:rFonts w:asciiTheme="minorHAnsi" w:eastAsia="Calibri" w:hAnsiTheme="minorHAnsi" w:cs="Calibri"/>
          <w:bCs/>
          <w:color w:val="222222"/>
          <w:sz w:val="18"/>
          <w:szCs w:val="18"/>
          <w:lang w:val="es-CO" w:eastAsia="fr-FR"/>
        </w:rPr>
        <w:tab/>
      </w:r>
      <w:r>
        <w:rPr>
          <w:rFonts w:asciiTheme="minorHAnsi" w:eastAsia="Calibri" w:hAnsiTheme="minorHAnsi" w:cs="Calibri"/>
          <w:bCs/>
          <w:color w:val="222222"/>
          <w:sz w:val="18"/>
          <w:szCs w:val="18"/>
          <w:lang w:val="es-CO" w:eastAsia="fr-FR"/>
        </w:rPr>
        <w:tab/>
      </w:r>
      <w:r w:rsidRPr="00E13E13">
        <w:rPr>
          <w:rFonts w:asciiTheme="minorHAnsi" w:eastAsia="Calibri" w:hAnsiTheme="minorHAnsi" w:cs="Calibri"/>
          <w:bCs/>
          <w:color w:val="222222"/>
          <w:sz w:val="18"/>
          <w:szCs w:val="18"/>
          <w:lang w:val="es-CO" w:eastAsia="fr-FR"/>
        </w:rPr>
        <w:t xml:space="preserve">Juzgado Segundo Penal Municipal con función de control de </w:t>
      </w:r>
      <w:r>
        <w:rPr>
          <w:rFonts w:asciiTheme="minorHAnsi" w:eastAsia="Calibri" w:hAnsiTheme="minorHAnsi" w:cs="Calibri"/>
          <w:bCs/>
          <w:color w:val="222222"/>
          <w:sz w:val="18"/>
          <w:szCs w:val="18"/>
          <w:lang w:val="es-CO" w:eastAsia="fr-FR"/>
        </w:rPr>
        <w:t>garantías de Pereira</w:t>
      </w:r>
    </w:p>
    <w:p w:rsidR="00E13E13" w:rsidRPr="00D373FB" w:rsidRDefault="00E13E13" w:rsidP="00E13E13">
      <w:pPr>
        <w:shd w:val="clear" w:color="auto" w:fill="FFFFFF"/>
        <w:tabs>
          <w:tab w:val="left" w:pos="1418"/>
        </w:tabs>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E13E13" w:rsidRPr="00D373FB" w:rsidRDefault="00E13E13" w:rsidP="00E13E13">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t>DUBERNEY GRISALES HERRERA</w:t>
      </w:r>
    </w:p>
    <w:p w:rsidR="00E13E13" w:rsidRPr="00D373FB" w:rsidRDefault="00E13E13" w:rsidP="00E13E13">
      <w:pPr>
        <w:shd w:val="clear" w:color="auto" w:fill="FFFFFF"/>
        <w:ind w:left="2124" w:hanging="2124"/>
        <w:jc w:val="both"/>
        <w:rPr>
          <w:rFonts w:asciiTheme="minorHAnsi" w:eastAsia="Calibri" w:hAnsiTheme="minorHAnsi" w:cs="Calibri"/>
          <w:bCs/>
          <w:iCs/>
          <w:color w:val="222222"/>
          <w:sz w:val="18"/>
          <w:szCs w:val="18"/>
          <w:lang w:val="es-CO" w:eastAsia="fr-FR"/>
        </w:rPr>
      </w:pPr>
    </w:p>
    <w:p w:rsidR="00E13E13" w:rsidRPr="00E13E13" w:rsidRDefault="00E13E13" w:rsidP="00E13E13">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00385ECD">
        <w:rPr>
          <w:rFonts w:asciiTheme="minorHAnsi" w:hAnsiTheme="minorHAnsi"/>
          <w:b/>
          <w:sz w:val="18"/>
          <w:szCs w:val="18"/>
          <w:lang w:val="es-CO" w:eastAsia="fr-FR"/>
        </w:rPr>
        <w:t xml:space="preserve">NEGATIVA DE LIBERTAD POR VENCIMIENTO DE TÉRMINOS / </w:t>
      </w:r>
      <w:r>
        <w:rPr>
          <w:rFonts w:asciiTheme="minorHAnsi" w:hAnsiTheme="minorHAnsi"/>
          <w:b/>
          <w:sz w:val="18"/>
          <w:szCs w:val="18"/>
          <w:lang w:val="es-CO" w:eastAsia="fr-FR"/>
        </w:rPr>
        <w:t xml:space="preserve">INEXISTENCIA DEFECTO PROCEDIMENTAL / NIEGA / </w:t>
      </w:r>
      <w:r w:rsidRPr="00E13E13">
        <w:rPr>
          <w:rFonts w:asciiTheme="minorHAnsi" w:hAnsiTheme="minorHAnsi"/>
          <w:sz w:val="18"/>
          <w:szCs w:val="18"/>
          <w:lang w:val="es-CO" w:eastAsia="fr-FR"/>
        </w:rPr>
        <w:t>Se relató que el 17-11-2017 se presentó solicitud de libertad por vencimiento de términos ante el Juzgado Segundo Penal Municipal con función de garantías local negada con apoyo en el artículo 175, CPP, pese a que la Fiscalía de forma tardía arrimó el escrito de acusación; recurrido en apelación, se confirmó por el Juzgado Segundo Penal del Circuito de Pereira, con fundamento en la decisión AHP029-2017 de la Sala de Casación Penal de la CSJ.</w:t>
      </w:r>
    </w:p>
    <w:p w:rsidR="00E13E13" w:rsidRPr="00E13E13" w:rsidRDefault="00E13E13" w:rsidP="00E13E13">
      <w:pPr>
        <w:pStyle w:val="Sinespaciado"/>
        <w:jc w:val="both"/>
        <w:rPr>
          <w:rFonts w:asciiTheme="minorHAnsi" w:hAnsiTheme="minorHAnsi"/>
          <w:sz w:val="18"/>
          <w:szCs w:val="18"/>
          <w:lang w:val="es-CO" w:eastAsia="fr-FR"/>
        </w:rPr>
      </w:pPr>
    </w:p>
    <w:p w:rsidR="00E13E13" w:rsidRPr="00E13E13" w:rsidRDefault="00E13E13" w:rsidP="00E13E13">
      <w:pPr>
        <w:pStyle w:val="Sinespaciado"/>
        <w:jc w:val="both"/>
        <w:rPr>
          <w:rFonts w:asciiTheme="minorHAnsi" w:hAnsiTheme="minorHAnsi"/>
          <w:sz w:val="18"/>
          <w:szCs w:val="18"/>
          <w:lang w:val="es-CO" w:eastAsia="fr-FR"/>
        </w:rPr>
      </w:pPr>
      <w:r w:rsidRPr="00E13E13">
        <w:rPr>
          <w:rFonts w:asciiTheme="minorHAnsi" w:hAnsiTheme="minorHAnsi"/>
          <w:sz w:val="18"/>
          <w:szCs w:val="18"/>
          <w:lang w:val="es-CO" w:eastAsia="fr-FR"/>
        </w:rPr>
        <w:t xml:space="preserve">Seguidamente formuló habeas corpus que correspondió al Juzgado Segundo Penal Municipal para Adolescentes con función de control de garantías de la ciudad, quien con providencia del 13-12-2017 denegó el amparo aduciendo que la negativa a su petición de libertad se hizo con arreglo al artículo 317-4º, CPP, cuando en realidad fue tenido en cuenta el artículo 175, CPP, estima el actor que por eso se incurrió en el defecto fáctico. </w:t>
      </w:r>
    </w:p>
    <w:p w:rsidR="00E13E13" w:rsidRPr="00E13E13" w:rsidRDefault="00E13E13" w:rsidP="00E13E13">
      <w:pPr>
        <w:pStyle w:val="Sinespaciado"/>
        <w:jc w:val="both"/>
        <w:rPr>
          <w:rFonts w:asciiTheme="minorHAnsi" w:hAnsiTheme="minorHAnsi"/>
          <w:sz w:val="18"/>
          <w:szCs w:val="18"/>
          <w:lang w:val="es-CO" w:eastAsia="fr-FR"/>
        </w:rPr>
      </w:pPr>
    </w:p>
    <w:p w:rsidR="00E13E13" w:rsidRDefault="00E13E13" w:rsidP="00E13E13">
      <w:pPr>
        <w:pStyle w:val="Sinespaciado"/>
        <w:jc w:val="both"/>
        <w:rPr>
          <w:rFonts w:asciiTheme="minorHAnsi" w:hAnsiTheme="minorHAnsi"/>
          <w:sz w:val="18"/>
          <w:szCs w:val="18"/>
          <w:lang w:val="es-CO" w:eastAsia="fr-FR"/>
        </w:rPr>
      </w:pPr>
      <w:r w:rsidRPr="00E13E13">
        <w:rPr>
          <w:rFonts w:asciiTheme="minorHAnsi" w:hAnsiTheme="minorHAnsi"/>
          <w:sz w:val="18"/>
          <w:szCs w:val="18"/>
          <w:lang w:val="es-CO" w:eastAsia="fr-FR"/>
        </w:rPr>
        <w:t>En la segunda instancia el Juzgado Primero Penal del Circuito para Adolescentes con función de garantías, que la confirmó mediante fallo del 20-12-2017, con base en la decisión AHP029-2017, esto es, la audiencia se llevó a cabo un día después de presentado el escrito de acusación por la fiscalía, actuando al margen de procedimiento establecido (Folios 1 a 14, este cuaderno).</w:t>
      </w:r>
    </w:p>
    <w:p w:rsidR="00E13E13" w:rsidRDefault="00E13E13" w:rsidP="00E13E13">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E13E13" w:rsidRDefault="00E13E13" w:rsidP="00E13E13">
      <w:pPr>
        <w:pStyle w:val="Sinespaciado"/>
        <w:jc w:val="both"/>
        <w:rPr>
          <w:rFonts w:asciiTheme="minorHAnsi" w:hAnsiTheme="minorHAnsi"/>
          <w:sz w:val="18"/>
          <w:szCs w:val="18"/>
          <w:lang w:val="es-CO" w:eastAsia="fr-FR"/>
        </w:rPr>
      </w:pPr>
    </w:p>
    <w:p w:rsidR="00E13E13" w:rsidRPr="00E13E13" w:rsidRDefault="00E13E13" w:rsidP="00E13E13">
      <w:pPr>
        <w:pStyle w:val="Sinespaciado"/>
        <w:jc w:val="both"/>
        <w:rPr>
          <w:rFonts w:asciiTheme="minorHAnsi" w:hAnsiTheme="minorHAnsi"/>
          <w:sz w:val="18"/>
          <w:szCs w:val="18"/>
          <w:lang w:val="es-CO" w:eastAsia="fr-FR"/>
        </w:rPr>
      </w:pPr>
      <w:r w:rsidRPr="00E13E13">
        <w:rPr>
          <w:rFonts w:asciiTheme="minorHAnsi" w:hAnsiTheme="minorHAnsi"/>
          <w:sz w:val="18"/>
          <w:szCs w:val="18"/>
          <w:lang w:val="es-CO" w:eastAsia="fr-FR"/>
        </w:rPr>
        <w:t xml:space="preserve">Ahora, con fundamento en la jurisprudencia constitucional reseñada y sin que sea necesario hacer un examen exhaustivo, fácil advierte la Corporación que en el trámite del habeas corpus no se incurrió por el accionado en el defecto procedimental endilgado, en ninguna de sus modalidades (Absoluto y exceso ritual manifiesto); En efecto, el trámite se ciñó a las pautas procesales estatuidas en la Ley 1095, puesto que no se pretermitió ninguna etapa procesal, se notificaron todas actuaciones adecuadamente, y, menos se hizo prevalecer alguna formalidad procesal en desmedro de los derechos fundamentales del actor. </w:t>
      </w:r>
    </w:p>
    <w:p w:rsidR="00E13E13" w:rsidRPr="00E13E13" w:rsidRDefault="00E13E13" w:rsidP="00E13E13">
      <w:pPr>
        <w:pStyle w:val="Sinespaciado"/>
        <w:jc w:val="both"/>
        <w:rPr>
          <w:rFonts w:asciiTheme="minorHAnsi" w:hAnsiTheme="minorHAnsi"/>
          <w:sz w:val="18"/>
          <w:szCs w:val="18"/>
          <w:lang w:val="es-CO" w:eastAsia="fr-FR"/>
        </w:rPr>
      </w:pPr>
    </w:p>
    <w:p w:rsidR="00E13E13" w:rsidRPr="00E13E13" w:rsidRDefault="00E13E13" w:rsidP="00E13E13">
      <w:pPr>
        <w:pStyle w:val="Sinespaciado"/>
        <w:jc w:val="both"/>
        <w:rPr>
          <w:rFonts w:asciiTheme="minorHAnsi" w:hAnsiTheme="minorHAnsi"/>
          <w:sz w:val="18"/>
          <w:szCs w:val="18"/>
          <w:lang w:val="es-CO" w:eastAsia="fr-FR"/>
        </w:rPr>
      </w:pPr>
      <w:r w:rsidRPr="00E13E13">
        <w:rPr>
          <w:rFonts w:asciiTheme="minorHAnsi" w:hAnsiTheme="minorHAnsi"/>
          <w:sz w:val="18"/>
          <w:szCs w:val="18"/>
          <w:lang w:val="es-CO" w:eastAsia="fr-FR"/>
        </w:rPr>
        <w:t>Pese a lo expuesto, revisada la decisión cuestionada, se tiene que el accionado dio aplicación del artículo 317-4º, CPP, con apoyo en jurisprudencia de la Sala de Casación Penal de la CSJ ; allí refirió que todas las decisiones controvertidas se fundaron en precedente perfectamente aplicable, “(…) pues aquí también se había superado el hecho que materializó de manera objetiva la causal de libertad invocada por el actor, cual es la no presentación del escrito de acusación por parte del Ente Investigador dentro de los 120 días posteriores a la formulación de imputación; el cual se repite, se presentó el día anterior a la audiencia que resolvió en primera instancia la solicitud de libertad ante el juez de control de garantías (…)”  (Folios 79 vuelto a 81, ibídem).</w:t>
      </w:r>
    </w:p>
    <w:p w:rsidR="00E13E13" w:rsidRPr="00E13E13" w:rsidRDefault="00E13E13" w:rsidP="00E13E13">
      <w:pPr>
        <w:pStyle w:val="Sinespaciado"/>
        <w:jc w:val="both"/>
        <w:rPr>
          <w:rFonts w:asciiTheme="minorHAnsi" w:hAnsiTheme="minorHAnsi"/>
          <w:sz w:val="18"/>
          <w:szCs w:val="18"/>
          <w:lang w:val="es-CO" w:eastAsia="fr-FR"/>
        </w:rPr>
      </w:pPr>
    </w:p>
    <w:p w:rsidR="00E13E13" w:rsidRDefault="00E13E13" w:rsidP="00E13E13">
      <w:pPr>
        <w:pStyle w:val="Sinespaciado"/>
        <w:jc w:val="both"/>
        <w:rPr>
          <w:rFonts w:asciiTheme="minorHAnsi" w:hAnsiTheme="minorHAnsi"/>
          <w:sz w:val="18"/>
          <w:szCs w:val="18"/>
          <w:lang w:val="es-CO" w:eastAsia="fr-FR"/>
        </w:rPr>
      </w:pPr>
      <w:r w:rsidRPr="00E13E13">
        <w:rPr>
          <w:rFonts w:asciiTheme="minorHAnsi" w:hAnsiTheme="minorHAnsi"/>
          <w:sz w:val="18"/>
          <w:szCs w:val="18"/>
          <w:lang w:val="es-CO" w:eastAsia="fr-FR"/>
        </w:rPr>
        <w:t>Se comparta o no la tesis planteada por el accionado, lo cierto es que luce razonable, en la medida que se soporta en fundamentos jurídicos claros, aplicables al caso concreto, y en jurisprudencia reciente de la Sala de Casación Penal de la CSJ, que es órgano de cierre en esa materia.</w:t>
      </w:r>
    </w:p>
    <w:p w:rsidR="00E13E13" w:rsidRDefault="00E13E13" w:rsidP="00E13E13">
      <w:pPr>
        <w:pStyle w:val="Sinespaciado"/>
        <w:jc w:val="both"/>
        <w:rPr>
          <w:rFonts w:asciiTheme="minorHAnsi" w:hAnsiTheme="minorHAnsi"/>
          <w:sz w:val="18"/>
          <w:szCs w:val="18"/>
          <w:lang w:val="es-CO" w:eastAsia="fr-FR"/>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0335D6"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0335D6">
        <w:rPr>
          <w:rFonts w:ascii="Georgia" w:hAnsi="Georgia" w:cs="Arial"/>
          <w:w w:val="140"/>
          <w:sz w:val="16"/>
          <w:szCs w:val="18"/>
        </w:rPr>
        <w:t>No.4 DE ASUNTOS PENALES PARA ADOLESCENTES</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r w:rsidR="000335D6">
        <w:rPr>
          <w:rFonts w:ascii="Georgia" w:hAnsi="Georgia" w:cs="Arial"/>
          <w:w w:val="140"/>
          <w:sz w:val="16"/>
          <w:szCs w:val="18"/>
        </w:rPr>
        <w:t xml:space="preserve"> - </w:t>
      </w: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0335D6">
        <w:rPr>
          <w:rFonts w:ascii="Georgia" w:hAnsi="Georgia" w:cs="Arial"/>
          <w:sz w:val="22"/>
        </w:rPr>
        <w:t>Carlos Mario Zapata Hernández</w:t>
      </w:r>
    </w:p>
    <w:p w:rsidR="000335D6"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xml:space="preserve">: </w:t>
      </w:r>
      <w:r w:rsidR="002513D1">
        <w:rPr>
          <w:rFonts w:ascii="Georgia" w:hAnsi="Georgia" w:cs="Arial"/>
          <w:sz w:val="22"/>
        </w:rPr>
        <w:t xml:space="preserve">Juzgado </w:t>
      </w:r>
      <w:r w:rsidR="000335D6">
        <w:rPr>
          <w:rFonts w:ascii="Georgia" w:hAnsi="Georgia" w:cs="Arial"/>
          <w:sz w:val="22"/>
        </w:rPr>
        <w:t xml:space="preserve">Primero Penal del Circuito para Adolescentes con </w:t>
      </w:r>
    </w:p>
    <w:p w:rsidR="00A00766" w:rsidRPr="001E5B6B" w:rsidRDefault="000335D6" w:rsidP="00A00766">
      <w:pPr>
        <w:pStyle w:val="Textoindependiente"/>
        <w:spacing w:line="360" w:lineRule="auto"/>
        <w:ind w:left="1416"/>
        <w:rPr>
          <w:rFonts w:ascii="Georgia" w:hAnsi="Georgia" w:cs="Arial"/>
          <w:sz w:val="22"/>
        </w:rPr>
      </w:pPr>
      <w:r>
        <w:rPr>
          <w:rFonts w:ascii="Georgia" w:hAnsi="Georgia" w:cs="Arial"/>
          <w:sz w:val="22"/>
        </w:rPr>
        <w:tab/>
      </w:r>
      <w:r>
        <w:rPr>
          <w:rFonts w:ascii="Georgia" w:hAnsi="Georgia" w:cs="Arial"/>
          <w:sz w:val="22"/>
        </w:rPr>
        <w:tab/>
      </w:r>
      <w:r>
        <w:rPr>
          <w:rFonts w:ascii="Georgia" w:hAnsi="Georgia" w:cs="Arial"/>
          <w:sz w:val="22"/>
        </w:rPr>
        <w:tab/>
      </w:r>
      <w:r w:rsidRPr="000335D6">
        <w:rPr>
          <w:rFonts w:ascii="Georgia" w:hAnsi="Georgia" w:cs="Arial"/>
          <w:color w:val="FFFFFF" w:themeColor="background1"/>
          <w:sz w:val="22"/>
        </w:rPr>
        <w:t xml:space="preserve">: </w:t>
      </w:r>
      <w:r>
        <w:rPr>
          <w:rFonts w:ascii="Georgia" w:hAnsi="Georgia" w:cs="Arial"/>
          <w:color w:val="FFFFFF" w:themeColor="background1"/>
          <w:sz w:val="22"/>
        </w:rPr>
        <w:t>f</w:t>
      </w:r>
      <w:r>
        <w:rPr>
          <w:rFonts w:ascii="Georgia" w:hAnsi="Georgia" w:cs="Arial"/>
          <w:sz w:val="22"/>
        </w:rPr>
        <w:t xml:space="preserve">Función de conocimiento de Pereira </w:t>
      </w:r>
    </w:p>
    <w:p w:rsidR="000335D6" w:rsidRDefault="00A00766" w:rsidP="00A00766">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2513D1">
        <w:rPr>
          <w:rFonts w:ascii="Georgia" w:hAnsi="Georgia" w:cs="Arial"/>
          <w:sz w:val="22"/>
          <w:szCs w:val="22"/>
        </w:rPr>
        <w:t xml:space="preserve">Juzgado </w:t>
      </w:r>
      <w:r w:rsidR="000335D6">
        <w:rPr>
          <w:rFonts w:ascii="Georgia" w:hAnsi="Georgia" w:cs="Arial"/>
          <w:sz w:val="22"/>
          <w:szCs w:val="22"/>
        </w:rPr>
        <w:t xml:space="preserve">Segundo Penal Municipal con función de control de </w:t>
      </w:r>
    </w:p>
    <w:p w:rsidR="00A00766" w:rsidRPr="001E5B6B" w:rsidRDefault="000335D6" w:rsidP="00A00766">
      <w:pPr>
        <w:pStyle w:val="Textoindependiente"/>
        <w:spacing w:line="360" w:lineRule="auto"/>
        <w:ind w:left="3544" w:hanging="2126"/>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0335D6">
        <w:rPr>
          <w:rFonts w:ascii="Georgia" w:hAnsi="Georgia" w:cs="Arial"/>
          <w:color w:val="FFFFFF" w:themeColor="background1"/>
          <w:sz w:val="22"/>
          <w:szCs w:val="22"/>
        </w:rPr>
        <w:t xml:space="preserve">: </w:t>
      </w:r>
      <w:r>
        <w:rPr>
          <w:rFonts w:ascii="Georgia" w:hAnsi="Georgia" w:cs="Arial"/>
          <w:sz w:val="22"/>
          <w:szCs w:val="22"/>
        </w:rPr>
        <w:t xml:space="preserve">garantías </w:t>
      </w:r>
      <w:r w:rsidR="002513D1">
        <w:rPr>
          <w:rFonts w:ascii="Georgia" w:hAnsi="Georgia" w:cs="Arial"/>
          <w:sz w:val="22"/>
          <w:szCs w:val="22"/>
        </w:rPr>
        <w:t xml:space="preserve">de Pereira </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0335D6">
        <w:rPr>
          <w:rFonts w:ascii="Georgia" w:hAnsi="Georgia" w:cs="Arial"/>
          <w:sz w:val="22"/>
        </w:rPr>
        <w:t>2018-00002-00</w:t>
      </w:r>
    </w:p>
    <w:p w:rsidR="000C4396" w:rsidRDefault="00970930" w:rsidP="008E5334">
      <w:pPr>
        <w:pStyle w:val="Textoindependiente"/>
        <w:spacing w:line="360" w:lineRule="auto"/>
        <w:rPr>
          <w:rFonts w:ascii="Georgia" w:hAnsi="Georgia" w:cs="Arial"/>
          <w:sz w:val="22"/>
          <w:szCs w:val="21"/>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9065C3">
        <w:rPr>
          <w:rFonts w:ascii="Georgia" w:hAnsi="Georgia" w:cs="Arial"/>
          <w:sz w:val="22"/>
          <w:szCs w:val="22"/>
        </w:rPr>
        <w:t>Inexistencia de vulneración</w:t>
      </w:r>
    </w:p>
    <w:p w:rsidR="0099045D" w:rsidRPr="001E5B6B" w:rsidRDefault="000C4396" w:rsidP="008E5334">
      <w:pPr>
        <w:pStyle w:val="Textoindependiente"/>
        <w:spacing w:line="360" w:lineRule="auto"/>
        <w:rPr>
          <w:rFonts w:ascii="Georgia" w:hAnsi="Georgia"/>
          <w:sz w:val="22"/>
          <w:szCs w:val="22"/>
        </w:rPr>
      </w:pPr>
      <w:r>
        <w:rPr>
          <w:rFonts w:ascii="Georgia" w:hAnsi="Georgia" w:cs="Arial"/>
          <w:sz w:val="22"/>
          <w:szCs w:val="21"/>
        </w:rPr>
        <w:tab/>
      </w:r>
      <w:r>
        <w:rPr>
          <w:rFonts w:ascii="Georgia" w:hAnsi="Georgia" w:cs="Arial"/>
          <w:sz w:val="22"/>
          <w:szCs w:val="21"/>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r w:rsidR="0099045D" w:rsidRPr="001E5B6B">
        <w:rPr>
          <w:rFonts w:ascii="Georgia" w:hAnsi="Georgia"/>
          <w:smallCaps/>
          <w:sz w:val="22"/>
          <w:szCs w:val="22"/>
        </w:rPr>
        <w:t>Duberney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5D3954">
        <w:rPr>
          <w:rFonts w:ascii="Georgia" w:hAnsi="Georgia"/>
          <w:sz w:val="22"/>
          <w:szCs w:val="22"/>
        </w:rPr>
        <w:t>16</w:t>
      </w:r>
      <w:r w:rsidR="000335D6">
        <w:rPr>
          <w:rFonts w:ascii="Georgia" w:hAnsi="Georgia"/>
          <w:sz w:val="22"/>
          <w:szCs w:val="22"/>
        </w:rPr>
        <w:t xml:space="preserve"> </w:t>
      </w:r>
      <w:r w:rsidR="001236E9">
        <w:rPr>
          <w:rFonts w:ascii="Georgia" w:hAnsi="Georgia"/>
          <w:sz w:val="22"/>
          <w:szCs w:val="22"/>
        </w:rPr>
        <w:t xml:space="preserve">del </w:t>
      </w:r>
      <w:r w:rsidR="005D3954">
        <w:rPr>
          <w:rFonts w:ascii="Georgia" w:hAnsi="Georgia"/>
          <w:sz w:val="22"/>
          <w:szCs w:val="22"/>
        </w:rPr>
        <w:t>25</w:t>
      </w:r>
      <w:r w:rsidR="002513D1">
        <w:rPr>
          <w:rFonts w:ascii="Georgia" w:hAnsi="Georgia"/>
          <w:sz w:val="22"/>
          <w:szCs w:val="22"/>
        </w:rPr>
        <w:t>-01-2018</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5D3954">
        <w:rPr>
          <w:rFonts w:ascii="Georgia" w:hAnsi="Georgia" w:cs="Arial"/>
          <w:iCs/>
          <w:smallCaps/>
          <w:sz w:val="28"/>
          <w:szCs w:val="28"/>
          <w:lang w:val="es-CO"/>
        </w:rPr>
        <w:t xml:space="preserve">veinticinco </w:t>
      </w:r>
      <w:r w:rsidRPr="001E5B6B">
        <w:rPr>
          <w:rFonts w:ascii="Georgia" w:hAnsi="Georgia" w:cs="Arial"/>
          <w:iCs/>
          <w:smallCaps/>
          <w:sz w:val="28"/>
          <w:szCs w:val="28"/>
          <w:lang w:val="es-CO"/>
        </w:rPr>
        <w:t>(</w:t>
      </w:r>
      <w:r w:rsidR="005D3954">
        <w:rPr>
          <w:rFonts w:ascii="Georgia" w:hAnsi="Georgia" w:cs="Arial"/>
          <w:iCs/>
          <w:smallCaps/>
          <w:sz w:val="28"/>
          <w:szCs w:val="28"/>
          <w:lang w:val="es-CO"/>
        </w:rPr>
        <w:t>25</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2513D1">
        <w:rPr>
          <w:rFonts w:ascii="Georgia" w:hAnsi="Georgia" w:cs="Arial"/>
          <w:iCs/>
          <w:smallCaps/>
          <w:sz w:val="28"/>
          <w:szCs w:val="28"/>
          <w:lang w:val="es-CO"/>
        </w:rPr>
        <w:t xml:space="preserve">enero </w:t>
      </w:r>
      <w:r w:rsidRPr="001E5B6B">
        <w:rPr>
          <w:rFonts w:ascii="Georgia" w:hAnsi="Georgia" w:cs="Arial"/>
          <w:iCs/>
          <w:smallCaps/>
          <w:sz w:val="28"/>
          <w:szCs w:val="28"/>
          <w:lang w:val="es-CO"/>
        </w:rPr>
        <w:t xml:space="preserve">de dos mil </w:t>
      </w:r>
      <w:r w:rsidR="002513D1">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3B216F">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9404D7" w:rsidRDefault="000147A2" w:rsidP="001E5C81">
      <w:pPr>
        <w:spacing w:line="360" w:lineRule="auto"/>
        <w:ind w:left="708" w:firstLine="708"/>
        <w:rPr>
          <w:rFonts w:ascii="Georgia" w:hAnsi="Georgia" w:cs="Arial"/>
          <w:b/>
          <w:bCs/>
          <w:sz w:val="20"/>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9404D7"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FC3FFF" w:rsidRDefault="008E143E" w:rsidP="00DB41DC">
      <w:pPr>
        <w:spacing w:line="360" w:lineRule="auto"/>
        <w:jc w:val="both"/>
        <w:rPr>
          <w:rFonts w:ascii="Georgia" w:hAnsi="Georgia" w:cs="Arial"/>
        </w:rPr>
      </w:pPr>
      <w:r>
        <w:rPr>
          <w:rFonts w:ascii="Georgia" w:hAnsi="Georgia" w:cs="Arial"/>
        </w:rPr>
        <w:t xml:space="preserve">Se relató </w:t>
      </w:r>
      <w:r w:rsidR="000335D6">
        <w:rPr>
          <w:rFonts w:ascii="Georgia" w:hAnsi="Georgia" w:cs="Arial"/>
        </w:rPr>
        <w:t xml:space="preserve">que </w:t>
      </w:r>
      <w:r>
        <w:rPr>
          <w:rFonts w:ascii="Georgia" w:hAnsi="Georgia" w:cs="Arial"/>
        </w:rPr>
        <w:t xml:space="preserve">el 17-11-2017 se presentó </w:t>
      </w:r>
      <w:r w:rsidR="000335D6">
        <w:rPr>
          <w:rFonts w:ascii="Georgia" w:hAnsi="Georgia" w:cs="Arial"/>
        </w:rPr>
        <w:t xml:space="preserve">solicitud de libertad </w:t>
      </w:r>
      <w:r>
        <w:rPr>
          <w:rFonts w:ascii="Georgia" w:hAnsi="Georgia" w:cs="Arial"/>
        </w:rPr>
        <w:t>por vencimiento de términos ante el Juzgado Segundo Penal Municipal con función de garantías local</w:t>
      </w:r>
      <w:r w:rsidR="00402EE0">
        <w:rPr>
          <w:rFonts w:ascii="Georgia" w:hAnsi="Georgia" w:cs="Arial"/>
        </w:rPr>
        <w:t xml:space="preserve"> negada </w:t>
      </w:r>
      <w:r>
        <w:rPr>
          <w:rFonts w:ascii="Georgia" w:hAnsi="Georgia" w:cs="Arial"/>
        </w:rPr>
        <w:t>con apoyo en el artículo 175, CPP, pese a que la Fiscalía de forma tardía arrimó el escrito de acusación</w:t>
      </w:r>
      <w:r w:rsidR="00FC3FFF">
        <w:rPr>
          <w:rFonts w:ascii="Georgia" w:hAnsi="Georgia" w:cs="Arial"/>
        </w:rPr>
        <w:t>; recurrido en apelaci</w:t>
      </w:r>
      <w:r w:rsidR="006B111B">
        <w:rPr>
          <w:rFonts w:ascii="Georgia" w:hAnsi="Georgia" w:cs="Arial"/>
        </w:rPr>
        <w:t>ón,</w:t>
      </w:r>
      <w:r w:rsidR="00E1755D">
        <w:rPr>
          <w:rFonts w:ascii="Georgia" w:hAnsi="Georgia" w:cs="Arial"/>
        </w:rPr>
        <w:t xml:space="preserve"> </w:t>
      </w:r>
      <w:r w:rsidR="00FC3FFF">
        <w:rPr>
          <w:rFonts w:ascii="Georgia" w:hAnsi="Georgia" w:cs="Arial"/>
        </w:rPr>
        <w:t>se confirmó por el Juzgado Segundo Penal del Circuito de Pereira, con fundamento en la decisión AHP029-2017 de la Sala de Casación Penal de la CSJ.</w:t>
      </w:r>
    </w:p>
    <w:p w:rsidR="00FC3FFF" w:rsidRDefault="00FC3FFF" w:rsidP="00DB41DC">
      <w:pPr>
        <w:spacing w:line="360" w:lineRule="auto"/>
        <w:jc w:val="both"/>
        <w:rPr>
          <w:rFonts w:ascii="Georgia" w:hAnsi="Georgia" w:cs="Arial"/>
        </w:rPr>
      </w:pPr>
    </w:p>
    <w:p w:rsidR="00D77692" w:rsidRDefault="00FC3FFF" w:rsidP="00DB41DC">
      <w:pPr>
        <w:spacing w:line="360" w:lineRule="auto"/>
        <w:jc w:val="both"/>
        <w:rPr>
          <w:rFonts w:ascii="Georgia" w:hAnsi="Georgia" w:cs="Arial"/>
          <w:lang w:val="es-CO"/>
        </w:rPr>
      </w:pPr>
      <w:r>
        <w:rPr>
          <w:rFonts w:ascii="Georgia" w:hAnsi="Georgia" w:cs="Arial"/>
        </w:rPr>
        <w:t>Seguidamente formuló habeas corpus</w:t>
      </w:r>
      <w:r w:rsidR="008E143E">
        <w:rPr>
          <w:rFonts w:ascii="Georgia" w:hAnsi="Georgia" w:cs="Arial"/>
        </w:rPr>
        <w:t xml:space="preserve"> </w:t>
      </w:r>
      <w:r>
        <w:rPr>
          <w:rFonts w:ascii="Georgia" w:hAnsi="Georgia" w:cs="Arial"/>
        </w:rPr>
        <w:t xml:space="preserve">que correspondió al Juzgado Segundo Penal Municipal para Adolescentes con función de control de garantías de la ciudad, </w:t>
      </w:r>
      <w:r w:rsidR="00E1755D">
        <w:rPr>
          <w:rFonts w:ascii="Georgia" w:hAnsi="Georgia" w:cs="Arial"/>
        </w:rPr>
        <w:t>quien</w:t>
      </w:r>
      <w:r>
        <w:rPr>
          <w:rFonts w:ascii="Georgia" w:hAnsi="Georgia" w:cs="Arial"/>
        </w:rPr>
        <w:t xml:space="preserve"> co</w:t>
      </w:r>
      <w:r w:rsidR="00D77692">
        <w:rPr>
          <w:rFonts w:ascii="Georgia" w:hAnsi="Georgia" w:cs="Arial"/>
        </w:rPr>
        <w:t>n</w:t>
      </w:r>
      <w:r>
        <w:rPr>
          <w:rFonts w:ascii="Georgia" w:hAnsi="Georgia" w:cs="Arial"/>
        </w:rPr>
        <w:t xml:space="preserve"> providencia del 13-12-2017 </w:t>
      </w:r>
      <w:r w:rsidR="006B111B">
        <w:rPr>
          <w:rFonts w:ascii="Georgia" w:hAnsi="Georgia" w:cs="Arial"/>
        </w:rPr>
        <w:t xml:space="preserve">denegó </w:t>
      </w:r>
      <w:r>
        <w:rPr>
          <w:rFonts w:ascii="Georgia" w:hAnsi="Georgia" w:cs="Arial"/>
        </w:rPr>
        <w:t xml:space="preserve">el amparo aduciendo que la negativa a su petición </w:t>
      </w:r>
      <w:r w:rsidR="00D77692">
        <w:rPr>
          <w:rFonts w:ascii="Georgia" w:hAnsi="Georgia" w:cs="Arial"/>
        </w:rPr>
        <w:t xml:space="preserve">de libertad </w:t>
      </w:r>
      <w:r>
        <w:rPr>
          <w:rFonts w:ascii="Georgia" w:hAnsi="Georgia" w:cs="Arial"/>
        </w:rPr>
        <w:t xml:space="preserve">se </w:t>
      </w:r>
      <w:r w:rsidR="00D77692">
        <w:rPr>
          <w:rFonts w:ascii="Georgia" w:hAnsi="Georgia" w:cs="Arial"/>
        </w:rPr>
        <w:t xml:space="preserve">hizo con </w:t>
      </w:r>
      <w:r w:rsidR="00D77692">
        <w:rPr>
          <w:rFonts w:ascii="Georgia" w:hAnsi="Georgia" w:cs="Arial"/>
          <w:lang w:val="es-CO"/>
        </w:rPr>
        <w:t xml:space="preserve">arreglo al artículo 317-4º, CPP, cuando en realidad </w:t>
      </w:r>
      <w:r w:rsidR="006B111B">
        <w:rPr>
          <w:rFonts w:ascii="Georgia" w:hAnsi="Georgia" w:cs="Arial"/>
          <w:lang w:val="es-CO"/>
        </w:rPr>
        <w:t xml:space="preserve">fue tenido </w:t>
      </w:r>
      <w:r w:rsidR="00D77692">
        <w:rPr>
          <w:rFonts w:ascii="Georgia" w:hAnsi="Georgia" w:cs="Arial"/>
          <w:lang w:val="es-CO"/>
        </w:rPr>
        <w:t xml:space="preserve">en cuenta el artículo 175, CPP, </w:t>
      </w:r>
      <w:r w:rsidR="00402EE0">
        <w:rPr>
          <w:rFonts w:ascii="Georgia" w:hAnsi="Georgia" w:cs="Arial"/>
          <w:lang w:val="es-CO"/>
        </w:rPr>
        <w:t>estima el actor que por eso se incurrió</w:t>
      </w:r>
      <w:r w:rsidR="00D77692">
        <w:rPr>
          <w:rFonts w:ascii="Georgia" w:hAnsi="Georgia" w:cs="Arial"/>
          <w:lang w:val="es-CO"/>
        </w:rPr>
        <w:t xml:space="preserve"> en el </w:t>
      </w:r>
      <w:r w:rsidR="00E1755D">
        <w:rPr>
          <w:rFonts w:ascii="Georgia" w:hAnsi="Georgia" w:cs="Arial"/>
          <w:lang w:val="es-CO"/>
        </w:rPr>
        <w:t>defecto fá</w:t>
      </w:r>
      <w:r w:rsidR="00D77692">
        <w:rPr>
          <w:rFonts w:ascii="Georgia" w:hAnsi="Georgia" w:cs="Arial"/>
          <w:lang w:val="es-CO"/>
        </w:rPr>
        <w:t xml:space="preserve">ctico. </w:t>
      </w:r>
    </w:p>
    <w:p w:rsidR="00D77692" w:rsidRDefault="00D77692" w:rsidP="00DB41DC">
      <w:pPr>
        <w:spacing w:line="360" w:lineRule="auto"/>
        <w:jc w:val="both"/>
        <w:rPr>
          <w:rFonts w:ascii="Georgia" w:hAnsi="Georgia" w:cs="Arial"/>
          <w:lang w:val="es-CO"/>
        </w:rPr>
      </w:pPr>
    </w:p>
    <w:p w:rsidR="00D77692" w:rsidRDefault="00402EE0" w:rsidP="00DB41DC">
      <w:pPr>
        <w:spacing w:line="360" w:lineRule="auto"/>
        <w:jc w:val="both"/>
        <w:rPr>
          <w:rFonts w:ascii="Georgia" w:hAnsi="Georgia" w:cs="Arial"/>
          <w:lang w:val="es-CO"/>
        </w:rPr>
      </w:pPr>
      <w:r>
        <w:rPr>
          <w:rFonts w:ascii="Georgia" w:hAnsi="Georgia" w:cs="Arial"/>
          <w:lang w:val="es-CO"/>
        </w:rPr>
        <w:t xml:space="preserve">En la segunda instancia el </w:t>
      </w:r>
      <w:r w:rsidR="00D77692">
        <w:rPr>
          <w:rFonts w:ascii="Georgia" w:hAnsi="Georgia" w:cs="Arial"/>
          <w:lang w:val="es-CO"/>
        </w:rPr>
        <w:t xml:space="preserve">Juzgado Primero Penal del Circuito para Adolescentes con función de garantías, </w:t>
      </w:r>
      <w:r w:rsidR="006B111B">
        <w:rPr>
          <w:rFonts w:ascii="Georgia" w:hAnsi="Georgia" w:cs="Arial"/>
          <w:lang w:val="es-CO"/>
        </w:rPr>
        <w:t xml:space="preserve">que la </w:t>
      </w:r>
      <w:r w:rsidR="00D77692">
        <w:rPr>
          <w:rFonts w:ascii="Georgia" w:hAnsi="Georgia" w:cs="Arial"/>
          <w:lang w:val="es-CO"/>
        </w:rPr>
        <w:t xml:space="preserve">confirmó </w:t>
      </w:r>
      <w:r w:rsidR="006B111B">
        <w:rPr>
          <w:rFonts w:ascii="Georgia" w:hAnsi="Georgia" w:cs="Arial"/>
          <w:lang w:val="es-CO"/>
        </w:rPr>
        <w:t>mediante</w:t>
      </w:r>
      <w:r w:rsidR="00D77692">
        <w:rPr>
          <w:rFonts w:ascii="Georgia" w:hAnsi="Georgia" w:cs="Arial"/>
          <w:lang w:val="es-CO"/>
        </w:rPr>
        <w:t xml:space="preserve"> </w:t>
      </w:r>
      <w:r w:rsidR="00E1755D">
        <w:rPr>
          <w:rFonts w:ascii="Georgia" w:hAnsi="Georgia" w:cs="Arial"/>
          <w:lang w:val="es-CO"/>
        </w:rPr>
        <w:t>f</w:t>
      </w:r>
      <w:r w:rsidR="006B111B">
        <w:rPr>
          <w:rFonts w:ascii="Georgia" w:hAnsi="Georgia" w:cs="Arial"/>
          <w:lang w:val="es-CO"/>
        </w:rPr>
        <w:t>a</w:t>
      </w:r>
      <w:r w:rsidR="00E1755D">
        <w:rPr>
          <w:rFonts w:ascii="Georgia" w:hAnsi="Georgia" w:cs="Arial"/>
          <w:lang w:val="es-CO"/>
        </w:rPr>
        <w:t xml:space="preserve">llo del </w:t>
      </w:r>
      <w:r w:rsidR="00D77692">
        <w:rPr>
          <w:rFonts w:ascii="Georgia" w:hAnsi="Georgia" w:cs="Arial"/>
          <w:lang w:val="es-CO"/>
        </w:rPr>
        <w:t xml:space="preserve">20-12-2017, con base en </w:t>
      </w:r>
      <w:r>
        <w:rPr>
          <w:rFonts w:ascii="Georgia" w:hAnsi="Georgia" w:cs="Arial"/>
          <w:lang w:val="es-CO"/>
        </w:rPr>
        <w:t xml:space="preserve">la decisión </w:t>
      </w:r>
      <w:r>
        <w:rPr>
          <w:rFonts w:ascii="Georgia" w:hAnsi="Georgia" w:cs="Arial"/>
        </w:rPr>
        <w:t>AHP029-2017</w:t>
      </w:r>
      <w:r w:rsidR="00D77692">
        <w:rPr>
          <w:rFonts w:ascii="Georgia" w:hAnsi="Georgia" w:cs="Arial"/>
          <w:lang w:val="es-CO"/>
        </w:rPr>
        <w:t>, esto es, la audiencia se llevó a cabo un día después de presentado el escrito de acusación</w:t>
      </w:r>
      <w:r w:rsidR="00E1755D">
        <w:rPr>
          <w:rFonts w:ascii="Georgia" w:hAnsi="Georgia" w:cs="Arial"/>
          <w:lang w:val="es-CO"/>
        </w:rPr>
        <w:t xml:space="preserve"> por la fiscalía</w:t>
      </w:r>
      <w:r w:rsidR="00D77692">
        <w:rPr>
          <w:rFonts w:ascii="Georgia" w:hAnsi="Georgia" w:cs="Arial"/>
          <w:lang w:val="es-CO"/>
        </w:rPr>
        <w:t xml:space="preserve">, </w:t>
      </w:r>
      <w:r w:rsidR="00E1755D">
        <w:rPr>
          <w:rFonts w:ascii="Georgia" w:hAnsi="Georgia" w:cs="Arial"/>
          <w:lang w:val="es-CO"/>
        </w:rPr>
        <w:t xml:space="preserve">actuando al margen de procedimiento establecido (Folios 1 a 14, este cuaderno). </w:t>
      </w:r>
    </w:p>
    <w:p w:rsidR="00D77692" w:rsidRDefault="00D77692" w:rsidP="00DB41DC">
      <w:pPr>
        <w:spacing w:line="360" w:lineRule="auto"/>
        <w:jc w:val="both"/>
        <w:rPr>
          <w:rFonts w:ascii="Georgia" w:hAnsi="Georgia" w:cs="Arial"/>
          <w:lang w:val="es-CO"/>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 xml:space="preserve">al debido proceso y </w:t>
      </w:r>
      <w:r w:rsidR="00E1755D">
        <w:rPr>
          <w:rFonts w:ascii="Georgia" w:hAnsi="Georgia" w:cs="Arial"/>
          <w:spacing w:val="-3"/>
          <w:lang w:val="es-ES_tradnl"/>
        </w:rPr>
        <w:t xml:space="preserve">a la libertad </w:t>
      </w:r>
      <w:r w:rsidR="004A4E9F" w:rsidRPr="001E5B6B">
        <w:rPr>
          <w:rFonts w:ascii="Georgia" w:hAnsi="Georgia" w:cs="Arial"/>
          <w:spacing w:val="-3"/>
          <w:lang w:val="es-ES_tradnl"/>
        </w:rPr>
        <w:t xml:space="preserve">(Folio </w:t>
      </w:r>
      <w:r w:rsidR="00540F2D">
        <w:rPr>
          <w:rFonts w:ascii="Georgia" w:hAnsi="Georgia" w:cs="Arial"/>
          <w:spacing w:val="-3"/>
          <w:lang w:val="es-ES_tradnl"/>
        </w:rPr>
        <w:t>1</w:t>
      </w:r>
      <w:r w:rsidR="000E7284" w:rsidRPr="001E5B6B">
        <w:rPr>
          <w:rFonts w:ascii="Georgia" w:hAnsi="Georgia" w:cs="Arial"/>
          <w:spacing w:val="-3"/>
          <w:lang w:val="es-ES_tradnl"/>
        </w:rPr>
        <w:t xml:space="preserv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w:t>
      </w:r>
      <w:r w:rsidR="00E1755D">
        <w:rPr>
          <w:rFonts w:ascii="Georgia" w:hAnsi="Georgia" w:cs="Arial"/>
        </w:rPr>
        <w:t xml:space="preserve">tutelen los derechos invocados, y en consecuencia, (i) </w:t>
      </w:r>
      <w:r w:rsidR="005206D2" w:rsidRPr="001E5B6B">
        <w:rPr>
          <w:rFonts w:ascii="Georgia" w:hAnsi="Georgia" w:cs="Arial"/>
        </w:rPr>
        <w:t>s</w:t>
      </w:r>
      <w:r w:rsidRPr="001E5B6B">
        <w:rPr>
          <w:rFonts w:ascii="Georgia" w:hAnsi="Georgia" w:cs="Arial"/>
        </w:rPr>
        <w:t xml:space="preserve">e ordene </w:t>
      </w:r>
      <w:r w:rsidR="00E1755D">
        <w:rPr>
          <w:rFonts w:ascii="Georgia" w:hAnsi="Georgia" w:cs="Arial"/>
        </w:rPr>
        <w:t xml:space="preserve">la revisión del fallo proferido el 20-12-2017; y, (ii) se ordene al Juzgado accionado dejar sin efectos esa decisión y conceda la libertad inmediata al accionante </w:t>
      </w:r>
      <w:r w:rsidR="00540F2D">
        <w:rPr>
          <w:rFonts w:ascii="Georgia" w:hAnsi="Georgia" w:cs="Arial"/>
        </w:rPr>
        <w:t>(Folio</w:t>
      </w:r>
      <w:r w:rsidR="00F578D6">
        <w:rPr>
          <w:rFonts w:ascii="Georgia" w:hAnsi="Georgia" w:cs="Arial"/>
        </w:rPr>
        <w:t xml:space="preserve"> </w:t>
      </w:r>
      <w:r w:rsidR="00540F2D">
        <w:rPr>
          <w:rFonts w:ascii="Georgia" w:hAnsi="Georgia" w:cs="Arial"/>
        </w:rPr>
        <w:t>7</w:t>
      </w:r>
      <w:r w:rsidRPr="001E5B6B">
        <w:rPr>
          <w:rFonts w:ascii="Georgia" w:hAnsi="Georgia" w:cs="Arial"/>
        </w:rPr>
        <w:t>, este cuaderno).</w:t>
      </w:r>
    </w:p>
    <w:p w:rsidR="006A5340" w:rsidRPr="009404D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9404D7" w:rsidRDefault="001E5B6B" w:rsidP="001E5B6B">
      <w:pPr>
        <w:pStyle w:val="Sinespaciado"/>
        <w:spacing w:line="360" w:lineRule="auto"/>
        <w:ind w:left="360"/>
        <w:jc w:val="both"/>
        <w:rPr>
          <w:rFonts w:ascii="Georgia" w:hAnsi="Georgia"/>
          <w:smallCaps/>
          <w:sz w:val="20"/>
          <w:szCs w:val="24"/>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w:t>
      </w:r>
      <w:r w:rsidR="004B4273">
        <w:rPr>
          <w:rFonts w:ascii="Georgia" w:hAnsi="Georgia"/>
        </w:rPr>
        <w:t>correspondió al Juzgado Segundo de Ejecución de Penas y Medidas de Seguridad, pero con auto del 28-12-2017 se declaró incompetente para conocer de la tutela (Folio 22, este cuaderno); el 11-01-2018 se asignó a esta Sala de la Corporación, con proveído del día siguiente</w:t>
      </w:r>
      <w:r w:rsidR="008E6CF4" w:rsidRPr="001E5B6B">
        <w:rPr>
          <w:rFonts w:ascii="Georgia" w:hAnsi="Georgia"/>
        </w:rPr>
        <w:t xml:space="preserve">, </w:t>
      </w:r>
      <w:r w:rsidR="004B4273">
        <w:rPr>
          <w:rFonts w:ascii="Georgia" w:hAnsi="Georgia"/>
        </w:rPr>
        <w:t xml:space="preserve">se admitió, </w:t>
      </w:r>
      <w:r w:rsidR="008E6CF4" w:rsidRPr="001E5B6B">
        <w:rPr>
          <w:rFonts w:ascii="Georgia" w:hAnsi="Georgia"/>
        </w:rPr>
        <w:t xml:space="preserve">se vinculó a quienes se estimó conveniente y, se dispuso notificar a la partes, entre otros ordenamientos </w:t>
      </w:r>
      <w:r w:rsidR="00396206" w:rsidRPr="001E5B6B">
        <w:rPr>
          <w:rFonts w:ascii="Georgia" w:hAnsi="Georgia"/>
        </w:rPr>
        <w:t>(Folio</w:t>
      </w:r>
      <w:r w:rsidR="004B4273">
        <w:rPr>
          <w:rFonts w:ascii="Georgia" w:hAnsi="Georgia"/>
        </w:rPr>
        <w:t>s</w:t>
      </w:r>
      <w:r w:rsidR="00396206" w:rsidRPr="001E5B6B">
        <w:rPr>
          <w:rFonts w:ascii="Georgia" w:hAnsi="Georgia"/>
        </w:rPr>
        <w:t xml:space="preserve"> </w:t>
      </w:r>
      <w:r w:rsidR="004B4273">
        <w:rPr>
          <w:rFonts w:ascii="Georgia" w:hAnsi="Georgia"/>
        </w:rPr>
        <w:t>25 y 26</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F578D6">
        <w:rPr>
          <w:rFonts w:ascii="Georgia" w:hAnsi="Georgia"/>
        </w:rPr>
        <w:t xml:space="preserve">os extremos </w:t>
      </w:r>
      <w:r w:rsidR="00540F2D">
        <w:rPr>
          <w:rFonts w:ascii="Georgia" w:hAnsi="Georgia"/>
        </w:rPr>
        <w:t xml:space="preserve">de la acción (Folios </w:t>
      </w:r>
      <w:r w:rsidR="004B4273">
        <w:rPr>
          <w:rFonts w:ascii="Georgia" w:hAnsi="Georgia"/>
        </w:rPr>
        <w:t>27 y 28</w:t>
      </w:r>
      <w:r w:rsidR="008E6CF4" w:rsidRPr="001E5B6B">
        <w:rPr>
          <w:rFonts w:ascii="Georgia" w:hAnsi="Georgia"/>
        </w:rPr>
        <w:t xml:space="preserve">, ibídem). </w:t>
      </w:r>
      <w:r w:rsidR="004B4273">
        <w:rPr>
          <w:rFonts w:ascii="Georgia" w:hAnsi="Georgia"/>
        </w:rPr>
        <w:t>Los despachos judiciales que integran la parte pasiva arrimaron la documentación requerida, sin pronunciamiento alguno</w:t>
      </w:r>
      <w:r w:rsidR="00540F2D">
        <w:rPr>
          <w:rFonts w:ascii="Georgia" w:hAnsi="Georgia"/>
        </w:rPr>
        <w:t xml:space="preserve"> (Folio</w:t>
      </w:r>
      <w:r w:rsidR="004B4273">
        <w:rPr>
          <w:rFonts w:ascii="Georgia" w:hAnsi="Georgia"/>
        </w:rPr>
        <w:t>s</w:t>
      </w:r>
      <w:r w:rsidR="00540F2D">
        <w:rPr>
          <w:rFonts w:ascii="Georgia" w:hAnsi="Georgia"/>
        </w:rPr>
        <w:t xml:space="preserve"> </w:t>
      </w:r>
      <w:r w:rsidR="004B4273">
        <w:rPr>
          <w:rFonts w:ascii="Georgia" w:hAnsi="Georgia"/>
        </w:rPr>
        <w:t>32 a 75</w:t>
      </w:r>
      <w:r w:rsidR="00540F2D">
        <w:rPr>
          <w:rFonts w:ascii="Georgia" w:hAnsi="Georgia"/>
        </w:rPr>
        <w:t>, ib.).</w:t>
      </w:r>
    </w:p>
    <w:p w:rsidR="00687FAC" w:rsidRPr="001E5B6B" w:rsidRDefault="00687FAC" w:rsidP="00687FAC">
      <w:pPr>
        <w:pStyle w:val="Sinespaciado"/>
        <w:tabs>
          <w:tab w:val="left" w:pos="1200"/>
        </w:tabs>
        <w:spacing w:line="360" w:lineRule="auto"/>
        <w:jc w:val="both"/>
        <w:rPr>
          <w:rFonts w:ascii="Georgia" w:hAnsi="Georgia"/>
          <w:sz w:val="20"/>
          <w:szCs w:val="24"/>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5D3954" w:rsidRDefault="005A09B7" w:rsidP="005D3954">
      <w:pPr>
        <w:pStyle w:val="Textoindependiente"/>
        <w:spacing w:line="360" w:lineRule="auto"/>
        <w:ind w:left="400"/>
        <w:rPr>
          <w:rFonts w:ascii="Georgia" w:hAnsi="Georgia"/>
          <w:szCs w:val="24"/>
        </w:rPr>
      </w:pPr>
    </w:p>
    <w:p w:rsidR="007B47FA" w:rsidRPr="001E5B6B" w:rsidRDefault="007B47FA" w:rsidP="005D395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4B4273">
        <w:rPr>
          <w:rFonts w:ascii="Georgia" w:hAnsi="Georgia" w:cs="Arial"/>
          <w:color w:val="000000"/>
          <w:szCs w:val="24"/>
        </w:rPr>
        <w:t xml:space="preserve">Primero Penal del Circuito para Adolescentes con función de conocimiento </w:t>
      </w:r>
      <w:r w:rsidRPr="001E5B6B">
        <w:rPr>
          <w:rFonts w:ascii="Georgia" w:hAnsi="Georgia" w:cs="Arial"/>
          <w:color w:val="000000"/>
          <w:szCs w:val="24"/>
        </w:rPr>
        <w:t>de Pereira.</w:t>
      </w:r>
    </w:p>
    <w:p w:rsidR="007B47FA" w:rsidRPr="005D3954" w:rsidRDefault="007B47FA" w:rsidP="005D3954">
      <w:pPr>
        <w:pStyle w:val="Prrafodelista"/>
        <w:spacing w:line="360" w:lineRule="auto"/>
        <w:rPr>
          <w:rFonts w:ascii="Georgia" w:hAnsi="Georgia" w:cs="Arial"/>
          <w:lang w:val="es-CO"/>
        </w:rPr>
      </w:pPr>
    </w:p>
    <w:p w:rsidR="007B47FA" w:rsidRPr="001E5B6B" w:rsidRDefault="007B47FA" w:rsidP="005D3954">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w:t>
      </w:r>
      <w:r w:rsidR="004B4273">
        <w:rPr>
          <w:rFonts w:ascii="Georgia" w:hAnsi="Georgia" w:cs="Arial"/>
        </w:rPr>
        <w:t xml:space="preserve">Los </w:t>
      </w:r>
      <w:r w:rsidRPr="001E5B6B">
        <w:rPr>
          <w:rFonts w:ascii="Georgia" w:hAnsi="Georgia" w:cs="Arial"/>
        </w:rPr>
        <w:t>Juzgado</w:t>
      </w:r>
      <w:r w:rsidR="004B4273">
        <w:rPr>
          <w:rFonts w:ascii="Georgia" w:hAnsi="Georgia" w:cs="Arial"/>
        </w:rPr>
        <w:t>s</w:t>
      </w:r>
      <w:r w:rsidRPr="001E5B6B">
        <w:rPr>
          <w:rFonts w:ascii="Georgia" w:hAnsi="Georgia" w:cs="Arial"/>
        </w:rPr>
        <w:t xml:space="preserve"> accionado</w:t>
      </w:r>
      <w:r w:rsidR="004B4273">
        <w:rPr>
          <w:rFonts w:ascii="Georgia" w:hAnsi="Georgia" w:cs="Arial"/>
        </w:rPr>
        <w:t>s</w:t>
      </w:r>
      <w:r w:rsidRPr="001E5B6B">
        <w:rPr>
          <w:rFonts w:ascii="Georgia" w:hAnsi="Georgia" w:cs="Arial"/>
        </w:rPr>
        <w:t>, ha</w:t>
      </w:r>
      <w:r w:rsidR="004B4273">
        <w:rPr>
          <w:rFonts w:ascii="Georgia" w:hAnsi="Georgia" w:cs="Arial"/>
        </w:rPr>
        <w:t>n</w:t>
      </w:r>
      <w:r w:rsidRPr="001E5B6B">
        <w:rPr>
          <w:rFonts w:ascii="Georgia" w:hAnsi="Georgia" w:cs="Arial"/>
        </w:rPr>
        <w:t xml:space="preserve"> vulnerado o amenazado los derechos fundamentales del accionante, según lo expuesto en el escrito de tutela?   </w:t>
      </w:r>
    </w:p>
    <w:p w:rsidR="007B47FA" w:rsidRPr="005D3954" w:rsidRDefault="007B47FA" w:rsidP="005D3954">
      <w:pPr>
        <w:spacing w:line="360" w:lineRule="auto"/>
        <w:rPr>
          <w:rFonts w:ascii="Georgia" w:hAnsi="Georgia" w:cs="Arial"/>
        </w:rPr>
      </w:pPr>
    </w:p>
    <w:p w:rsidR="007B47FA" w:rsidRPr="001E5B6B" w:rsidRDefault="007B47FA" w:rsidP="005D3954">
      <w:pPr>
        <w:pStyle w:val="Prrafodelista"/>
        <w:numPr>
          <w:ilvl w:val="1"/>
          <w:numId w:val="18"/>
        </w:numPr>
        <w:spacing w:line="360" w:lineRule="auto"/>
        <w:rPr>
          <w:rFonts w:ascii="Georgia" w:hAnsi="Georgia" w:cs="Arial"/>
          <w:smallCaps/>
        </w:rPr>
      </w:pPr>
      <w:r w:rsidRPr="001E5B6B">
        <w:rPr>
          <w:rFonts w:ascii="Georgia" w:hAnsi="Georgia" w:cs="Arial"/>
          <w:smallCaps/>
        </w:rPr>
        <w:t>Los presupuestos generales de procedencia</w:t>
      </w:r>
    </w:p>
    <w:p w:rsidR="007B47FA" w:rsidRPr="005D3954" w:rsidRDefault="007B47FA" w:rsidP="005D3954">
      <w:pPr>
        <w:pStyle w:val="Prrafodelista"/>
        <w:spacing w:line="360" w:lineRule="auto"/>
        <w:ind w:left="720"/>
        <w:rPr>
          <w:rFonts w:ascii="Georgia" w:hAnsi="Georgia" w:cs="Arial"/>
        </w:rPr>
      </w:pPr>
    </w:p>
    <w:p w:rsidR="007B47FA" w:rsidRPr="001E5B6B" w:rsidRDefault="007B47FA" w:rsidP="005D3954">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 xml:space="preserve">Se cumple por activa dado que </w:t>
      </w:r>
      <w:r w:rsidR="00540F2D">
        <w:rPr>
          <w:rFonts w:ascii="Georgia" w:hAnsi="Georgia" w:cs="Arial"/>
          <w:szCs w:val="24"/>
        </w:rPr>
        <w:t xml:space="preserve">el </w:t>
      </w:r>
      <w:r w:rsidR="004B4273">
        <w:rPr>
          <w:rFonts w:ascii="Georgia" w:hAnsi="Georgia" w:cs="Arial"/>
          <w:szCs w:val="24"/>
        </w:rPr>
        <w:t xml:space="preserve">actor presentó la acción de habeas corpus </w:t>
      </w:r>
      <w:r w:rsidRPr="001E5B6B">
        <w:rPr>
          <w:rFonts w:ascii="Georgia" w:hAnsi="Georgia" w:cs="Arial"/>
          <w:szCs w:val="24"/>
        </w:rPr>
        <w:t xml:space="preserve">en </w:t>
      </w:r>
      <w:r w:rsidR="004B4273">
        <w:rPr>
          <w:rFonts w:ascii="Georgia" w:hAnsi="Georgia" w:cs="Arial"/>
          <w:szCs w:val="24"/>
        </w:rPr>
        <w:t xml:space="preserve">la </w:t>
      </w:r>
      <w:r w:rsidR="00540F2D">
        <w:rPr>
          <w:rFonts w:ascii="Georgia" w:hAnsi="Georgia" w:cs="Arial"/>
          <w:szCs w:val="24"/>
        </w:rPr>
        <w:t xml:space="preserve">que </w:t>
      </w:r>
      <w:r w:rsidRPr="001E5B6B">
        <w:rPr>
          <w:rFonts w:ascii="Georgia" w:hAnsi="Georgia" w:cs="Arial"/>
          <w:szCs w:val="24"/>
        </w:rPr>
        <w:t>reprocha la falta al debido proceso. Y por pasiva</w:t>
      </w:r>
      <w:r w:rsidR="00540F2D">
        <w:rPr>
          <w:rFonts w:ascii="Georgia" w:hAnsi="Georgia" w:cs="Arial"/>
          <w:szCs w:val="24"/>
        </w:rPr>
        <w:t xml:space="preserve"> lo son los Juzgados </w:t>
      </w:r>
      <w:r w:rsidR="004B4273">
        <w:rPr>
          <w:rFonts w:ascii="Georgia" w:hAnsi="Georgia" w:cs="Arial"/>
          <w:szCs w:val="24"/>
        </w:rPr>
        <w:t>Segundo Penal Municipal para Adolecentes con función de control de garantías y Primero Penal del Circuito para Adolescentes con función de conocimiento locales</w:t>
      </w:r>
      <w:r w:rsidRPr="001E5B6B">
        <w:rPr>
          <w:rFonts w:ascii="Georgia" w:hAnsi="Georgia" w:cs="Arial"/>
          <w:szCs w:val="24"/>
        </w:rPr>
        <w:t xml:space="preserve">, </w:t>
      </w:r>
      <w:r w:rsidR="00540F2D">
        <w:rPr>
          <w:rFonts w:ascii="Georgia" w:hAnsi="Georgia" w:cs="Arial"/>
          <w:szCs w:val="24"/>
        </w:rPr>
        <w:t xml:space="preserve">porque fueron las </w:t>
      </w:r>
      <w:r w:rsidRPr="001E5B6B">
        <w:rPr>
          <w:rFonts w:ascii="Georgia" w:hAnsi="Georgia" w:cs="Arial"/>
          <w:szCs w:val="24"/>
        </w:rPr>
        <w:t>autoridad</w:t>
      </w:r>
      <w:r w:rsidR="00540F2D">
        <w:rPr>
          <w:rFonts w:ascii="Georgia" w:hAnsi="Georgia" w:cs="Arial"/>
          <w:szCs w:val="24"/>
        </w:rPr>
        <w:t>es</w:t>
      </w:r>
      <w:r w:rsidRPr="001E5B6B">
        <w:rPr>
          <w:rFonts w:ascii="Georgia" w:hAnsi="Georgia" w:cs="Arial"/>
          <w:szCs w:val="24"/>
        </w:rPr>
        <w:t xml:space="preserve"> judicial</w:t>
      </w:r>
      <w:r w:rsidR="00540F2D">
        <w:rPr>
          <w:rFonts w:ascii="Georgia" w:hAnsi="Georgia" w:cs="Arial"/>
          <w:szCs w:val="24"/>
        </w:rPr>
        <w:t>es</w:t>
      </w:r>
      <w:r w:rsidRPr="001E5B6B">
        <w:rPr>
          <w:rFonts w:ascii="Georgia" w:hAnsi="Georgia" w:cs="Arial"/>
          <w:szCs w:val="24"/>
        </w:rPr>
        <w:t xml:space="preserve"> que </w:t>
      </w:r>
      <w:r w:rsidR="00540F2D">
        <w:rPr>
          <w:rFonts w:ascii="Georgia" w:hAnsi="Georgia" w:cs="Arial"/>
          <w:szCs w:val="24"/>
        </w:rPr>
        <w:t xml:space="preserve">conocieron </w:t>
      </w:r>
      <w:r w:rsidRPr="001E5B6B">
        <w:rPr>
          <w:rFonts w:ascii="Georgia" w:hAnsi="Georgia" w:cs="Arial"/>
          <w:szCs w:val="24"/>
        </w:rPr>
        <w:t>el  juicio.</w:t>
      </w:r>
    </w:p>
    <w:p w:rsidR="007B47FA" w:rsidRPr="009404D7" w:rsidRDefault="007B47FA" w:rsidP="007B47FA">
      <w:pPr>
        <w:pStyle w:val="Prrafodelista"/>
        <w:rPr>
          <w:rFonts w:ascii="Georgia" w:hAnsi="Georgia" w:cs="Arial"/>
          <w:sz w:val="20"/>
          <w:lang w:val="es-CO"/>
        </w:rPr>
      </w:pPr>
    </w:p>
    <w:p w:rsidR="00FD1EEB" w:rsidRPr="003A0558" w:rsidRDefault="00FD1EEB" w:rsidP="00FD1EE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3A0558">
        <w:rPr>
          <w:rFonts w:ascii="Georgia" w:hAnsi="Georgia" w:cs="Verdana"/>
          <w:smallCaps/>
          <w:spacing w:val="0"/>
          <w:sz w:val="22"/>
          <w:szCs w:val="24"/>
          <w:lang w:val="es-ES"/>
        </w:rPr>
        <w:t>Las sub-reglas de procedibilidad frente a decisiones judiciales</w:t>
      </w:r>
    </w:p>
    <w:p w:rsidR="00FD1EEB" w:rsidRPr="005D3954" w:rsidRDefault="00FD1EEB" w:rsidP="00FD1EE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 y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3A0558">
        <w:rPr>
          <w:rStyle w:val="Refdenotaalpie"/>
          <w:rFonts w:ascii="Georgia" w:hAnsi="Georgia"/>
          <w:szCs w:val="24"/>
        </w:rPr>
        <w:footnoteReference w:id="2"/>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procedibilidad, explicados en amplitud en la sentencia C-590 de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p>
    <w:p w:rsidR="00FD1EEB" w:rsidRPr="00681D6E" w:rsidRDefault="00FD1EEB" w:rsidP="00FD1EEB">
      <w:pPr>
        <w:pStyle w:val="Textoindependiente"/>
        <w:numPr>
          <w:ilvl w:val="1"/>
          <w:numId w:val="18"/>
        </w:numPr>
        <w:spacing w:line="360" w:lineRule="auto"/>
        <w:rPr>
          <w:rFonts w:ascii="Georgia" w:hAnsi="Georgia" w:cs="Arial"/>
          <w:smallCaps/>
          <w:szCs w:val="24"/>
        </w:rPr>
      </w:pPr>
      <w:r w:rsidRPr="00681D6E">
        <w:rPr>
          <w:rFonts w:ascii="Georgia" w:hAnsi="Georgia" w:cs="Arial"/>
          <w:smallCaps/>
          <w:szCs w:val="24"/>
        </w:rPr>
        <w:t>El defecto procedimental</w:t>
      </w:r>
    </w:p>
    <w:p w:rsidR="00FD1EEB" w:rsidRPr="00681D6E" w:rsidRDefault="00FD1EEB" w:rsidP="00FD1EEB">
      <w:pPr>
        <w:pStyle w:val="Textoindependiente"/>
        <w:spacing w:line="360" w:lineRule="auto"/>
        <w:rPr>
          <w:rFonts w:ascii="Georgia" w:hAnsi="Georgia" w:cs="Arial"/>
          <w:szCs w:val="24"/>
        </w:rPr>
      </w:pP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szCs w:val="24"/>
          <w:shd w:val="clear" w:color="auto" w:fill="FFFFFF"/>
        </w:rPr>
        <w:t>Esta causal de procedibilidad especial se cimenta en el desarrollo de los derechos fundamentales al debido proceso y el acceso a la administración de justicia (Artículos 29 y 228, CP), puesto que conlleva al respeto por el procedimiento y las formas propias de cada juicio, y el reconocimiento de la prevalencia del derecho sustancial y la realización de la justicia material en la aplicación del derecho procesal</w:t>
      </w:r>
      <w:r w:rsidRPr="00681D6E">
        <w:rPr>
          <w:rStyle w:val="Refdenotaalpie"/>
          <w:rFonts w:ascii="Georgia" w:hAnsi="Georgia"/>
          <w:szCs w:val="24"/>
          <w:shd w:val="clear" w:color="auto" w:fill="FFFFFF"/>
        </w:rPr>
        <w:footnoteReference w:id="9"/>
      </w:r>
      <w:r w:rsidRPr="00681D6E">
        <w:rPr>
          <w:rFonts w:ascii="Georgia" w:hAnsi="Georgia"/>
          <w:szCs w:val="24"/>
          <w:shd w:val="clear" w:color="auto" w:fill="FFFFFF"/>
        </w:rPr>
        <w:t>.</w:t>
      </w:r>
    </w:p>
    <w:p w:rsidR="00FD1EEB" w:rsidRPr="00681D6E" w:rsidRDefault="00FD1EEB" w:rsidP="00FD1EEB">
      <w:pPr>
        <w:pStyle w:val="Textoindependiente"/>
        <w:spacing w:line="360" w:lineRule="auto"/>
        <w:rPr>
          <w:rFonts w:ascii="Georgia" w:hAnsi="Georgia" w:cs="Arial"/>
          <w:szCs w:val="24"/>
        </w:rPr>
      </w:pP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szCs w:val="24"/>
          <w:shd w:val="clear" w:color="auto" w:fill="FFFFFF"/>
        </w:rPr>
        <w:lastRenderedPageBreak/>
        <w:t>La CC</w:t>
      </w:r>
      <w:r w:rsidRPr="00681D6E">
        <w:rPr>
          <w:rStyle w:val="Refdenotaalpie"/>
          <w:rFonts w:ascii="Georgia" w:hAnsi="Georgia"/>
          <w:szCs w:val="24"/>
          <w:shd w:val="clear" w:color="auto" w:fill="FFFFFF"/>
        </w:rPr>
        <w:footnoteReference w:id="10"/>
      </w:r>
      <w:r w:rsidRPr="00681D6E">
        <w:rPr>
          <w:rFonts w:ascii="Georgia" w:hAnsi="Georgia"/>
          <w:szCs w:val="24"/>
          <w:shd w:val="clear" w:color="auto" w:fill="FFFFFF"/>
        </w:rPr>
        <w:t xml:space="preserve"> ha establecido que este defecto se configura </w:t>
      </w:r>
      <w:r w:rsidRPr="00681D6E">
        <w:rPr>
          <w:rFonts w:ascii="Georgia" w:hAnsi="Georgia"/>
          <w:i/>
          <w:sz w:val="22"/>
          <w:szCs w:val="24"/>
          <w:shd w:val="clear" w:color="auto" w:fill="FFFFFF"/>
        </w:rPr>
        <w:t>“(…) cuando el juzgador viola derechos fundamentales al negar el derecho sustancial, ya sea por no aplicar la norma procesal acorde con el procedimiento de que se trate</w:t>
      </w:r>
      <w:r w:rsidRPr="008A4C80">
        <w:rPr>
          <w:rFonts w:ascii="Georgia" w:hAnsi="Georgia"/>
          <w:i/>
          <w:sz w:val="22"/>
          <w:szCs w:val="24"/>
          <w:shd w:val="clear" w:color="auto" w:fill="FFFFFF"/>
        </w:rPr>
        <w:t>, </w:t>
      </w:r>
      <w:r w:rsidRPr="008A4C80">
        <w:rPr>
          <w:rFonts w:ascii="Georgia" w:hAnsi="Georgia"/>
          <w:bCs/>
          <w:i/>
          <w:sz w:val="22"/>
          <w:szCs w:val="24"/>
          <w:bdr w:val="none" w:sz="0" w:space="0" w:color="auto" w:frame="1"/>
          <w:shd w:val="clear" w:color="auto" w:fill="FFFFFF"/>
        </w:rPr>
        <w:t>o cuando excede la aplicación de formalidades procesales que hacen nugatorio un derecho (…)”</w:t>
      </w:r>
      <w:r w:rsidRPr="00681D6E">
        <w:rPr>
          <w:rFonts w:ascii="Georgia" w:hAnsi="Georgia"/>
          <w:bCs/>
          <w:szCs w:val="24"/>
          <w:bdr w:val="none" w:sz="0" w:space="0" w:color="auto" w:frame="1"/>
          <w:shd w:val="clear" w:color="auto" w:fill="FFFFFF"/>
        </w:rPr>
        <w:t>.</w:t>
      </w:r>
    </w:p>
    <w:p w:rsidR="00FD1EEB" w:rsidRPr="00681D6E" w:rsidRDefault="00FD1EEB" w:rsidP="00FD1EEB">
      <w:pPr>
        <w:pStyle w:val="Textoindependiente"/>
        <w:spacing w:line="360" w:lineRule="auto"/>
        <w:rPr>
          <w:rFonts w:ascii="Georgia" w:hAnsi="Georgia" w:cs="Arial"/>
          <w:szCs w:val="24"/>
        </w:rPr>
      </w:pP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cs="Arial"/>
          <w:szCs w:val="24"/>
        </w:rPr>
        <w:t>Puntualmente existen dos clases de defecto procedimental</w:t>
      </w:r>
      <w:r w:rsidRPr="00681D6E">
        <w:rPr>
          <w:rStyle w:val="Refdenotaalpie"/>
          <w:rFonts w:ascii="Georgia" w:hAnsi="Georgia"/>
          <w:szCs w:val="24"/>
        </w:rPr>
        <w:footnoteReference w:id="11"/>
      </w:r>
      <w:r w:rsidRPr="00681D6E">
        <w:rPr>
          <w:rFonts w:ascii="Georgia" w:hAnsi="Georgia" w:cs="Arial"/>
          <w:szCs w:val="24"/>
        </w:rPr>
        <w:t>: (i) El defecto procedimental absoluto; y, (ii) El defecto procedimental por exceso ritual manifiesto.</w:t>
      </w:r>
    </w:p>
    <w:p w:rsidR="00FD1EEB" w:rsidRPr="00C65422" w:rsidRDefault="00FD1EEB" w:rsidP="00FD1EEB">
      <w:pPr>
        <w:pStyle w:val="Textoindependiente"/>
        <w:spacing w:line="360" w:lineRule="auto"/>
        <w:rPr>
          <w:rFonts w:ascii="Georgia" w:hAnsi="Georgia" w:cs="Arial"/>
          <w:sz w:val="20"/>
          <w:szCs w:val="24"/>
        </w:rPr>
      </w:pPr>
    </w:p>
    <w:p w:rsidR="00FD1EEB" w:rsidRDefault="00FD1EEB" w:rsidP="00FD1EEB">
      <w:pPr>
        <w:pStyle w:val="Textoindependiente"/>
        <w:spacing w:line="360" w:lineRule="auto"/>
        <w:rPr>
          <w:rFonts w:ascii="Georgia" w:hAnsi="Georgia" w:cs="Arial"/>
          <w:szCs w:val="24"/>
        </w:rPr>
      </w:pPr>
      <w:r w:rsidRPr="00681D6E">
        <w:rPr>
          <w:rFonts w:ascii="Georgia" w:hAnsi="Georgia" w:cs="Arial"/>
          <w:szCs w:val="24"/>
        </w:rPr>
        <w:t>Hay un defecto procedimental absoluto cuando el juez desconoce completamente el procedimiento determinado por la ley, y termina produciendo una decisión arbitraria que vulnera los derechos fundamentales, en palabras de la CC</w:t>
      </w:r>
      <w:r w:rsidRPr="00681D6E">
        <w:rPr>
          <w:rFonts w:ascii="Georgia" w:hAnsi="Georgia" w:cs="Arial"/>
          <w:szCs w:val="24"/>
          <w:vertAlign w:val="superscript"/>
        </w:rPr>
        <w:footnoteReference w:id="12"/>
      </w:r>
      <w:r w:rsidRPr="00681D6E">
        <w:rPr>
          <w:rFonts w:ascii="Georgia" w:hAnsi="Georgia" w:cs="Arial"/>
          <w:szCs w:val="24"/>
        </w:rPr>
        <w:t xml:space="preserve">: </w:t>
      </w:r>
      <w:r w:rsidRPr="00681D6E">
        <w:rPr>
          <w:rFonts w:ascii="Georgia" w:hAnsi="Georgia" w:cs="Arial"/>
          <w:sz w:val="22"/>
          <w:szCs w:val="24"/>
        </w:rPr>
        <w:t>“</w:t>
      </w:r>
      <w:r w:rsidRPr="00681D6E">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681D6E">
        <w:rPr>
          <w:rFonts w:ascii="Georgia" w:hAnsi="Georgia" w:cs="Arial"/>
          <w:sz w:val="22"/>
          <w:szCs w:val="24"/>
        </w:rPr>
        <w:t>”</w:t>
      </w:r>
      <w:r w:rsidRPr="00681D6E">
        <w:rPr>
          <w:rFonts w:ascii="Georgia" w:hAnsi="Georgia" w:cs="Arial"/>
          <w:szCs w:val="24"/>
        </w:rPr>
        <w:t xml:space="preserve">.  </w:t>
      </w:r>
    </w:p>
    <w:p w:rsidR="00047B6A" w:rsidRDefault="00047B6A" w:rsidP="00047B6A">
      <w:pPr>
        <w:pStyle w:val="Textoindependiente"/>
        <w:shd w:val="clear" w:color="auto" w:fill="FFFFFF" w:themeFill="background1"/>
        <w:spacing w:line="360" w:lineRule="auto"/>
        <w:rPr>
          <w:rFonts w:ascii="Georgia" w:hAnsi="Georgia" w:cs="Arial"/>
          <w:sz w:val="20"/>
          <w:szCs w:val="24"/>
        </w:rPr>
      </w:pP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cs="Arial"/>
          <w:szCs w:val="24"/>
        </w:rPr>
        <w:t>De otro lado, el defecto procedimental por exceso ritual manifiesto se presenta cuando el funcionario judicial</w:t>
      </w:r>
      <w:r w:rsidRPr="00681D6E">
        <w:rPr>
          <w:rStyle w:val="Refdenotaalpie"/>
          <w:rFonts w:ascii="Georgia" w:hAnsi="Georgia"/>
          <w:szCs w:val="24"/>
        </w:rPr>
        <w:footnoteReference w:id="13"/>
      </w:r>
      <w:r w:rsidRPr="00681D6E">
        <w:rPr>
          <w:rFonts w:ascii="Georgia" w:hAnsi="Georgia" w:cs="Arial"/>
          <w:szCs w:val="24"/>
        </w:rPr>
        <w:t xml:space="preserve"> </w:t>
      </w:r>
      <w:r w:rsidRPr="00681D6E">
        <w:rPr>
          <w:rFonts w:ascii="Georgia" w:hAnsi="Georgia" w:cs="Arial"/>
          <w:i/>
          <w:sz w:val="22"/>
          <w:szCs w:val="24"/>
        </w:rPr>
        <w:t>“(…)</w:t>
      </w:r>
      <w:r w:rsidRPr="00681D6E">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w:t>
      </w:r>
      <w:r w:rsidRPr="008C0531">
        <w:rPr>
          <w:rFonts w:ascii="Georgia" w:hAnsi="Georgia" w:cs="Arial"/>
          <w:i/>
          <w:sz w:val="22"/>
          <w:szCs w:val="24"/>
          <w:lang w:val="es-ES"/>
        </w:rPr>
        <w:t xml:space="preserve">iii) por la aplicación en exceso rigurosa del derecho procesal, (iv) pese </w:t>
      </w:r>
      <w:r w:rsidRPr="00681D6E">
        <w:rPr>
          <w:rFonts w:ascii="Georgia" w:hAnsi="Georgia" w:cs="Arial"/>
          <w:i/>
          <w:sz w:val="22"/>
          <w:szCs w:val="24"/>
          <w:lang w:val="es-ES"/>
        </w:rPr>
        <w:t>a que dicha actuación devenga en el desconocimiento de derechos fundamentales (…)</w:t>
      </w:r>
      <w:r w:rsidRPr="00681D6E">
        <w:rPr>
          <w:rFonts w:ascii="Georgia" w:hAnsi="Georgia" w:cs="Arial"/>
          <w:i/>
          <w:sz w:val="22"/>
          <w:szCs w:val="24"/>
        </w:rPr>
        <w:t>”</w:t>
      </w:r>
      <w:r w:rsidRPr="00681D6E">
        <w:rPr>
          <w:rFonts w:ascii="Georgia" w:hAnsi="Georgia" w:cs="Arial"/>
          <w:sz w:val="22"/>
          <w:szCs w:val="24"/>
        </w:rPr>
        <w:t xml:space="preserve"> </w:t>
      </w:r>
      <w:r w:rsidRPr="00681D6E">
        <w:rPr>
          <w:rFonts w:ascii="Georgia" w:hAnsi="Georgia" w:cs="Arial"/>
          <w:szCs w:val="24"/>
        </w:rPr>
        <w:t>(Sublínea de la Sala).</w:t>
      </w:r>
    </w:p>
    <w:p w:rsidR="00FD1EEB" w:rsidRDefault="00FD1EEB" w:rsidP="00FD1EEB">
      <w:pPr>
        <w:pStyle w:val="Textoindependiente"/>
        <w:spacing w:line="360" w:lineRule="auto"/>
        <w:rPr>
          <w:rFonts w:ascii="Georgia" w:hAnsi="Georgia" w:cs="Arial"/>
          <w:szCs w:val="24"/>
        </w:rPr>
      </w:pPr>
    </w:p>
    <w:p w:rsidR="00FD1EEB" w:rsidRPr="0030131F" w:rsidRDefault="00FD1EEB" w:rsidP="00FD1EEB">
      <w:pPr>
        <w:pStyle w:val="Textoindependiente"/>
        <w:spacing w:line="360" w:lineRule="auto"/>
        <w:rPr>
          <w:rFonts w:ascii="Georgia" w:hAnsi="Georgia" w:cs="Arial"/>
          <w:i/>
          <w:iCs/>
          <w:color w:val="000000"/>
          <w:spacing w:val="0"/>
          <w:sz w:val="22"/>
          <w:szCs w:val="28"/>
          <w:shd w:val="clear" w:color="auto" w:fill="FFFFFF"/>
          <w:lang w:val="es-ES"/>
        </w:rPr>
      </w:pPr>
      <w:r w:rsidRPr="000939B1">
        <w:rPr>
          <w:rFonts w:ascii="Georgia" w:hAnsi="Georgia" w:cs="Arial"/>
          <w:szCs w:val="24"/>
        </w:rPr>
        <w:t>Para efectuar el análisis la Corte ha precisado dos rasgos adicionales: (i) Debe ser un error trascendente que afecte de manera grave el derecho al debido proceso y que tenga una influencia directa en la decisión de fondo adoptada y (ii) La deficiencia no debe ser atribuible al afectado</w:t>
      </w:r>
      <w:r w:rsidRPr="007E016E">
        <w:rPr>
          <w:rFonts w:ascii="Arial" w:hAnsi="Arial" w:cs="Arial"/>
          <w:szCs w:val="24"/>
        </w:rPr>
        <w:t xml:space="preserve">.  </w:t>
      </w:r>
    </w:p>
    <w:p w:rsidR="00FD1EEB" w:rsidRPr="00681D6E" w:rsidRDefault="00FD1EEB" w:rsidP="00FD1EEB">
      <w:pPr>
        <w:pStyle w:val="Textoindependiente"/>
        <w:spacing w:line="360" w:lineRule="auto"/>
        <w:rPr>
          <w:rFonts w:ascii="Georgia" w:hAnsi="Georgia" w:cs="Arial"/>
          <w:szCs w:val="24"/>
        </w:rPr>
      </w:pPr>
    </w:p>
    <w:p w:rsidR="00FD1EEB" w:rsidRPr="00681D6E" w:rsidRDefault="00FD1EEB" w:rsidP="00FD1EEB">
      <w:pPr>
        <w:spacing w:line="360" w:lineRule="auto"/>
        <w:jc w:val="both"/>
        <w:rPr>
          <w:rFonts w:ascii="Georgia" w:hAnsi="Georgia" w:cs="Arial"/>
        </w:rPr>
      </w:pPr>
      <w:r>
        <w:rPr>
          <w:rFonts w:ascii="Georgia" w:hAnsi="Georgia" w:cs="Arial"/>
        </w:rPr>
        <w:t xml:space="preserve">La </w:t>
      </w:r>
      <w:r w:rsidRPr="00681D6E">
        <w:rPr>
          <w:rFonts w:ascii="Georgia" w:hAnsi="Georgia" w:cs="Arial"/>
        </w:rPr>
        <w:t xml:space="preserve">CSJ </w:t>
      </w:r>
      <w:r>
        <w:rPr>
          <w:rFonts w:ascii="Georgia" w:hAnsi="Georgia" w:cs="Arial"/>
        </w:rPr>
        <w:t xml:space="preserve">también se ha pronunciado respecto de este defecto, </w:t>
      </w:r>
      <w:r w:rsidRPr="00681D6E">
        <w:rPr>
          <w:rFonts w:ascii="Georgia" w:hAnsi="Georgia" w:cs="Arial"/>
        </w:rPr>
        <w:t xml:space="preserve">y al efecto, en reciente </w:t>
      </w:r>
      <w:r>
        <w:rPr>
          <w:rFonts w:ascii="Georgia" w:hAnsi="Georgia" w:cs="Arial"/>
        </w:rPr>
        <w:t>decisión</w:t>
      </w:r>
      <w:r>
        <w:rPr>
          <w:rStyle w:val="Refdenotaalpie"/>
          <w:rFonts w:ascii="Georgia" w:hAnsi="Georgia"/>
        </w:rPr>
        <w:footnoteReference w:id="14"/>
      </w:r>
      <w:r w:rsidRPr="00681D6E">
        <w:rPr>
          <w:rFonts w:ascii="Georgia" w:hAnsi="Georgia" w:cs="Arial"/>
        </w:rPr>
        <w:t xml:space="preserve">, ha dicho: </w:t>
      </w:r>
    </w:p>
    <w:p w:rsidR="00FD1EEB" w:rsidRPr="00681D6E" w:rsidRDefault="00FD1EEB" w:rsidP="00FD1EEB">
      <w:pPr>
        <w:spacing w:line="360" w:lineRule="auto"/>
        <w:jc w:val="both"/>
        <w:rPr>
          <w:rFonts w:ascii="Georgia" w:hAnsi="Georgia" w:cs="Arial"/>
          <w:sz w:val="20"/>
        </w:rPr>
      </w:pPr>
    </w:p>
    <w:p w:rsidR="00FD1EEB" w:rsidRDefault="00FD1EEB" w:rsidP="00FD1EEB">
      <w:pPr>
        <w:ind w:left="567" w:right="618"/>
        <w:jc w:val="both"/>
        <w:rPr>
          <w:rFonts w:ascii="Georgia" w:hAnsi="Georgia"/>
          <w:iCs/>
          <w:shd w:val="clear" w:color="auto" w:fill="FFFFFF"/>
        </w:rPr>
      </w:pPr>
      <w:r w:rsidRPr="00681D6E">
        <w:rPr>
          <w:rFonts w:ascii="Georgia" w:hAnsi="Georgia" w:cs="Arial"/>
        </w:rPr>
        <w:t xml:space="preserve">Es necesario recordar que el respeto por </w:t>
      </w:r>
      <w:r w:rsidRPr="00681D6E">
        <w:rPr>
          <w:rFonts w:ascii="Georgia" w:hAnsi="Georgia"/>
          <w:iCs/>
          <w:shd w:val="clear" w:color="auto" w:fill="FFFFFF"/>
        </w:rPr>
        <w:t>las formas propias de cada juicio no implica, en manera alguna que los ritos procesales sean un fin en sí mismos, todo lo contrario, la primacía de lo sustancial, impone que los procedimientos sirvan como medio para lograr la efectividad de la administración de justicia y de los derechos subjetivos de quienes someten sus conflictos a ella.</w:t>
      </w:r>
    </w:p>
    <w:p w:rsidR="00921EC1" w:rsidRPr="00681D6E" w:rsidRDefault="00921EC1" w:rsidP="00FD1EEB">
      <w:pPr>
        <w:ind w:left="567" w:right="618"/>
        <w:jc w:val="both"/>
        <w:rPr>
          <w:rFonts w:ascii="Georgia" w:hAnsi="Georgia"/>
          <w:iCs/>
          <w:shd w:val="clear" w:color="auto" w:fill="FFFFFF"/>
        </w:rPr>
      </w:pPr>
    </w:p>
    <w:p w:rsidR="00FD1EEB" w:rsidRPr="00681D6E" w:rsidRDefault="00FD1EEB" w:rsidP="00FD1EEB">
      <w:pPr>
        <w:ind w:left="567" w:right="618"/>
        <w:jc w:val="both"/>
        <w:rPr>
          <w:rFonts w:ascii="Georgia" w:hAnsi="Georgia"/>
          <w:iCs/>
          <w:shd w:val="clear" w:color="auto" w:fill="FFFFFF"/>
        </w:rPr>
      </w:pPr>
      <w:r w:rsidRPr="00681D6E">
        <w:rPr>
          <w:rFonts w:ascii="Georgia" w:hAnsi="Georgia"/>
          <w:iCs/>
          <w:shd w:val="clear" w:color="auto" w:fill="FFFFFF"/>
        </w:rPr>
        <w:t xml:space="preserve">No se trata de avalar el desconocimiento absoluto de la ritualidad procesal, que en este caso no se presenta, pero tampoco de que el funcionario judicial atienda de manera tan rigurosa a esas formalidades, pues ello apareja un </w:t>
      </w:r>
      <w:r w:rsidRPr="00681D6E">
        <w:rPr>
          <w:rFonts w:ascii="Georgia" w:hAnsi="Georgia"/>
          <w:i/>
          <w:iCs/>
          <w:u w:val="single"/>
          <w:shd w:val="clear" w:color="auto" w:fill="FFFFFF"/>
        </w:rPr>
        <w:t>«excesivo ritual manifiesto»</w:t>
      </w:r>
      <w:r w:rsidRPr="00681D6E">
        <w:rPr>
          <w:rFonts w:ascii="Georgia" w:hAnsi="Georgia"/>
          <w:iCs/>
          <w:shd w:val="clear" w:color="auto" w:fill="FFFFFF"/>
        </w:rPr>
        <w:t xml:space="preserve"> que sacrifica prerrogativas constitucionales para salvaguardar la forma. </w:t>
      </w:r>
    </w:p>
    <w:p w:rsidR="00FD1EEB" w:rsidRPr="00103E82" w:rsidRDefault="00FD1EEB" w:rsidP="00FD1EEB">
      <w:pPr>
        <w:spacing w:line="360" w:lineRule="auto"/>
        <w:jc w:val="both"/>
        <w:rPr>
          <w:rFonts w:ascii="Georgia" w:hAnsi="Georgia" w:cs="Arial"/>
          <w:sz w:val="28"/>
          <w:lang w:val="es-ES_tradnl"/>
        </w:rPr>
      </w:pPr>
    </w:p>
    <w:p w:rsidR="00402EE0" w:rsidRPr="005D3954" w:rsidRDefault="00402EE0" w:rsidP="00402EE0">
      <w:pPr>
        <w:pStyle w:val="Textoindependiente"/>
        <w:numPr>
          <w:ilvl w:val="0"/>
          <w:numId w:val="18"/>
        </w:numPr>
        <w:shd w:val="clear" w:color="auto" w:fill="FFFFFF" w:themeFill="background1"/>
        <w:spacing w:line="360" w:lineRule="auto"/>
        <w:rPr>
          <w:rFonts w:ascii="Georgia" w:hAnsi="Georgia" w:cs="Arial"/>
          <w:sz w:val="22"/>
          <w:szCs w:val="24"/>
        </w:rPr>
      </w:pPr>
      <w:r w:rsidRPr="005D3954">
        <w:rPr>
          <w:rFonts w:ascii="Georgia" w:hAnsi="Georgia" w:cs="Arial"/>
          <w:sz w:val="22"/>
          <w:szCs w:val="24"/>
        </w:rPr>
        <w:t>EL CASO CONCRETO</w:t>
      </w:r>
    </w:p>
    <w:p w:rsidR="00402EE0" w:rsidRPr="005D3954" w:rsidRDefault="00402EE0" w:rsidP="00402EE0">
      <w:pPr>
        <w:pStyle w:val="Textoindependiente"/>
        <w:shd w:val="clear" w:color="auto" w:fill="FFFFFF" w:themeFill="background1"/>
        <w:spacing w:line="360" w:lineRule="auto"/>
        <w:ind w:left="400"/>
        <w:rPr>
          <w:rFonts w:ascii="Georgia" w:hAnsi="Georgia" w:cs="Arial"/>
          <w:szCs w:val="24"/>
        </w:rPr>
      </w:pPr>
    </w:p>
    <w:p w:rsidR="00FD1EEB" w:rsidRDefault="00FD1EEB" w:rsidP="00FD1EEB">
      <w:pPr>
        <w:pStyle w:val="Textoindependiente"/>
        <w:spacing w:line="360" w:lineRule="auto"/>
        <w:rPr>
          <w:rFonts w:ascii="Georgia" w:hAnsi="Georgia"/>
          <w:szCs w:val="24"/>
        </w:rPr>
      </w:pPr>
      <w:r w:rsidRPr="005B6C72">
        <w:rPr>
          <w:rFonts w:ascii="Georgia" w:hAnsi="Georgia"/>
          <w:szCs w:val="24"/>
        </w:rPr>
        <w:t xml:space="preserve">En la metodología enseñada por la doctrina constitucional, el primer examen consiste en verificar los presupuestos generales de procedibilidad, y para el caso se hallan cumplidos. </w:t>
      </w:r>
    </w:p>
    <w:p w:rsidR="00FD1EEB" w:rsidRPr="005B6C72" w:rsidRDefault="00FD1EEB" w:rsidP="00FD1EEB">
      <w:pPr>
        <w:pStyle w:val="Textoindependiente"/>
        <w:spacing w:line="360" w:lineRule="auto"/>
        <w:rPr>
          <w:rFonts w:ascii="Georgia" w:hAnsi="Georgia"/>
          <w:szCs w:val="24"/>
        </w:rPr>
      </w:pPr>
    </w:p>
    <w:p w:rsidR="00FD1EEB" w:rsidRPr="00FD1EEB" w:rsidRDefault="00FD1EEB" w:rsidP="00FD1EEB">
      <w:pPr>
        <w:pStyle w:val="Textoindependiente"/>
        <w:spacing w:line="360" w:lineRule="auto"/>
        <w:rPr>
          <w:rFonts w:ascii="Georgia" w:hAnsi="Georgia"/>
          <w:szCs w:val="24"/>
          <w:lang w:val="es-CO"/>
        </w:rPr>
      </w:pPr>
      <w:r w:rsidRPr="005B6C72">
        <w:rPr>
          <w:rFonts w:ascii="Georgia" w:hAnsi="Georgia"/>
          <w:szCs w:val="24"/>
        </w:rPr>
        <w:t xml:space="preserve">El asunto es de relevancia constitucional por estimar </w:t>
      </w:r>
      <w:r w:rsidR="00A0300F">
        <w:rPr>
          <w:rFonts w:ascii="Georgia" w:hAnsi="Georgia"/>
          <w:szCs w:val="24"/>
        </w:rPr>
        <w:t>comprometido</w:t>
      </w:r>
      <w:r w:rsidRPr="005B6C72">
        <w:rPr>
          <w:rFonts w:ascii="Georgia" w:hAnsi="Georgia"/>
          <w:szCs w:val="24"/>
        </w:rPr>
        <w:t xml:space="preserve"> </w:t>
      </w:r>
      <w:r w:rsidR="00A0300F">
        <w:rPr>
          <w:rFonts w:ascii="Georgia" w:hAnsi="Georgia"/>
          <w:szCs w:val="24"/>
        </w:rPr>
        <w:t>el derecho</w:t>
      </w:r>
      <w:r w:rsidRPr="005B6C72">
        <w:rPr>
          <w:rFonts w:ascii="Georgia" w:hAnsi="Georgia"/>
          <w:szCs w:val="24"/>
        </w:rPr>
        <w:t xml:space="preserve"> al debido proceso; se agotaron</w:t>
      </w:r>
      <w:r w:rsidRPr="005B6C72">
        <w:rPr>
          <w:rFonts w:ascii="Georgia" w:hAnsi="Georgia"/>
          <w:szCs w:val="24"/>
          <w:lang w:val="es-CO"/>
        </w:rPr>
        <w:t xml:space="preserve"> los medios ordinarios de defensa, pues se recurrió en </w:t>
      </w:r>
      <w:r>
        <w:rPr>
          <w:rFonts w:ascii="Georgia" w:hAnsi="Georgia"/>
          <w:szCs w:val="24"/>
          <w:lang w:val="es-CO"/>
        </w:rPr>
        <w:t xml:space="preserve">apelación la sentencia de primera instancia </w:t>
      </w:r>
      <w:r w:rsidRPr="005B6C72">
        <w:rPr>
          <w:rFonts w:ascii="Georgia" w:hAnsi="Georgia"/>
          <w:szCs w:val="24"/>
        </w:rPr>
        <w:t>(Subsidiariedad)</w:t>
      </w:r>
      <w:r w:rsidR="00764FBD">
        <w:rPr>
          <w:rFonts w:ascii="Georgia" w:hAnsi="Georgia"/>
          <w:szCs w:val="24"/>
        </w:rPr>
        <w:t xml:space="preserve">; </w:t>
      </w:r>
      <w:r w:rsidRPr="005B6C72">
        <w:rPr>
          <w:rFonts w:ascii="Georgia" w:hAnsi="Georgia"/>
          <w:szCs w:val="24"/>
        </w:rPr>
        <w:t xml:space="preserve">la actuación reprochada no es de tutela; hay inmediatez porque la decisión que resolvió </w:t>
      </w:r>
      <w:r>
        <w:rPr>
          <w:rFonts w:ascii="Georgia" w:hAnsi="Georgia"/>
          <w:szCs w:val="24"/>
        </w:rPr>
        <w:t xml:space="preserve">el recurso </w:t>
      </w:r>
      <w:r w:rsidRPr="005B6C72">
        <w:rPr>
          <w:rFonts w:ascii="Georgia" w:hAnsi="Georgia"/>
          <w:szCs w:val="24"/>
        </w:rPr>
        <w:t xml:space="preserve">data del </w:t>
      </w:r>
      <w:r>
        <w:rPr>
          <w:rFonts w:ascii="Georgia" w:hAnsi="Georgia"/>
          <w:szCs w:val="24"/>
        </w:rPr>
        <w:t>20-</w:t>
      </w:r>
      <w:r w:rsidRPr="00921EC1">
        <w:rPr>
          <w:rFonts w:ascii="Georgia" w:hAnsi="Georgia"/>
          <w:szCs w:val="24"/>
        </w:rPr>
        <w:t>12-2017 (</w:t>
      </w:r>
      <w:r w:rsidRPr="00921EC1">
        <w:rPr>
          <w:rFonts w:ascii="Georgia" w:hAnsi="Georgia"/>
          <w:sz w:val="22"/>
          <w:szCs w:val="24"/>
        </w:rPr>
        <w:t>Folios 79 vuelto a 81, ibídem)</w:t>
      </w:r>
      <w:r w:rsidRPr="00921EC1">
        <w:rPr>
          <w:rFonts w:ascii="Georgia" w:hAnsi="Georgia"/>
          <w:szCs w:val="24"/>
        </w:rPr>
        <w:t>, y la acción fue instaurada el 28-</w:t>
      </w:r>
      <w:r w:rsidR="00921EC1" w:rsidRPr="00921EC1">
        <w:rPr>
          <w:rFonts w:ascii="Georgia" w:hAnsi="Georgia"/>
          <w:szCs w:val="24"/>
        </w:rPr>
        <w:t>12</w:t>
      </w:r>
      <w:r w:rsidRPr="00921EC1">
        <w:rPr>
          <w:rFonts w:ascii="Georgia" w:hAnsi="Georgia"/>
          <w:szCs w:val="24"/>
        </w:rPr>
        <w:t xml:space="preserve">-2017 (Folio </w:t>
      </w:r>
      <w:r w:rsidR="00921EC1" w:rsidRPr="00921EC1">
        <w:rPr>
          <w:rFonts w:ascii="Georgia" w:hAnsi="Georgia"/>
          <w:szCs w:val="24"/>
        </w:rPr>
        <w:t>14</w:t>
      </w:r>
      <w:r w:rsidRPr="00921EC1">
        <w:rPr>
          <w:rFonts w:ascii="Georgia" w:hAnsi="Georgia"/>
          <w:szCs w:val="24"/>
        </w:rPr>
        <w:t>, ib.)</w:t>
      </w:r>
      <w:r w:rsidRPr="005B6C72">
        <w:rPr>
          <w:rFonts w:ascii="Georgia" w:hAnsi="Georgia"/>
          <w:szCs w:val="24"/>
        </w:rPr>
        <w:t>; además, la irregularidad realzada por la parte, resulta ser trascendente para la litis.</w:t>
      </w:r>
    </w:p>
    <w:p w:rsidR="00044780" w:rsidRDefault="00044780" w:rsidP="003D24E8">
      <w:pPr>
        <w:pStyle w:val="Textoindependiente"/>
        <w:spacing w:line="360" w:lineRule="auto"/>
        <w:rPr>
          <w:rFonts w:ascii="Georgia" w:hAnsi="Georgia" w:cs="Arial"/>
          <w:szCs w:val="24"/>
        </w:rPr>
      </w:pPr>
    </w:p>
    <w:p w:rsidR="00764FBD" w:rsidRPr="005B6C72" w:rsidRDefault="005D3954" w:rsidP="00764FBD">
      <w:pPr>
        <w:pStyle w:val="Textoindependiente"/>
        <w:spacing w:line="360" w:lineRule="auto"/>
        <w:rPr>
          <w:rFonts w:ascii="Georgia" w:hAnsi="Georgia"/>
          <w:szCs w:val="24"/>
        </w:rPr>
      </w:pPr>
      <w:r>
        <w:rPr>
          <w:rFonts w:ascii="Georgia" w:hAnsi="Georgia"/>
          <w:szCs w:val="24"/>
        </w:rPr>
        <w:t>Necesario reseñar</w:t>
      </w:r>
      <w:r w:rsidR="00764FBD">
        <w:rPr>
          <w:rFonts w:ascii="Georgia" w:hAnsi="Georgia"/>
          <w:szCs w:val="24"/>
        </w:rPr>
        <w:t xml:space="preserve"> la postura de la CC</w:t>
      </w:r>
      <w:r>
        <w:rPr>
          <w:rStyle w:val="Refdenotaalpie"/>
          <w:rFonts w:ascii="Georgia" w:hAnsi="Georgia"/>
          <w:szCs w:val="24"/>
        </w:rPr>
        <w:footnoteReference w:id="15"/>
      </w:r>
      <w:r w:rsidR="00764FBD">
        <w:rPr>
          <w:rFonts w:ascii="Georgia" w:hAnsi="Georgia"/>
          <w:szCs w:val="24"/>
        </w:rPr>
        <w:t xml:space="preserve"> respecto de la </w:t>
      </w:r>
      <w:r>
        <w:rPr>
          <w:rFonts w:ascii="Georgia" w:hAnsi="Georgia"/>
          <w:szCs w:val="24"/>
        </w:rPr>
        <w:t xml:space="preserve">procedencia de la </w:t>
      </w:r>
      <w:r w:rsidR="00764FBD">
        <w:rPr>
          <w:rFonts w:ascii="Georgia" w:hAnsi="Georgia"/>
          <w:szCs w:val="24"/>
        </w:rPr>
        <w:t xml:space="preserve">tutela frente decisiones judiciales impartidas en un habeas corpus: </w:t>
      </w:r>
      <w:r w:rsidR="00764FBD" w:rsidRPr="00764FBD">
        <w:rPr>
          <w:rFonts w:ascii="Georgia" w:hAnsi="Georgia"/>
          <w:i/>
          <w:sz w:val="22"/>
          <w:szCs w:val="24"/>
        </w:rPr>
        <w:t xml:space="preserve">“(…) </w:t>
      </w:r>
      <w:r w:rsidR="00764FBD" w:rsidRPr="00764FBD">
        <w:rPr>
          <w:rFonts w:ascii="Georgia" w:hAnsi="Georgia"/>
          <w:i/>
          <w:iCs/>
          <w:sz w:val="22"/>
          <w:szCs w:val="24"/>
          <w:lang w:val="es-ES"/>
        </w:rPr>
        <w:t>Mediante la acción de tutela no puede volver a debatirse lo que se discutió en el marco del proceso de hábeas corpus, es decir, definir si existió una privación ilegal de la libertad, pero sí se puede examinar si las providencias que deciden un recurso de hábeas corpus, incurren en algún tipo de defecto que se traduzca en la violación de los derechos fundamentales de quien interpone la acción de tutela</w:t>
      </w:r>
      <w:r w:rsidR="00764FBD" w:rsidRPr="00764FBD">
        <w:rPr>
          <w:rFonts w:ascii="Georgia" w:hAnsi="Georgia"/>
          <w:i/>
          <w:sz w:val="22"/>
          <w:szCs w:val="24"/>
        </w:rPr>
        <w:t xml:space="preserve"> procedente (…)</w:t>
      </w:r>
      <w:r w:rsidR="00764FBD" w:rsidRPr="00764FBD">
        <w:rPr>
          <w:rFonts w:ascii="Georgia" w:hAnsi="Georgia"/>
          <w:sz w:val="22"/>
          <w:szCs w:val="24"/>
        </w:rPr>
        <w:t xml:space="preserve">. </w:t>
      </w:r>
    </w:p>
    <w:p w:rsidR="00764FBD" w:rsidRDefault="00764FBD" w:rsidP="003D24E8">
      <w:pPr>
        <w:pStyle w:val="Textoindependiente"/>
        <w:spacing w:line="360" w:lineRule="auto"/>
        <w:rPr>
          <w:rFonts w:ascii="Georgia" w:hAnsi="Georgia" w:cs="Arial"/>
          <w:szCs w:val="24"/>
        </w:rPr>
      </w:pPr>
    </w:p>
    <w:p w:rsidR="00921EC1" w:rsidRDefault="00FD1EEB" w:rsidP="00FD1EEB">
      <w:pPr>
        <w:widowControl/>
        <w:spacing w:line="360" w:lineRule="auto"/>
        <w:jc w:val="both"/>
        <w:rPr>
          <w:rFonts w:ascii="Georgia" w:hAnsi="Georgia" w:cs="Arial"/>
        </w:rPr>
      </w:pPr>
      <w:r>
        <w:rPr>
          <w:rFonts w:ascii="Georgia" w:hAnsi="Georgia" w:cs="Arial"/>
        </w:rPr>
        <w:t xml:space="preserve">Concluido </w:t>
      </w:r>
      <w:r w:rsidRPr="00BF019B">
        <w:rPr>
          <w:rFonts w:ascii="Georgia" w:hAnsi="Georgia" w:cs="Arial"/>
        </w:rPr>
        <w:t xml:space="preserve">el estudio de los requisitos generales, incumbe proseguir con la revisión de las causales especiales y en el caso concreto se </w:t>
      </w:r>
      <w:r>
        <w:rPr>
          <w:rFonts w:ascii="Georgia" w:hAnsi="Georgia" w:cs="Arial"/>
        </w:rPr>
        <w:t xml:space="preserve">circunscribe al defecto procedimental en que </w:t>
      </w:r>
      <w:r w:rsidR="00921EC1">
        <w:rPr>
          <w:rFonts w:ascii="Georgia" w:hAnsi="Georgia" w:cs="Arial"/>
        </w:rPr>
        <w:t xml:space="preserve">supuestamente </w:t>
      </w:r>
      <w:r>
        <w:rPr>
          <w:rFonts w:ascii="Georgia" w:hAnsi="Georgia" w:cs="Arial"/>
        </w:rPr>
        <w:t xml:space="preserve">incurrió el Juez </w:t>
      </w:r>
      <w:r w:rsidR="00921EC1">
        <w:rPr>
          <w:rFonts w:ascii="Georgia" w:hAnsi="Georgia" w:cs="Arial"/>
        </w:rPr>
        <w:t>accionando en la sentencia de segunda instancia que profirió en la acción de habeas corpus No.2017-00001-01. Ú</w:t>
      </w:r>
      <w:r>
        <w:rPr>
          <w:rFonts w:ascii="Georgia" w:hAnsi="Georgia" w:cs="Arial"/>
        </w:rPr>
        <w:t xml:space="preserve">nicamente se estudiará </w:t>
      </w:r>
      <w:r w:rsidR="00921EC1">
        <w:rPr>
          <w:rFonts w:ascii="Georgia" w:hAnsi="Georgia" w:cs="Arial"/>
        </w:rPr>
        <w:t xml:space="preserve">la mentada </w:t>
      </w:r>
      <w:r>
        <w:rPr>
          <w:rFonts w:ascii="Georgia" w:hAnsi="Georgia" w:cs="Arial"/>
        </w:rPr>
        <w:t xml:space="preserve">irregularidad, toda vez que se trata de la decisión que puso </w:t>
      </w:r>
      <w:r w:rsidR="00921EC1">
        <w:rPr>
          <w:rFonts w:ascii="Georgia" w:hAnsi="Georgia" w:cs="Arial"/>
        </w:rPr>
        <w:t xml:space="preserve">punto final a ese </w:t>
      </w:r>
      <w:r>
        <w:rPr>
          <w:rFonts w:ascii="Georgia" w:hAnsi="Georgia" w:cs="Arial"/>
        </w:rPr>
        <w:t>asunto</w:t>
      </w:r>
      <w:r w:rsidR="00921EC1">
        <w:rPr>
          <w:rFonts w:ascii="Georgia" w:hAnsi="Georgia" w:cs="Arial"/>
        </w:rPr>
        <w:t xml:space="preserve"> constitucional</w:t>
      </w:r>
      <w:r>
        <w:rPr>
          <w:rFonts w:ascii="Georgia" w:hAnsi="Georgia" w:cs="Arial"/>
        </w:rPr>
        <w:t xml:space="preserve">, </w:t>
      </w:r>
      <w:r w:rsidR="00921EC1">
        <w:rPr>
          <w:rFonts w:ascii="Georgia" w:hAnsi="Georgia" w:cs="Arial"/>
        </w:rPr>
        <w:t xml:space="preserve">además, el actor refiere que </w:t>
      </w:r>
      <w:r w:rsidR="00A0300F">
        <w:rPr>
          <w:rFonts w:ascii="Georgia" w:hAnsi="Georgia" w:cs="Arial"/>
        </w:rPr>
        <w:t xml:space="preserve">en ese </w:t>
      </w:r>
      <w:r w:rsidR="00921EC1">
        <w:rPr>
          <w:rFonts w:ascii="Georgia" w:hAnsi="Georgia" w:cs="Arial"/>
        </w:rPr>
        <w:t>mismo yerro se incurrió en la decisión de primera sede</w:t>
      </w:r>
      <w:r w:rsidR="00A0300F">
        <w:rPr>
          <w:rFonts w:ascii="Georgia" w:hAnsi="Georgia" w:cs="Arial"/>
        </w:rPr>
        <w:t xml:space="preserve"> (Hecho 14º del petitorio, visible a folio 5, ib.)</w:t>
      </w:r>
      <w:r w:rsidR="00921EC1">
        <w:rPr>
          <w:rFonts w:ascii="Georgia" w:hAnsi="Georgia" w:cs="Arial"/>
        </w:rPr>
        <w:t>.</w:t>
      </w:r>
    </w:p>
    <w:p w:rsidR="00921EC1" w:rsidRDefault="00921EC1" w:rsidP="00FD1EEB">
      <w:pPr>
        <w:widowControl/>
        <w:spacing w:line="360" w:lineRule="auto"/>
        <w:jc w:val="both"/>
        <w:rPr>
          <w:rFonts w:ascii="Georgia" w:hAnsi="Georgia" w:cs="Arial"/>
        </w:rPr>
      </w:pPr>
    </w:p>
    <w:p w:rsidR="008C0531" w:rsidRDefault="00921EC1" w:rsidP="00FD1EEB">
      <w:pPr>
        <w:widowControl/>
        <w:spacing w:line="360" w:lineRule="auto"/>
        <w:jc w:val="both"/>
        <w:rPr>
          <w:rFonts w:ascii="Georgia" w:hAnsi="Georgia" w:cs="Arial"/>
          <w:bCs/>
        </w:rPr>
      </w:pPr>
      <w:r>
        <w:rPr>
          <w:rFonts w:ascii="Georgia" w:hAnsi="Georgia" w:cs="Arial"/>
        </w:rPr>
        <w:t xml:space="preserve">Ahora, </w:t>
      </w:r>
      <w:r w:rsidR="00A0300F">
        <w:rPr>
          <w:rFonts w:ascii="Georgia" w:hAnsi="Georgia" w:cs="Arial"/>
        </w:rPr>
        <w:t xml:space="preserve">con fundamento en la jurisprudencia constitucional reseñada y </w:t>
      </w:r>
      <w:r>
        <w:rPr>
          <w:rFonts w:ascii="Georgia" w:hAnsi="Georgia" w:cs="Arial"/>
        </w:rPr>
        <w:t xml:space="preserve">sin </w:t>
      </w:r>
      <w:r w:rsidR="00A0300F">
        <w:rPr>
          <w:rFonts w:ascii="Georgia" w:hAnsi="Georgia" w:cs="Arial"/>
        </w:rPr>
        <w:t xml:space="preserve">que sea necesario </w:t>
      </w:r>
      <w:r>
        <w:rPr>
          <w:rFonts w:ascii="Georgia" w:hAnsi="Georgia" w:cs="Arial"/>
        </w:rPr>
        <w:t xml:space="preserve">hacer un examen exhaustivo, </w:t>
      </w:r>
      <w:r w:rsidR="00A0300F">
        <w:rPr>
          <w:rFonts w:ascii="Georgia" w:hAnsi="Georgia" w:cs="Arial"/>
        </w:rPr>
        <w:t xml:space="preserve">fácil </w:t>
      </w:r>
      <w:r>
        <w:rPr>
          <w:rFonts w:ascii="Georgia" w:hAnsi="Georgia" w:cs="Arial"/>
        </w:rPr>
        <w:t xml:space="preserve">advierte </w:t>
      </w:r>
      <w:r w:rsidR="00A0300F">
        <w:rPr>
          <w:rFonts w:ascii="Georgia" w:hAnsi="Georgia" w:cs="Arial"/>
        </w:rPr>
        <w:t xml:space="preserve">la </w:t>
      </w:r>
      <w:r>
        <w:rPr>
          <w:rFonts w:ascii="Georgia" w:hAnsi="Georgia" w:cs="Arial"/>
        </w:rPr>
        <w:t xml:space="preserve">Corporación que </w:t>
      </w:r>
      <w:r w:rsidR="00A0300F">
        <w:rPr>
          <w:rFonts w:ascii="Georgia" w:hAnsi="Georgia" w:cs="Arial"/>
        </w:rPr>
        <w:t xml:space="preserve">en </w:t>
      </w:r>
      <w:r>
        <w:rPr>
          <w:rFonts w:ascii="Georgia" w:hAnsi="Georgia" w:cs="Arial"/>
        </w:rPr>
        <w:t xml:space="preserve">el trámite del habeas corpus </w:t>
      </w:r>
      <w:r w:rsidR="00A0300F">
        <w:rPr>
          <w:rFonts w:ascii="Georgia" w:hAnsi="Georgia" w:cs="Arial"/>
        </w:rPr>
        <w:t xml:space="preserve">no </w:t>
      </w:r>
      <w:r w:rsidR="008C0531">
        <w:rPr>
          <w:rFonts w:ascii="Georgia" w:hAnsi="Georgia" w:cs="Arial"/>
          <w:bCs/>
        </w:rPr>
        <w:t xml:space="preserve">se incurrió </w:t>
      </w:r>
      <w:r w:rsidR="00A0300F">
        <w:rPr>
          <w:rFonts w:ascii="Georgia" w:hAnsi="Georgia" w:cs="Arial"/>
          <w:bCs/>
        </w:rPr>
        <w:t xml:space="preserve">por el accionado </w:t>
      </w:r>
      <w:r w:rsidR="008C0531">
        <w:rPr>
          <w:rFonts w:ascii="Georgia" w:hAnsi="Georgia" w:cs="Arial"/>
          <w:bCs/>
        </w:rPr>
        <w:t xml:space="preserve">en el defecto procedimental </w:t>
      </w:r>
      <w:r w:rsidR="00A0300F">
        <w:rPr>
          <w:rFonts w:ascii="Georgia" w:hAnsi="Georgia" w:cs="Arial"/>
          <w:bCs/>
        </w:rPr>
        <w:t>endilgado</w:t>
      </w:r>
      <w:r w:rsidR="009065C3">
        <w:rPr>
          <w:rFonts w:ascii="Georgia" w:hAnsi="Georgia" w:cs="Arial"/>
          <w:bCs/>
        </w:rPr>
        <w:t>,</w:t>
      </w:r>
      <w:r w:rsidR="00A0300F">
        <w:rPr>
          <w:rFonts w:ascii="Georgia" w:hAnsi="Georgia" w:cs="Arial"/>
          <w:bCs/>
        </w:rPr>
        <w:t xml:space="preserve"> </w:t>
      </w:r>
      <w:r w:rsidR="008C0531">
        <w:rPr>
          <w:rFonts w:ascii="Georgia" w:hAnsi="Georgia" w:cs="Arial"/>
          <w:bCs/>
        </w:rPr>
        <w:t xml:space="preserve">en </w:t>
      </w:r>
      <w:r w:rsidR="00A0300F">
        <w:rPr>
          <w:rFonts w:ascii="Georgia" w:hAnsi="Georgia" w:cs="Arial"/>
          <w:bCs/>
        </w:rPr>
        <w:t xml:space="preserve">ninguna </w:t>
      </w:r>
      <w:r w:rsidR="008C0531">
        <w:rPr>
          <w:rFonts w:ascii="Georgia" w:hAnsi="Georgia" w:cs="Arial"/>
          <w:bCs/>
        </w:rPr>
        <w:t xml:space="preserve">de </w:t>
      </w:r>
      <w:r w:rsidR="00A0300F">
        <w:rPr>
          <w:rFonts w:ascii="Georgia" w:hAnsi="Georgia" w:cs="Arial"/>
          <w:bCs/>
        </w:rPr>
        <w:t xml:space="preserve">sus </w:t>
      </w:r>
      <w:r w:rsidR="008C0531">
        <w:rPr>
          <w:rFonts w:ascii="Georgia" w:hAnsi="Georgia" w:cs="Arial"/>
          <w:bCs/>
        </w:rPr>
        <w:t xml:space="preserve">modalidades </w:t>
      </w:r>
      <w:r w:rsidR="00A0300F">
        <w:rPr>
          <w:rFonts w:ascii="Georgia" w:hAnsi="Georgia" w:cs="Arial"/>
          <w:bCs/>
        </w:rPr>
        <w:t xml:space="preserve">(Absoluto y exceso ritual manifiesto); </w:t>
      </w:r>
      <w:r w:rsidR="009065C3">
        <w:rPr>
          <w:rFonts w:ascii="Georgia" w:hAnsi="Georgia" w:cs="Arial"/>
          <w:bCs/>
        </w:rPr>
        <w:t xml:space="preserve">En efecto, el trámite </w:t>
      </w:r>
      <w:r w:rsidR="00A0300F">
        <w:rPr>
          <w:rFonts w:ascii="Georgia" w:hAnsi="Georgia" w:cs="Arial"/>
        </w:rPr>
        <w:t xml:space="preserve">se ciñó a las pautas procesales estatuidas en la </w:t>
      </w:r>
      <w:r w:rsidR="00A0300F">
        <w:rPr>
          <w:rFonts w:ascii="Georgia" w:hAnsi="Georgia" w:cs="Arial"/>
          <w:bCs/>
        </w:rPr>
        <w:t xml:space="preserve">Ley 1095, </w:t>
      </w:r>
      <w:r w:rsidR="009065C3">
        <w:rPr>
          <w:rFonts w:ascii="Georgia" w:hAnsi="Georgia" w:cs="Arial"/>
          <w:bCs/>
        </w:rPr>
        <w:t xml:space="preserve">puesto que </w:t>
      </w:r>
      <w:r w:rsidR="00A0300F">
        <w:rPr>
          <w:rFonts w:ascii="Georgia" w:hAnsi="Georgia" w:cs="Arial"/>
          <w:bCs/>
        </w:rPr>
        <w:t>no se pretermitió ninguna etapa procesal, se notificaron todas actuaciones adecuadamente, y</w:t>
      </w:r>
      <w:r w:rsidR="009065C3">
        <w:rPr>
          <w:rFonts w:ascii="Georgia" w:hAnsi="Georgia" w:cs="Arial"/>
          <w:bCs/>
        </w:rPr>
        <w:t>,</w:t>
      </w:r>
      <w:r w:rsidR="00A0300F">
        <w:rPr>
          <w:rFonts w:ascii="Georgia" w:hAnsi="Georgia" w:cs="Arial"/>
          <w:bCs/>
        </w:rPr>
        <w:t xml:space="preserve"> </w:t>
      </w:r>
      <w:r w:rsidR="009065C3">
        <w:rPr>
          <w:rFonts w:ascii="Georgia" w:hAnsi="Georgia" w:cs="Arial"/>
          <w:bCs/>
        </w:rPr>
        <w:t xml:space="preserve">menos </w:t>
      </w:r>
      <w:r w:rsidR="00A0300F">
        <w:rPr>
          <w:rFonts w:ascii="Georgia" w:hAnsi="Georgia" w:cs="Arial"/>
          <w:bCs/>
        </w:rPr>
        <w:t>se hizo prevalecer alguna formalidad procesal en desmedro de los derechos fundamentales del actor</w:t>
      </w:r>
      <w:r w:rsidR="008C0531">
        <w:rPr>
          <w:rFonts w:ascii="Georgia" w:hAnsi="Georgia" w:cs="Arial"/>
          <w:bCs/>
        </w:rPr>
        <w:t xml:space="preserve">. </w:t>
      </w:r>
    </w:p>
    <w:p w:rsidR="008C0531" w:rsidRDefault="008C0531" w:rsidP="00FD1EEB">
      <w:pPr>
        <w:widowControl/>
        <w:spacing w:line="360" w:lineRule="auto"/>
        <w:jc w:val="both"/>
        <w:rPr>
          <w:rFonts w:ascii="Georgia" w:hAnsi="Georgia" w:cs="Arial"/>
          <w:bCs/>
        </w:rPr>
      </w:pPr>
    </w:p>
    <w:p w:rsidR="00EB5066" w:rsidRPr="00921EC1" w:rsidRDefault="00235AE3" w:rsidP="003D24E8">
      <w:pPr>
        <w:pStyle w:val="Textoindependiente"/>
        <w:spacing w:line="360" w:lineRule="auto"/>
        <w:rPr>
          <w:rFonts w:ascii="Georgia" w:hAnsi="Georgia"/>
          <w:szCs w:val="24"/>
        </w:rPr>
      </w:pPr>
      <w:r>
        <w:rPr>
          <w:rFonts w:ascii="Georgia" w:hAnsi="Georgia"/>
          <w:szCs w:val="24"/>
        </w:rPr>
        <w:lastRenderedPageBreak/>
        <w:t>Pese a lo expuesto</w:t>
      </w:r>
      <w:r w:rsidR="00A0300F">
        <w:rPr>
          <w:rFonts w:ascii="Georgia" w:hAnsi="Georgia"/>
          <w:szCs w:val="24"/>
        </w:rPr>
        <w:t>, revisada la decisión cuestionada</w:t>
      </w:r>
      <w:r w:rsidR="00EB5066" w:rsidRPr="007E1840">
        <w:rPr>
          <w:rFonts w:ascii="Georgia" w:hAnsi="Georgia"/>
          <w:szCs w:val="24"/>
        </w:rPr>
        <w:t xml:space="preserve">, </w:t>
      </w:r>
      <w:r w:rsidR="008C0531">
        <w:rPr>
          <w:rFonts w:ascii="Georgia" w:hAnsi="Georgia"/>
          <w:szCs w:val="24"/>
        </w:rPr>
        <w:t xml:space="preserve">se tiene que </w:t>
      </w:r>
      <w:r w:rsidR="00A0300F">
        <w:rPr>
          <w:rFonts w:ascii="Georgia" w:hAnsi="Georgia"/>
          <w:szCs w:val="24"/>
        </w:rPr>
        <w:t>el accionado dio aplicación del artículo 317-4º, CPP, con apoyo en jurisprudencia de la Sala de Casación Penal de la CSJ</w:t>
      </w:r>
      <w:r w:rsidR="00A0300F">
        <w:rPr>
          <w:rStyle w:val="Refdenotaalpie"/>
          <w:rFonts w:ascii="Georgia" w:hAnsi="Georgia"/>
          <w:szCs w:val="24"/>
        </w:rPr>
        <w:footnoteReference w:id="16"/>
      </w:r>
      <w:r w:rsidR="00A0300F">
        <w:rPr>
          <w:rFonts w:ascii="Georgia" w:hAnsi="Georgia"/>
          <w:szCs w:val="24"/>
        </w:rPr>
        <w:t xml:space="preserve">; </w:t>
      </w:r>
      <w:r>
        <w:rPr>
          <w:rFonts w:ascii="Georgia" w:hAnsi="Georgia"/>
          <w:szCs w:val="24"/>
        </w:rPr>
        <w:t xml:space="preserve">allí </w:t>
      </w:r>
      <w:r w:rsidR="00A0300F">
        <w:rPr>
          <w:rFonts w:ascii="Georgia" w:hAnsi="Georgia"/>
          <w:szCs w:val="24"/>
        </w:rPr>
        <w:t xml:space="preserve">refirió </w:t>
      </w:r>
      <w:r w:rsidR="00EB5066" w:rsidRPr="007E1840">
        <w:rPr>
          <w:rFonts w:ascii="Georgia" w:hAnsi="Georgia"/>
          <w:szCs w:val="24"/>
        </w:rPr>
        <w:t>que todas las decisiones controvertidas se fundaron en precedente</w:t>
      </w:r>
      <w:r w:rsidR="00A0300F">
        <w:rPr>
          <w:rFonts w:ascii="Georgia" w:hAnsi="Georgia"/>
          <w:szCs w:val="24"/>
        </w:rPr>
        <w:t xml:space="preserve"> </w:t>
      </w:r>
      <w:r>
        <w:rPr>
          <w:rFonts w:ascii="Georgia" w:hAnsi="Georgia"/>
          <w:szCs w:val="24"/>
        </w:rPr>
        <w:t xml:space="preserve">perfectamente </w:t>
      </w:r>
      <w:r w:rsidR="007E1840" w:rsidRPr="007E1840">
        <w:rPr>
          <w:rFonts w:ascii="Georgia" w:hAnsi="Georgia"/>
          <w:szCs w:val="24"/>
        </w:rPr>
        <w:t>aplicable</w:t>
      </w:r>
      <w:r w:rsidR="007E1840">
        <w:rPr>
          <w:rFonts w:ascii="Georgia" w:hAnsi="Georgia"/>
          <w:szCs w:val="24"/>
        </w:rPr>
        <w:t>,</w:t>
      </w:r>
      <w:r w:rsidR="007E1840" w:rsidRPr="007E1840">
        <w:rPr>
          <w:rFonts w:ascii="Georgia" w:hAnsi="Georgia"/>
          <w:szCs w:val="24"/>
        </w:rPr>
        <w:t xml:space="preserve"> </w:t>
      </w:r>
      <w:r w:rsidR="007E1840" w:rsidRPr="007E1840">
        <w:rPr>
          <w:rFonts w:ascii="Georgia" w:hAnsi="Georgia"/>
          <w:i/>
          <w:sz w:val="22"/>
          <w:szCs w:val="24"/>
        </w:rPr>
        <w:t xml:space="preserve">“(…) pues aquí </w:t>
      </w:r>
      <w:r w:rsidR="001900DA" w:rsidRPr="007E1840">
        <w:rPr>
          <w:rFonts w:ascii="Georgia" w:hAnsi="Georgia"/>
          <w:i/>
          <w:sz w:val="22"/>
          <w:szCs w:val="24"/>
        </w:rPr>
        <w:t>también</w:t>
      </w:r>
      <w:r w:rsidR="007E1840" w:rsidRPr="007E1840">
        <w:rPr>
          <w:rFonts w:ascii="Georgia" w:hAnsi="Georgia"/>
          <w:i/>
          <w:sz w:val="22"/>
          <w:szCs w:val="24"/>
        </w:rPr>
        <w:t xml:space="preserve"> se había </w:t>
      </w:r>
      <w:r w:rsidR="001900DA" w:rsidRPr="007E1840">
        <w:rPr>
          <w:rFonts w:ascii="Georgia" w:hAnsi="Georgia"/>
          <w:i/>
          <w:sz w:val="22"/>
          <w:szCs w:val="24"/>
        </w:rPr>
        <w:t>superado</w:t>
      </w:r>
      <w:r w:rsidR="007E1840" w:rsidRPr="007E1840">
        <w:rPr>
          <w:rFonts w:ascii="Georgia" w:hAnsi="Georgia"/>
          <w:i/>
          <w:sz w:val="22"/>
          <w:szCs w:val="24"/>
        </w:rPr>
        <w:t xml:space="preserve"> el hecho que materializó de manera objetiva la causal de libertad invocada por el actor, cual es la no presentación del escrito de acusación por parte del Ente Investigador dentro de los 120 días posteriores a la formulación de imputación; el cual se repite, se presentó el día anterior a la audiencia que resolvió en primera instancia la solicitud de libertad ante el juez de control de garantías (…)”</w:t>
      </w:r>
      <w:r w:rsidR="007E1840" w:rsidRPr="007E1840">
        <w:rPr>
          <w:rFonts w:ascii="Georgia" w:hAnsi="Georgia"/>
          <w:szCs w:val="24"/>
        </w:rPr>
        <w:t xml:space="preserve">  </w:t>
      </w:r>
      <w:r w:rsidR="007E1840">
        <w:rPr>
          <w:rFonts w:ascii="Georgia" w:hAnsi="Georgia"/>
          <w:sz w:val="22"/>
          <w:szCs w:val="24"/>
        </w:rPr>
        <w:t>(Folios 79 vuelto a 81, ibídem).</w:t>
      </w:r>
    </w:p>
    <w:p w:rsidR="007E1840" w:rsidRPr="001900DA" w:rsidRDefault="007E1840" w:rsidP="003D24E8">
      <w:pPr>
        <w:pStyle w:val="Textoindependiente"/>
        <w:spacing w:line="360" w:lineRule="auto"/>
        <w:rPr>
          <w:rFonts w:ascii="Georgia" w:hAnsi="Georgia"/>
          <w:szCs w:val="24"/>
        </w:rPr>
      </w:pPr>
    </w:p>
    <w:p w:rsidR="00B921B8" w:rsidRDefault="009065C3" w:rsidP="008743C9">
      <w:pPr>
        <w:pStyle w:val="Textoindependiente"/>
        <w:spacing w:line="360" w:lineRule="auto"/>
        <w:rPr>
          <w:rFonts w:ascii="Georgia" w:hAnsi="Georgia"/>
          <w:szCs w:val="24"/>
        </w:rPr>
      </w:pPr>
      <w:r>
        <w:rPr>
          <w:rFonts w:ascii="Georgia" w:hAnsi="Georgia"/>
          <w:szCs w:val="24"/>
          <w:lang w:val="es-CO"/>
        </w:rPr>
        <w:t>Se c</w:t>
      </w:r>
      <w:r w:rsidR="00235AE3">
        <w:rPr>
          <w:rFonts w:ascii="Georgia" w:hAnsi="Georgia"/>
          <w:szCs w:val="24"/>
          <w:lang w:val="es-CO"/>
        </w:rPr>
        <w:t xml:space="preserve">omparta o no la tesis planteada por el accionado, lo cierto </w:t>
      </w:r>
      <w:r>
        <w:rPr>
          <w:rFonts w:ascii="Georgia" w:hAnsi="Georgia"/>
          <w:szCs w:val="24"/>
          <w:lang w:val="es-CO"/>
        </w:rPr>
        <w:t xml:space="preserve">es que luce </w:t>
      </w:r>
      <w:r w:rsidR="00235AE3">
        <w:rPr>
          <w:rFonts w:ascii="Georgia" w:hAnsi="Georgia"/>
          <w:szCs w:val="24"/>
          <w:lang w:val="es-CO"/>
        </w:rPr>
        <w:t xml:space="preserve">razonable, en la medida que se soporta en fundamentos jurídicos claros, aplicables al caso concreto, y en jurisprudencia reciente </w:t>
      </w:r>
      <w:r w:rsidR="00235AE3">
        <w:rPr>
          <w:rFonts w:ascii="Georgia" w:hAnsi="Georgia"/>
          <w:szCs w:val="24"/>
        </w:rPr>
        <w:t>de la Sala de Casación Penal de la CSJ, que es órgano de cierre en esa materia</w:t>
      </w:r>
      <w:r w:rsidR="00402EE0">
        <w:rPr>
          <w:rFonts w:ascii="Georgia" w:hAnsi="Georgia"/>
          <w:szCs w:val="24"/>
        </w:rPr>
        <w:t>.</w:t>
      </w:r>
      <w:r w:rsidR="00B921B8">
        <w:rPr>
          <w:rFonts w:ascii="Georgia" w:hAnsi="Georgia"/>
          <w:szCs w:val="24"/>
        </w:rPr>
        <w:t xml:space="preserve"> </w:t>
      </w:r>
    </w:p>
    <w:p w:rsidR="00235AE3" w:rsidRDefault="00235AE3" w:rsidP="008743C9">
      <w:pPr>
        <w:pStyle w:val="Textoindependiente"/>
        <w:spacing w:line="360" w:lineRule="auto"/>
        <w:rPr>
          <w:rFonts w:ascii="Georgia" w:hAnsi="Georgia"/>
          <w:szCs w:val="24"/>
        </w:rPr>
      </w:pPr>
    </w:p>
    <w:p w:rsidR="00FF5B57" w:rsidRPr="001E5B6B" w:rsidRDefault="007B7681" w:rsidP="008743C9">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1900DA" w:rsidRDefault="00DB4A91" w:rsidP="00DB4A91">
      <w:pPr>
        <w:pStyle w:val="Textoindependiente"/>
        <w:spacing w:line="360" w:lineRule="auto"/>
        <w:ind w:left="400"/>
        <w:rPr>
          <w:rFonts w:ascii="Georgia" w:hAnsi="Georgia"/>
          <w:smallCaps/>
          <w:szCs w:val="24"/>
        </w:rPr>
      </w:pPr>
    </w:p>
    <w:p w:rsidR="008743C9" w:rsidRDefault="00DB4A91" w:rsidP="008743C9">
      <w:pPr>
        <w:pStyle w:val="Textoindependiente"/>
        <w:spacing w:line="360" w:lineRule="auto"/>
        <w:rPr>
          <w:rFonts w:ascii="Georgia" w:hAnsi="Georgia" w:cs="Arial"/>
          <w:szCs w:val="24"/>
        </w:rPr>
      </w:pPr>
      <w:r w:rsidRPr="001E5B6B">
        <w:rPr>
          <w:rFonts w:ascii="Georgia" w:hAnsi="Georgia" w:cs="Arial"/>
        </w:rPr>
        <w:t xml:space="preserve">Con fundamento en las consideraciones expuestas </w:t>
      </w:r>
      <w:r w:rsidR="00FE5CDD">
        <w:rPr>
          <w:rFonts w:ascii="Georgia" w:hAnsi="Georgia" w:cs="Arial"/>
        </w:rPr>
        <w:t xml:space="preserve">se </w:t>
      </w:r>
      <w:r w:rsidR="009065C3">
        <w:rPr>
          <w:rFonts w:ascii="Georgia" w:hAnsi="Georgia" w:cs="Arial"/>
        </w:rPr>
        <w:t xml:space="preserve">negará </w:t>
      </w:r>
      <w:r w:rsidR="001236E9">
        <w:rPr>
          <w:rFonts w:ascii="Georgia" w:hAnsi="Georgia" w:cs="Arial"/>
        </w:rPr>
        <w:t>el amparo constitucional</w:t>
      </w:r>
      <w:r w:rsidR="008743C9">
        <w:rPr>
          <w:rFonts w:ascii="Georgia" w:hAnsi="Georgia" w:cs="Arial"/>
        </w:rPr>
        <w:t xml:space="preserve">,  por  </w:t>
      </w:r>
      <w:r w:rsidR="009065C3">
        <w:rPr>
          <w:rFonts w:ascii="Georgia" w:hAnsi="Georgia" w:cs="Arial"/>
        </w:rPr>
        <w:t>la manifiesta ausencia del defecto procedimental en la decisión de segunda instancia data el 20-12-2017</w:t>
      </w:r>
      <w:r w:rsidR="008743C9">
        <w:rPr>
          <w:rFonts w:ascii="Georgia" w:hAnsi="Georgia" w:cs="Arial"/>
          <w:szCs w:val="24"/>
        </w:rPr>
        <w:t>.</w:t>
      </w:r>
    </w:p>
    <w:p w:rsidR="00DB4A91" w:rsidRPr="005D3954" w:rsidRDefault="00DB4A91" w:rsidP="00DB4A91">
      <w:pPr>
        <w:pStyle w:val="Textoindependiente"/>
        <w:spacing w:line="360" w:lineRule="auto"/>
        <w:rPr>
          <w:rFonts w:ascii="Georgia" w:hAnsi="Georgia" w:cs="Arial"/>
          <w:szCs w:val="24"/>
          <w:lang w:val="es-CO"/>
        </w:rPr>
      </w:pPr>
    </w:p>
    <w:p w:rsidR="008743C9" w:rsidRDefault="008743C9" w:rsidP="008743C9">
      <w:pPr>
        <w:pStyle w:val="Textoindependiente"/>
        <w:spacing w:line="360" w:lineRule="auto"/>
        <w:rPr>
          <w:rFonts w:ascii="Georgia" w:hAnsi="Georgia" w:cs="Arial"/>
          <w:spacing w:val="0"/>
          <w:szCs w:val="24"/>
          <w:lang w:val="es-ES"/>
        </w:rPr>
      </w:pPr>
      <w:r w:rsidRPr="006D2299">
        <w:rPr>
          <w:rFonts w:ascii="Georgia" w:hAnsi="Georgia" w:cs="Arial"/>
          <w:spacing w:val="0"/>
          <w:szCs w:val="24"/>
          <w:lang w:val="es-ES"/>
        </w:rPr>
        <w:t xml:space="preserve">En mérito de lo razonado, el </w:t>
      </w:r>
      <w:r w:rsidRPr="006D2299">
        <w:rPr>
          <w:rFonts w:ascii="Georgia" w:hAnsi="Georgia" w:cs="Arial"/>
          <w:bCs/>
          <w:smallCaps/>
          <w:spacing w:val="0"/>
          <w:szCs w:val="24"/>
          <w:lang w:val="es-ES"/>
        </w:rPr>
        <w:t>Tribunal Superior del Distrito Judicial de Pereira, Sala de Asuntos Penales para Adolescentes No.4</w:t>
      </w:r>
      <w:r w:rsidRPr="006D2299">
        <w:rPr>
          <w:rFonts w:ascii="Georgia" w:hAnsi="Georgia" w:cs="Arial"/>
          <w:smallCaps/>
          <w:spacing w:val="0"/>
          <w:szCs w:val="24"/>
          <w:lang w:val="es-ES"/>
        </w:rPr>
        <w:t>,</w:t>
      </w:r>
      <w:r w:rsidRPr="006D2299">
        <w:rPr>
          <w:rFonts w:ascii="Georgia" w:hAnsi="Georgia" w:cs="Arial"/>
          <w:spacing w:val="0"/>
          <w:szCs w:val="24"/>
          <w:lang w:val="es-ES"/>
        </w:rPr>
        <w:t xml:space="preserve"> administrando Justicia, en nombre de la República y por autoridad de la Ley</w:t>
      </w:r>
    </w:p>
    <w:p w:rsidR="005D3954" w:rsidRDefault="005D3954" w:rsidP="00FF5B57">
      <w:pPr>
        <w:pStyle w:val="Textoindependiente"/>
        <w:spacing w:line="360" w:lineRule="auto"/>
        <w:jc w:val="center"/>
        <w:rPr>
          <w:rFonts w:ascii="Georgia" w:hAnsi="Georgia" w:cs="Arial"/>
          <w:bCs/>
          <w:smallCaps/>
          <w:szCs w:val="24"/>
        </w:rPr>
      </w:pP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F A L L A,</w:t>
      </w:r>
    </w:p>
    <w:p w:rsidR="001236E9" w:rsidRPr="006B3213" w:rsidRDefault="001236E9" w:rsidP="00FF5B57">
      <w:pPr>
        <w:pStyle w:val="Textoindependiente"/>
        <w:spacing w:line="360" w:lineRule="auto"/>
        <w:jc w:val="center"/>
        <w:rPr>
          <w:rFonts w:ascii="Georgia" w:hAnsi="Georgia" w:cs="Arial"/>
          <w:bCs/>
          <w:smallCaps/>
          <w:szCs w:val="24"/>
        </w:rPr>
      </w:pPr>
    </w:p>
    <w:p w:rsidR="002C127D" w:rsidRPr="009065C3" w:rsidRDefault="009065C3"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w:t>
      </w:r>
      <w:r w:rsidR="001236E9">
        <w:rPr>
          <w:rFonts w:ascii="Georgia" w:hAnsi="Georgia" w:cs="Arial"/>
        </w:rPr>
        <w:t xml:space="preserve">la acción de tutela presentada por el </w:t>
      </w:r>
      <w:r w:rsidR="00DB4A91" w:rsidRPr="001E5B6B">
        <w:rPr>
          <w:rFonts w:ascii="Georgia" w:hAnsi="Georgia" w:cs="Arial"/>
        </w:rPr>
        <w:t xml:space="preserve">señor </w:t>
      </w:r>
      <w:r w:rsidR="001900DA">
        <w:rPr>
          <w:rFonts w:ascii="Georgia" w:hAnsi="Georgia" w:cs="Arial"/>
        </w:rPr>
        <w:t xml:space="preserve">Carlos Mario Zapata Hernández </w:t>
      </w:r>
      <w:r w:rsidR="001236E9">
        <w:rPr>
          <w:rFonts w:ascii="Georgia" w:hAnsi="Georgia" w:cs="Arial"/>
        </w:rPr>
        <w:t xml:space="preserve">contra </w:t>
      </w:r>
      <w:r w:rsidR="001900DA">
        <w:rPr>
          <w:rFonts w:ascii="Georgia" w:hAnsi="Georgia" w:cs="Arial"/>
        </w:rPr>
        <w:t>los Juzgados Segundo Penal Municipal para Adolecentes con función de control de garantías y Primero Penal del Circuito para Adolescentes con función de conocimiento locales</w:t>
      </w:r>
      <w:r w:rsidR="004E5DB7" w:rsidRPr="001E5B6B">
        <w:rPr>
          <w:rFonts w:ascii="Georgia" w:hAnsi="Georgia" w:cs="Arial"/>
          <w:lang w:val="es-CO"/>
        </w:rPr>
        <w:t>.</w:t>
      </w:r>
    </w:p>
    <w:p w:rsidR="009065C3" w:rsidRPr="001236E9" w:rsidRDefault="009065C3" w:rsidP="009065C3">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FF5B57" w:rsidRPr="001E5B6B" w:rsidRDefault="00FF5B57" w:rsidP="00FF5B57">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6B3213" w:rsidRDefault="001236E9" w:rsidP="001236E9">
      <w:pPr>
        <w:pStyle w:val="Prrafodelista"/>
        <w:widowControl/>
        <w:autoSpaceDE/>
        <w:autoSpaceDN/>
        <w:adjustRightInd/>
        <w:spacing w:line="360" w:lineRule="auto"/>
        <w:ind w:left="360" w:right="51"/>
        <w:contextualSpacing/>
        <w:jc w:val="both"/>
        <w:rPr>
          <w:rFonts w:ascii="Georgia" w:hAnsi="Georgia"/>
        </w:rPr>
      </w:pPr>
    </w:p>
    <w:p w:rsidR="00FF5B57" w:rsidRPr="001E5B6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1E5B6B" w:rsidRDefault="00626C89" w:rsidP="00FF5B57">
      <w:pPr>
        <w:pStyle w:val="Prrafodelista"/>
        <w:widowControl/>
        <w:autoSpaceDE/>
        <w:autoSpaceDN/>
        <w:adjustRightInd/>
        <w:spacing w:line="360" w:lineRule="auto"/>
        <w:ind w:left="360" w:right="51"/>
        <w:contextualSpacing/>
        <w:jc w:val="both"/>
        <w:rPr>
          <w:rFonts w:ascii="Georgia" w:hAnsi="Georgia"/>
          <w:sz w:val="16"/>
        </w:rPr>
      </w:pPr>
    </w:p>
    <w:p w:rsidR="00DA569C" w:rsidRDefault="00797D25" w:rsidP="00417DA5">
      <w:pPr>
        <w:pStyle w:val="Textoindependiente"/>
        <w:spacing w:line="360" w:lineRule="auto"/>
        <w:jc w:val="center"/>
        <w:rPr>
          <w:rFonts w:ascii="Georgia" w:hAnsi="Georgia"/>
          <w:sz w:val="22"/>
          <w:szCs w:val="24"/>
          <w:lang w:val="en-US"/>
        </w:rPr>
      </w:pPr>
      <w:r w:rsidRPr="001E5B6B">
        <w:rPr>
          <w:rFonts w:ascii="Georgia" w:hAnsi="Georgia"/>
          <w:smallCaps/>
          <w:szCs w:val="24"/>
          <w:lang w:val="en-US"/>
        </w:rPr>
        <w:t>NOTIFÍQUESE,</w:t>
      </w:r>
    </w:p>
    <w:p w:rsidR="00FE5CDD" w:rsidRDefault="00FE5CDD" w:rsidP="00FE5C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28"/>
          <w:lang w:val="en-US"/>
        </w:rPr>
      </w:pPr>
    </w:p>
    <w:p w:rsidR="00FE5CDD" w:rsidRDefault="00FE5CDD" w:rsidP="00FE5C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lang w:val="en-US"/>
        </w:rPr>
      </w:pPr>
    </w:p>
    <w:p w:rsidR="006B3213" w:rsidRPr="006B3213" w:rsidRDefault="006B3213" w:rsidP="00FE5C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36"/>
          <w:lang w:val="en-US"/>
        </w:rPr>
      </w:pP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FE5CDD" w:rsidRDefault="00FE5CDD"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E5CDD" w:rsidRPr="00FE5CDD" w:rsidRDefault="00FE5CDD"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008743C9">
        <w:rPr>
          <w:rFonts w:ascii="Georgia" w:hAnsi="Georgia"/>
          <w:i/>
          <w:w w:val="150"/>
          <w:sz w:val="28"/>
          <w:szCs w:val="18"/>
          <w:lang w:val="en-US"/>
        </w:rPr>
        <w:t xml:space="preserve">  </w:t>
      </w:r>
      <w:r w:rsidR="008743C9">
        <w:rPr>
          <w:rFonts w:ascii="Georgia" w:hAnsi="Georgia" w:cs="Arial"/>
          <w:i/>
          <w:spacing w:val="-3"/>
          <w:w w:val="150"/>
          <w:sz w:val="28"/>
          <w:szCs w:val="18"/>
          <w:lang w:val="en-US"/>
        </w:rPr>
        <w:t>M</w:t>
      </w:r>
      <w:r w:rsidR="008743C9">
        <w:rPr>
          <w:rFonts w:ascii="Georgia" w:hAnsi="Georgia" w:cs="Arial"/>
          <w:i/>
          <w:spacing w:val="-3"/>
          <w:w w:val="150"/>
          <w:sz w:val="18"/>
          <w:szCs w:val="18"/>
          <w:lang w:val="en-US"/>
        </w:rPr>
        <w:t xml:space="preserve">ANUEL </w:t>
      </w:r>
      <w:r w:rsidR="008743C9">
        <w:rPr>
          <w:rFonts w:ascii="Georgia" w:hAnsi="Georgia" w:cs="Arial"/>
          <w:i/>
          <w:spacing w:val="-3"/>
          <w:w w:val="150"/>
          <w:sz w:val="28"/>
          <w:szCs w:val="18"/>
          <w:lang w:val="en-US"/>
        </w:rPr>
        <w:t>Y</w:t>
      </w:r>
      <w:r w:rsidR="008743C9">
        <w:rPr>
          <w:rFonts w:ascii="Georgia" w:hAnsi="Georgia"/>
          <w:i/>
          <w:w w:val="150"/>
          <w:sz w:val="18"/>
          <w:szCs w:val="18"/>
          <w:lang w:val="en-US"/>
        </w:rPr>
        <w:t xml:space="preserve">ARZAGARAY </w:t>
      </w:r>
      <w:r w:rsidR="008743C9" w:rsidRPr="00D92ABD">
        <w:rPr>
          <w:rFonts w:ascii="Georgia" w:hAnsi="Georgia"/>
          <w:i/>
          <w:w w:val="150"/>
          <w:sz w:val="18"/>
          <w:szCs w:val="18"/>
          <w:lang w:val="en-US"/>
        </w:rPr>
        <w:t xml:space="preserve"> </w:t>
      </w:r>
      <w:r w:rsidR="008743C9">
        <w:rPr>
          <w:rFonts w:ascii="Georgia" w:hAnsi="Georgia" w:cs="Arial"/>
          <w:i/>
          <w:spacing w:val="-3"/>
          <w:w w:val="150"/>
          <w:sz w:val="28"/>
          <w:szCs w:val="18"/>
          <w:lang w:val="en-US"/>
        </w:rPr>
        <w:t>B</w:t>
      </w:r>
      <w:r w:rsidRPr="001E5B6B">
        <w:rPr>
          <w:rFonts w:ascii="Georgia" w:hAnsi="Georgia" w:cs="Arial"/>
          <w:i/>
          <w:spacing w:val="-3"/>
          <w:w w:val="150"/>
          <w:sz w:val="28"/>
          <w:szCs w:val="18"/>
          <w:lang w:val="en-US"/>
        </w:rPr>
        <w:t>.</w:t>
      </w:r>
    </w:p>
    <w:p w:rsidR="001E5B6B" w:rsidRPr="00FE5CDD"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sectPr w:rsidR="001E5B6B" w:rsidSect="009404D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51" w:rsidRDefault="00470351" w:rsidP="0099045D">
      <w:r>
        <w:separator/>
      </w:r>
    </w:p>
  </w:endnote>
  <w:endnote w:type="continuationSeparator" w:id="0">
    <w:p w:rsidR="00470351" w:rsidRDefault="0047035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EB" w:rsidRPr="009404D7" w:rsidRDefault="00FD1EEB"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FD1EEB" w:rsidRPr="001E5B6B" w:rsidRDefault="00FD1EEB" w:rsidP="0013771A">
    <w:pPr>
      <w:pStyle w:val="Piedepgina"/>
      <w:spacing w:line="360" w:lineRule="auto"/>
      <w:jc w:val="right"/>
      <w:rPr>
        <w:rFonts w:ascii="Georgia" w:hAnsi="Georgia" w:cs="Arial"/>
        <w:spacing w:val="20"/>
        <w:w w:val="200"/>
        <w:sz w:val="14"/>
        <w:szCs w:val="10"/>
        <w:lang w:val="es-CO"/>
      </w:rPr>
    </w:pPr>
  </w:p>
  <w:p w:rsidR="00FD1EEB" w:rsidRPr="001E5B6B" w:rsidRDefault="00FD1EEB"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FD1EEB" w:rsidRPr="001E5B6B" w:rsidRDefault="00FD1EEB"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51" w:rsidRDefault="00470351" w:rsidP="0099045D">
      <w:r>
        <w:separator/>
      </w:r>
    </w:p>
  </w:footnote>
  <w:footnote w:type="continuationSeparator" w:id="0">
    <w:p w:rsidR="00470351" w:rsidRDefault="00470351" w:rsidP="0099045D">
      <w:r>
        <w:continuationSeparator/>
      </w:r>
    </w:p>
  </w:footnote>
  <w:footnote w:id="1">
    <w:p w:rsidR="00FD1EEB" w:rsidRPr="005D3954" w:rsidRDefault="00FD1EEB" w:rsidP="00FD1EEB">
      <w:pPr>
        <w:pStyle w:val="Textonotapie"/>
        <w:jc w:val="both"/>
      </w:pPr>
      <w:r w:rsidRPr="005D3954">
        <w:rPr>
          <w:rStyle w:val="Refdenotaalpie"/>
        </w:rPr>
        <w:footnoteRef/>
      </w:r>
      <w:r w:rsidRPr="005D3954">
        <w:t xml:space="preserve"> QUINCHE R., Manuel F. Vías de hecho, acción de tutela contra providencias, Editorial Temis SA, Bogotá, 2013, p.103.</w:t>
      </w:r>
    </w:p>
  </w:footnote>
  <w:footnote w:id="2">
    <w:p w:rsidR="00FD1EEB" w:rsidRPr="005D3954" w:rsidRDefault="00FD1EEB" w:rsidP="00FD1EEB">
      <w:pPr>
        <w:pStyle w:val="Textonotapie"/>
        <w:jc w:val="both"/>
      </w:pPr>
      <w:r w:rsidRPr="005D3954">
        <w:rPr>
          <w:rStyle w:val="Refdenotaalpie"/>
        </w:rPr>
        <w:footnoteRef/>
      </w:r>
      <w:r w:rsidRPr="005D3954">
        <w:t xml:space="preserve"> QUIROGA N., Édgar A. Tutela contra decisiones judiciales, Universidad Santo Tomás y editorial Ibáñez, Bogotá DC, 2014, p.83.</w:t>
      </w:r>
    </w:p>
  </w:footnote>
  <w:footnote w:id="3">
    <w:p w:rsidR="00FD1EEB" w:rsidRPr="005D3954" w:rsidRDefault="00FD1EEB" w:rsidP="00FD1EEB">
      <w:pPr>
        <w:pStyle w:val="Textonotapie"/>
        <w:jc w:val="both"/>
      </w:pPr>
      <w:r w:rsidRPr="005D3954">
        <w:rPr>
          <w:rStyle w:val="Refdenotaalpie"/>
        </w:rPr>
        <w:footnoteRef/>
      </w:r>
      <w:r w:rsidRPr="005D3954">
        <w:t xml:space="preserve"> </w:t>
      </w:r>
      <w:r w:rsidRPr="005D3954">
        <w:rPr>
          <w:lang w:val="es-MX"/>
        </w:rPr>
        <w:t>CC. T-917 de 2011.</w:t>
      </w:r>
    </w:p>
  </w:footnote>
  <w:footnote w:id="4">
    <w:p w:rsidR="00FD1EEB" w:rsidRPr="005D3954" w:rsidRDefault="00FD1EEB" w:rsidP="00FD1EEB">
      <w:pPr>
        <w:pStyle w:val="Textonotapie"/>
        <w:jc w:val="both"/>
      </w:pPr>
      <w:r w:rsidRPr="005D3954">
        <w:rPr>
          <w:rStyle w:val="Refdenotaalpie"/>
        </w:rPr>
        <w:footnoteRef/>
      </w:r>
      <w:r w:rsidRPr="005D3954">
        <w:rPr>
          <w:lang w:val="es-MX"/>
        </w:rPr>
        <w:t xml:space="preserve"> CC. C-590 de 2005.</w:t>
      </w:r>
    </w:p>
  </w:footnote>
  <w:footnote w:id="5">
    <w:p w:rsidR="00FD1EEB" w:rsidRPr="005D3954" w:rsidRDefault="00FD1EEB" w:rsidP="00FD1EEB">
      <w:pPr>
        <w:pStyle w:val="Textonotapie"/>
        <w:jc w:val="both"/>
      </w:pPr>
      <w:r w:rsidRPr="005D3954">
        <w:rPr>
          <w:rStyle w:val="Refdenotaalpie"/>
        </w:rPr>
        <w:footnoteRef/>
      </w:r>
      <w:r w:rsidRPr="005D3954">
        <w:rPr>
          <w:lang w:val="es-MX"/>
        </w:rPr>
        <w:t xml:space="preserve"> CC. </w:t>
      </w:r>
      <w:r w:rsidRPr="005D3954">
        <w:rPr>
          <w:bCs/>
        </w:rPr>
        <w:t xml:space="preserve">SU-222 de 2016 y </w:t>
      </w:r>
      <w:r w:rsidRPr="005D3954">
        <w:rPr>
          <w:bCs/>
          <w:lang w:val="es-ES_tradnl"/>
        </w:rPr>
        <w:t>T-137 de 2017</w:t>
      </w:r>
      <w:r w:rsidRPr="005D3954">
        <w:rPr>
          <w:lang w:val="es-MX"/>
        </w:rPr>
        <w:t>.</w:t>
      </w:r>
    </w:p>
  </w:footnote>
  <w:footnote w:id="6">
    <w:p w:rsidR="00FD1EEB" w:rsidRPr="005D3954" w:rsidRDefault="00FD1EEB" w:rsidP="00FD1EEB">
      <w:pPr>
        <w:pStyle w:val="Textonotapie"/>
        <w:rPr>
          <w:lang w:val="es-CO"/>
        </w:rPr>
      </w:pPr>
      <w:r w:rsidRPr="005D3954">
        <w:rPr>
          <w:rStyle w:val="Refdenotaalpie"/>
        </w:rPr>
        <w:footnoteRef/>
      </w:r>
      <w:r w:rsidRPr="005D3954">
        <w:t xml:space="preserve"> </w:t>
      </w:r>
      <w:r w:rsidRPr="005D3954">
        <w:rPr>
          <w:lang w:val="es-MX"/>
        </w:rPr>
        <w:t>CC. T-307 de 2015.</w:t>
      </w:r>
    </w:p>
  </w:footnote>
  <w:footnote w:id="7">
    <w:p w:rsidR="00FD1EEB" w:rsidRPr="005D3954" w:rsidRDefault="00FD1EEB" w:rsidP="00FD1EEB">
      <w:pPr>
        <w:pStyle w:val="Textonotapie"/>
        <w:jc w:val="both"/>
      </w:pPr>
      <w:r w:rsidRPr="005D3954">
        <w:rPr>
          <w:vertAlign w:val="superscript"/>
        </w:rPr>
        <w:footnoteRef/>
      </w:r>
      <w:r w:rsidRPr="005D3954">
        <w:t xml:space="preserve"> ESCUELA JUDICIAL RODRIGO LARA BONILLA. </w:t>
      </w:r>
      <w:r w:rsidRPr="005D3954">
        <w:rPr>
          <w:lang w:val="es-CO"/>
        </w:rPr>
        <w:t>La acción de tutela en el ordenamiento constitucional colombiano, Universidad Nacional de Colombia, Catalina Botero Marino, Ediprime Ltda., 2006, p.61-75.</w:t>
      </w:r>
    </w:p>
  </w:footnote>
  <w:footnote w:id="8">
    <w:p w:rsidR="00FD1EEB" w:rsidRPr="005D3954" w:rsidRDefault="00FD1EEB" w:rsidP="00FD1EEB">
      <w:pPr>
        <w:pStyle w:val="Textonotapie"/>
        <w:jc w:val="both"/>
      </w:pPr>
      <w:r w:rsidRPr="005D3954">
        <w:rPr>
          <w:rStyle w:val="Refdenotaalpie"/>
        </w:rPr>
        <w:footnoteRef/>
      </w:r>
      <w:r w:rsidRPr="005D3954">
        <w:t xml:space="preserve"> QUINCHE R., Manuel F. La acción de tutela, el amparo en Colombia, Bogotá DC, 2011, p.233-285.</w:t>
      </w:r>
    </w:p>
  </w:footnote>
  <w:footnote w:id="9">
    <w:p w:rsidR="00FD1EEB" w:rsidRPr="005D3954" w:rsidRDefault="00FD1EEB" w:rsidP="00FD1EEB">
      <w:pPr>
        <w:pStyle w:val="Textonotapie"/>
        <w:jc w:val="both"/>
        <w:rPr>
          <w:lang w:val="es-CO"/>
        </w:rPr>
      </w:pPr>
      <w:r w:rsidRPr="005D3954">
        <w:rPr>
          <w:rStyle w:val="Refdenotaalpie"/>
        </w:rPr>
        <w:footnoteRef/>
      </w:r>
      <w:r w:rsidRPr="005D3954">
        <w:t xml:space="preserve"> </w:t>
      </w:r>
      <w:r w:rsidRPr="005D3954">
        <w:rPr>
          <w:lang w:val="es-CO"/>
        </w:rPr>
        <w:t>CC. T-024 de 2017.</w:t>
      </w:r>
    </w:p>
  </w:footnote>
  <w:footnote w:id="10">
    <w:p w:rsidR="00FD1EEB" w:rsidRPr="005D3954" w:rsidRDefault="00FD1EEB" w:rsidP="00FD1EEB">
      <w:pPr>
        <w:pStyle w:val="Textonotapie"/>
        <w:jc w:val="both"/>
        <w:rPr>
          <w:lang w:val="es-CO"/>
        </w:rPr>
      </w:pPr>
      <w:r w:rsidRPr="005D3954">
        <w:rPr>
          <w:rStyle w:val="Refdenotaalpie"/>
        </w:rPr>
        <w:footnoteRef/>
      </w:r>
      <w:r w:rsidRPr="005D3954">
        <w:t xml:space="preserve"> </w:t>
      </w:r>
      <w:r w:rsidRPr="005D3954">
        <w:rPr>
          <w:lang w:val="es-CO"/>
        </w:rPr>
        <w:t>CC. T-034 de 2017.</w:t>
      </w:r>
    </w:p>
  </w:footnote>
  <w:footnote w:id="11">
    <w:p w:rsidR="00FD1EEB" w:rsidRPr="005D3954" w:rsidRDefault="00FD1EEB" w:rsidP="00FD1EEB">
      <w:pPr>
        <w:pStyle w:val="Textonotapie"/>
        <w:jc w:val="both"/>
        <w:rPr>
          <w:lang w:val="es-CO"/>
        </w:rPr>
      </w:pPr>
      <w:r w:rsidRPr="005D3954">
        <w:rPr>
          <w:rStyle w:val="Refdenotaalpie"/>
        </w:rPr>
        <w:footnoteRef/>
      </w:r>
      <w:r w:rsidRPr="005D3954">
        <w:t xml:space="preserve"> </w:t>
      </w:r>
      <w:r w:rsidRPr="005D3954">
        <w:rPr>
          <w:lang w:val="es-CO"/>
        </w:rPr>
        <w:t xml:space="preserve">QUINCHE R., Manuel F. Vías de hecho. Acción de tutela contra providencias judiciales. Octava edición, Editorial Temis, Bogotá, 2013, p.128.   </w:t>
      </w:r>
    </w:p>
  </w:footnote>
  <w:footnote w:id="12">
    <w:p w:rsidR="00FD1EEB" w:rsidRPr="005D3954" w:rsidRDefault="00FD1EEB" w:rsidP="00FD1EEB">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13">
    <w:p w:rsidR="00FD1EEB" w:rsidRPr="005D3954" w:rsidRDefault="00FD1EEB" w:rsidP="00FD1EEB">
      <w:pPr>
        <w:pStyle w:val="Textonotapie"/>
        <w:jc w:val="both"/>
        <w:rPr>
          <w:lang w:val="es-CO"/>
        </w:rPr>
      </w:pPr>
      <w:r w:rsidRPr="005D3954">
        <w:rPr>
          <w:rStyle w:val="Refdenotaalpie"/>
        </w:rPr>
        <w:footnoteRef/>
      </w:r>
      <w:r w:rsidRPr="005D3954">
        <w:t xml:space="preserve"> </w:t>
      </w:r>
      <w:r w:rsidRPr="005D3954">
        <w:rPr>
          <w:lang w:val="es-CO"/>
        </w:rPr>
        <w:t>CC. T-086 de 2017, T-352 de 2012  y T-429 de 2011.</w:t>
      </w:r>
    </w:p>
  </w:footnote>
  <w:footnote w:id="14">
    <w:p w:rsidR="00FD1EEB" w:rsidRPr="005D3954" w:rsidRDefault="00FD1EEB" w:rsidP="00FD1EEB">
      <w:pPr>
        <w:pStyle w:val="Textonotapie"/>
        <w:jc w:val="both"/>
        <w:rPr>
          <w:lang w:val="es-CO"/>
        </w:rPr>
      </w:pPr>
      <w:r w:rsidRPr="005D3954">
        <w:rPr>
          <w:rStyle w:val="Refdenotaalpie"/>
        </w:rPr>
        <w:footnoteRef/>
      </w:r>
      <w:r w:rsidRPr="005D3954">
        <w:t xml:space="preserve"> </w:t>
      </w:r>
      <w:r w:rsidRPr="005D3954">
        <w:rPr>
          <w:lang w:val="es-CO"/>
        </w:rPr>
        <w:t>CSJ, Civil. STC7321-2017.</w:t>
      </w:r>
    </w:p>
  </w:footnote>
  <w:footnote w:id="15">
    <w:p w:rsidR="005D3954" w:rsidRPr="005D3954" w:rsidRDefault="005D3954">
      <w:pPr>
        <w:pStyle w:val="Textonotapie"/>
        <w:rPr>
          <w:lang w:val="es-CO"/>
        </w:rPr>
      </w:pPr>
      <w:r w:rsidRPr="005D3954">
        <w:rPr>
          <w:rStyle w:val="Refdenotaalpie"/>
        </w:rPr>
        <w:footnoteRef/>
      </w:r>
      <w:r w:rsidRPr="005D3954">
        <w:t xml:space="preserve"> </w:t>
      </w:r>
      <w:r w:rsidRPr="005D3954">
        <w:rPr>
          <w:lang w:val="es-CO"/>
        </w:rPr>
        <w:t>CC. T-491 de 2014.</w:t>
      </w:r>
    </w:p>
  </w:footnote>
  <w:footnote w:id="16">
    <w:p w:rsidR="00A0300F" w:rsidRPr="005D3954" w:rsidRDefault="00A0300F">
      <w:pPr>
        <w:pStyle w:val="Textonotapie"/>
        <w:rPr>
          <w:lang w:val="es-CO"/>
        </w:rPr>
      </w:pPr>
      <w:r w:rsidRPr="005D3954">
        <w:rPr>
          <w:rStyle w:val="Refdenotaalpie"/>
        </w:rPr>
        <w:footnoteRef/>
      </w:r>
      <w:r w:rsidRPr="005D3954">
        <w:t xml:space="preserve"> </w:t>
      </w:r>
      <w:r w:rsidRPr="005D3954">
        <w:rPr>
          <w:lang w:val="es-CO"/>
        </w:rPr>
        <w:t>CSJ. Sala de Casación Penal. Sentencia del 13-01-2017, MP: Eugenio Fernández C, No.49511</w:t>
      </w:r>
      <w:r w:rsidR="00235AE3" w:rsidRPr="005D3954">
        <w:rPr>
          <w:lang w:val="es-CO"/>
        </w:rPr>
        <w:t>.</w:t>
      </w:r>
      <w:r w:rsidRPr="005D3954">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EB" w:rsidRPr="001E5B6B" w:rsidRDefault="00FD1EEB">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0D31DF">
      <w:rPr>
        <w:rFonts w:ascii="Georgia" w:hAnsi="Georgia" w:cs="Calibri"/>
        <w:i/>
        <w:noProof/>
        <w:sz w:val="20"/>
      </w:rPr>
      <w:t>8</w:t>
    </w:r>
    <w:r w:rsidRPr="001E5B6B">
      <w:rPr>
        <w:rFonts w:ascii="Georgia" w:hAnsi="Georgia" w:cs="Calibri"/>
        <w:i/>
        <w:sz w:val="20"/>
      </w:rPr>
      <w:fldChar w:fldCharType="end"/>
    </w:r>
  </w:p>
  <w:p w:rsidR="00FD1EEB" w:rsidRPr="001E5B6B" w:rsidRDefault="00FD1EEB" w:rsidP="009C568C">
    <w:pPr>
      <w:pStyle w:val="Encabezado"/>
      <w:ind w:right="360"/>
      <w:jc w:val="both"/>
      <w:rPr>
        <w:rFonts w:ascii="Georgia" w:hAnsi="Georgia" w:cs="Calibri"/>
        <w:i/>
        <w:sz w:val="20"/>
        <w:szCs w:val="22"/>
      </w:rPr>
    </w:pPr>
    <w:r w:rsidRPr="001E5B6B">
      <w:rPr>
        <w:rFonts w:ascii="Georgia" w:hAnsi="Georgia" w:cs="Calibri"/>
        <w:i/>
        <w:sz w:val="20"/>
        <w:szCs w:val="22"/>
      </w:rPr>
      <w:t xml:space="preserve">EXPEDIENTE No. </w:t>
    </w:r>
    <w:r>
      <w:rPr>
        <w:rFonts w:ascii="Georgia" w:hAnsi="Georgia" w:cs="Calibri"/>
        <w:i/>
        <w:sz w:val="20"/>
        <w:szCs w:val="22"/>
      </w:rPr>
      <w:t>2018-00002</w:t>
    </w:r>
    <w:r w:rsidRPr="001E5B6B">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 w:numId="33">
    <w:abstractNumId w:val="6"/>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5D6"/>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780"/>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666"/>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1CB8"/>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1DF"/>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2BD"/>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0DA"/>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AAF"/>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5AE3"/>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3D1"/>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92"/>
    <w:rsid w:val="002B0607"/>
    <w:rsid w:val="002B1AFC"/>
    <w:rsid w:val="002B1D72"/>
    <w:rsid w:val="002B2263"/>
    <w:rsid w:val="002B24DA"/>
    <w:rsid w:val="002B2AA0"/>
    <w:rsid w:val="002B306A"/>
    <w:rsid w:val="002B48D5"/>
    <w:rsid w:val="002B49BF"/>
    <w:rsid w:val="002B4A4A"/>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5ECD"/>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16F"/>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1F25"/>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96D"/>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2EE0"/>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16A"/>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0351"/>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273"/>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0F2D"/>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2E87"/>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954"/>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6F6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66E"/>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1D9F"/>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11B"/>
    <w:rsid w:val="006B116F"/>
    <w:rsid w:val="006B1931"/>
    <w:rsid w:val="006B23BE"/>
    <w:rsid w:val="006B2B98"/>
    <w:rsid w:val="006B3213"/>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4FBD"/>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2F3C"/>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840"/>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DB9"/>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4A"/>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43C9"/>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56A"/>
    <w:rsid w:val="00883BF2"/>
    <w:rsid w:val="00885175"/>
    <w:rsid w:val="00885324"/>
    <w:rsid w:val="0088532E"/>
    <w:rsid w:val="008858F6"/>
    <w:rsid w:val="008860B9"/>
    <w:rsid w:val="0088687D"/>
    <w:rsid w:val="00887CEA"/>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0531"/>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143E"/>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55F"/>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5C3"/>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1EC1"/>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4D7"/>
    <w:rsid w:val="00940AD7"/>
    <w:rsid w:val="009411E1"/>
    <w:rsid w:val="0094149C"/>
    <w:rsid w:val="00941907"/>
    <w:rsid w:val="00941F87"/>
    <w:rsid w:val="00942112"/>
    <w:rsid w:val="009428B0"/>
    <w:rsid w:val="00942A73"/>
    <w:rsid w:val="00942DC7"/>
    <w:rsid w:val="00943D7C"/>
    <w:rsid w:val="0094409D"/>
    <w:rsid w:val="0094417D"/>
    <w:rsid w:val="00944803"/>
    <w:rsid w:val="00945176"/>
    <w:rsid w:val="00945766"/>
    <w:rsid w:val="009459CE"/>
    <w:rsid w:val="009465C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2BA9"/>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C0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0D0D"/>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716"/>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00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E7"/>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2CF9"/>
    <w:rsid w:val="00AC3BB7"/>
    <w:rsid w:val="00AC3C01"/>
    <w:rsid w:val="00AC44B5"/>
    <w:rsid w:val="00AC45E5"/>
    <w:rsid w:val="00AC4804"/>
    <w:rsid w:val="00AC5408"/>
    <w:rsid w:val="00AC54E3"/>
    <w:rsid w:val="00AC551C"/>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BBB"/>
    <w:rsid w:val="00B55C95"/>
    <w:rsid w:val="00B56A42"/>
    <w:rsid w:val="00B56BC8"/>
    <w:rsid w:val="00B5760B"/>
    <w:rsid w:val="00B57911"/>
    <w:rsid w:val="00B57C24"/>
    <w:rsid w:val="00B57C98"/>
    <w:rsid w:val="00B60E09"/>
    <w:rsid w:val="00B614B9"/>
    <w:rsid w:val="00B62013"/>
    <w:rsid w:val="00B6275C"/>
    <w:rsid w:val="00B62BE0"/>
    <w:rsid w:val="00B6301A"/>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1B8"/>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139"/>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0A4B"/>
    <w:rsid w:val="00C51210"/>
    <w:rsid w:val="00C51A42"/>
    <w:rsid w:val="00C51C81"/>
    <w:rsid w:val="00C5301B"/>
    <w:rsid w:val="00C531DB"/>
    <w:rsid w:val="00C538EC"/>
    <w:rsid w:val="00C53ACD"/>
    <w:rsid w:val="00C53EB4"/>
    <w:rsid w:val="00C544F1"/>
    <w:rsid w:val="00C547E0"/>
    <w:rsid w:val="00C54C88"/>
    <w:rsid w:val="00C54E41"/>
    <w:rsid w:val="00C560F4"/>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3D5B"/>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324"/>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692"/>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D51"/>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13"/>
    <w:rsid w:val="00E13E7E"/>
    <w:rsid w:val="00E142C3"/>
    <w:rsid w:val="00E14368"/>
    <w:rsid w:val="00E14F65"/>
    <w:rsid w:val="00E1527D"/>
    <w:rsid w:val="00E153C0"/>
    <w:rsid w:val="00E155EA"/>
    <w:rsid w:val="00E1661F"/>
    <w:rsid w:val="00E1755D"/>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5F6C"/>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66CD"/>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066"/>
    <w:rsid w:val="00EB6A69"/>
    <w:rsid w:val="00EC01BC"/>
    <w:rsid w:val="00EC0288"/>
    <w:rsid w:val="00EC0F6E"/>
    <w:rsid w:val="00EC155F"/>
    <w:rsid w:val="00EC1622"/>
    <w:rsid w:val="00EC16BA"/>
    <w:rsid w:val="00EC18AD"/>
    <w:rsid w:val="00EC2205"/>
    <w:rsid w:val="00EC2262"/>
    <w:rsid w:val="00EC316C"/>
    <w:rsid w:val="00EC31C5"/>
    <w:rsid w:val="00EC36BD"/>
    <w:rsid w:val="00EC3A15"/>
    <w:rsid w:val="00EC3C8D"/>
    <w:rsid w:val="00EC3E0B"/>
    <w:rsid w:val="00EC4513"/>
    <w:rsid w:val="00EC45DE"/>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85"/>
    <w:rsid w:val="00F057FE"/>
    <w:rsid w:val="00F05E6E"/>
    <w:rsid w:val="00F0605C"/>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3FFF"/>
    <w:rsid w:val="00FC4973"/>
    <w:rsid w:val="00FC4AA8"/>
    <w:rsid w:val="00FC5379"/>
    <w:rsid w:val="00FC566E"/>
    <w:rsid w:val="00FC5F6F"/>
    <w:rsid w:val="00FC6860"/>
    <w:rsid w:val="00FC73DF"/>
    <w:rsid w:val="00FC7BCB"/>
    <w:rsid w:val="00FD0032"/>
    <w:rsid w:val="00FD0466"/>
    <w:rsid w:val="00FD1573"/>
    <w:rsid w:val="00FD1AB8"/>
    <w:rsid w:val="00FD1EEB"/>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CDD"/>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99"/>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99"/>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D08A-4522-41B5-859B-5A4A4790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2726</Words>
  <Characters>14997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10</cp:revision>
  <cp:lastPrinted>2018-01-24T22:21:00Z</cp:lastPrinted>
  <dcterms:created xsi:type="dcterms:W3CDTF">2018-01-24T15:57:00Z</dcterms:created>
  <dcterms:modified xsi:type="dcterms:W3CDTF">2018-02-19T21:23:00Z</dcterms:modified>
</cp:coreProperties>
</file>