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AA" w:rsidRPr="002E011F" w:rsidRDefault="00527FAA" w:rsidP="00527FA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27FAA" w:rsidRPr="002E011F" w:rsidRDefault="00527FAA" w:rsidP="00527FA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527FAA" w:rsidRPr="002E011F" w:rsidRDefault="00527FAA" w:rsidP="00527FAA">
      <w:pPr>
        <w:widowControl/>
        <w:shd w:val="clear" w:color="auto" w:fill="FFFFFF"/>
        <w:autoSpaceDE/>
        <w:autoSpaceDN/>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w:t>
      </w:r>
      <w:r w:rsidRPr="002E011F">
        <w:rPr>
          <w:rFonts w:ascii="Calibri" w:hAnsi="Calibri" w:cs="Calibri"/>
          <w:color w:val="222222"/>
          <w:sz w:val="18"/>
          <w:szCs w:val="18"/>
          <w:lang w:val="es-CO" w:eastAsia="fr-FR"/>
        </w:rPr>
        <w:t xml:space="preserve">ª instancia – </w:t>
      </w:r>
      <w:r>
        <w:rPr>
          <w:rFonts w:ascii="Calibri" w:hAnsi="Calibri" w:cs="Calibri"/>
          <w:color w:val="222222"/>
          <w:sz w:val="18"/>
          <w:szCs w:val="18"/>
          <w:lang w:val="es-CO" w:eastAsia="fr-FR"/>
        </w:rPr>
        <w:t>22 de marzo</w:t>
      </w:r>
      <w:r w:rsidRPr="002E011F">
        <w:rPr>
          <w:rFonts w:ascii="Calibri" w:hAnsi="Calibri" w:cs="Calibri"/>
          <w:color w:val="222222"/>
          <w:sz w:val="18"/>
          <w:szCs w:val="18"/>
          <w:lang w:val="es-CO" w:eastAsia="fr-FR"/>
        </w:rPr>
        <w:t xml:space="preserve"> de 2018</w:t>
      </w:r>
    </w:p>
    <w:p w:rsidR="00527FAA" w:rsidRPr="002E011F" w:rsidRDefault="00527FAA" w:rsidP="00527FAA">
      <w:pPr>
        <w:widowControl/>
        <w:shd w:val="clear" w:color="auto" w:fill="FFFFFF"/>
        <w:tabs>
          <w:tab w:val="left" w:pos="1843"/>
          <w:tab w:val="left" w:pos="4755"/>
        </w:tabs>
        <w:autoSpaceDE/>
        <w:autoSpaceDN/>
        <w:adjustRightInd/>
        <w:ind w:left="1843" w:hanging="1843"/>
        <w:jc w:val="both"/>
        <w:rPr>
          <w:rFonts w:ascii="Calibri" w:hAnsi="Calibri" w:cs="Calibri"/>
          <w:color w:val="222222"/>
          <w:sz w:val="18"/>
          <w:szCs w:val="18"/>
          <w:lang w:eastAsia="fr-FR"/>
        </w:rPr>
      </w:pPr>
      <w:r w:rsidRPr="002E011F">
        <w:rPr>
          <w:rFonts w:ascii="Calibri" w:hAnsi="Calibri" w:cs="Calibri"/>
          <w:color w:val="222222"/>
          <w:sz w:val="18"/>
          <w:szCs w:val="18"/>
          <w:lang w:val="es-CO" w:eastAsia="fr-FR"/>
        </w:rPr>
        <w:t>Proceso</w:t>
      </w:r>
      <w:r>
        <w:rPr>
          <w:rFonts w:ascii="Calibri" w:hAnsi="Calibri" w:cs="Calibri"/>
          <w:color w:val="222222"/>
          <w:sz w:val="18"/>
          <w:szCs w:val="18"/>
          <w:lang w:val="es-CO" w:eastAsia="fr-FR"/>
        </w:rPr>
        <w:t>:    </w:t>
      </w:r>
      <w:r>
        <w:rPr>
          <w:rFonts w:ascii="Calibri" w:hAnsi="Calibri" w:cs="Calibri"/>
          <w:color w:val="222222"/>
          <w:sz w:val="18"/>
          <w:szCs w:val="18"/>
          <w:lang w:val="es-CO" w:eastAsia="fr-FR"/>
        </w:rPr>
        <w:tab/>
        <w:t>Acción de Tutela – Improcedente</w:t>
      </w:r>
    </w:p>
    <w:p w:rsidR="00527FAA" w:rsidRPr="002E011F" w:rsidRDefault="00527FAA" w:rsidP="00527FAA">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Cs/>
          <w:iCs/>
          <w:color w:val="222222"/>
          <w:sz w:val="18"/>
          <w:szCs w:val="18"/>
          <w:lang w:eastAsia="fr-FR"/>
        </w:rPr>
      </w:pPr>
      <w:r w:rsidRPr="002E011F">
        <w:rPr>
          <w:rFonts w:ascii="Calibri" w:hAnsi="Calibri" w:cs="Calibri"/>
          <w:color w:val="222222"/>
          <w:sz w:val="18"/>
          <w:szCs w:val="18"/>
          <w:lang w:val="es-CO" w:eastAsia="fr-FR"/>
        </w:rPr>
        <w:t>Radicación Nro. :</w:t>
      </w:r>
      <w:r w:rsidRPr="002E011F">
        <w:rPr>
          <w:rFonts w:ascii="Calibri" w:hAnsi="Calibri" w:cs="Calibri"/>
          <w:color w:val="222222"/>
          <w:sz w:val="18"/>
          <w:szCs w:val="18"/>
          <w:lang w:val="es-CO" w:eastAsia="fr-FR"/>
        </w:rPr>
        <w:tab/>
      </w:r>
      <w:r w:rsidRPr="002E011F">
        <w:rPr>
          <w:rFonts w:ascii="Calibri" w:hAnsi="Calibri" w:cs="Calibri"/>
          <w:color w:val="222222"/>
          <w:sz w:val="18"/>
          <w:szCs w:val="18"/>
          <w:lang w:val="es-CO" w:eastAsia="fr-FR"/>
        </w:rPr>
        <w:tab/>
      </w:r>
      <w:r w:rsidRPr="00527FAA">
        <w:rPr>
          <w:rFonts w:ascii="Calibri" w:hAnsi="Calibri" w:cs="Calibri"/>
          <w:color w:val="222222"/>
          <w:sz w:val="18"/>
          <w:szCs w:val="18"/>
          <w:lang w:val="es-CO" w:eastAsia="fr-FR"/>
        </w:rPr>
        <w:t>2018-00061-00</w:t>
      </w:r>
    </w:p>
    <w:p w:rsidR="00527FAA" w:rsidRPr="002E011F" w:rsidRDefault="00527FAA" w:rsidP="00527FAA">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Cs/>
          <w:iCs/>
          <w:color w:val="222222"/>
          <w:sz w:val="18"/>
          <w:szCs w:val="18"/>
          <w:u w:val="double"/>
          <w:lang w:eastAsia="fr-FR"/>
        </w:rPr>
      </w:pPr>
      <w:r w:rsidRPr="002E011F">
        <w:rPr>
          <w:rFonts w:ascii="Calibri" w:hAnsi="Calibri" w:cs="Calibri"/>
          <w:bCs/>
          <w:iCs/>
          <w:color w:val="222222"/>
          <w:sz w:val="18"/>
          <w:szCs w:val="18"/>
          <w:lang w:eastAsia="fr-FR"/>
        </w:rPr>
        <w:t xml:space="preserve">Accionante: </w:t>
      </w:r>
      <w:r w:rsidRPr="002E011F">
        <w:rPr>
          <w:rFonts w:ascii="Calibri" w:hAnsi="Calibri" w:cs="Calibri"/>
          <w:bCs/>
          <w:iCs/>
          <w:color w:val="222222"/>
          <w:sz w:val="18"/>
          <w:szCs w:val="18"/>
          <w:lang w:eastAsia="fr-FR"/>
        </w:rPr>
        <w:tab/>
      </w:r>
      <w:r w:rsidRPr="002E011F">
        <w:rPr>
          <w:rFonts w:ascii="Calibri" w:hAnsi="Calibri" w:cs="Calibri"/>
          <w:bCs/>
          <w:iCs/>
          <w:color w:val="222222"/>
          <w:sz w:val="18"/>
          <w:szCs w:val="18"/>
          <w:lang w:eastAsia="fr-FR"/>
        </w:rPr>
        <w:tab/>
      </w:r>
      <w:r>
        <w:rPr>
          <w:rFonts w:ascii="Calibri" w:hAnsi="Calibri" w:cs="Calibri"/>
          <w:bCs/>
          <w:iCs/>
          <w:color w:val="222222"/>
          <w:sz w:val="18"/>
          <w:szCs w:val="18"/>
          <w:lang w:eastAsia="fr-FR"/>
        </w:rPr>
        <w:t xml:space="preserve"> </w:t>
      </w:r>
      <w:r w:rsidR="00E427E3" w:rsidRPr="00E427E3">
        <w:rPr>
          <w:rFonts w:ascii="Calibri" w:hAnsi="Calibri" w:cs="Calibri"/>
          <w:bCs/>
          <w:iCs/>
          <w:color w:val="222222"/>
          <w:sz w:val="18"/>
          <w:szCs w:val="18"/>
          <w:lang w:eastAsia="fr-FR"/>
        </w:rPr>
        <w:t>Javier Elías Arias Idárraga</w:t>
      </w:r>
      <w:bookmarkStart w:id="0" w:name="_GoBack"/>
      <w:bookmarkEnd w:id="0"/>
    </w:p>
    <w:p w:rsidR="00527FAA" w:rsidRPr="002E011F" w:rsidRDefault="00527FAA" w:rsidP="00527FAA">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color w:val="222222"/>
          <w:spacing w:val="-6"/>
          <w:sz w:val="18"/>
          <w:szCs w:val="18"/>
          <w:lang w:val="es-ES_tradnl" w:eastAsia="fr-FR"/>
        </w:rPr>
      </w:pPr>
      <w:r w:rsidRPr="002E011F">
        <w:rPr>
          <w:rFonts w:ascii="Calibri" w:hAnsi="Calibri" w:cs="Calibri"/>
          <w:color w:val="222222"/>
          <w:sz w:val="18"/>
          <w:szCs w:val="18"/>
          <w:lang w:val="es-CO" w:eastAsia="fr-FR"/>
        </w:rPr>
        <w:t>Accionado:</w:t>
      </w:r>
      <w:r w:rsidRPr="002E011F">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Pr>
          <w:rFonts w:ascii="Calibri" w:hAnsi="Calibri" w:cs="Calibri"/>
          <w:bCs/>
          <w:color w:val="222222"/>
          <w:spacing w:val="-6"/>
          <w:sz w:val="18"/>
          <w:szCs w:val="18"/>
          <w:lang w:val="es-CO" w:eastAsia="fr-FR"/>
        </w:rPr>
        <w:t>Juzgado Civil Circuito Santa Rosa y otros</w:t>
      </w:r>
    </w:p>
    <w:p w:rsidR="00527FAA" w:rsidRPr="002E011F" w:rsidRDefault="00527FAA" w:rsidP="00527FAA">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
          <w:bCs/>
          <w:iCs/>
          <w:color w:val="222222"/>
          <w:sz w:val="18"/>
          <w:szCs w:val="18"/>
          <w:lang w:val="es-CO" w:eastAsia="fr-FR"/>
        </w:rPr>
      </w:pPr>
      <w:r w:rsidRPr="002E011F">
        <w:rPr>
          <w:rFonts w:ascii="Calibri" w:hAnsi="Calibri" w:cs="Calibri"/>
          <w:color w:val="222222"/>
          <w:sz w:val="18"/>
          <w:szCs w:val="18"/>
          <w:lang w:val="es-CO" w:eastAsia="fr-FR"/>
        </w:rPr>
        <w:t xml:space="preserve">Magistrado Ponente: </w:t>
      </w:r>
      <w:r w:rsidRPr="002E011F">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2E011F">
        <w:rPr>
          <w:rFonts w:ascii="Calibri" w:hAnsi="Calibri" w:cs="Calibri"/>
          <w:color w:val="222222"/>
          <w:sz w:val="18"/>
          <w:szCs w:val="18"/>
          <w:lang w:val="es-CO" w:eastAsia="fr-FR"/>
        </w:rPr>
        <w:t xml:space="preserve"> </w:t>
      </w:r>
      <w:r w:rsidRPr="002E011F">
        <w:rPr>
          <w:rFonts w:ascii="Calibri" w:hAnsi="Calibri" w:cs="Calibri"/>
          <w:bCs/>
          <w:iCs/>
          <w:color w:val="222222"/>
          <w:sz w:val="18"/>
          <w:szCs w:val="18"/>
          <w:lang w:val="es-CO" w:eastAsia="fr-FR"/>
        </w:rPr>
        <w:t>DUBERNEY GRISALES HERRERA</w:t>
      </w:r>
    </w:p>
    <w:p w:rsidR="00527FAA" w:rsidRPr="002E011F" w:rsidRDefault="00527FAA" w:rsidP="00527FAA">
      <w:pPr>
        <w:widowControl/>
        <w:shd w:val="clear" w:color="auto" w:fill="FFFFFF"/>
        <w:tabs>
          <w:tab w:val="left" w:pos="1843"/>
          <w:tab w:val="left" w:pos="4755"/>
        </w:tabs>
        <w:autoSpaceDE/>
        <w:autoSpaceDN/>
        <w:adjustRightInd/>
        <w:ind w:left="1843" w:hanging="1843"/>
        <w:jc w:val="both"/>
        <w:rPr>
          <w:rFonts w:ascii="Times New Roman" w:hAnsi="Times New Roman" w:cs="Times New Roman"/>
          <w:sz w:val="16"/>
          <w:szCs w:val="16"/>
          <w:lang w:val="es-CO" w:eastAsia="fr-FR"/>
        </w:rPr>
      </w:pPr>
    </w:p>
    <w:p w:rsidR="0067749D" w:rsidRDefault="00527FAA" w:rsidP="0067749D">
      <w:pPr>
        <w:pStyle w:val="Sinespaciado"/>
        <w:jc w:val="both"/>
        <w:rPr>
          <w:rFonts w:asciiTheme="minorHAnsi" w:hAnsiTheme="minorHAnsi"/>
          <w:sz w:val="18"/>
          <w:lang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t xml:space="preserve">          </w:t>
      </w:r>
      <w:r>
        <w:rPr>
          <w:rFonts w:asciiTheme="minorHAnsi" w:hAnsiTheme="minorHAnsi"/>
          <w:b/>
          <w:sz w:val="18"/>
          <w:lang w:eastAsia="fr-FR"/>
        </w:rPr>
        <w:t>DEBIDO PROCESO</w:t>
      </w:r>
      <w:r w:rsidRPr="00570446">
        <w:rPr>
          <w:rFonts w:asciiTheme="minorHAnsi" w:hAnsiTheme="minorHAnsi"/>
          <w:b/>
          <w:sz w:val="18"/>
          <w:lang w:eastAsia="fr-FR"/>
        </w:rPr>
        <w:t xml:space="preserve"> / </w:t>
      </w:r>
      <w:r>
        <w:rPr>
          <w:rFonts w:asciiTheme="minorHAnsi" w:hAnsiTheme="minorHAnsi"/>
          <w:b/>
          <w:sz w:val="18"/>
          <w:lang w:eastAsia="fr-FR"/>
        </w:rPr>
        <w:t>TUTELA CONTRA PROVIDENCIA JUDICIAL</w:t>
      </w:r>
      <w:r w:rsidRPr="00570446">
        <w:rPr>
          <w:rFonts w:asciiTheme="minorHAnsi" w:hAnsiTheme="minorHAnsi"/>
          <w:b/>
          <w:sz w:val="18"/>
          <w:lang w:eastAsia="fr-FR"/>
        </w:rPr>
        <w:t xml:space="preserve"> /</w:t>
      </w:r>
      <w:r>
        <w:rPr>
          <w:rFonts w:asciiTheme="minorHAnsi" w:hAnsiTheme="minorHAnsi"/>
          <w:b/>
          <w:sz w:val="18"/>
          <w:lang w:val="es-CO" w:eastAsia="fr-FR"/>
        </w:rPr>
        <w:t xml:space="preserve"> SUBSIDIARIEDAD / ACCIONANTE NO HA PRESENTADO ESCRITO DE ADHESIÓN A LA APELACIÓN / PROCESO EN TRÁMITE- OPORTUNIDAD PROCESAL VIGENTE / IMPROCEDENCIA.</w:t>
      </w:r>
      <w:r>
        <w:rPr>
          <w:rFonts w:asciiTheme="minorHAnsi" w:hAnsiTheme="minorHAnsi"/>
          <w:b/>
          <w:sz w:val="18"/>
          <w:lang w:eastAsia="fr-FR"/>
        </w:rPr>
        <w:t xml:space="preserve"> </w:t>
      </w:r>
      <w:r w:rsidR="0067749D" w:rsidRPr="0067749D">
        <w:rPr>
          <w:rFonts w:asciiTheme="minorHAnsi" w:hAnsiTheme="minorHAnsi"/>
          <w:sz w:val="18"/>
          <w:lang w:eastAsia="fr-FR"/>
        </w:rPr>
        <w:t>Conforme  a  lo  sostenido  por  la  CC ,  deben  agotarse los r</w:t>
      </w:r>
      <w:r w:rsidR="0067749D">
        <w:rPr>
          <w:rFonts w:asciiTheme="minorHAnsi" w:hAnsiTheme="minorHAnsi"/>
          <w:sz w:val="18"/>
          <w:lang w:eastAsia="fr-FR"/>
        </w:rPr>
        <w:t xml:space="preserve">ecursos ordinarios de defensa, </w:t>
      </w:r>
      <w:r w:rsidR="0067749D" w:rsidRPr="0067749D">
        <w:rPr>
          <w:rFonts w:asciiTheme="minorHAnsi" w:hAnsiTheme="minorHAnsi"/>
          <w:sz w:val="18"/>
          <w:lang w:eastAsia="fr-FR"/>
        </w:rPr>
        <w:t>toda vez que la tutela no fue creada ni destinada a suplir los procedimientos ordinarios ni para enmendar los errores o descuidos de las partes en el proceso; dentro del mismo ámbito la doctrina constitucional enseña: “(…) la Corte ha sostenido, de manera reiterada, que la acción de tutela es improcedente cuando con ella se pretenden sustituir mecanismos ordinarios de defensa que, por negligencia, descuido o incuria de quien solicita el amparo constitucional, no fueron ut</w:t>
      </w:r>
      <w:r w:rsidR="0067749D">
        <w:rPr>
          <w:rFonts w:asciiTheme="minorHAnsi" w:hAnsiTheme="minorHAnsi"/>
          <w:sz w:val="18"/>
          <w:lang w:eastAsia="fr-FR"/>
        </w:rPr>
        <w:t xml:space="preserve">ilizados a su debido tiempo” . </w:t>
      </w:r>
      <w:r w:rsidR="0067749D" w:rsidRPr="0067749D">
        <w:rPr>
          <w:rFonts w:asciiTheme="minorHAnsi" w:hAnsiTheme="minorHAnsi"/>
          <w:sz w:val="18"/>
          <w:lang w:eastAsia="fr-FR"/>
        </w:rPr>
        <w:t>Además, ha sido reiterativa en su criterio .También la CSJ se ha referido al tema , prohija la improcedencia de la tutela por aplicación del principio de subsidiariedad.</w:t>
      </w:r>
    </w:p>
    <w:p w:rsidR="0067749D" w:rsidRDefault="0067749D" w:rsidP="0067749D">
      <w:pPr>
        <w:pStyle w:val="Sinespaciado"/>
        <w:jc w:val="both"/>
        <w:rPr>
          <w:rFonts w:asciiTheme="minorHAnsi" w:hAnsiTheme="minorHAnsi"/>
          <w:sz w:val="18"/>
          <w:lang w:eastAsia="fr-FR"/>
        </w:rPr>
      </w:pPr>
      <w:r>
        <w:rPr>
          <w:rFonts w:asciiTheme="minorHAnsi" w:hAnsiTheme="minorHAnsi"/>
          <w:sz w:val="18"/>
          <w:lang w:eastAsia="fr-FR"/>
        </w:rPr>
        <w:t>(…)</w:t>
      </w:r>
    </w:p>
    <w:p w:rsidR="00527FAA" w:rsidRPr="00527FAA" w:rsidRDefault="00527FAA" w:rsidP="0067749D">
      <w:pPr>
        <w:pStyle w:val="Sinespaciado"/>
        <w:jc w:val="both"/>
        <w:rPr>
          <w:rFonts w:asciiTheme="minorHAnsi" w:hAnsiTheme="minorHAnsi"/>
          <w:sz w:val="18"/>
          <w:lang w:val="es-ES_tradnl" w:eastAsia="fr-FR"/>
        </w:rPr>
      </w:pPr>
      <w:r w:rsidRPr="0067749D">
        <w:rPr>
          <w:rFonts w:asciiTheme="minorHAnsi" w:hAnsiTheme="minorHAnsi"/>
          <w:sz w:val="18"/>
          <w:lang w:val="es-ES_tradnl" w:eastAsia="fr-FR"/>
        </w:rPr>
        <w:t>En el caso particular, luce evidente que la acción constitucional fue anticipada, c</w:t>
      </w:r>
      <w:r w:rsidRPr="00527FAA">
        <w:rPr>
          <w:rFonts w:asciiTheme="minorHAnsi" w:hAnsiTheme="minorHAnsi"/>
          <w:sz w:val="18"/>
          <w:lang w:val="es-ES_tradnl" w:eastAsia="fr-FR"/>
        </w:rPr>
        <w:t>omoquiera que la apelación adhesiva aún puede ser formulada ante el Magistrado que le sea repartida la acción popular</w:t>
      </w:r>
      <w:r>
        <w:rPr>
          <w:rFonts w:asciiTheme="minorHAnsi" w:hAnsiTheme="minorHAnsi"/>
          <w:sz w:val="18"/>
          <w:lang w:val="es-ES_tradnl" w:eastAsia="fr-FR"/>
        </w:rPr>
        <w:t>…</w:t>
      </w:r>
    </w:p>
    <w:p w:rsidR="00527FAA" w:rsidRPr="00282025" w:rsidRDefault="00527FAA" w:rsidP="00527FAA">
      <w:pPr>
        <w:pStyle w:val="Sinespaciado"/>
        <w:jc w:val="both"/>
        <w:rPr>
          <w:rFonts w:asciiTheme="minorHAnsi" w:hAnsiTheme="minorHAnsi"/>
          <w:sz w:val="18"/>
          <w:lang w:eastAsia="fr-FR"/>
        </w:rPr>
      </w:pPr>
      <w:r w:rsidRPr="00527FAA">
        <w:rPr>
          <w:rFonts w:asciiTheme="minorHAnsi" w:hAnsiTheme="minorHAnsi"/>
          <w:sz w:val="18"/>
          <w:lang w:val="es-ES_tradnl" w:eastAsia="fr-FR"/>
        </w:rPr>
        <w:t>Fácil se aprecia que el actor todavía puede interponer el recurso, sin que sea talanquera la decisión de la a quo, aquí cuestionada, siempre y cuando lo haga antes de que quede ejecutoriado el proveído dictado que resuelva sobre la admisibilidad de la al</w:t>
      </w:r>
      <w:r>
        <w:rPr>
          <w:rFonts w:asciiTheme="minorHAnsi" w:hAnsiTheme="minorHAnsi"/>
          <w:sz w:val="18"/>
          <w:lang w:val="es-ES_tradnl" w:eastAsia="fr-FR"/>
        </w:rPr>
        <w:t>zada (Artículos 325 y 327, CGP).</w:t>
      </w:r>
    </w:p>
    <w:p w:rsidR="00527FAA" w:rsidRDefault="00527FAA" w:rsidP="00527FAA">
      <w:pPr>
        <w:pStyle w:val="Sinespaciado"/>
        <w:jc w:val="both"/>
        <w:rPr>
          <w:rFonts w:asciiTheme="minorHAnsi" w:hAnsiTheme="minorHAnsi"/>
          <w:sz w:val="18"/>
          <w:lang w:val="es-ES_tradnl" w:eastAsia="fr-FR"/>
        </w:rPr>
      </w:pPr>
      <w:r>
        <w:rPr>
          <w:rFonts w:asciiTheme="minorHAnsi" w:hAnsiTheme="minorHAnsi"/>
          <w:sz w:val="18"/>
          <w:lang w:val="es-ES_tradnl" w:eastAsia="fr-FR"/>
        </w:rPr>
        <w:t>(…)</w:t>
      </w:r>
    </w:p>
    <w:p w:rsidR="00527FAA" w:rsidRDefault="00527FAA" w:rsidP="00527FAA">
      <w:pPr>
        <w:pStyle w:val="Sinespaciado"/>
        <w:jc w:val="both"/>
        <w:rPr>
          <w:rFonts w:asciiTheme="minorHAnsi" w:hAnsiTheme="minorHAnsi"/>
          <w:sz w:val="18"/>
          <w:lang w:val="es-ES_tradnl" w:eastAsia="fr-FR"/>
        </w:rPr>
      </w:pPr>
      <w:r w:rsidRPr="00527FAA">
        <w:rPr>
          <w:rFonts w:asciiTheme="minorHAnsi" w:hAnsiTheme="minorHAnsi"/>
          <w:sz w:val="18"/>
          <w:lang w:val="es-ES_tradnl" w:eastAsia="fr-FR"/>
        </w:rPr>
        <w:t>En ese contexto, el presente amparo es improcedente toda vez que se incumple con uno de los siete (7) requisitos generales de procedibilidad, como lo es el de la subsidiariedad, porque la acción popular está en trámite.</w:t>
      </w:r>
    </w:p>
    <w:p w:rsidR="00527FAA" w:rsidRDefault="00527FAA" w:rsidP="00527FAA">
      <w:pPr>
        <w:pStyle w:val="Sinespaciado"/>
        <w:jc w:val="both"/>
        <w:rPr>
          <w:rFonts w:asciiTheme="minorHAnsi" w:hAnsiTheme="minorHAnsi"/>
          <w:sz w:val="18"/>
          <w:lang w:val="es-ES_tradnl" w:eastAsia="fr-FR"/>
        </w:rPr>
      </w:pPr>
    </w:p>
    <w:p w:rsidR="00527FAA" w:rsidRDefault="00527FAA" w:rsidP="00527FAA">
      <w:pPr>
        <w:pStyle w:val="Sinespaciado"/>
        <w:jc w:val="both"/>
        <w:rPr>
          <w:rFonts w:asciiTheme="minorHAnsi" w:hAnsiTheme="minorHAnsi"/>
          <w:sz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Javier Elías Arias Idárraga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0B4D37" w:rsidRPr="00AD7B0C">
        <w:rPr>
          <w:rFonts w:ascii="Georgia" w:hAnsi="Georgia" w:cs="Arial"/>
          <w:sz w:val="22"/>
        </w:rPr>
        <w:t xml:space="preserve">Civil del Circuito de </w:t>
      </w:r>
      <w:r w:rsidR="0069690B">
        <w:rPr>
          <w:rFonts w:ascii="Georgia" w:hAnsi="Georgia" w:cs="Arial"/>
          <w:sz w:val="22"/>
        </w:rPr>
        <w:t>Santa Rosa de Cabal, R.</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 xml:space="preserve">Defensoría del Pueblo, Regional </w:t>
      </w:r>
      <w:r w:rsidR="0069690B">
        <w:rPr>
          <w:rFonts w:ascii="Georgia" w:hAnsi="Georgia" w:cs="Arial"/>
          <w:sz w:val="22"/>
          <w:szCs w:val="22"/>
        </w:rPr>
        <w:t xml:space="preserve">Risaralda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69690B">
        <w:rPr>
          <w:rFonts w:ascii="Georgia" w:hAnsi="Georgia" w:cs="Arial"/>
          <w:sz w:val="22"/>
        </w:rPr>
        <w:t>2018-00061-00</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AE01ED">
        <w:rPr>
          <w:rFonts w:ascii="Georgia" w:hAnsi="Georgia"/>
          <w:sz w:val="22"/>
          <w:szCs w:val="22"/>
        </w:rPr>
        <w:t>84</w:t>
      </w:r>
      <w:r w:rsidR="0069690B">
        <w:rPr>
          <w:rFonts w:ascii="Georgia" w:hAnsi="Georgia"/>
          <w:sz w:val="22"/>
          <w:szCs w:val="22"/>
        </w:rPr>
        <w:t xml:space="preserve"> </w:t>
      </w:r>
      <w:r w:rsidRPr="00AD7B0C">
        <w:rPr>
          <w:rFonts w:ascii="Georgia" w:hAnsi="Georgia"/>
          <w:sz w:val="22"/>
          <w:szCs w:val="22"/>
        </w:rPr>
        <w:t xml:space="preserve">de </w:t>
      </w:r>
      <w:r w:rsidR="00612099">
        <w:rPr>
          <w:rFonts w:ascii="Georgia" w:hAnsi="Georgia"/>
          <w:sz w:val="22"/>
          <w:szCs w:val="22"/>
        </w:rPr>
        <w:t>22</w:t>
      </w:r>
      <w:r w:rsidRPr="00AD7B0C">
        <w:rPr>
          <w:rFonts w:ascii="Georgia" w:hAnsi="Georgia"/>
          <w:sz w:val="22"/>
          <w:szCs w:val="22"/>
        </w:rPr>
        <w:t>-</w:t>
      </w:r>
      <w:r w:rsidR="0069690B">
        <w:rPr>
          <w:rFonts w:ascii="Georgia" w:hAnsi="Georgia"/>
          <w:sz w:val="22"/>
          <w:szCs w:val="22"/>
        </w:rPr>
        <w:t>03</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612099">
        <w:rPr>
          <w:rFonts w:ascii="Georgia" w:hAnsi="Georgia" w:cs="Arial"/>
          <w:iCs/>
          <w:smallCaps/>
          <w:sz w:val="28"/>
          <w:lang w:val="es-CO"/>
        </w:rPr>
        <w:t xml:space="preserve">veintidós </w:t>
      </w:r>
      <w:r w:rsidRPr="00FD0443">
        <w:rPr>
          <w:rFonts w:ascii="Georgia" w:hAnsi="Georgia" w:cs="Arial"/>
          <w:iCs/>
          <w:smallCaps/>
          <w:sz w:val="28"/>
          <w:lang w:val="es-CO"/>
        </w:rPr>
        <w:t>(</w:t>
      </w:r>
      <w:r w:rsidR="00612099">
        <w:rPr>
          <w:rFonts w:ascii="Georgia" w:hAnsi="Georgia" w:cs="Arial"/>
          <w:iCs/>
          <w:smallCaps/>
          <w:sz w:val="28"/>
          <w:lang w:val="es-CO"/>
        </w:rPr>
        <w:t>22</w:t>
      </w:r>
      <w:r w:rsidRPr="00FD0443">
        <w:rPr>
          <w:rFonts w:ascii="Georgia" w:hAnsi="Georgia" w:cs="Arial"/>
          <w:iCs/>
          <w:smallCaps/>
          <w:sz w:val="28"/>
          <w:lang w:val="es-CO"/>
        </w:rPr>
        <w:t xml:space="preserve">) de </w:t>
      </w:r>
      <w:r w:rsidR="0069690B">
        <w:rPr>
          <w:rFonts w:ascii="Georgia" w:hAnsi="Georgia" w:cs="Arial"/>
          <w:iCs/>
          <w:smallCaps/>
          <w:sz w:val="28"/>
          <w:lang w:val="es-CO"/>
        </w:rPr>
        <w:t xml:space="preserve">marzo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89352F" w:rsidRDefault="000147A2" w:rsidP="00971653">
      <w:pPr>
        <w:tabs>
          <w:tab w:val="left" w:pos="851"/>
          <w:tab w:val="left" w:pos="1416"/>
        </w:tabs>
        <w:spacing w:line="360" w:lineRule="auto"/>
        <w:rPr>
          <w:rFonts w:ascii="Georgia" w:hAnsi="Georgia" w:cs="Arial"/>
          <w:b/>
          <w:bCs/>
          <w:sz w:val="22"/>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89352F" w:rsidRDefault="00FD0443" w:rsidP="00FD0443">
      <w:pPr>
        <w:pStyle w:val="Textoindependiente"/>
        <w:spacing w:line="360" w:lineRule="auto"/>
        <w:rPr>
          <w:rFonts w:ascii="Georgia" w:hAnsi="Georgia"/>
          <w:sz w:val="22"/>
          <w:szCs w:val="24"/>
        </w:rPr>
      </w:pPr>
    </w:p>
    <w:p w:rsidR="00FD0443" w:rsidRPr="00D63D82" w:rsidRDefault="0069690B" w:rsidP="00FD0443">
      <w:pPr>
        <w:pStyle w:val="Textoindependiente"/>
        <w:spacing w:line="360" w:lineRule="auto"/>
        <w:rPr>
          <w:rFonts w:ascii="Georgia" w:hAnsi="Georgia"/>
          <w:szCs w:val="24"/>
        </w:rPr>
      </w:pPr>
      <w:r>
        <w:rPr>
          <w:rFonts w:ascii="Georgia" w:hAnsi="Georgia"/>
          <w:szCs w:val="24"/>
        </w:rPr>
        <w:t xml:space="preserve">El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Pr>
          <w:rFonts w:ascii="Georgia" w:hAnsi="Georgia"/>
          <w:szCs w:val="24"/>
        </w:rPr>
        <w:t xml:space="preserve">lo </w:t>
      </w:r>
      <w:r w:rsidR="00FD0443" w:rsidRPr="00D63D82">
        <w:rPr>
          <w:rFonts w:ascii="Georgia" w:hAnsi="Georgia"/>
          <w:szCs w:val="24"/>
        </w:rPr>
        <w:t>invaliden.</w:t>
      </w:r>
    </w:p>
    <w:p w:rsidR="000147A2" w:rsidRPr="0089352F" w:rsidRDefault="000147A2" w:rsidP="0099045D">
      <w:pPr>
        <w:pStyle w:val="Textoindependiente"/>
        <w:spacing w:line="360" w:lineRule="auto"/>
        <w:rPr>
          <w:rFonts w:ascii="Georgia" w:hAnsi="Georgia"/>
          <w:sz w:val="22"/>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89352F" w:rsidRDefault="0099045D" w:rsidP="0099045D">
      <w:pPr>
        <w:pStyle w:val="Textoindependiente"/>
        <w:spacing w:line="360" w:lineRule="auto"/>
        <w:rPr>
          <w:rFonts w:ascii="Georgia" w:hAnsi="Georgia"/>
          <w:sz w:val="22"/>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 xml:space="preserve">que </w:t>
      </w:r>
      <w:r w:rsidR="0069690B">
        <w:rPr>
          <w:rFonts w:ascii="Georgia" w:hAnsi="Georgia" w:cs="Arial"/>
        </w:rPr>
        <w:t xml:space="preserve">el Juzgado de conocimiento se negó a conceder la apelación adhesiva formulada en la acción popular No.2016-00672-00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89352F" w:rsidRDefault="002B0607" w:rsidP="0099045D">
      <w:pPr>
        <w:pStyle w:val="Textoindependiente"/>
        <w:spacing w:line="360" w:lineRule="auto"/>
        <w:rPr>
          <w:rFonts w:ascii="Georgia" w:hAnsi="Georgia"/>
          <w:sz w:val="22"/>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89352F" w:rsidRDefault="00800EF6" w:rsidP="00730CA7">
      <w:pPr>
        <w:pStyle w:val="Textoindependiente"/>
        <w:spacing w:line="360" w:lineRule="auto"/>
        <w:rPr>
          <w:rFonts w:ascii="Georgia" w:hAnsi="Georgia"/>
          <w:sz w:val="22"/>
          <w:szCs w:val="24"/>
        </w:rPr>
      </w:pPr>
    </w:p>
    <w:p w:rsidR="007D0ECC" w:rsidRPr="00AD7B0C" w:rsidRDefault="00AD7B0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Las garantías procesales</w:t>
      </w:r>
      <w:r w:rsidR="00FD0443">
        <w:rPr>
          <w:rFonts w:ascii="Georgia" w:hAnsi="Georgia" w:cs="Arial"/>
          <w:spacing w:val="-3"/>
          <w:lang w:val="es-ES_tradnl"/>
        </w:rPr>
        <w:t xml:space="preserve">, </w:t>
      </w:r>
      <w:r w:rsidR="00401168" w:rsidRPr="00AD7B0C">
        <w:rPr>
          <w:rFonts w:ascii="Georgia" w:hAnsi="Georgia" w:cs="Arial"/>
          <w:spacing w:val="-3"/>
          <w:lang w:val="es-ES_tradnl"/>
        </w:rPr>
        <w:t>los artículos 13 y 83</w:t>
      </w:r>
      <w:r w:rsidR="00FD0443">
        <w:rPr>
          <w:rFonts w:ascii="Georgia" w:hAnsi="Georgia" w:cs="Arial"/>
          <w:spacing w:val="-3"/>
          <w:lang w:val="es-ES_tradnl"/>
        </w:rPr>
        <w:t xml:space="preserve">, </w:t>
      </w:r>
      <w:r w:rsidR="00401168" w:rsidRPr="00AD7B0C">
        <w:rPr>
          <w:rFonts w:ascii="Georgia" w:hAnsi="Georgia" w:cs="Arial"/>
          <w:spacing w:val="-3"/>
          <w:lang w:val="es-ES_tradnl"/>
        </w:rPr>
        <w:t>CP</w:t>
      </w:r>
      <w:r w:rsidR="00FD0443">
        <w:rPr>
          <w:rFonts w:ascii="Georgia" w:hAnsi="Georgia" w:cs="Arial"/>
          <w:spacing w:val="-3"/>
          <w:lang w:val="es-ES_tradnl"/>
        </w:rPr>
        <w:t xml:space="preserve">, y la Carta Iberoamericana de Usuarios de Justicia </w:t>
      </w:r>
      <w:r w:rsidR="00401168" w:rsidRPr="00AD7B0C">
        <w:rPr>
          <w:rFonts w:ascii="Georgia" w:hAnsi="Georgia" w:cs="Arial"/>
          <w:spacing w:val="-3"/>
          <w:lang w:val="es-ES_tradnl"/>
        </w:rPr>
        <w:t>(Folio 2</w:t>
      </w:r>
      <w:r w:rsidR="007D0ECC" w:rsidRPr="00AD7B0C">
        <w:rPr>
          <w:rFonts w:ascii="Georgia" w:hAnsi="Georgia" w:cs="Arial"/>
          <w:spacing w:val="-3"/>
          <w:lang w:val="es-ES_tradnl"/>
        </w:rPr>
        <w:t>, este cuaderno).</w:t>
      </w:r>
    </w:p>
    <w:p w:rsidR="003F6C16" w:rsidRPr="00AD7B0C"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89352F" w:rsidRDefault="00303E85" w:rsidP="004B1EB8">
      <w:pPr>
        <w:pStyle w:val="Sinespaciado"/>
        <w:spacing w:line="360" w:lineRule="auto"/>
        <w:jc w:val="both"/>
        <w:rPr>
          <w:rFonts w:ascii="Georgia" w:hAnsi="Georgia" w:cs="Arial"/>
          <w:sz w:val="22"/>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Pretende que se ordene al accionado</w:t>
      </w:r>
      <w:r w:rsidR="0069690B">
        <w:rPr>
          <w:rFonts w:ascii="Georgia" w:hAnsi="Georgia" w:cs="Arial"/>
        </w:rPr>
        <w:t xml:space="preserve">: (i) Conceder la alzada. </w:t>
      </w:r>
      <w:r w:rsidR="00856F8D">
        <w:rPr>
          <w:rFonts w:ascii="Georgia" w:hAnsi="Georgia" w:cs="Arial"/>
        </w:rPr>
        <w:t>Y a</w:t>
      </w:r>
      <w:r w:rsidR="0069690B">
        <w:rPr>
          <w:rFonts w:ascii="Georgia" w:hAnsi="Georgia" w:cs="Arial"/>
        </w:rPr>
        <w:t xml:space="preserve">l Personero Municipal de Santa Rosa de Cabal, R.: (ii) Informar si es legal que no se haya concedido la apelación; (iii) </w:t>
      </w:r>
      <w:r w:rsidR="00856F8D">
        <w:rPr>
          <w:rFonts w:ascii="Georgia" w:hAnsi="Georgia" w:cs="Arial"/>
        </w:rPr>
        <w:t>Indicar</w:t>
      </w:r>
      <w:r w:rsidR="0069690B">
        <w:rPr>
          <w:rFonts w:ascii="Georgia" w:hAnsi="Georgia" w:cs="Arial"/>
        </w:rPr>
        <w:t xml:space="preserve"> la razón por la cual no </w:t>
      </w:r>
      <w:r w:rsidR="00856F8D">
        <w:rPr>
          <w:rFonts w:ascii="Georgia" w:hAnsi="Georgia" w:cs="Arial"/>
        </w:rPr>
        <w:t xml:space="preserve">interviene en la acción popular cuando la sentencia es desfavorable; (iv) Anotar sus obligaciones legales; y, (v) Probar si ha formulado algún recurso </w:t>
      </w:r>
      <w:r w:rsidR="00612C75" w:rsidRPr="00AD7B0C">
        <w:rPr>
          <w:rFonts w:ascii="Georgia" w:hAnsi="Georgia" w:cs="Arial"/>
          <w:spacing w:val="-3"/>
          <w:lang w:val="es-ES_tradnl"/>
        </w:rPr>
        <w:t>(Folio</w:t>
      </w:r>
      <w:r w:rsidR="00856F8D">
        <w:rPr>
          <w:rFonts w:ascii="Georgia" w:hAnsi="Georgia" w:cs="Arial"/>
          <w:spacing w:val="-3"/>
          <w:lang w:val="es-ES_tradnl"/>
        </w:rPr>
        <w:t xml:space="preserve"> 1</w:t>
      </w:r>
      <w:r w:rsidR="00D669DC" w:rsidRPr="00AD7B0C">
        <w:rPr>
          <w:rFonts w:ascii="Georgia" w:hAnsi="Georgia" w:cs="Arial"/>
          <w:spacing w:val="-3"/>
          <w:lang w:val="es-ES_tradnl"/>
        </w:rPr>
        <w:t>, este cuaderno).</w:t>
      </w:r>
    </w:p>
    <w:p w:rsidR="0089352F" w:rsidRPr="0089352F" w:rsidRDefault="0089352F" w:rsidP="001A7DE1">
      <w:pPr>
        <w:spacing w:line="360" w:lineRule="auto"/>
        <w:jc w:val="both"/>
        <w:rPr>
          <w:rFonts w:ascii="Georgia" w:hAnsi="Georgia" w:cs="Arial"/>
          <w:spacing w:val="-3"/>
          <w:sz w:val="22"/>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9C12AD" w:rsidRPr="0089352F" w:rsidRDefault="009C12AD" w:rsidP="009C12AD">
      <w:pPr>
        <w:pStyle w:val="Sinespaciado"/>
        <w:spacing w:line="360" w:lineRule="auto"/>
        <w:ind w:left="360"/>
        <w:jc w:val="both"/>
        <w:rPr>
          <w:rFonts w:ascii="Georgia" w:hAnsi="Georgia"/>
          <w:sz w:val="22"/>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856F8D">
        <w:rPr>
          <w:rFonts w:ascii="Georgia" w:hAnsi="Georgia"/>
        </w:rPr>
        <w:t>07-03-2018 se asignó</w:t>
      </w:r>
      <w:r w:rsidRPr="00D63D82">
        <w:rPr>
          <w:rFonts w:ascii="Georgia" w:hAnsi="Georgia"/>
        </w:rPr>
        <w:t xml:space="preserve"> a este Despacho</w:t>
      </w:r>
      <w:r w:rsidRPr="00D63D82">
        <w:rPr>
          <w:rFonts w:ascii="Georgia" w:hAnsi="Georgia" w:cs="Arial"/>
          <w:color w:val="000000"/>
        </w:rPr>
        <w:t xml:space="preserve">, con providencia del </w:t>
      </w:r>
      <w:r w:rsidR="00856F8D">
        <w:rPr>
          <w:rFonts w:ascii="Georgia" w:hAnsi="Georgia" w:cs="Arial"/>
          <w:color w:val="000000"/>
        </w:rPr>
        <w:t>09-03-2018 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856F8D">
        <w:rPr>
          <w:rFonts w:ascii="Georgia" w:hAnsi="Georgia"/>
        </w:rPr>
        <w:t>tre otros ordenamientos (Folio 5</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856F8D">
        <w:rPr>
          <w:rFonts w:ascii="Georgia" w:hAnsi="Georgia" w:cs="Arial"/>
          <w:color w:val="000000"/>
        </w:rPr>
        <w:t>6 a 12</w:t>
      </w:r>
      <w:r w:rsidRPr="00D63D82">
        <w:rPr>
          <w:rFonts w:ascii="Georgia" w:hAnsi="Georgia" w:cs="Arial"/>
          <w:color w:val="000000"/>
        </w:rPr>
        <w:t xml:space="preserve">, ibídem). </w:t>
      </w:r>
      <w:r w:rsidR="00856F8D">
        <w:rPr>
          <w:rFonts w:ascii="Georgia" w:hAnsi="Georgia" w:cs="Arial"/>
          <w:color w:val="000000"/>
        </w:rPr>
        <w:t xml:space="preserve">Contestaron el Juzgado accionado (Folio 13, ibídem), el municipio de Sogamoso, B. (Folios 30 a 31 y 48 a 51, ib.) y el Personero Municipal de Sogamoso, B. (Folio 43, ib.)  </w:t>
      </w:r>
      <w:r>
        <w:rPr>
          <w:rFonts w:ascii="Georgia" w:hAnsi="Georgia" w:cs="Arial"/>
        </w:rPr>
        <w:t>El Juzgado arrimó la documentación requerida (Folio</w:t>
      </w:r>
      <w:r w:rsidR="00856F8D">
        <w:rPr>
          <w:rFonts w:ascii="Georgia" w:hAnsi="Georgia" w:cs="Arial"/>
        </w:rPr>
        <w:t>s</w:t>
      </w:r>
      <w:r>
        <w:rPr>
          <w:rFonts w:ascii="Georgia" w:hAnsi="Georgia" w:cs="Arial"/>
        </w:rPr>
        <w:t xml:space="preserve"> </w:t>
      </w:r>
      <w:r w:rsidR="00856F8D">
        <w:rPr>
          <w:rFonts w:ascii="Georgia" w:hAnsi="Georgia" w:cs="Arial"/>
        </w:rPr>
        <w:t>14 a 27</w:t>
      </w:r>
      <w:r>
        <w:rPr>
          <w:rFonts w:ascii="Georgia" w:hAnsi="Georgia" w:cs="Arial"/>
        </w:rPr>
        <w:t>, ib.).</w:t>
      </w:r>
    </w:p>
    <w:p w:rsidR="00B41B34" w:rsidRPr="0089352F" w:rsidRDefault="00B41B34" w:rsidP="00B50331">
      <w:pPr>
        <w:spacing w:line="360" w:lineRule="auto"/>
        <w:jc w:val="both"/>
        <w:rPr>
          <w:rFonts w:ascii="Georgia" w:hAnsi="Georgia" w:cs="Arial"/>
          <w:sz w:val="22"/>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89352F" w:rsidRDefault="00784759" w:rsidP="00730CA7">
      <w:pPr>
        <w:pStyle w:val="Textoindependiente"/>
        <w:spacing w:line="360" w:lineRule="auto"/>
        <w:rPr>
          <w:rFonts w:ascii="Georgia" w:hAnsi="Georgia"/>
          <w:sz w:val="22"/>
        </w:rPr>
      </w:pPr>
    </w:p>
    <w:p w:rsidR="003F09D3" w:rsidRDefault="009C12AD" w:rsidP="00BC631C">
      <w:pPr>
        <w:spacing w:line="360" w:lineRule="auto"/>
        <w:jc w:val="both"/>
        <w:rPr>
          <w:rFonts w:ascii="Georgia" w:hAnsi="Georgia"/>
        </w:rPr>
      </w:pPr>
      <w:r>
        <w:rPr>
          <w:rFonts w:ascii="Georgia" w:hAnsi="Georgia"/>
        </w:rPr>
        <w:t>La</w:t>
      </w:r>
      <w:r w:rsidRPr="00334FE8">
        <w:rPr>
          <w:rFonts w:ascii="Georgia" w:hAnsi="Georgia"/>
        </w:rPr>
        <w:t xml:space="preserve"> </w:t>
      </w:r>
      <w:r w:rsidR="00856F8D" w:rsidRPr="00856F8D">
        <w:rPr>
          <w:rFonts w:ascii="Georgia" w:hAnsi="Georgia"/>
          <w:i/>
        </w:rPr>
        <w:t>a quo</w:t>
      </w:r>
      <w:r w:rsidR="00856F8D">
        <w:rPr>
          <w:rFonts w:ascii="Georgia" w:hAnsi="Georgia"/>
        </w:rPr>
        <w:t xml:space="preserve"> accionada </w:t>
      </w:r>
      <w:r w:rsidR="00CE6D6F">
        <w:rPr>
          <w:rFonts w:ascii="Georgia" w:hAnsi="Georgia"/>
        </w:rPr>
        <w:t>informó el trámite dado a la acción popular, sin aludir a las pretensiones tutelares (Folio 13, ib.). E</w:t>
      </w:r>
      <w:r w:rsidR="00CE6D6F">
        <w:rPr>
          <w:rFonts w:ascii="Georgia" w:hAnsi="Georgia" w:cs="Arial"/>
          <w:color w:val="000000"/>
        </w:rPr>
        <w:t xml:space="preserve">l municipio de Sogamoso, B. </w:t>
      </w:r>
      <w:r w:rsidR="00CE6D6F">
        <w:rPr>
          <w:rFonts w:ascii="Georgia" w:hAnsi="Georgia"/>
        </w:rPr>
        <w:t xml:space="preserve">alegó la </w:t>
      </w:r>
      <w:r>
        <w:rPr>
          <w:rFonts w:ascii="Georgia" w:hAnsi="Georgia"/>
        </w:rPr>
        <w:t>falta de legitimación en la causa por pasiva</w:t>
      </w:r>
      <w:r w:rsidR="00CE6D6F">
        <w:rPr>
          <w:rFonts w:ascii="Georgia" w:hAnsi="Georgia"/>
        </w:rPr>
        <w:t xml:space="preserve"> y la carencia actual de objeto</w:t>
      </w:r>
      <w:r>
        <w:rPr>
          <w:rFonts w:ascii="Georgia" w:hAnsi="Georgia"/>
        </w:rPr>
        <w:t xml:space="preserve">. </w:t>
      </w:r>
      <w:r w:rsidR="00CE6D6F">
        <w:rPr>
          <w:rFonts w:ascii="Georgia" w:hAnsi="Georgia"/>
        </w:rPr>
        <w:t xml:space="preserve">Refirió que cumplió con la comisión encomendada para informar a los miembros de la comunidad sobre la existencia de la acción popular. Solicitó declarar improcedente el amparo en su contra </w:t>
      </w:r>
      <w:r>
        <w:rPr>
          <w:rFonts w:ascii="Georgia" w:hAnsi="Georgia"/>
        </w:rPr>
        <w:t xml:space="preserve">(Folios </w:t>
      </w:r>
      <w:r w:rsidR="00CE6D6F">
        <w:rPr>
          <w:rFonts w:ascii="Georgia" w:hAnsi="Georgia"/>
        </w:rPr>
        <w:t>30 a 31 y 48 a 51</w:t>
      </w:r>
      <w:r>
        <w:rPr>
          <w:rFonts w:ascii="Georgia" w:hAnsi="Georgia"/>
        </w:rPr>
        <w:t>, ib.)</w:t>
      </w:r>
      <w:r w:rsidR="00CE6D6F">
        <w:rPr>
          <w:rFonts w:ascii="Georgia" w:hAnsi="Georgia"/>
        </w:rPr>
        <w:t>.</w:t>
      </w:r>
      <w:r w:rsidR="003F09D3">
        <w:rPr>
          <w:rFonts w:ascii="Georgia" w:hAnsi="Georgia"/>
        </w:rPr>
        <w:t xml:space="preserve"> </w:t>
      </w:r>
    </w:p>
    <w:p w:rsidR="003F09D3" w:rsidRPr="0089352F" w:rsidRDefault="003F09D3" w:rsidP="00BC631C">
      <w:pPr>
        <w:spacing w:line="360" w:lineRule="auto"/>
        <w:jc w:val="both"/>
        <w:rPr>
          <w:rFonts w:ascii="Georgia" w:hAnsi="Georgia"/>
          <w:sz w:val="22"/>
        </w:rPr>
      </w:pPr>
    </w:p>
    <w:p w:rsidR="00BC631C" w:rsidRPr="00BC631C" w:rsidRDefault="00CE6D6F" w:rsidP="00BC631C">
      <w:pPr>
        <w:spacing w:line="360" w:lineRule="auto"/>
        <w:jc w:val="both"/>
        <w:rPr>
          <w:rFonts w:ascii="Georgia" w:hAnsi="Georgia"/>
        </w:rPr>
      </w:pPr>
      <w:r>
        <w:rPr>
          <w:rFonts w:ascii="Georgia" w:hAnsi="Georgia"/>
        </w:rPr>
        <w:t xml:space="preserve">El Personero Municipal de Sogamoso, B. </w:t>
      </w:r>
      <w:r w:rsidR="003F09D3">
        <w:rPr>
          <w:rFonts w:ascii="Georgia" w:hAnsi="Georgia"/>
        </w:rPr>
        <w:t xml:space="preserve">indicó las normas que lo facultan para promover e intervenir en acciones populares, y los trámites constitucionales en los que ha participado. Adujo que se atenía a lo probado en la tutela </w:t>
      </w:r>
      <w:r w:rsidR="00BC631C" w:rsidRPr="00BC631C">
        <w:rPr>
          <w:rFonts w:ascii="Georgia" w:hAnsi="Georgia"/>
        </w:rPr>
        <w:t xml:space="preserve"> (Folios </w:t>
      </w:r>
      <w:r w:rsidR="003F09D3">
        <w:rPr>
          <w:rFonts w:ascii="Georgia" w:hAnsi="Georgia"/>
        </w:rPr>
        <w:t>43 y 44</w:t>
      </w:r>
      <w:r w:rsidR="00BC631C" w:rsidRPr="00BC631C">
        <w:rPr>
          <w:rFonts w:ascii="Georgia" w:hAnsi="Georgia"/>
        </w:rPr>
        <w:t xml:space="preserve">, ib.). </w:t>
      </w:r>
    </w:p>
    <w:p w:rsidR="003A21E6" w:rsidRPr="0089352F" w:rsidRDefault="003A21E6" w:rsidP="00F96624">
      <w:pPr>
        <w:spacing w:line="360" w:lineRule="auto"/>
        <w:jc w:val="both"/>
        <w:rPr>
          <w:rFonts w:ascii="Georgia" w:hAnsi="Georgia" w:cs="Arial"/>
          <w:sz w:val="22"/>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lastRenderedPageBreak/>
        <w:t xml:space="preserve">     </w:t>
      </w:r>
      <w:r w:rsidR="00CF429F" w:rsidRPr="00AD7B0C">
        <w:rPr>
          <w:rFonts w:ascii="Georgia" w:hAnsi="Georgia"/>
          <w:szCs w:val="24"/>
        </w:rPr>
        <w:t>LA FUNDAMENTACIÓN JURÍDICA PARA DECIDIR</w:t>
      </w:r>
    </w:p>
    <w:p w:rsidR="006232EF" w:rsidRPr="0089352F" w:rsidRDefault="006232EF" w:rsidP="00F96624">
      <w:pPr>
        <w:pStyle w:val="Textoindependiente"/>
        <w:spacing w:line="360" w:lineRule="auto"/>
        <w:ind w:left="400"/>
        <w:rPr>
          <w:rFonts w:ascii="Georgia" w:hAnsi="Georgia"/>
          <w:sz w:val="22"/>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207A3A" w:rsidRPr="00AD7B0C">
        <w:rPr>
          <w:rFonts w:ascii="Georgia" w:hAnsi="Georgia" w:cs="Arial"/>
          <w:color w:val="000000"/>
          <w:szCs w:val="24"/>
        </w:rPr>
        <w:t xml:space="preserve">Civil del Circuito de </w:t>
      </w:r>
      <w:r w:rsidR="003F09D3">
        <w:rPr>
          <w:rFonts w:ascii="Georgia" w:hAnsi="Georgia" w:cs="Arial"/>
          <w:color w:val="000000"/>
          <w:szCs w:val="24"/>
        </w:rPr>
        <w:t>Santa Rosa de Cabal, R.</w:t>
      </w:r>
    </w:p>
    <w:p w:rsidR="00772F14" w:rsidRPr="0089352F" w:rsidRDefault="00772F14" w:rsidP="00F96624">
      <w:pPr>
        <w:pStyle w:val="Textoindependiente"/>
        <w:tabs>
          <w:tab w:val="clear" w:pos="0"/>
          <w:tab w:val="clear" w:pos="708"/>
          <w:tab w:val="left" w:pos="709"/>
        </w:tabs>
        <w:spacing w:line="360" w:lineRule="auto"/>
        <w:ind w:left="709"/>
        <w:rPr>
          <w:rFonts w:ascii="Georgia" w:hAnsi="Georgia" w:cs="Arial"/>
          <w:color w:val="000000"/>
          <w:sz w:val="22"/>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3F09D3">
        <w:rPr>
          <w:rFonts w:ascii="Georgia" w:hAnsi="Georgia" w:cs="Arial"/>
        </w:rPr>
        <w:t>el</w:t>
      </w:r>
      <w:r w:rsidR="003E703E" w:rsidRPr="00AD7B0C">
        <w:rPr>
          <w:rFonts w:ascii="Georgia" w:hAnsi="Georgia" w:cs="Arial"/>
        </w:rPr>
        <w:t xml:space="preserve"> escrito</w:t>
      </w:r>
      <w:r w:rsidR="003F09D3">
        <w:rPr>
          <w:rFonts w:ascii="Georgia" w:hAnsi="Georgia" w:cs="Arial"/>
        </w:rPr>
        <w:t xml:space="preserve"> </w:t>
      </w:r>
      <w:r w:rsidRPr="00AD7B0C">
        <w:rPr>
          <w:rFonts w:ascii="Georgia" w:hAnsi="Georgia" w:cs="Arial"/>
        </w:rPr>
        <w:t xml:space="preserve">de tutela?   </w:t>
      </w:r>
    </w:p>
    <w:p w:rsidR="00E13659" w:rsidRPr="0089352F" w:rsidRDefault="00E13659" w:rsidP="00F96624">
      <w:pPr>
        <w:pStyle w:val="Prrafodelista"/>
        <w:spacing w:line="360" w:lineRule="auto"/>
        <w:rPr>
          <w:rFonts w:ascii="Georgia" w:hAnsi="Georgia" w:cs="Arial"/>
          <w:sz w:val="22"/>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89352F" w:rsidRDefault="00D01397" w:rsidP="00F96624">
      <w:pPr>
        <w:pStyle w:val="Textoindependiente"/>
        <w:spacing w:line="360" w:lineRule="auto"/>
        <w:ind w:left="720"/>
        <w:rPr>
          <w:rFonts w:ascii="Georgia" w:hAnsi="Georgia" w:cs="Arial"/>
          <w:sz w:val="22"/>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accionante </w:t>
      </w:r>
      <w:r w:rsidR="003F09D3">
        <w:rPr>
          <w:rFonts w:ascii="Georgia" w:hAnsi="Georgia" w:cs="Arial"/>
          <w:szCs w:val="24"/>
        </w:rPr>
        <w:t>actúa como coadyuvante en la acción popular</w:t>
      </w:r>
      <w:r w:rsidR="00BC631C">
        <w:rPr>
          <w:rFonts w:ascii="Georgia" w:hAnsi="Georgia" w:cs="Arial"/>
          <w:szCs w:val="24"/>
        </w:rPr>
        <w:t xml:space="preserve"> </w:t>
      </w:r>
      <w:r w:rsidR="000666EF" w:rsidRPr="00AD7B0C">
        <w:rPr>
          <w:rFonts w:ascii="Georgia" w:hAnsi="Georgia" w:cs="Arial"/>
          <w:szCs w:val="24"/>
        </w:rPr>
        <w:t>en la que se reprocha la falta al debido proceso</w:t>
      </w:r>
      <w:r w:rsidR="008B6398" w:rsidRPr="00AD7B0C">
        <w:rPr>
          <w:rFonts w:ascii="Georgia" w:hAnsi="Georgia" w:cs="Arial"/>
          <w:szCs w:val="24"/>
        </w:rPr>
        <w:t xml:space="preserve">. </w:t>
      </w:r>
      <w:r w:rsidR="000666EF" w:rsidRPr="00AD7B0C">
        <w:rPr>
          <w:rFonts w:ascii="Georgia" w:hAnsi="Georgia" w:cs="Arial"/>
          <w:szCs w:val="24"/>
        </w:rPr>
        <w:t xml:space="preserve">Y por pasiva, lo es el </w:t>
      </w:r>
      <w:r w:rsidR="003E703E" w:rsidRPr="00AD7B0C">
        <w:rPr>
          <w:rFonts w:ascii="Georgia" w:hAnsi="Georgia" w:cs="Arial"/>
          <w:szCs w:val="24"/>
        </w:rPr>
        <w:t>Despacho Judicial accionado</w:t>
      </w:r>
      <w:r w:rsidR="00D61F60" w:rsidRPr="00AD7B0C">
        <w:rPr>
          <w:rFonts w:ascii="Georgia" w:hAnsi="Georgia" w:cs="Arial"/>
          <w:szCs w:val="24"/>
        </w:rPr>
        <w:t>,</w:t>
      </w:r>
      <w:r w:rsidR="000666EF" w:rsidRPr="00AD7B0C">
        <w:rPr>
          <w:rFonts w:ascii="Georgia" w:hAnsi="Georgia" w:cs="Arial"/>
          <w:szCs w:val="24"/>
        </w:rPr>
        <w:t xml:space="preserve"> al ser la autoridad judicial que conoce </w:t>
      </w:r>
      <w:r w:rsidR="00BC631C">
        <w:rPr>
          <w:rFonts w:ascii="Georgia" w:hAnsi="Georgia" w:cs="Arial"/>
          <w:szCs w:val="24"/>
        </w:rPr>
        <w:t xml:space="preserve">los </w:t>
      </w:r>
      <w:r w:rsidR="003E703E" w:rsidRPr="00AD7B0C">
        <w:rPr>
          <w:rFonts w:ascii="Georgia" w:hAnsi="Georgia" w:cs="Arial"/>
          <w:szCs w:val="24"/>
        </w:rPr>
        <w:t>juicio</w:t>
      </w:r>
      <w:r w:rsidR="00BC631C">
        <w:rPr>
          <w:rFonts w:ascii="Georgia" w:hAnsi="Georgia" w:cs="Arial"/>
          <w:szCs w:val="24"/>
        </w:rPr>
        <w:t>s</w:t>
      </w:r>
      <w:r w:rsidR="000666EF" w:rsidRPr="00AD7B0C">
        <w:rPr>
          <w:rFonts w:ascii="Georgia" w:hAnsi="Georgia" w:cs="Arial"/>
          <w:szCs w:val="24"/>
        </w:rPr>
        <w:t>.</w:t>
      </w:r>
    </w:p>
    <w:p w:rsidR="00EE0CF1" w:rsidRPr="0089352F" w:rsidRDefault="00EE0CF1"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89352F" w:rsidRDefault="003E703E" w:rsidP="003E703E">
      <w:pPr>
        <w:pStyle w:val="Textoindependiente"/>
        <w:spacing w:line="360" w:lineRule="auto"/>
        <w:rPr>
          <w:rFonts w:ascii="Georgia" w:hAnsi="Georgia" w:cs="Arial"/>
          <w:sz w:val="20"/>
          <w:szCs w:val="24"/>
          <w:lang w:val="es-CO"/>
        </w:rPr>
      </w:pPr>
    </w:p>
    <w:p w:rsidR="00FF6891"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 xml:space="preserve">2591 de 1991, declarados ajustados a la Carta, inicia la línea jurisprudencial </w:t>
      </w: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BF77A4" w:rsidRPr="0089352F" w:rsidRDefault="00BF77A4" w:rsidP="003E703E">
      <w:pPr>
        <w:pStyle w:val="Textoindependiente"/>
        <w:shd w:val="clear" w:color="auto" w:fill="FFFFFF" w:themeFill="background1"/>
        <w:spacing w:line="360" w:lineRule="auto"/>
        <w:rPr>
          <w:rFonts w:ascii="Georgia" w:hAnsi="Georgia" w:cs="Arial"/>
          <w:sz w:val="22"/>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89352F" w:rsidRDefault="003E703E" w:rsidP="003E703E">
      <w:pPr>
        <w:pStyle w:val="Textoindependiente"/>
        <w:shd w:val="clear" w:color="auto" w:fill="FFFFFF" w:themeFill="background1"/>
        <w:spacing w:line="360" w:lineRule="auto"/>
        <w:rPr>
          <w:rFonts w:ascii="Georgia" w:hAnsi="Georgia" w:cs="Arial"/>
          <w:sz w:val="22"/>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w:t>
      </w:r>
      <w:r w:rsidRPr="00AD7B0C">
        <w:rPr>
          <w:rFonts w:ascii="Georgia" w:hAnsi="Georgia"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89352F" w:rsidRDefault="003E703E" w:rsidP="003E703E">
      <w:pPr>
        <w:pStyle w:val="Textoindependiente"/>
        <w:shd w:val="clear" w:color="auto" w:fill="FFFFFF" w:themeFill="background1"/>
        <w:spacing w:line="360" w:lineRule="auto"/>
        <w:rPr>
          <w:rFonts w:ascii="Georgia" w:hAnsi="Georgia" w:cs="Arial"/>
          <w:sz w:val="22"/>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89352F" w:rsidRDefault="00C74846" w:rsidP="00C74846">
      <w:pPr>
        <w:pStyle w:val="Textoindependiente"/>
        <w:shd w:val="clear" w:color="auto" w:fill="FFFFFF"/>
        <w:spacing w:line="360" w:lineRule="auto"/>
        <w:rPr>
          <w:rFonts w:ascii="Georgia" w:hAnsi="Georgia" w:cs="Arial"/>
          <w:sz w:val="22"/>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7310B2" w:rsidRDefault="00124549" w:rsidP="00124549">
      <w:pPr>
        <w:widowControl/>
        <w:autoSpaceDE/>
        <w:adjustRightInd/>
        <w:spacing w:line="360" w:lineRule="auto"/>
        <w:ind w:left="709"/>
        <w:jc w:val="both"/>
        <w:rPr>
          <w:rFonts w:ascii="Georgia" w:hAnsi="Georgia" w:cs="Arial"/>
          <w:spacing w:val="-3"/>
          <w:sz w:val="22"/>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lastRenderedPageBreak/>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prohija la improcedencia de la tutela por aplicación del principio de subsidiariedad.</w:t>
      </w:r>
    </w:p>
    <w:p w:rsidR="00124549"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89352F" w:rsidRDefault="00C74846" w:rsidP="006A1FD7">
      <w:pPr>
        <w:pStyle w:val="Textoindependiente"/>
        <w:tabs>
          <w:tab w:val="clear" w:pos="0"/>
          <w:tab w:val="clear" w:pos="1416"/>
        </w:tabs>
        <w:spacing w:line="360" w:lineRule="auto"/>
        <w:rPr>
          <w:rFonts w:ascii="Georgia" w:hAnsi="Georgia"/>
          <w:sz w:val="20"/>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del 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124549" w:rsidRPr="004E68FB" w:rsidRDefault="00124549" w:rsidP="00124549">
      <w:pPr>
        <w:spacing w:line="360" w:lineRule="auto"/>
        <w:jc w:val="both"/>
        <w:rPr>
          <w:rFonts w:ascii="Georgia" w:hAnsi="Georgia" w:cs="Arial"/>
          <w:lang w:val="es-ES_tradnl"/>
        </w:rPr>
      </w:pPr>
    </w:p>
    <w:p w:rsidR="009E770D" w:rsidRPr="00F61CAB" w:rsidRDefault="00124549" w:rsidP="009E770D">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subsidieridad,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(Sublínea fuera de texto).</w:t>
      </w:r>
      <w:r w:rsidR="009E770D" w:rsidRPr="009E770D">
        <w:rPr>
          <w:rFonts w:ascii="Georgia" w:hAnsi="Georgia" w:cs="Arial"/>
        </w:rPr>
        <w:t xml:space="preserve"> </w:t>
      </w:r>
      <w:r w:rsidR="009E770D" w:rsidRPr="00F61CAB">
        <w:rPr>
          <w:rFonts w:ascii="Georgia" w:hAnsi="Georgia" w:cs="Arial"/>
        </w:rPr>
        <w:t>Criterio también expuesto por la CSJ</w:t>
      </w:r>
      <w:r w:rsidR="009E770D" w:rsidRPr="00F61CAB">
        <w:rPr>
          <w:rFonts w:ascii="Georgia" w:hAnsi="Georgia" w:cs="Arial"/>
          <w:vertAlign w:val="superscript"/>
        </w:rPr>
        <w:footnoteReference w:id="18"/>
      </w:r>
      <w:r w:rsidR="009E770D" w:rsidRPr="00F61CAB">
        <w:rPr>
          <w:rFonts w:ascii="Georgia" w:hAnsi="Georgia" w:cs="Arial"/>
        </w:rPr>
        <w:t>.</w:t>
      </w:r>
    </w:p>
    <w:p w:rsidR="00124549" w:rsidRPr="00476F81" w:rsidRDefault="00124549" w:rsidP="00124549">
      <w:pPr>
        <w:spacing w:line="360" w:lineRule="auto"/>
        <w:jc w:val="both"/>
        <w:rPr>
          <w:rFonts w:ascii="Georgia" w:hAnsi="Georgia"/>
          <w:bCs/>
          <w:sz w:val="20"/>
          <w:szCs w:val="28"/>
        </w:rPr>
      </w:pPr>
    </w:p>
    <w:p w:rsidR="00124549" w:rsidRDefault="00124549" w:rsidP="00124549">
      <w:pPr>
        <w:widowControl/>
        <w:spacing w:line="360" w:lineRule="auto"/>
        <w:jc w:val="both"/>
        <w:rPr>
          <w:rFonts w:ascii="Georgia" w:hAnsi="Georgia"/>
          <w:lang w:val="es-CO"/>
        </w:rPr>
      </w:pPr>
      <w:r w:rsidRPr="000203EC">
        <w:rPr>
          <w:rFonts w:ascii="Georgia" w:hAnsi="Georgia" w:cs="Arial"/>
        </w:rPr>
        <w:t>En el caso particular,</w:t>
      </w:r>
      <w:r>
        <w:rPr>
          <w:rFonts w:ascii="Georgia" w:hAnsi="Georgia" w:cs="Arial"/>
        </w:rPr>
        <w:t xml:space="preserve"> luce evidente que la acción constitucional fue anticipada, </w:t>
      </w:r>
      <w:r w:rsidRPr="00B33A0F">
        <w:rPr>
          <w:rFonts w:ascii="Georgia" w:hAnsi="Georgia" w:cs="Arial"/>
        </w:rPr>
        <w:t xml:space="preserve">comoquiera que </w:t>
      </w:r>
      <w:r>
        <w:rPr>
          <w:rFonts w:ascii="Georgia" w:hAnsi="Georgia" w:cs="Arial"/>
        </w:rPr>
        <w:t xml:space="preserve">la apelación adhesiva aún puede ser formulada ante el Magistrado que le sea repartida la acción popular. En </w:t>
      </w:r>
      <w:r>
        <w:rPr>
          <w:rFonts w:ascii="Georgia" w:hAnsi="Georgia"/>
          <w:lang w:val="es-CO"/>
        </w:rPr>
        <w:t xml:space="preserve">efecto, establece el parágrafo del artículo 322, CGP:   </w:t>
      </w:r>
    </w:p>
    <w:p w:rsidR="00124549" w:rsidRPr="0089352F" w:rsidRDefault="00124549" w:rsidP="00124549">
      <w:pPr>
        <w:widowControl/>
        <w:spacing w:line="360" w:lineRule="auto"/>
        <w:jc w:val="both"/>
        <w:rPr>
          <w:rFonts w:ascii="Georgia" w:hAnsi="Georgia"/>
          <w:sz w:val="20"/>
          <w:lang w:val="es-CO"/>
        </w:rPr>
      </w:pPr>
    </w:p>
    <w:p w:rsidR="00124549" w:rsidRDefault="00124549" w:rsidP="00124549">
      <w:pPr>
        <w:widowControl/>
        <w:ind w:left="567" w:right="618"/>
        <w:jc w:val="both"/>
        <w:rPr>
          <w:rFonts w:ascii="Georgia" w:hAnsi="Georgia"/>
        </w:rPr>
      </w:pPr>
      <w:r w:rsidRPr="00E152E7">
        <w:rPr>
          <w:rFonts w:ascii="Georgia" w:hAnsi="Georgia"/>
        </w:rPr>
        <w:t xml:space="preserve">La parte que no apeló podrá adherir al recurso interpuesto por otra de las partes, en lo que la providencia apelada le fuere desfavorable. </w:t>
      </w:r>
      <w:r w:rsidRPr="00C33CE2">
        <w:rPr>
          <w:rFonts w:ascii="Georgia" w:hAnsi="Georgia"/>
          <w:u w:val="single"/>
        </w:rPr>
        <w:t>El escrito de adhesión podrá presentarse</w:t>
      </w:r>
      <w:r w:rsidRPr="00E152E7">
        <w:rPr>
          <w:rFonts w:ascii="Georgia" w:hAnsi="Georgia"/>
        </w:rPr>
        <w:t xml:space="preserve"> ante el juez que lo profirió mientras el expediente se encuentre en su despacho, </w:t>
      </w:r>
      <w:r w:rsidRPr="00124549">
        <w:rPr>
          <w:rFonts w:ascii="Georgia" w:hAnsi="Georgia"/>
          <w:u w:val="single"/>
        </w:rPr>
        <w:t xml:space="preserve">o ante el superior </w:t>
      </w:r>
      <w:r w:rsidRPr="00C33CE2">
        <w:rPr>
          <w:rFonts w:ascii="Georgia" w:hAnsi="Georgia"/>
          <w:u w:val="single"/>
        </w:rPr>
        <w:t>hasta el vencimiento del término de ejecutoria del auto que admite apelación de la sentencia</w:t>
      </w:r>
      <w:r w:rsidRPr="00E152E7">
        <w:rPr>
          <w:rFonts w:ascii="Georgia" w:hAnsi="Georgia"/>
        </w:rPr>
        <w:t>. El escrito de adhesión deberá sujetarse a lo previsto en el numeral 3 de este artículo.</w:t>
      </w:r>
    </w:p>
    <w:p w:rsidR="00124549" w:rsidRPr="00E152E7" w:rsidRDefault="00124549" w:rsidP="00124549">
      <w:pPr>
        <w:widowControl/>
        <w:ind w:left="567" w:right="618"/>
        <w:jc w:val="both"/>
        <w:rPr>
          <w:rFonts w:ascii="Georgia" w:hAnsi="Georgia"/>
        </w:rPr>
      </w:pPr>
    </w:p>
    <w:p w:rsidR="00124549" w:rsidRPr="00E152E7" w:rsidRDefault="00124549" w:rsidP="00124549">
      <w:pPr>
        <w:widowControl/>
        <w:ind w:left="567" w:right="618"/>
        <w:jc w:val="both"/>
        <w:rPr>
          <w:rFonts w:ascii="Georgia" w:hAnsi="Georgia"/>
        </w:rPr>
      </w:pPr>
      <w:r w:rsidRPr="00E152E7">
        <w:rPr>
          <w:rFonts w:ascii="Georgia" w:hAnsi="Georgia"/>
        </w:rPr>
        <w:t>La adhesión quedará sin efecto si se produce el desistimiento del apelante principal.</w:t>
      </w:r>
      <w:r>
        <w:rPr>
          <w:rFonts w:ascii="Georgia" w:hAnsi="Georgia"/>
        </w:rPr>
        <w:t xml:space="preserve"> (Resaltado extratextual).</w:t>
      </w:r>
    </w:p>
    <w:p w:rsidR="00124549" w:rsidRPr="009E770D" w:rsidRDefault="00124549" w:rsidP="00124549">
      <w:pPr>
        <w:spacing w:line="360" w:lineRule="auto"/>
        <w:jc w:val="both"/>
        <w:rPr>
          <w:rFonts w:ascii="Georgia" w:hAnsi="Georgia" w:cs="Arial"/>
          <w:sz w:val="28"/>
        </w:rPr>
      </w:pPr>
    </w:p>
    <w:p w:rsidR="009E770D" w:rsidRDefault="00124549" w:rsidP="00124549">
      <w:pPr>
        <w:spacing w:line="360" w:lineRule="auto"/>
        <w:jc w:val="both"/>
        <w:rPr>
          <w:rFonts w:ascii="Georgia" w:hAnsi="Georgia"/>
          <w:lang w:val="es-CO"/>
        </w:rPr>
      </w:pPr>
      <w:r w:rsidRPr="002F4827">
        <w:rPr>
          <w:rFonts w:ascii="Georgia" w:hAnsi="Georgia"/>
          <w:lang w:val="es-CO"/>
        </w:rPr>
        <w:t xml:space="preserve">Fácil se aprecia que </w:t>
      </w:r>
      <w:r>
        <w:rPr>
          <w:rFonts w:ascii="Georgia" w:hAnsi="Georgia"/>
          <w:lang w:val="es-CO"/>
        </w:rPr>
        <w:t xml:space="preserve">el actor todavía </w:t>
      </w:r>
      <w:r w:rsidR="009E770D">
        <w:rPr>
          <w:rFonts w:ascii="Georgia" w:hAnsi="Georgia"/>
          <w:lang w:val="es-CO"/>
        </w:rPr>
        <w:t xml:space="preserve">puede </w:t>
      </w:r>
      <w:r>
        <w:rPr>
          <w:rFonts w:ascii="Georgia" w:hAnsi="Georgia"/>
          <w:lang w:val="es-CO"/>
        </w:rPr>
        <w:t xml:space="preserve">interponer el recurso, sin que sea </w:t>
      </w:r>
      <w:r w:rsidR="009E770D">
        <w:rPr>
          <w:rFonts w:ascii="Georgia" w:hAnsi="Georgia"/>
          <w:lang w:val="es-CO"/>
        </w:rPr>
        <w:t xml:space="preserve">talanquera la decisión de la </w:t>
      </w:r>
      <w:r w:rsidR="009E770D" w:rsidRPr="009E770D">
        <w:rPr>
          <w:rFonts w:ascii="Georgia" w:hAnsi="Georgia"/>
          <w:i/>
          <w:lang w:val="es-CO"/>
        </w:rPr>
        <w:t>a quo</w:t>
      </w:r>
      <w:r w:rsidR="009E770D" w:rsidRPr="009E770D">
        <w:rPr>
          <w:rFonts w:ascii="Georgia" w:hAnsi="Georgia"/>
          <w:lang w:val="es-CO"/>
        </w:rPr>
        <w:t>, aquí cuestionada,</w:t>
      </w:r>
      <w:r w:rsidR="009E770D">
        <w:rPr>
          <w:rFonts w:ascii="Georgia" w:hAnsi="Georgia"/>
          <w:i/>
          <w:lang w:val="es-CO"/>
        </w:rPr>
        <w:t xml:space="preserve"> </w:t>
      </w:r>
      <w:r w:rsidR="009E770D">
        <w:rPr>
          <w:rFonts w:ascii="Georgia" w:hAnsi="Georgia"/>
          <w:lang w:val="es-CO"/>
        </w:rPr>
        <w:t xml:space="preserve">siempre y cuando lo haga </w:t>
      </w:r>
      <w:r w:rsidR="009E770D" w:rsidRPr="002F4827">
        <w:rPr>
          <w:rFonts w:ascii="Georgia" w:hAnsi="Georgia"/>
          <w:lang w:val="es-CO"/>
        </w:rPr>
        <w:t xml:space="preserve">antes de que quede </w:t>
      </w:r>
      <w:r w:rsidR="009E770D" w:rsidRPr="002F4827">
        <w:rPr>
          <w:rFonts w:ascii="Georgia" w:hAnsi="Georgia"/>
          <w:lang w:val="es-CO"/>
        </w:rPr>
        <w:lastRenderedPageBreak/>
        <w:t>ejecutoriado el proveído dictado que resuelva sobre la admisibilidad de la alzada (Artículos 325 y 327, CGP)</w:t>
      </w:r>
      <w:r w:rsidR="009E770D">
        <w:rPr>
          <w:rFonts w:ascii="Georgia" w:hAnsi="Georgia"/>
          <w:lang w:val="es-CO"/>
        </w:rPr>
        <w:t>.</w:t>
      </w:r>
    </w:p>
    <w:p w:rsidR="00124549" w:rsidRDefault="00124549" w:rsidP="00124549">
      <w:pPr>
        <w:spacing w:line="360" w:lineRule="auto"/>
        <w:jc w:val="both"/>
        <w:rPr>
          <w:rFonts w:ascii="Georgia" w:hAnsi="Georgia" w:cs="Arial"/>
        </w:rPr>
      </w:pPr>
    </w:p>
    <w:p w:rsidR="009E770D" w:rsidRPr="00B33A0F" w:rsidRDefault="009E770D" w:rsidP="009E770D">
      <w:pPr>
        <w:spacing w:line="360" w:lineRule="auto"/>
        <w:ind w:right="51"/>
        <w:jc w:val="both"/>
        <w:rPr>
          <w:rFonts w:ascii="Georgia" w:hAnsi="Georgia"/>
        </w:rPr>
      </w:pPr>
      <w:r>
        <w:rPr>
          <w:rFonts w:ascii="Georgia" w:hAnsi="Georgia"/>
        </w:rPr>
        <w:t xml:space="preserve">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parte del 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9"/>
      </w:r>
      <w:r w:rsidRPr="00B33A0F">
        <w:rPr>
          <w:rFonts w:ascii="Georgia" w:hAnsi="Georgia"/>
        </w:rPr>
        <w:t>.</w:t>
      </w:r>
    </w:p>
    <w:p w:rsidR="009E770D" w:rsidRPr="00B33A0F" w:rsidRDefault="009E770D" w:rsidP="009E770D">
      <w:pPr>
        <w:spacing w:line="360" w:lineRule="auto"/>
        <w:ind w:right="51"/>
        <w:jc w:val="both"/>
        <w:rPr>
          <w:rFonts w:ascii="Georgia" w:hAnsi="Georgia"/>
          <w:sz w:val="20"/>
        </w:rPr>
      </w:pPr>
    </w:p>
    <w:p w:rsidR="009E770D" w:rsidRDefault="009E770D" w:rsidP="009E770D">
      <w:pPr>
        <w:spacing w:line="360" w:lineRule="auto"/>
        <w:ind w:right="51"/>
        <w:jc w:val="both"/>
        <w:rPr>
          <w:rFonts w:ascii="Georgia" w:hAnsi="Georgia"/>
        </w:rPr>
      </w:pPr>
      <w:r w:rsidRPr="00B33A0F">
        <w:rPr>
          <w:rFonts w:ascii="Georgia" w:hAnsi="Georgia" w:cs="Arial"/>
          <w:lang w:val="es-ES_tradnl"/>
        </w:rPr>
        <w:t>En ese contexto, el presente amparo es improcedente toda vez que se incumple con uno de los siete (7) requisitos generales de procedibilidad, como lo es el de la subsidiariedad, p</w:t>
      </w:r>
      <w:r>
        <w:rPr>
          <w:rFonts w:ascii="Georgia" w:hAnsi="Georgia" w:cs="Arial"/>
          <w:lang w:val="es-ES_tradnl"/>
        </w:rPr>
        <w:t>orque</w:t>
      </w:r>
      <w:r w:rsidRPr="00B33A0F">
        <w:rPr>
          <w:rFonts w:ascii="Georgia" w:hAnsi="Georgia" w:cs="Arial"/>
          <w:lang w:val="es-ES_tradnl"/>
        </w:rPr>
        <w:t xml:space="preserve"> </w:t>
      </w:r>
      <w:r>
        <w:rPr>
          <w:rFonts w:ascii="Georgia" w:hAnsi="Georgia" w:cs="Arial"/>
          <w:lang w:val="es-ES_tradnl"/>
        </w:rPr>
        <w:t>la</w:t>
      </w:r>
      <w:r w:rsidRPr="00B33A0F">
        <w:rPr>
          <w:rFonts w:ascii="Georgia" w:hAnsi="Georgia" w:cs="Arial"/>
          <w:lang w:val="es-ES_tradnl"/>
        </w:rPr>
        <w:t xml:space="preserve"> acci</w:t>
      </w:r>
      <w:r>
        <w:rPr>
          <w:rFonts w:ascii="Georgia" w:hAnsi="Georgia" w:cs="Arial"/>
          <w:lang w:val="es-ES_tradnl"/>
        </w:rPr>
        <w:t>ón</w:t>
      </w:r>
      <w:r w:rsidRPr="00B33A0F">
        <w:rPr>
          <w:rFonts w:ascii="Georgia" w:hAnsi="Georgia" w:cs="Arial"/>
          <w:lang w:val="es-ES_tradnl"/>
        </w:rPr>
        <w:t xml:space="preserve"> </w:t>
      </w:r>
      <w:r>
        <w:rPr>
          <w:rFonts w:ascii="Georgia" w:hAnsi="Georgia" w:cs="Arial"/>
          <w:lang w:val="es-ES_tradnl"/>
        </w:rPr>
        <w:t>popular</w:t>
      </w:r>
      <w:r w:rsidRPr="00B33A0F">
        <w:rPr>
          <w:rFonts w:ascii="Georgia" w:hAnsi="Georgia" w:cs="Arial"/>
          <w:lang w:val="es-ES_tradnl"/>
        </w:rPr>
        <w:t xml:space="preserve"> está</w:t>
      </w:r>
      <w:r>
        <w:rPr>
          <w:rFonts w:ascii="Georgia" w:hAnsi="Georgia" w:cs="Arial"/>
          <w:lang w:val="es-ES_tradnl"/>
        </w:rPr>
        <w:t xml:space="preserve"> en trámite</w:t>
      </w:r>
      <w:r w:rsidRPr="00B33A0F">
        <w:rPr>
          <w:rFonts w:ascii="Georgia" w:hAnsi="Georgia"/>
        </w:rPr>
        <w:t>.</w:t>
      </w:r>
    </w:p>
    <w:p w:rsidR="00124549" w:rsidRDefault="00124549" w:rsidP="00124549">
      <w:pPr>
        <w:pStyle w:val="Textoindependiente"/>
        <w:spacing w:line="360" w:lineRule="auto"/>
        <w:rPr>
          <w:rFonts w:ascii="Georgia" w:hAnsi="Georgia" w:cs="Arial"/>
          <w:sz w:val="22"/>
        </w:rPr>
      </w:pPr>
    </w:p>
    <w:p w:rsidR="006A1FD7" w:rsidRDefault="006A1FD7" w:rsidP="006A1FD7">
      <w:pPr>
        <w:pStyle w:val="Textoindependiente"/>
        <w:spacing w:line="360" w:lineRule="auto"/>
        <w:rPr>
          <w:rFonts w:ascii="Georgia" w:hAnsi="Georgia"/>
          <w:szCs w:val="24"/>
        </w:rPr>
      </w:pPr>
      <w:r>
        <w:rPr>
          <w:rFonts w:ascii="Georgia" w:hAnsi="Georgia"/>
          <w:szCs w:val="24"/>
        </w:rPr>
        <w:t xml:space="preserve">Por último, la Corporación niega las pretensiones tutelares frente a la Personería Municipal de Santa Rosa de Cabal, R., toda vez que la acción de tutela no es el mecanismo idóneo para formular derechos de petición ante autoridades o particulares, es al accionante a quien le corresponde hacerlo directamente. </w:t>
      </w:r>
    </w:p>
    <w:p w:rsidR="009E770D" w:rsidRDefault="009E770D" w:rsidP="006A1FD7">
      <w:pPr>
        <w:pStyle w:val="Textoindependiente"/>
        <w:spacing w:line="360" w:lineRule="auto"/>
        <w:rPr>
          <w:rFonts w:ascii="Georgia" w:hAnsi="Georgia"/>
          <w:szCs w:val="24"/>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89352F" w:rsidRDefault="00D61DEB" w:rsidP="00D61DEB">
      <w:pPr>
        <w:pStyle w:val="Textoindependiente"/>
        <w:spacing w:line="360" w:lineRule="auto"/>
        <w:ind w:left="400"/>
        <w:rPr>
          <w:rFonts w:ascii="Georgia" w:hAnsi="Georgia"/>
          <w:sz w:val="22"/>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Pr>
          <w:rFonts w:ascii="Georgia" w:hAnsi="Georgia" w:cs="Arial"/>
          <w:szCs w:val="24"/>
          <w:lang w:val="es-ES"/>
        </w:rPr>
        <w:t xml:space="preserve"> improcedente el </w:t>
      </w:r>
      <w:r w:rsidRPr="00B33A0F">
        <w:rPr>
          <w:rFonts w:ascii="Georgia" w:hAnsi="Georgia" w:cs="Arial"/>
          <w:szCs w:val="24"/>
          <w:lang w:val="es-ES"/>
        </w:rPr>
        <w:t>amparo constitucional frente al Juzgado</w:t>
      </w:r>
      <w:r>
        <w:rPr>
          <w:rFonts w:ascii="Georgia" w:hAnsi="Georgia" w:cs="Arial"/>
        </w:rPr>
        <w:t xml:space="preserve"> Civil del Circuito de Santa Rosa de Cabal, R.; y </w:t>
      </w:r>
      <w:r w:rsidR="006A1FD7">
        <w:rPr>
          <w:rFonts w:ascii="Georgia" w:hAnsi="Georgia" w:cs="Arial"/>
        </w:rPr>
        <w:t>(</w:t>
      </w:r>
      <w:r>
        <w:rPr>
          <w:rFonts w:ascii="Georgia" w:hAnsi="Georgia" w:cs="Arial"/>
        </w:rPr>
        <w:t>i</w:t>
      </w:r>
      <w:r w:rsidR="006A1FD7">
        <w:rPr>
          <w:rFonts w:ascii="Georgia" w:hAnsi="Georgia" w:cs="Arial"/>
        </w:rPr>
        <w:t xml:space="preserve">i) Se negará el amparo frente a la Personería Municipal de </w:t>
      </w:r>
      <w:r>
        <w:rPr>
          <w:rFonts w:ascii="Georgia" w:hAnsi="Georgia" w:cs="Arial"/>
        </w:rPr>
        <w:t>esa localidad</w:t>
      </w:r>
      <w:r w:rsidR="006A1FD7">
        <w:rPr>
          <w:rFonts w:ascii="Georgia" w:hAnsi="Georgia" w:cs="Arial"/>
        </w:rPr>
        <w:t>.</w:t>
      </w:r>
    </w:p>
    <w:p w:rsidR="00BB7438" w:rsidRPr="0089352F" w:rsidRDefault="00BB7438" w:rsidP="00BB7438">
      <w:pPr>
        <w:pStyle w:val="Textoindependiente"/>
        <w:spacing w:line="360" w:lineRule="auto"/>
        <w:rPr>
          <w:rFonts w:ascii="Georgia" w:hAnsi="Georgia" w:cs="Arial"/>
          <w:sz w:val="22"/>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P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BB7438" w:rsidRPr="0089352F" w:rsidRDefault="00BB7438" w:rsidP="00BB7438">
      <w:pPr>
        <w:pStyle w:val="Textoindependiente"/>
        <w:spacing w:line="360" w:lineRule="auto"/>
        <w:jc w:val="center"/>
        <w:rPr>
          <w:rFonts w:ascii="Georgia" w:hAnsi="Georgia" w:cs="Arial"/>
          <w:bCs/>
          <w:sz w:val="20"/>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w:t>
      </w:r>
      <w:r>
        <w:rPr>
          <w:rFonts w:ascii="Georgia" w:hAnsi="Georgia" w:cs="Arial"/>
        </w:rPr>
        <w:t>s</w:t>
      </w:r>
      <w:r w:rsidRPr="00B33A0F">
        <w:rPr>
          <w:rFonts w:ascii="Georgia" w:hAnsi="Georgia" w:cs="Arial"/>
        </w:rPr>
        <w:t xml:space="preserve"> por el señor </w:t>
      </w:r>
      <w:r>
        <w:rPr>
          <w:rFonts w:ascii="Georgia" w:hAnsi="Georgia" w:cs="Arial"/>
        </w:rPr>
        <w:t>Javier Elías Arias Idárraga</w:t>
      </w:r>
      <w:r w:rsidRPr="00B33A0F">
        <w:rPr>
          <w:rFonts w:ascii="Georgia" w:hAnsi="Georgia" w:cs="Arial"/>
        </w:rPr>
        <w:t xml:space="preserve"> contra el Juzgado</w:t>
      </w:r>
      <w:r>
        <w:rPr>
          <w:rFonts w:ascii="Georgia" w:hAnsi="Georgia" w:cs="Arial"/>
        </w:rPr>
        <w:t xml:space="preserve"> </w:t>
      </w:r>
      <w:r w:rsidRPr="00B33A0F">
        <w:rPr>
          <w:rFonts w:ascii="Georgia" w:hAnsi="Georgia" w:cs="Arial"/>
        </w:rPr>
        <w:t xml:space="preserve">Civil del Circuito de </w:t>
      </w:r>
      <w:r>
        <w:rPr>
          <w:rFonts w:ascii="Georgia" w:hAnsi="Georgia" w:cs="Arial"/>
        </w:rPr>
        <w:t>Santa Rosa de Cabal, R.</w:t>
      </w:r>
    </w:p>
    <w:p w:rsidR="00AA465A" w:rsidRDefault="00AA465A" w:rsidP="00AA465A">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9E770D" w:rsidRP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A465A">
        <w:rPr>
          <w:rFonts w:ascii="Georgia" w:hAnsi="Georgia" w:cs="Arial"/>
        </w:rPr>
        <w:t xml:space="preserve">NEGAR la acción </w:t>
      </w:r>
      <w:r w:rsidR="00AA465A" w:rsidRPr="00AA465A">
        <w:rPr>
          <w:rFonts w:ascii="Georgia" w:hAnsi="Georgia" w:cs="Arial"/>
        </w:rPr>
        <w:t xml:space="preserve">constitucional </w:t>
      </w:r>
      <w:r w:rsidRPr="00AA465A">
        <w:rPr>
          <w:rFonts w:ascii="Georgia" w:hAnsi="Georgia" w:cs="Arial"/>
        </w:rPr>
        <w:t xml:space="preserve">frente a la Personería Municipal de </w:t>
      </w:r>
      <w:r w:rsidR="00AA465A" w:rsidRPr="00AA465A">
        <w:rPr>
          <w:rFonts w:ascii="Georgia" w:hAnsi="Georgia" w:cs="Arial"/>
        </w:rPr>
        <w:t>esa localidad.</w:t>
      </w:r>
    </w:p>
    <w:p w:rsidR="009E770D" w:rsidRPr="00B33A0F" w:rsidRDefault="009E770D" w:rsidP="009E770D">
      <w:pPr>
        <w:pStyle w:val="Textoindependiente"/>
        <w:tabs>
          <w:tab w:val="clear" w:pos="708"/>
        </w:tabs>
        <w:spacing w:line="360" w:lineRule="auto"/>
        <w:rPr>
          <w:rFonts w:ascii="Georgia" w:hAnsi="Georgia" w:cs="Arial"/>
          <w:szCs w:val="24"/>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B33A0F"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B33A0F"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el expediente, previa anotaciones en los libros radicadores.</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lastRenderedPageBreak/>
        <w:t>Notifíquese,</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E2" w:rsidRDefault="002408E2" w:rsidP="0099045D">
      <w:r>
        <w:separator/>
      </w:r>
    </w:p>
  </w:endnote>
  <w:endnote w:type="continuationSeparator" w:id="0">
    <w:p w:rsidR="002408E2" w:rsidRDefault="002408E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E2" w:rsidRDefault="002408E2" w:rsidP="0099045D">
      <w:r>
        <w:separator/>
      </w:r>
    </w:p>
  </w:footnote>
  <w:footnote w:type="continuationSeparator" w:id="0">
    <w:p w:rsidR="002408E2" w:rsidRDefault="002408E2"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124549" w:rsidRPr="00714579" w:rsidRDefault="00124549" w:rsidP="00124549">
      <w:pPr>
        <w:pStyle w:val="Textonotapie"/>
      </w:pPr>
      <w:r w:rsidRPr="00714579">
        <w:rPr>
          <w:rStyle w:val="Refdenotaalpie"/>
        </w:rPr>
        <w:footnoteRef/>
      </w:r>
      <w:r w:rsidRPr="00714579">
        <w:t xml:space="preserve"> CC. T-600 de 2017.</w:t>
      </w:r>
    </w:p>
  </w:footnote>
  <w:footnote w:id="17">
    <w:p w:rsidR="00124549" w:rsidRPr="00714579" w:rsidRDefault="00124549" w:rsidP="00124549">
      <w:pPr>
        <w:pStyle w:val="Textonotapie"/>
      </w:pPr>
      <w:r w:rsidRPr="00714579">
        <w:rPr>
          <w:vertAlign w:val="superscript"/>
        </w:rPr>
        <w:footnoteRef/>
      </w:r>
      <w:r w:rsidRPr="00714579">
        <w:t xml:space="preserve"> CC. T-103 y 396 de 2014, entre otras. </w:t>
      </w:r>
    </w:p>
  </w:footnote>
  <w:footnote w:id="18">
    <w:p w:rsidR="009E770D" w:rsidRPr="00F61CAB" w:rsidRDefault="009E770D" w:rsidP="009E770D">
      <w:pPr>
        <w:pStyle w:val="Textonotapie"/>
        <w:jc w:val="both"/>
      </w:pPr>
      <w:r w:rsidRPr="00F61CAB">
        <w:rPr>
          <w:rStyle w:val="Refdenotaalpie"/>
        </w:rPr>
        <w:footnoteRef/>
      </w:r>
      <w:r>
        <w:t xml:space="preserve"> CSJ</w:t>
      </w:r>
      <w:r w:rsidRPr="00F61CAB">
        <w:t>. STC3950-2016.</w:t>
      </w:r>
    </w:p>
  </w:footnote>
  <w:footnote w:id="19">
    <w:p w:rsidR="009E770D" w:rsidRPr="007D3087" w:rsidRDefault="009E770D" w:rsidP="009E770D">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E427E3">
      <w:rPr>
        <w:rFonts w:ascii="Georgia" w:hAnsi="Georgia" w:cs="Calibri"/>
        <w:i/>
        <w:noProof/>
        <w:sz w:val="20"/>
      </w:rPr>
      <w:t>7</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69690B">
      <w:rPr>
        <w:rFonts w:ascii="Georgia" w:hAnsi="Georgia" w:cs="Calibri"/>
        <w:i/>
        <w:smallCaps/>
        <w:sz w:val="20"/>
        <w:szCs w:val="22"/>
      </w:rPr>
      <w:t>00061</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08E2"/>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27FAA"/>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49D"/>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AC6"/>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7E3"/>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8283-A9E5-4C7F-B168-DE79EFBD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2018-03-21T16:07:00Z</cp:lastPrinted>
  <dcterms:created xsi:type="dcterms:W3CDTF">2018-03-21T12:04:00Z</dcterms:created>
  <dcterms:modified xsi:type="dcterms:W3CDTF">2018-04-10T15:42:00Z</dcterms:modified>
</cp:coreProperties>
</file>