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68" w:rsidRPr="002E011F" w:rsidRDefault="00A67A68" w:rsidP="00A67A6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67A68" w:rsidRPr="002E011F" w:rsidRDefault="00A67A68" w:rsidP="00A67A6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A67A68" w:rsidRPr="001B5572" w:rsidRDefault="00A67A68" w:rsidP="00A67A68">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20 de abril </w:t>
      </w:r>
      <w:r w:rsidRPr="001B5572">
        <w:rPr>
          <w:rFonts w:asciiTheme="minorHAnsi" w:hAnsiTheme="minorHAnsi"/>
          <w:sz w:val="18"/>
          <w:szCs w:val="18"/>
        </w:rPr>
        <w:t>de 2018</w:t>
      </w:r>
    </w:p>
    <w:p w:rsidR="00A67A68" w:rsidRDefault="00A67A68" w:rsidP="00A67A68">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Con</w:t>
      </w:r>
      <w:r>
        <w:rPr>
          <w:rFonts w:asciiTheme="minorHAnsi" w:hAnsiTheme="minorHAnsi"/>
          <w:sz w:val="18"/>
          <w:szCs w:val="18"/>
        </w:rPr>
        <w:t>tra sanción en desacato - Niega</w:t>
      </w:r>
    </w:p>
    <w:p w:rsidR="00A67A68" w:rsidRDefault="00A67A68" w:rsidP="00A67A68">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A67A68">
        <w:rPr>
          <w:rFonts w:asciiTheme="minorHAnsi" w:hAnsiTheme="minorHAnsi"/>
          <w:sz w:val="18"/>
          <w:szCs w:val="18"/>
        </w:rPr>
        <w:t>2018-00131-00 (Interno No.131)</w:t>
      </w:r>
    </w:p>
    <w:p w:rsidR="00A67A68" w:rsidRPr="001B5572" w:rsidRDefault="00A67A68" w:rsidP="00A67A68">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A67A68">
        <w:rPr>
          <w:rFonts w:asciiTheme="minorHAnsi" w:hAnsiTheme="minorHAnsi"/>
          <w:sz w:val="18"/>
          <w:szCs w:val="18"/>
        </w:rPr>
        <w:t>Javier Antonio Ocampo López</w:t>
      </w:r>
    </w:p>
    <w:p w:rsidR="00A67A68" w:rsidRPr="001B5572" w:rsidRDefault="00A67A68" w:rsidP="00A67A68">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FA6A29">
        <w:rPr>
          <w:rFonts w:asciiTheme="minorHAnsi" w:hAnsiTheme="minorHAnsi"/>
          <w:sz w:val="18"/>
          <w:szCs w:val="18"/>
        </w:rPr>
        <w:t>Juzgado Promiscuo del Circuito de La Virginia</w:t>
      </w:r>
      <w:r>
        <w:rPr>
          <w:rFonts w:asciiTheme="minorHAnsi" w:hAnsiTheme="minorHAnsi"/>
          <w:sz w:val="18"/>
          <w:szCs w:val="18"/>
        </w:rPr>
        <w:t xml:space="preserve"> y otros</w:t>
      </w:r>
    </w:p>
    <w:p w:rsidR="00A67A68" w:rsidRPr="001B5572" w:rsidRDefault="00A67A68" w:rsidP="00A67A68">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A67A68" w:rsidRPr="001B5572" w:rsidRDefault="00A67A68" w:rsidP="00A67A68">
      <w:pPr>
        <w:rPr>
          <w:rFonts w:asciiTheme="minorHAnsi" w:hAnsiTheme="minorHAnsi"/>
          <w:sz w:val="18"/>
          <w:szCs w:val="18"/>
        </w:rPr>
      </w:pPr>
    </w:p>
    <w:p w:rsidR="00BE1B91" w:rsidRPr="00BE1B91" w:rsidRDefault="00A67A68" w:rsidP="00BE1B91">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INCIDENTE DE DESACATO / SANCIÓN / MULTA Y ARRESTO / NO DESCONOCIÓ EL PRECEDENTE / RESPONSABILIDAD SUBJETIVA / NIEGA - </w:t>
      </w:r>
      <w:r>
        <w:rPr>
          <w:rFonts w:asciiTheme="minorHAnsi" w:hAnsiTheme="minorHAnsi"/>
          <w:b/>
          <w:sz w:val="18"/>
          <w:lang w:eastAsia="fr-FR"/>
        </w:rPr>
        <w:t xml:space="preserve"> </w:t>
      </w:r>
      <w:r w:rsidR="00BE1B91" w:rsidRPr="00BE1B91">
        <w:rPr>
          <w:rFonts w:asciiTheme="minorHAnsi" w:hAnsiTheme="minorHAnsi"/>
          <w:sz w:val="18"/>
          <w:lang w:val="es-ES_tradnl" w:eastAsia="fr-FR"/>
        </w:rPr>
        <w:t xml:space="preserve">Esta Sala considera que en este asunto en particular no se configura el defecto alegado. Se reconoce la obligación de todo funcionario judicial de identificar (i) la persona del  obligado; (ii) el término de ejecución del fallo y su alcance; (iii) si hubo incumplimiento y las razones que lo motivaron; y por último (iv) examinar su responsabilidad subjetiva, esto es, si hubo ánimo de evadir la orden, según la jurisprudencia </w:t>
      </w:r>
      <w:proofErr w:type="gramStart"/>
      <w:r w:rsidR="00BE1B91" w:rsidRPr="00BE1B91">
        <w:rPr>
          <w:rFonts w:asciiTheme="minorHAnsi" w:hAnsiTheme="minorHAnsi"/>
          <w:sz w:val="18"/>
          <w:lang w:val="es-ES_tradnl" w:eastAsia="fr-FR"/>
        </w:rPr>
        <w:t>constitucional .</w:t>
      </w:r>
      <w:proofErr w:type="gramEnd"/>
    </w:p>
    <w:p w:rsidR="00BE1B91" w:rsidRPr="00BE1B91" w:rsidRDefault="00BE1B91" w:rsidP="00BE1B91">
      <w:pPr>
        <w:pStyle w:val="Sinespaciado"/>
        <w:jc w:val="both"/>
        <w:rPr>
          <w:rFonts w:asciiTheme="minorHAnsi" w:hAnsiTheme="minorHAnsi"/>
          <w:sz w:val="18"/>
          <w:lang w:val="es-ES_tradnl" w:eastAsia="fr-FR"/>
        </w:rPr>
      </w:pPr>
    </w:p>
    <w:p w:rsidR="00BE1B91" w:rsidRPr="00BE1B91" w:rsidRDefault="00BE1B91" w:rsidP="00BE1B91">
      <w:pPr>
        <w:pStyle w:val="Sinespaciado"/>
        <w:jc w:val="both"/>
        <w:rPr>
          <w:rFonts w:asciiTheme="minorHAnsi" w:hAnsiTheme="minorHAnsi"/>
          <w:sz w:val="18"/>
          <w:lang w:val="es-ES_tradnl" w:eastAsia="fr-FR"/>
        </w:rPr>
      </w:pPr>
      <w:r w:rsidRPr="00BE1B91">
        <w:rPr>
          <w:rFonts w:asciiTheme="minorHAnsi" w:hAnsiTheme="minorHAnsi"/>
          <w:sz w:val="18"/>
          <w:lang w:val="es-ES_tradnl" w:eastAsia="fr-FR"/>
        </w:rPr>
        <w:t xml:space="preserve">Sin embargo, aun cuando la a quo dejara de aludir, expresamente, a los precedentes citados por el accionante, lo cierto es que sí hizo el ejercicio de comprobar los mentados presupuestos; respecto de la responsabilidad subjetiva fue diáfana en concluir, con base en las pruebas existentes, la desatención deliberada del fallo de tutela ante la escasa gestión del actor durante un prolongado lapso de tiempo. </w:t>
      </w:r>
    </w:p>
    <w:p w:rsidR="00BE1B91" w:rsidRPr="00BE1B91" w:rsidRDefault="00BE1B91" w:rsidP="00BE1B91">
      <w:pPr>
        <w:pStyle w:val="Sinespaciado"/>
        <w:jc w:val="both"/>
        <w:rPr>
          <w:rFonts w:asciiTheme="minorHAnsi" w:hAnsiTheme="minorHAnsi"/>
          <w:sz w:val="18"/>
          <w:lang w:val="es-ES_tradnl" w:eastAsia="fr-FR"/>
        </w:rPr>
      </w:pPr>
    </w:p>
    <w:p w:rsidR="00BE1B91" w:rsidRPr="00BE1B91" w:rsidRDefault="00BE1B91" w:rsidP="00BE1B91">
      <w:pPr>
        <w:pStyle w:val="Sinespaciado"/>
        <w:jc w:val="both"/>
        <w:rPr>
          <w:rFonts w:asciiTheme="minorHAnsi" w:hAnsiTheme="minorHAnsi"/>
          <w:sz w:val="18"/>
          <w:lang w:val="es-ES_tradnl" w:eastAsia="fr-FR"/>
        </w:rPr>
      </w:pPr>
      <w:r w:rsidRPr="00BE1B91">
        <w:rPr>
          <w:rFonts w:asciiTheme="minorHAnsi" w:hAnsiTheme="minorHAnsi"/>
          <w:sz w:val="18"/>
          <w:lang w:val="es-ES_tradnl" w:eastAsia="fr-FR"/>
        </w:rPr>
        <w:t>Mírese que el juez de conocimiento atendió su petición de suspensión, pero una vez culminó, guardó silencio (Folios 15 a 27 del CD, ib.); y en sede de consulta alegó la imposibilidad de cumplir, mas dejó de arrimar prueba diferente a las peticiones que hizo a los albergues de La Virginia, R. (Folios 37 a 41 del CD, ib.), no acreditó gestión adicional, fue pasivo. En ese orden de ideas, se negará el amparo constitucional por la inexistencia de vulneración o amenaza del derecho al debido proceso.</w:t>
      </w:r>
    </w:p>
    <w:p w:rsidR="00BE1B91" w:rsidRPr="00BE1B91" w:rsidRDefault="00BE1B91" w:rsidP="00BE1B91">
      <w:pPr>
        <w:pStyle w:val="Sinespaciado"/>
        <w:jc w:val="both"/>
        <w:rPr>
          <w:rFonts w:asciiTheme="minorHAnsi" w:hAnsiTheme="minorHAnsi"/>
          <w:sz w:val="18"/>
          <w:lang w:val="es-ES_tradnl" w:eastAsia="fr-FR"/>
        </w:rPr>
      </w:pPr>
    </w:p>
    <w:p w:rsidR="00A67A68" w:rsidRDefault="00BE1B91" w:rsidP="00BE1B91">
      <w:pPr>
        <w:pStyle w:val="Sinespaciado"/>
        <w:jc w:val="both"/>
        <w:rPr>
          <w:rFonts w:asciiTheme="minorHAnsi" w:hAnsiTheme="minorHAnsi"/>
          <w:sz w:val="18"/>
          <w:lang w:val="es-ES_tradnl" w:eastAsia="fr-FR"/>
        </w:rPr>
      </w:pPr>
      <w:r w:rsidRPr="00BE1B91">
        <w:rPr>
          <w:rFonts w:asciiTheme="minorHAnsi" w:hAnsiTheme="minorHAnsi"/>
          <w:sz w:val="18"/>
          <w:lang w:val="es-ES_tradnl" w:eastAsia="fr-FR"/>
        </w:rPr>
        <w:t xml:space="preserve">De otro lado, aunque no sea objeto de análisis, cabe precisar que aún con una decisión confirmatoria de la sanción, dicha providencia puede ser </w:t>
      </w:r>
      <w:proofErr w:type="spellStart"/>
      <w:r w:rsidRPr="00BE1B91">
        <w:rPr>
          <w:rFonts w:asciiTheme="minorHAnsi" w:hAnsiTheme="minorHAnsi"/>
          <w:sz w:val="18"/>
          <w:lang w:val="es-ES_tradnl" w:eastAsia="fr-FR"/>
        </w:rPr>
        <w:t>inejecutada</w:t>
      </w:r>
      <w:proofErr w:type="spellEnd"/>
      <w:r w:rsidRPr="00BE1B91">
        <w:rPr>
          <w:rFonts w:asciiTheme="minorHAnsi" w:hAnsiTheme="minorHAnsi"/>
          <w:sz w:val="18"/>
          <w:lang w:val="es-ES_tradnl" w:eastAsia="fr-FR"/>
        </w:rPr>
        <w:t xml:space="preserve"> por la Jueza de conocimiento en el evento de que advierta el cumplimiento de la orden tutelar. El </w:t>
      </w:r>
      <w:proofErr w:type="spellStart"/>
      <w:r w:rsidRPr="00BE1B91">
        <w:rPr>
          <w:rFonts w:asciiTheme="minorHAnsi" w:hAnsiTheme="minorHAnsi"/>
          <w:sz w:val="18"/>
          <w:lang w:val="es-ES_tradnl" w:eastAsia="fr-FR"/>
        </w:rPr>
        <w:t>incidentado</w:t>
      </w:r>
      <w:proofErr w:type="spellEnd"/>
      <w:r w:rsidRPr="00BE1B91">
        <w:rPr>
          <w:rFonts w:asciiTheme="minorHAnsi" w:hAnsiTheme="minorHAnsi"/>
          <w:sz w:val="18"/>
          <w:lang w:val="es-ES_tradnl" w:eastAsia="fr-FR"/>
        </w:rPr>
        <w:t xml:space="preserve"> puede: “(…)  librarse  de  las  sanciones impuestas incluso si el acatamiento se da luego de consultada y confirmada la sanción, siempre y cuando se acredite el cumplimiento del fallo de tutela (…)</w:t>
      </w:r>
      <w:proofErr w:type="gramStart"/>
      <w:r w:rsidRPr="00BE1B91">
        <w:rPr>
          <w:rFonts w:asciiTheme="minorHAnsi" w:hAnsiTheme="minorHAnsi"/>
          <w:sz w:val="18"/>
          <w:lang w:val="es-ES_tradnl" w:eastAsia="fr-FR"/>
        </w:rPr>
        <w:t>” ,</w:t>
      </w:r>
      <w:proofErr w:type="gramEnd"/>
      <w:r w:rsidRPr="00BE1B91">
        <w:rPr>
          <w:rFonts w:asciiTheme="minorHAnsi" w:hAnsiTheme="minorHAnsi"/>
          <w:sz w:val="18"/>
          <w:lang w:val="es-ES_tradnl" w:eastAsia="fr-FR"/>
        </w:rPr>
        <w:t xml:space="preserve"> discernimiento que es compartido por la CSJ .  </w:t>
      </w:r>
      <w:bookmarkStart w:id="0" w:name="_GoBack"/>
      <w:bookmarkEnd w:id="0"/>
    </w:p>
    <w:p w:rsidR="00A67A68" w:rsidRPr="00282025" w:rsidRDefault="00A67A68" w:rsidP="00A67A68">
      <w:pPr>
        <w:pStyle w:val="Sinespaciado"/>
        <w:jc w:val="both"/>
        <w:rPr>
          <w:rFonts w:asciiTheme="minorHAnsi" w:hAnsiTheme="minorHAnsi"/>
          <w:sz w:val="18"/>
          <w:lang w:val="es-ES_tradnl" w:eastAsia="fr-FR"/>
        </w:rPr>
      </w:pPr>
    </w:p>
    <w:p w:rsidR="00F851F3" w:rsidRPr="00AD7B0C" w:rsidRDefault="00F851F3" w:rsidP="00F851F3">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9264" behindDoc="0" locked="0" layoutInCell="1" allowOverlap="1" wp14:anchorId="2E494F79" wp14:editId="4D7AA08F">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B6B">
        <w:rPr>
          <w:rFonts w:ascii="Georgia" w:hAnsi="Georgia" w:cs="Arial"/>
          <w:w w:val="140"/>
        </w:rPr>
        <w:br w:type="textWrapping" w:clear="all"/>
      </w:r>
      <w:r w:rsidRPr="00AD7B0C">
        <w:rPr>
          <w:rFonts w:ascii="Georgia" w:hAnsi="Georgia" w:cs="Arial"/>
          <w:w w:val="140"/>
          <w:sz w:val="14"/>
        </w:rPr>
        <w:t>REPUBLICA DE COLOMBIA</w:t>
      </w:r>
    </w:p>
    <w:p w:rsidR="00F851F3" w:rsidRPr="00AD7B0C" w:rsidRDefault="00F851F3" w:rsidP="00F851F3">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F851F3" w:rsidRPr="00AD7B0C" w:rsidRDefault="00F851F3" w:rsidP="00F851F3">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Pr="00AD7B0C">
        <w:rPr>
          <w:rFonts w:ascii="Georgia" w:hAnsi="Georgia" w:cs="Arial"/>
          <w:w w:val="140"/>
          <w:sz w:val="16"/>
          <w:szCs w:val="18"/>
        </w:rPr>
        <w:t xml:space="preserve">DE </w:t>
      </w:r>
      <w:r w:rsidRPr="00AD7B0C">
        <w:rPr>
          <w:rFonts w:ascii="Georgia" w:hAnsi="Georgia" w:cs="Arial"/>
          <w:w w:val="140"/>
          <w:sz w:val="18"/>
          <w:szCs w:val="18"/>
        </w:rPr>
        <w:t>D</w:t>
      </w:r>
      <w:r w:rsidRPr="00AD7B0C">
        <w:rPr>
          <w:rFonts w:ascii="Georgia" w:hAnsi="Georgia" w:cs="Arial"/>
          <w:w w:val="140"/>
          <w:sz w:val="16"/>
          <w:szCs w:val="18"/>
        </w:rPr>
        <w:t>ECISIÓN</w:t>
      </w:r>
      <w:r w:rsidRPr="00AD7B0C">
        <w:rPr>
          <w:rFonts w:ascii="Georgia" w:hAnsi="Georgia" w:cs="Arial"/>
          <w:w w:val="140"/>
          <w:sz w:val="18"/>
          <w:szCs w:val="18"/>
        </w:rPr>
        <w:t xml:space="preserve"> 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F851F3" w:rsidRPr="001E5B6B" w:rsidRDefault="00F851F3" w:rsidP="00F851F3">
      <w:pPr>
        <w:pStyle w:val="Sinespaciado"/>
        <w:tabs>
          <w:tab w:val="left" w:pos="3579"/>
        </w:tabs>
        <w:spacing w:line="360" w:lineRule="auto"/>
        <w:jc w:val="center"/>
        <w:rPr>
          <w:rFonts w:ascii="Georgia" w:hAnsi="Georgia" w:cs="Arial"/>
          <w:w w:val="140"/>
          <w:szCs w:val="18"/>
        </w:rPr>
      </w:pPr>
    </w:p>
    <w:p w:rsidR="0099045D" w:rsidRPr="00F851F3" w:rsidRDefault="00970930" w:rsidP="00F851F3">
      <w:pPr>
        <w:pStyle w:val="Textoindependiente"/>
        <w:tabs>
          <w:tab w:val="clear" w:pos="4248"/>
          <w:tab w:val="left" w:pos="3828"/>
        </w:tabs>
        <w:spacing w:line="360" w:lineRule="auto"/>
        <w:rPr>
          <w:rFonts w:ascii="Georgia" w:hAnsi="Georgia" w:cs="Arial"/>
          <w:sz w:val="24"/>
          <w:szCs w:val="22"/>
        </w:rPr>
      </w:pPr>
      <w:r w:rsidRPr="00F851F3">
        <w:rPr>
          <w:rFonts w:ascii="Georgia" w:hAnsi="Georgia" w:cs="Arial"/>
          <w:sz w:val="24"/>
          <w:szCs w:val="22"/>
        </w:rPr>
        <w:tab/>
      </w:r>
      <w:r w:rsidR="00D70A1B" w:rsidRPr="00F851F3">
        <w:rPr>
          <w:rFonts w:ascii="Georgia" w:hAnsi="Georgia" w:cs="Arial"/>
          <w:sz w:val="24"/>
          <w:szCs w:val="22"/>
        </w:rPr>
        <w:tab/>
      </w:r>
      <w:r w:rsidR="0099045D" w:rsidRPr="00F851F3">
        <w:rPr>
          <w:rFonts w:ascii="Georgia" w:hAnsi="Georgia" w:cs="Arial"/>
          <w:sz w:val="24"/>
          <w:szCs w:val="22"/>
        </w:rPr>
        <w:t>Asunto</w:t>
      </w:r>
      <w:r w:rsidR="0099045D" w:rsidRPr="00F851F3">
        <w:rPr>
          <w:rFonts w:ascii="Georgia" w:hAnsi="Georgia" w:cs="Arial"/>
          <w:sz w:val="24"/>
          <w:szCs w:val="22"/>
        </w:rPr>
        <w:tab/>
      </w:r>
      <w:r w:rsidR="0099045D" w:rsidRPr="00F851F3">
        <w:rPr>
          <w:rFonts w:ascii="Georgia" w:hAnsi="Georgia" w:cs="Arial"/>
          <w:sz w:val="24"/>
          <w:szCs w:val="22"/>
        </w:rPr>
        <w:tab/>
      </w:r>
      <w:r w:rsidR="0099045D" w:rsidRPr="00F851F3">
        <w:rPr>
          <w:rFonts w:ascii="Georgia" w:hAnsi="Georgia" w:cs="Arial"/>
          <w:sz w:val="24"/>
          <w:szCs w:val="22"/>
        </w:rPr>
        <w:tab/>
        <w:t>: Sentencia de tutela en primera instancia</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Accionante (s)</w:t>
      </w:r>
      <w:r w:rsidRPr="00F851F3">
        <w:rPr>
          <w:rFonts w:ascii="Georgia" w:hAnsi="Georgia" w:cs="Arial"/>
          <w:sz w:val="24"/>
        </w:rPr>
        <w:tab/>
      </w:r>
      <w:r w:rsidRPr="00F851F3">
        <w:rPr>
          <w:rFonts w:ascii="Georgia" w:hAnsi="Georgia" w:cs="Arial"/>
          <w:sz w:val="24"/>
        </w:rPr>
        <w:tab/>
        <w:t xml:space="preserve">: </w:t>
      </w:r>
      <w:r w:rsidR="00F851F3">
        <w:rPr>
          <w:rFonts w:ascii="Georgia" w:hAnsi="Georgia" w:cs="Arial"/>
          <w:sz w:val="24"/>
        </w:rPr>
        <w:t>Javier Antonio Ocampo López</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Accionado (s)</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Juzgado </w:t>
      </w:r>
      <w:r w:rsidR="00F851F3">
        <w:rPr>
          <w:rFonts w:ascii="Georgia" w:hAnsi="Georgia" w:cs="Arial"/>
          <w:sz w:val="24"/>
        </w:rPr>
        <w:t xml:space="preserve">Promiscuo del </w:t>
      </w:r>
      <w:r w:rsidRPr="00F851F3">
        <w:rPr>
          <w:rFonts w:ascii="Georgia" w:hAnsi="Georgia" w:cs="Arial"/>
          <w:sz w:val="24"/>
        </w:rPr>
        <w:t xml:space="preserve">Circuito de </w:t>
      </w:r>
      <w:r w:rsidR="00F851F3">
        <w:rPr>
          <w:rFonts w:ascii="Georgia" w:hAnsi="Georgia" w:cs="Arial"/>
          <w:sz w:val="24"/>
        </w:rPr>
        <w:t xml:space="preserve">La Virginia </w:t>
      </w:r>
      <w:r w:rsidRPr="00F851F3">
        <w:rPr>
          <w:rFonts w:ascii="Georgia" w:hAnsi="Georgia" w:cs="Arial"/>
          <w:sz w:val="24"/>
        </w:rPr>
        <w:t>y otro</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Vinculado (s)</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w:t>
      </w:r>
      <w:r w:rsidR="00F851F3">
        <w:rPr>
          <w:rFonts w:ascii="Georgia" w:hAnsi="Georgia" w:cs="Arial"/>
          <w:sz w:val="24"/>
        </w:rPr>
        <w:t xml:space="preserve">Aleix de Jesús Cardona </w:t>
      </w:r>
      <w:proofErr w:type="spellStart"/>
      <w:r w:rsidR="00F851F3">
        <w:rPr>
          <w:rFonts w:ascii="Georgia" w:hAnsi="Georgia" w:cs="Arial"/>
          <w:sz w:val="24"/>
        </w:rPr>
        <w:t>Cardona</w:t>
      </w:r>
      <w:proofErr w:type="spellEnd"/>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Radicación</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w:t>
      </w:r>
      <w:r w:rsidR="00F851F3">
        <w:rPr>
          <w:rFonts w:ascii="Georgia" w:hAnsi="Georgia" w:cs="Arial"/>
          <w:sz w:val="24"/>
        </w:rPr>
        <w:t>2018-00131-00</w:t>
      </w:r>
      <w:r w:rsidR="00F4018C" w:rsidRPr="00F851F3">
        <w:rPr>
          <w:rFonts w:ascii="Georgia" w:hAnsi="Georgia" w:cs="Arial"/>
          <w:sz w:val="24"/>
        </w:rPr>
        <w:t xml:space="preserve"> </w:t>
      </w:r>
      <w:r w:rsidRPr="00F851F3">
        <w:rPr>
          <w:rFonts w:ascii="Georgia" w:hAnsi="Georgia" w:cs="Arial"/>
          <w:sz w:val="24"/>
        </w:rPr>
        <w:t>(Interno No.</w:t>
      </w:r>
      <w:r w:rsidR="00F851F3">
        <w:rPr>
          <w:rFonts w:ascii="Georgia" w:hAnsi="Georgia" w:cs="Arial"/>
          <w:sz w:val="24"/>
        </w:rPr>
        <w:t>131</w:t>
      </w:r>
      <w:r w:rsidRPr="00F851F3">
        <w:rPr>
          <w:rFonts w:ascii="Georgia" w:hAnsi="Georgia" w:cs="Arial"/>
          <w:sz w:val="24"/>
        </w:rPr>
        <w:t>)</w:t>
      </w:r>
    </w:p>
    <w:p w:rsidR="00C82923" w:rsidRPr="00F851F3" w:rsidRDefault="00BC6BB0" w:rsidP="00F851F3">
      <w:pPr>
        <w:pStyle w:val="Textoindependiente"/>
        <w:tabs>
          <w:tab w:val="clear" w:pos="4248"/>
          <w:tab w:val="left" w:pos="3828"/>
        </w:tabs>
        <w:spacing w:line="360" w:lineRule="auto"/>
        <w:rPr>
          <w:rFonts w:ascii="Georgia" w:hAnsi="Georgia" w:cs="Arial"/>
          <w:sz w:val="24"/>
          <w:szCs w:val="22"/>
          <w:lang w:val="es-CO"/>
        </w:rPr>
      </w:pPr>
      <w:r w:rsidRPr="00F851F3">
        <w:rPr>
          <w:rFonts w:ascii="Georgia" w:hAnsi="Georgia" w:cs="Arial"/>
          <w:sz w:val="24"/>
          <w:szCs w:val="22"/>
        </w:rPr>
        <w:tab/>
      </w:r>
      <w:r w:rsidRPr="00F851F3">
        <w:rPr>
          <w:rFonts w:ascii="Georgia" w:hAnsi="Georgia" w:cs="Arial"/>
          <w:sz w:val="24"/>
          <w:szCs w:val="22"/>
        </w:rPr>
        <w:tab/>
      </w:r>
      <w:r w:rsidR="00C82923" w:rsidRPr="00F851F3">
        <w:rPr>
          <w:rFonts w:ascii="Georgia" w:hAnsi="Georgia" w:cs="Arial"/>
          <w:sz w:val="24"/>
          <w:szCs w:val="22"/>
        </w:rPr>
        <w:t>Tema</w:t>
      </w:r>
      <w:r w:rsidR="009A3F90" w:rsidRPr="00F851F3">
        <w:rPr>
          <w:rFonts w:ascii="Georgia" w:hAnsi="Georgia" w:cs="Arial"/>
          <w:sz w:val="24"/>
          <w:szCs w:val="22"/>
        </w:rPr>
        <w:t xml:space="preserve"> (s)</w:t>
      </w:r>
      <w:r w:rsidR="00C82923" w:rsidRPr="00F851F3">
        <w:rPr>
          <w:rFonts w:ascii="Georgia" w:hAnsi="Georgia" w:cs="Arial"/>
          <w:sz w:val="24"/>
          <w:szCs w:val="22"/>
        </w:rPr>
        <w:tab/>
      </w:r>
      <w:r w:rsidR="00C82923" w:rsidRPr="00F851F3">
        <w:rPr>
          <w:rFonts w:ascii="Georgia" w:hAnsi="Georgia" w:cs="Arial"/>
          <w:sz w:val="24"/>
          <w:szCs w:val="22"/>
        </w:rPr>
        <w:tab/>
      </w:r>
      <w:r w:rsidR="00F851F3">
        <w:rPr>
          <w:rFonts w:ascii="Georgia" w:hAnsi="Georgia" w:cs="Arial"/>
          <w:sz w:val="24"/>
          <w:szCs w:val="22"/>
        </w:rPr>
        <w:tab/>
      </w:r>
      <w:r w:rsidR="00C82923" w:rsidRPr="00F851F3">
        <w:rPr>
          <w:rFonts w:ascii="Georgia" w:hAnsi="Georgia" w:cs="Arial"/>
          <w:sz w:val="24"/>
          <w:szCs w:val="22"/>
        </w:rPr>
        <w:t>:</w:t>
      </w:r>
      <w:r w:rsidR="004D79C3" w:rsidRPr="00F851F3">
        <w:rPr>
          <w:rFonts w:ascii="Georgia" w:hAnsi="Georgia" w:cs="Arial"/>
          <w:sz w:val="24"/>
          <w:szCs w:val="22"/>
        </w:rPr>
        <w:t xml:space="preserve"> </w:t>
      </w:r>
      <w:r w:rsidR="000A7402" w:rsidRPr="00F851F3">
        <w:rPr>
          <w:rFonts w:ascii="Georgia" w:hAnsi="Georgia" w:cs="Arial"/>
          <w:sz w:val="24"/>
          <w:szCs w:val="22"/>
        </w:rPr>
        <w:t>Causales especiales</w:t>
      </w:r>
      <w:r w:rsidR="00F10797" w:rsidRPr="00F851F3">
        <w:rPr>
          <w:rFonts w:ascii="Georgia" w:hAnsi="Georgia" w:cs="Arial"/>
          <w:sz w:val="24"/>
          <w:szCs w:val="22"/>
        </w:rPr>
        <w:t xml:space="preserve"> </w:t>
      </w:r>
      <w:r w:rsidR="00024160" w:rsidRPr="00F851F3">
        <w:rPr>
          <w:rFonts w:ascii="Georgia" w:hAnsi="Georgia" w:cs="Arial"/>
          <w:sz w:val="24"/>
          <w:szCs w:val="22"/>
        </w:rPr>
        <w:t>–</w:t>
      </w:r>
      <w:r w:rsidR="00F10797" w:rsidRPr="00F851F3">
        <w:rPr>
          <w:rFonts w:ascii="Georgia" w:hAnsi="Georgia" w:cs="Arial"/>
          <w:sz w:val="24"/>
          <w:szCs w:val="22"/>
        </w:rPr>
        <w:t xml:space="preserve"> Precedente</w:t>
      </w:r>
      <w:r w:rsidR="00024160" w:rsidRPr="00F851F3">
        <w:rPr>
          <w:rFonts w:ascii="Georgia" w:hAnsi="Georgia" w:cs="Arial"/>
          <w:sz w:val="24"/>
          <w:szCs w:val="22"/>
        </w:rPr>
        <w:t xml:space="preserve"> judicial</w:t>
      </w:r>
    </w:p>
    <w:p w:rsidR="0099045D" w:rsidRPr="00F851F3" w:rsidRDefault="0099045D" w:rsidP="00F851F3">
      <w:pPr>
        <w:tabs>
          <w:tab w:val="left" w:pos="1416"/>
          <w:tab w:val="left" w:pos="3828"/>
        </w:tabs>
        <w:spacing w:line="360" w:lineRule="auto"/>
        <w:ind w:left="708" w:firstLine="708"/>
        <w:rPr>
          <w:rFonts w:ascii="Georgia" w:hAnsi="Georgia" w:cs="Arial"/>
          <w:szCs w:val="22"/>
        </w:rPr>
      </w:pPr>
      <w:r w:rsidRPr="00F851F3">
        <w:rPr>
          <w:rFonts w:ascii="Georgia" w:hAnsi="Georgia" w:cs="Arial"/>
          <w:szCs w:val="22"/>
        </w:rPr>
        <w:t>Magistrado</w:t>
      </w:r>
      <w:r w:rsidR="00785D90" w:rsidRPr="00F851F3">
        <w:rPr>
          <w:rFonts w:ascii="Georgia" w:hAnsi="Georgia" w:cs="Arial"/>
          <w:szCs w:val="22"/>
        </w:rPr>
        <w:t xml:space="preserve"> ponente</w:t>
      </w:r>
      <w:r w:rsidR="00D469B5" w:rsidRPr="00F851F3">
        <w:rPr>
          <w:rFonts w:ascii="Georgia" w:hAnsi="Georgia" w:cs="Arial"/>
          <w:szCs w:val="22"/>
        </w:rPr>
        <w:tab/>
      </w:r>
      <w:r w:rsidRPr="00F851F3">
        <w:rPr>
          <w:rFonts w:ascii="Georgia" w:hAnsi="Georgia" w:cs="Arial"/>
          <w:szCs w:val="22"/>
        </w:rPr>
        <w:t xml:space="preserve">: </w:t>
      </w:r>
      <w:proofErr w:type="spellStart"/>
      <w:r w:rsidRPr="00F851F3">
        <w:rPr>
          <w:rFonts w:ascii="Georgia" w:hAnsi="Georgia" w:cs="Arial"/>
          <w:smallCaps/>
          <w:szCs w:val="22"/>
        </w:rPr>
        <w:t>Duberney</w:t>
      </w:r>
      <w:proofErr w:type="spellEnd"/>
      <w:r w:rsidRPr="00F851F3">
        <w:rPr>
          <w:rFonts w:ascii="Georgia" w:hAnsi="Georgia" w:cs="Arial"/>
          <w:smallCaps/>
          <w:szCs w:val="22"/>
        </w:rPr>
        <w:t xml:space="preserve"> Grisales Herrera</w:t>
      </w:r>
    </w:p>
    <w:p w:rsidR="0099045D" w:rsidRPr="00F851F3" w:rsidRDefault="007E004A" w:rsidP="00F851F3">
      <w:pPr>
        <w:tabs>
          <w:tab w:val="left" w:pos="1416"/>
          <w:tab w:val="left" w:pos="3828"/>
        </w:tabs>
        <w:spacing w:line="360" w:lineRule="auto"/>
        <w:ind w:left="708" w:firstLine="708"/>
        <w:rPr>
          <w:rFonts w:ascii="Georgia" w:hAnsi="Georgia" w:cs="Arial"/>
          <w:b/>
          <w:bCs/>
          <w:szCs w:val="22"/>
          <w:lang w:val="es-CO"/>
        </w:rPr>
      </w:pPr>
      <w:r w:rsidRPr="00F851F3">
        <w:rPr>
          <w:rFonts w:ascii="Georgia" w:hAnsi="Georgia" w:cs="Arial"/>
          <w:szCs w:val="22"/>
        </w:rPr>
        <w:t>Acta número</w:t>
      </w:r>
      <w:r w:rsidRPr="00F851F3">
        <w:rPr>
          <w:rFonts w:ascii="Georgia" w:hAnsi="Georgia" w:cs="Arial"/>
          <w:szCs w:val="22"/>
        </w:rPr>
        <w:tab/>
      </w:r>
      <w:r w:rsidR="0099045D" w:rsidRPr="00F851F3">
        <w:rPr>
          <w:rFonts w:ascii="Georgia" w:hAnsi="Georgia" w:cs="Arial"/>
          <w:szCs w:val="22"/>
        </w:rPr>
        <w:t>:</w:t>
      </w:r>
      <w:r w:rsidR="008271AC" w:rsidRPr="00F851F3">
        <w:rPr>
          <w:rFonts w:ascii="Georgia" w:hAnsi="Georgia" w:cs="Arial"/>
          <w:szCs w:val="22"/>
        </w:rPr>
        <w:t xml:space="preserve"> </w:t>
      </w:r>
      <w:r w:rsidR="007A45C1">
        <w:rPr>
          <w:rFonts w:ascii="Georgia" w:hAnsi="Georgia" w:cs="Arial"/>
          <w:szCs w:val="22"/>
        </w:rPr>
        <w:t>117</w:t>
      </w:r>
      <w:r w:rsidR="00F851F3">
        <w:rPr>
          <w:rFonts w:ascii="Georgia" w:hAnsi="Georgia" w:cs="Arial"/>
          <w:szCs w:val="22"/>
        </w:rPr>
        <w:t xml:space="preserve"> </w:t>
      </w:r>
      <w:r w:rsidR="007245FF" w:rsidRPr="00F851F3">
        <w:rPr>
          <w:rFonts w:ascii="Georgia" w:hAnsi="Georgia" w:cs="Arial"/>
          <w:szCs w:val="22"/>
        </w:rPr>
        <w:t xml:space="preserve">de </w:t>
      </w:r>
      <w:r w:rsidR="007A45C1">
        <w:rPr>
          <w:rFonts w:ascii="Georgia" w:hAnsi="Georgia" w:cs="Arial"/>
          <w:szCs w:val="22"/>
        </w:rPr>
        <w:t>20</w:t>
      </w:r>
      <w:r w:rsidR="007245FF" w:rsidRPr="00F851F3">
        <w:rPr>
          <w:rFonts w:ascii="Georgia" w:hAnsi="Georgia" w:cs="Arial"/>
          <w:szCs w:val="22"/>
        </w:rPr>
        <w:t>-04-</w:t>
      </w:r>
      <w:r w:rsidR="00F851F3">
        <w:rPr>
          <w:rFonts w:ascii="Georgia" w:hAnsi="Georgia" w:cs="Arial"/>
          <w:szCs w:val="22"/>
        </w:rPr>
        <w:t>2018</w:t>
      </w:r>
    </w:p>
    <w:p w:rsidR="002060F5" w:rsidRPr="00F851F3" w:rsidRDefault="002060F5" w:rsidP="002060F5">
      <w:pPr>
        <w:pBdr>
          <w:bottom w:val="double" w:sz="6" w:space="1" w:color="auto"/>
        </w:pBdr>
        <w:spacing w:line="360" w:lineRule="auto"/>
        <w:jc w:val="center"/>
        <w:rPr>
          <w:rFonts w:ascii="Georgia" w:hAnsi="Georgia" w:cs="Arial"/>
          <w:b/>
          <w:bCs/>
          <w:sz w:val="22"/>
          <w:szCs w:val="22"/>
        </w:rPr>
      </w:pPr>
    </w:p>
    <w:p w:rsidR="00F42BAF" w:rsidRPr="00F851F3" w:rsidRDefault="00F42BAF" w:rsidP="009C254F">
      <w:pPr>
        <w:spacing w:line="360" w:lineRule="auto"/>
        <w:jc w:val="center"/>
        <w:rPr>
          <w:rFonts w:ascii="Georgia" w:hAnsi="Georgia" w:cs="Arial"/>
          <w:iCs/>
          <w:smallCaps/>
          <w:szCs w:val="28"/>
          <w:lang w:val="es-CO"/>
        </w:rPr>
      </w:pPr>
    </w:p>
    <w:p w:rsidR="009C254F" w:rsidRPr="00F851F3" w:rsidRDefault="009C254F" w:rsidP="009C254F">
      <w:pPr>
        <w:spacing w:line="360" w:lineRule="auto"/>
        <w:jc w:val="center"/>
        <w:rPr>
          <w:rFonts w:ascii="Georgia" w:hAnsi="Georgia" w:cs="Arial"/>
          <w:iCs/>
          <w:sz w:val="28"/>
          <w:szCs w:val="28"/>
          <w:lang w:val="es-CO"/>
        </w:rPr>
      </w:pPr>
      <w:r w:rsidRPr="00F851F3">
        <w:rPr>
          <w:rFonts w:ascii="Georgia" w:hAnsi="Georgia" w:cs="Arial"/>
          <w:iCs/>
          <w:smallCaps/>
          <w:sz w:val="28"/>
          <w:szCs w:val="28"/>
          <w:lang w:val="es-CO"/>
        </w:rPr>
        <w:t>Pereira, R</w:t>
      </w:r>
      <w:r w:rsidR="00F4018C"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w:t>
      </w:r>
      <w:r w:rsidR="007A45C1">
        <w:rPr>
          <w:rFonts w:ascii="Georgia" w:hAnsi="Georgia" w:cs="Arial"/>
          <w:iCs/>
          <w:smallCaps/>
          <w:sz w:val="28"/>
          <w:szCs w:val="28"/>
          <w:lang w:val="es-CO"/>
        </w:rPr>
        <w:t>veinte</w:t>
      </w:r>
      <w:r w:rsidR="00F851F3">
        <w:rPr>
          <w:rFonts w:ascii="Georgia" w:hAnsi="Georgia" w:cs="Arial"/>
          <w:iCs/>
          <w:smallCaps/>
          <w:sz w:val="28"/>
          <w:szCs w:val="28"/>
          <w:lang w:val="es-CO"/>
        </w:rPr>
        <w:t xml:space="preserve"> </w:t>
      </w:r>
      <w:r w:rsidRPr="00F851F3">
        <w:rPr>
          <w:rFonts w:ascii="Georgia" w:hAnsi="Georgia" w:cs="Arial"/>
          <w:iCs/>
          <w:smallCaps/>
          <w:sz w:val="28"/>
          <w:szCs w:val="28"/>
          <w:lang w:val="es-CO"/>
        </w:rPr>
        <w:t>(</w:t>
      </w:r>
      <w:r w:rsidR="007A45C1">
        <w:rPr>
          <w:rFonts w:ascii="Georgia" w:hAnsi="Georgia" w:cs="Arial"/>
          <w:iCs/>
          <w:smallCaps/>
          <w:sz w:val="28"/>
          <w:szCs w:val="28"/>
          <w:lang w:val="es-CO"/>
        </w:rPr>
        <w:t>20</w:t>
      </w:r>
      <w:r w:rsidR="00BC6BB0"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de </w:t>
      </w:r>
      <w:r w:rsidR="00F4018C" w:rsidRPr="00F851F3">
        <w:rPr>
          <w:rFonts w:ascii="Georgia" w:hAnsi="Georgia" w:cs="Arial"/>
          <w:iCs/>
          <w:smallCaps/>
          <w:sz w:val="28"/>
          <w:szCs w:val="28"/>
          <w:lang w:val="es-CO"/>
        </w:rPr>
        <w:t xml:space="preserve">abril </w:t>
      </w:r>
      <w:r w:rsidR="00567722" w:rsidRPr="00F851F3">
        <w:rPr>
          <w:rFonts w:ascii="Georgia" w:hAnsi="Georgia" w:cs="Arial"/>
          <w:iCs/>
          <w:smallCaps/>
          <w:sz w:val="28"/>
          <w:szCs w:val="28"/>
          <w:lang w:val="es-CO"/>
        </w:rPr>
        <w:t>de</w:t>
      </w:r>
      <w:r w:rsidRPr="00F851F3">
        <w:rPr>
          <w:rFonts w:ascii="Georgia" w:hAnsi="Georgia" w:cs="Arial"/>
          <w:iCs/>
          <w:smallCaps/>
          <w:sz w:val="28"/>
          <w:szCs w:val="28"/>
          <w:lang w:val="es-CO"/>
        </w:rPr>
        <w:t xml:space="preserve"> dos mil </w:t>
      </w:r>
      <w:r w:rsidR="00F851F3">
        <w:rPr>
          <w:rFonts w:ascii="Georgia" w:hAnsi="Georgia" w:cs="Arial"/>
          <w:iCs/>
          <w:smallCaps/>
          <w:sz w:val="28"/>
          <w:szCs w:val="28"/>
          <w:lang w:val="es-CO"/>
        </w:rPr>
        <w:t xml:space="preserve">dieciocho </w:t>
      </w:r>
      <w:r w:rsidRPr="00F851F3">
        <w:rPr>
          <w:rFonts w:ascii="Georgia" w:hAnsi="Georgia" w:cs="Arial"/>
          <w:iCs/>
          <w:smallCaps/>
          <w:sz w:val="28"/>
          <w:szCs w:val="28"/>
          <w:lang w:val="es-CO"/>
        </w:rPr>
        <w:t>(</w:t>
      </w:r>
      <w:r w:rsidR="00F851F3">
        <w:rPr>
          <w:rFonts w:ascii="Georgia" w:hAnsi="Georgia" w:cs="Arial"/>
          <w:iCs/>
          <w:smallCaps/>
          <w:sz w:val="28"/>
          <w:szCs w:val="28"/>
          <w:lang w:val="es-CO"/>
        </w:rPr>
        <w:t>2018</w:t>
      </w:r>
      <w:r w:rsidRPr="00F851F3">
        <w:rPr>
          <w:rFonts w:ascii="Georgia" w:hAnsi="Georgia" w:cs="Arial"/>
          <w:iCs/>
          <w:smallCaps/>
          <w:sz w:val="28"/>
          <w:szCs w:val="28"/>
          <w:lang w:val="es-CO"/>
        </w:rPr>
        <w:t>)</w:t>
      </w:r>
      <w:r w:rsidRPr="00F851F3">
        <w:rPr>
          <w:rFonts w:ascii="Georgia" w:hAnsi="Georgia" w:cs="Arial"/>
          <w:iCs/>
          <w:sz w:val="28"/>
          <w:szCs w:val="28"/>
          <w:lang w:val="es-CO"/>
        </w:rPr>
        <w:t>.</w:t>
      </w:r>
    </w:p>
    <w:p w:rsidR="001D44AC" w:rsidRPr="00F851F3" w:rsidRDefault="001D44AC" w:rsidP="0099045D">
      <w:pPr>
        <w:spacing w:line="360" w:lineRule="auto"/>
        <w:jc w:val="center"/>
        <w:rPr>
          <w:rFonts w:ascii="Georgia" w:hAnsi="Georgia" w:cs="Arial"/>
          <w:b/>
          <w:bCs/>
          <w:lang w:val="es-CO"/>
        </w:rPr>
      </w:pPr>
    </w:p>
    <w:p w:rsidR="0099045D" w:rsidRPr="00F851F3" w:rsidRDefault="0099045D" w:rsidP="0099045D">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EL ASUNTO </w:t>
      </w:r>
      <w:r w:rsidR="00055DB5" w:rsidRPr="00F851F3">
        <w:rPr>
          <w:rFonts w:ascii="Georgia" w:hAnsi="Georgia"/>
          <w:sz w:val="24"/>
          <w:szCs w:val="24"/>
        </w:rPr>
        <w:t>POR</w:t>
      </w:r>
      <w:r w:rsidRPr="00F851F3">
        <w:rPr>
          <w:rFonts w:ascii="Georgia" w:hAnsi="Georgia"/>
          <w:sz w:val="24"/>
          <w:szCs w:val="24"/>
        </w:rPr>
        <w:t xml:space="preserve"> DECIDIR</w:t>
      </w:r>
    </w:p>
    <w:p w:rsidR="00134F0A" w:rsidRPr="00F851F3" w:rsidRDefault="00134F0A" w:rsidP="0099045D">
      <w:pPr>
        <w:pStyle w:val="Textoindependiente"/>
        <w:spacing w:line="360" w:lineRule="auto"/>
        <w:rPr>
          <w:rFonts w:ascii="Georgia" w:hAnsi="Georgia"/>
          <w:sz w:val="24"/>
          <w:szCs w:val="24"/>
        </w:rPr>
      </w:pPr>
    </w:p>
    <w:p w:rsidR="0099045D" w:rsidRPr="00F851F3" w:rsidRDefault="0026743C" w:rsidP="0099045D">
      <w:pPr>
        <w:pStyle w:val="Textoindependiente"/>
        <w:spacing w:line="360" w:lineRule="auto"/>
        <w:rPr>
          <w:rFonts w:ascii="Georgia" w:hAnsi="Georgia"/>
          <w:sz w:val="24"/>
          <w:szCs w:val="24"/>
        </w:rPr>
      </w:pPr>
      <w:r w:rsidRPr="00F851F3">
        <w:rPr>
          <w:rFonts w:ascii="Georgia" w:hAnsi="Georgia"/>
          <w:sz w:val="24"/>
          <w:szCs w:val="24"/>
        </w:rPr>
        <w:t>L</w:t>
      </w:r>
      <w:r w:rsidR="00134F0A" w:rsidRPr="00F851F3">
        <w:rPr>
          <w:rFonts w:ascii="Georgia" w:hAnsi="Georgia"/>
          <w:sz w:val="24"/>
          <w:szCs w:val="24"/>
        </w:rPr>
        <w:t xml:space="preserve">a acción constitucional </w:t>
      </w:r>
      <w:r w:rsidR="00B71787" w:rsidRPr="00F851F3">
        <w:rPr>
          <w:rFonts w:ascii="Georgia" w:hAnsi="Georgia"/>
          <w:sz w:val="24"/>
          <w:szCs w:val="24"/>
        </w:rPr>
        <w:t>en referencia</w:t>
      </w:r>
      <w:r w:rsidR="00134F0A" w:rsidRPr="00F851F3">
        <w:rPr>
          <w:rFonts w:ascii="Georgia" w:hAnsi="Georgia"/>
          <w:sz w:val="24"/>
          <w:szCs w:val="24"/>
        </w:rPr>
        <w:t xml:space="preserve">, </w:t>
      </w:r>
      <w:r w:rsidR="008B0C9A" w:rsidRPr="00F851F3">
        <w:rPr>
          <w:rFonts w:ascii="Georgia" w:hAnsi="Georgia"/>
          <w:sz w:val="24"/>
          <w:szCs w:val="24"/>
        </w:rPr>
        <w:t xml:space="preserve">una vez se ha surtido </w:t>
      </w:r>
      <w:r w:rsidR="0057516E" w:rsidRPr="00F851F3">
        <w:rPr>
          <w:rFonts w:ascii="Georgia" w:hAnsi="Georgia"/>
          <w:sz w:val="24"/>
          <w:szCs w:val="24"/>
        </w:rPr>
        <w:t xml:space="preserve">el trámite </w:t>
      </w:r>
      <w:r w:rsidR="00CD4E89" w:rsidRPr="00F851F3">
        <w:rPr>
          <w:rFonts w:ascii="Georgia" w:hAnsi="Georgia"/>
          <w:sz w:val="24"/>
          <w:szCs w:val="24"/>
        </w:rPr>
        <w:t>procedimental respectivo</w:t>
      </w:r>
      <w:r w:rsidR="00134F0A" w:rsidRPr="00F851F3">
        <w:rPr>
          <w:rFonts w:ascii="Georgia" w:hAnsi="Georgia"/>
          <w:sz w:val="24"/>
          <w:szCs w:val="24"/>
        </w:rPr>
        <w:t>, sin que se aprecien causales de nulidad que la invaliden.</w:t>
      </w:r>
    </w:p>
    <w:p w:rsidR="000147A2" w:rsidRPr="00F851F3" w:rsidRDefault="000147A2" w:rsidP="0099045D">
      <w:pPr>
        <w:pStyle w:val="Textoindependiente"/>
        <w:spacing w:line="360" w:lineRule="auto"/>
        <w:rPr>
          <w:rFonts w:ascii="Georgia" w:hAnsi="Georgia"/>
          <w:sz w:val="24"/>
          <w:szCs w:val="24"/>
        </w:rPr>
      </w:pPr>
    </w:p>
    <w:p w:rsidR="0099045D" w:rsidRPr="00F851F3" w:rsidRDefault="0099045D" w:rsidP="0099045D">
      <w:pPr>
        <w:pStyle w:val="Textoindependiente"/>
        <w:numPr>
          <w:ilvl w:val="0"/>
          <w:numId w:val="1"/>
        </w:numPr>
        <w:spacing w:line="360" w:lineRule="auto"/>
        <w:rPr>
          <w:rFonts w:ascii="Georgia" w:hAnsi="Georgia"/>
          <w:sz w:val="24"/>
          <w:szCs w:val="24"/>
        </w:rPr>
      </w:pPr>
      <w:smartTag w:uri="urn:schemas-microsoft-com:office:smarttags" w:element="PersonName">
        <w:smartTagPr>
          <w:attr w:name="ProductID" w:val="LA SￍNTESIS DE"/>
        </w:smartTagPr>
        <w:r w:rsidRPr="00F851F3">
          <w:rPr>
            <w:rFonts w:ascii="Georgia" w:hAnsi="Georgia"/>
            <w:sz w:val="24"/>
            <w:szCs w:val="24"/>
          </w:rPr>
          <w:lastRenderedPageBreak/>
          <w:t>LA SÍNTESIS DE</w:t>
        </w:r>
      </w:smartTag>
      <w:r w:rsidRPr="00F851F3">
        <w:rPr>
          <w:rFonts w:ascii="Georgia" w:hAnsi="Georgia"/>
          <w:sz w:val="24"/>
          <w:szCs w:val="24"/>
        </w:rPr>
        <w:t xml:space="preserve"> LOS SUPUESTOS FÁCTICOS RELEVANTES</w:t>
      </w:r>
    </w:p>
    <w:p w:rsidR="0099045D" w:rsidRPr="00F851F3" w:rsidRDefault="0099045D" w:rsidP="0099045D">
      <w:pPr>
        <w:pStyle w:val="Textoindependiente"/>
        <w:spacing w:line="360" w:lineRule="auto"/>
        <w:rPr>
          <w:rFonts w:ascii="Georgia" w:hAnsi="Georgia" w:cs="Arial"/>
          <w:sz w:val="24"/>
          <w:szCs w:val="24"/>
        </w:rPr>
      </w:pPr>
    </w:p>
    <w:p w:rsidR="00877795" w:rsidRPr="00F851F3" w:rsidRDefault="00877795" w:rsidP="00533ABA">
      <w:pPr>
        <w:spacing w:line="360" w:lineRule="auto"/>
        <w:jc w:val="both"/>
        <w:rPr>
          <w:rFonts w:ascii="Georgia" w:hAnsi="Georgia" w:cs="Arial"/>
        </w:rPr>
      </w:pPr>
      <w:r w:rsidRPr="00F851F3">
        <w:rPr>
          <w:rFonts w:ascii="Georgia" w:hAnsi="Georgia" w:cs="Arial"/>
        </w:rPr>
        <w:t xml:space="preserve">Se relató </w:t>
      </w:r>
      <w:r w:rsidR="00F851F3">
        <w:rPr>
          <w:rFonts w:ascii="Georgia" w:hAnsi="Georgia" w:cs="Arial"/>
        </w:rPr>
        <w:t xml:space="preserve">que actúa como parte pasiva en el incidente de desacato No.2017-00509-00; </w:t>
      </w:r>
      <w:r w:rsidR="00E8144C">
        <w:rPr>
          <w:rFonts w:ascii="Georgia" w:hAnsi="Georgia" w:cs="Arial"/>
        </w:rPr>
        <w:t xml:space="preserve">con auto del 30-01-2018 el Juzgado Promiscuo Municipal de La Virginia lo sancionó con multa y arresto, y fue confirmado en sede de consulta por el Juzgado Promiscuo del Circuito de esa localidad, pese a que está siendo obligado a cumplir lo imposible (Folios 1 a 12, este cuaderno). </w:t>
      </w:r>
    </w:p>
    <w:p w:rsidR="003F32F2" w:rsidRPr="00F851F3" w:rsidRDefault="003F32F2" w:rsidP="00533ABA">
      <w:pPr>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LOS DERECHOS PRESUNTAMENTE VULNERADOS </w:t>
      </w:r>
    </w:p>
    <w:p w:rsidR="001D44AC" w:rsidRPr="00A01C7A" w:rsidRDefault="001D44AC" w:rsidP="001D44AC">
      <w:pPr>
        <w:pStyle w:val="Textoindependiente"/>
        <w:spacing w:line="360" w:lineRule="auto"/>
        <w:ind w:left="360"/>
        <w:rPr>
          <w:rFonts w:ascii="Georgia" w:hAnsi="Georgia"/>
          <w:sz w:val="24"/>
          <w:szCs w:val="24"/>
          <w:lang w:val="es-CO"/>
        </w:rPr>
      </w:pPr>
    </w:p>
    <w:p w:rsidR="00E8144C" w:rsidRPr="001E5B6B" w:rsidRDefault="00E8144C" w:rsidP="00E814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El derecho</w:t>
      </w:r>
      <w:r w:rsidRPr="001E5B6B">
        <w:rPr>
          <w:rFonts w:ascii="Georgia" w:hAnsi="Georgia" w:cs="Arial"/>
          <w:spacing w:val="-3"/>
          <w:lang w:val="es-ES_tradnl"/>
        </w:rPr>
        <w:t xml:space="preserve"> al debido proceso (Folio </w:t>
      </w:r>
      <w:r>
        <w:rPr>
          <w:rFonts w:ascii="Georgia" w:hAnsi="Georgia" w:cs="Arial"/>
          <w:spacing w:val="-3"/>
          <w:lang w:val="es-ES_tradnl"/>
        </w:rPr>
        <w:t>10</w:t>
      </w:r>
      <w:r w:rsidRPr="001E5B6B">
        <w:rPr>
          <w:rFonts w:ascii="Georgia" w:hAnsi="Georgia" w:cs="Arial"/>
          <w:spacing w:val="-3"/>
          <w:lang w:val="es-ES_tradnl"/>
        </w:rPr>
        <w:t xml:space="preserve">, de este cuaderno). </w:t>
      </w:r>
    </w:p>
    <w:p w:rsidR="00533ABA" w:rsidRPr="00A01C7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LA PETICIÓN DE PROTECCIÓN</w:t>
      </w:r>
    </w:p>
    <w:p w:rsidR="00533ABA" w:rsidRPr="00F851F3" w:rsidRDefault="00533ABA" w:rsidP="00533ABA">
      <w:pPr>
        <w:pStyle w:val="Sinespaciado"/>
        <w:spacing w:line="360" w:lineRule="auto"/>
        <w:jc w:val="both"/>
        <w:rPr>
          <w:rFonts w:ascii="Georgia" w:hAnsi="Georgia" w:cs="Arial"/>
          <w:spacing w:val="-3"/>
          <w:szCs w:val="22"/>
          <w:lang w:val="es-ES_tradnl"/>
        </w:rPr>
      </w:pPr>
    </w:p>
    <w:p w:rsidR="00D12A46" w:rsidRPr="00F851F3" w:rsidRDefault="00D12A46" w:rsidP="00D12A46">
      <w:pPr>
        <w:pStyle w:val="Sinespaciado"/>
        <w:spacing w:line="360" w:lineRule="auto"/>
        <w:jc w:val="both"/>
        <w:rPr>
          <w:rFonts w:ascii="Georgia" w:hAnsi="Georgia" w:cs="Arial"/>
          <w:szCs w:val="24"/>
        </w:rPr>
      </w:pPr>
      <w:r w:rsidRPr="00F851F3">
        <w:rPr>
          <w:rFonts w:ascii="Georgia" w:hAnsi="Georgia" w:cs="Arial"/>
          <w:szCs w:val="24"/>
        </w:rPr>
        <w:t xml:space="preserve">Solicitaron: (i) </w:t>
      </w:r>
      <w:r w:rsidR="00E8144C">
        <w:rPr>
          <w:rFonts w:ascii="Georgia" w:hAnsi="Georgia" w:cs="Arial"/>
          <w:szCs w:val="24"/>
        </w:rPr>
        <w:t>Tutelar el derecho</w:t>
      </w:r>
      <w:r w:rsidR="0028756B" w:rsidRPr="00F851F3">
        <w:rPr>
          <w:rFonts w:ascii="Georgia" w:hAnsi="Georgia" w:cs="Arial"/>
          <w:szCs w:val="24"/>
        </w:rPr>
        <w:t xml:space="preserve"> </w:t>
      </w:r>
      <w:r w:rsidR="00E8144C">
        <w:rPr>
          <w:rFonts w:ascii="Georgia" w:hAnsi="Georgia" w:cs="Arial"/>
          <w:szCs w:val="24"/>
        </w:rPr>
        <w:t>invocado</w:t>
      </w:r>
      <w:r w:rsidR="0028756B" w:rsidRPr="00F851F3">
        <w:rPr>
          <w:rFonts w:ascii="Georgia" w:hAnsi="Georgia" w:cs="Arial"/>
          <w:szCs w:val="24"/>
        </w:rPr>
        <w:t xml:space="preserve">; </w:t>
      </w:r>
      <w:r w:rsidR="00E8144C">
        <w:rPr>
          <w:rFonts w:ascii="Georgia" w:hAnsi="Georgia" w:cs="Arial"/>
          <w:szCs w:val="24"/>
        </w:rPr>
        <w:t xml:space="preserve">y </w:t>
      </w:r>
      <w:r w:rsidR="0028756B" w:rsidRPr="00F851F3">
        <w:rPr>
          <w:rFonts w:ascii="Georgia" w:hAnsi="Georgia" w:cs="Arial"/>
          <w:szCs w:val="24"/>
        </w:rPr>
        <w:t xml:space="preserve">(ii) </w:t>
      </w:r>
      <w:r w:rsidR="00E8144C">
        <w:rPr>
          <w:rFonts w:ascii="Georgia" w:hAnsi="Georgia" w:cs="Arial"/>
          <w:szCs w:val="24"/>
        </w:rPr>
        <w:t xml:space="preserve">Dejar sin efectos las decisiones que los declararon en desacato por incumplimiento a fallo de tutela </w:t>
      </w:r>
      <w:r w:rsidRPr="00F851F3">
        <w:rPr>
          <w:rFonts w:ascii="Georgia" w:hAnsi="Georgia" w:cs="Arial"/>
          <w:szCs w:val="24"/>
        </w:rPr>
        <w:t xml:space="preserve">(Folio </w:t>
      </w:r>
      <w:r w:rsidR="00E8144C">
        <w:rPr>
          <w:rFonts w:ascii="Georgia" w:hAnsi="Georgia" w:cs="Arial"/>
          <w:spacing w:val="-3"/>
          <w:lang w:val="es-ES_tradnl"/>
        </w:rPr>
        <w:t>10</w:t>
      </w:r>
      <w:r w:rsidR="002633BF" w:rsidRPr="00F851F3">
        <w:rPr>
          <w:rFonts w:ascii="Georgia" w:hAnsi="Georgia" w:cs="Arial"/>
          <w:spacing w:val="-3"/>
          <w:lang w:val="es-ES_tradnl"/>
        </w:rPr>
        <w:t>, este cuaderno</w:t>
      </w:r>
      <w:r w:rsidRPr="00F851F3">
        <w:rPr>
          <w:rFonts w:ascii="Georgia" w:hAnsi="Georgia" w:cs="Arial"/>
          <w:szCs w:val="24"/>
        </w:rPr>
        <w:t xml:space="preserve">). </w:t>
      </w:r>
    </w:p>
    <w:p w:rsidR="00533ABA" w:rsidRPr="00F851F3" w:rsidRDefault="00533ABA" w:rsidP="00533ABA">
      <w:pPr>
        <w:pStyle w:val="Sinespaciado"/>
        <w:numPr>
          <w:ilvl w:val="0"/>
          <w:numId w:val="1"/>
        </w:numPr>
        <w:spacing w:line="360" w:lineRule="auto"/>
        <w:jc w:val="both"/>
        <w:rPr>
          <w:rFonts w:ascii="Georgia" w:hAnsi="Georgia"/>
          <w:szCs w:val="24"/>
        </w:rPr>
      </w:pPr>
      <w:r w:rsidRPr="00F851F3">
        <w:rPr>
          <w:rFonts w:ascii="Georgia" w:hAnsi="Georgia"/>
          <w:szCs w:val="24"/>
        </w:rPr>
        <w:t>LA SÍNTESIS DE LA CRÓNICA PROCESAL</w:t>
      </w:r>
    </w:p>
    <w:p w:rsidR="00533ABA" w:rsidRPr="00E8144C" w:rsidRDefault="00533ABA" w:rsidP="00533ABA">
      <w:pPr>
        <w:pStyle w:val="Sinespaciado"/>
        <w:tabs>
          <w:tab w:val="left" w:pos="1200"/>
        </w:tabs>
        <w:spacing w:line="360" w:lineRule="auto"/>
        <w:jc w:val="both"/>
        <w:rPr>
          <w:rFonts w:ascii="Georgia" w:hAnsi="Georgia"/>
          <w:szCs w:val="24"/>
          <w:lang w:val="es-CO"/>
        </w:rPr>
      </w:pPr>
    </w:p>
    <w:p w:rsidR="003C676B" w:rsidRPr="00F851F3" w:rsidRDefault="00127DDA" w:rsidP="003C676B">
      <w:pPr>
        <w:spacing w:line="360" w:lineRule="auto"/>
        <w:jc w:val="both"/>
        <w:rPr>
          <w:rFonts w:ascii="Georgia" w:hAnsi="Georgia"/>
        </w:rPr>
      </w:pPr>
      <w:r w:rsidRPr="00F851F3">
        <w:rPr>
          <w:rFonts w:ascii="Georgia" w:hAnsi="Georgia"/>
        </w:rPr>
        <w:t xml:space="preserve">Por reparto correspondió a este Despacho el </w:t>
      </w:r>
      <w:r w:rsidR="00DD17E7">
        <w:rPr>
          <w:rFonts w:ascii="Georgia" w:hAnsi="Georgia"/>
        </w:rPr>
        <w:t>06</w:t>
      </w:r>
      <w:r w:rsidR="00CA0424" w:rsidRPr="00F851F3">
        <w:rPr>
          <w:rFonts w:ascii="Georgia" w:hAnsi="Georgia"/>
        </w:rPr>
        <w:t>-04-</w:t>
      </w:r>
      <w:r w:rsidR="00DD17E7">
        <w:rPr>
          <w:rFonts w:ascii="Georgia" w:hAnsi="Georgia"/>
        </w:rPr>
        <w:t>2018</w:t>
      </w:r>
      <w:r w:rsidRPr="00F851F3">
        <w:rPr>
          <w:rFonts w:ascii="Georgia" w:hAnsi="Georgia"/>
        </w:rPr>
        <w:t>,</w:t>
      </w:r>
      <w:r w:rsidR="00813087" w:rsidRPr="00F851F3">
        <w:rPr>
          <w:rFonts w:ascii="Georgia" w:hAnsi="Georgia"/>
        </w:rPr>
        <w:t xml:space="preserve"> con auto </w:t>
      </w:r>
      <w:r w:rsidR="00CA0424" w:rsidRPr="00F851F3">
        <w:rPr>
          <w:rFonts w:ascii="Georgia" w:hAnsi="Georgia"/>
        </w:rPr>
        <w:t xml:space="preserve">del </w:t>
      </w:r>
      <w:r w:rsidR="00DD17E7">
        <w:rPr>
          <w:rFonts w:ascii="Georgia" w:hAnsi="Georgia"/>
        </w:rPr>
        <w:t xml:space="preserve">09-04-2018 </w:t>
      </w:r>
      <w:r w:rsidR="00533ABA" w:rsidRPr="00F851F3">
        <w:rPr>
          <w:rFonts w:ascii="Georgia" w:hAnsi="Georgia"/>
        </w:rPr>
        <w:t>se admitió, se vincul</w:t>
      </w:r>
      <w:r w:rsidR="00813087" w:rsidRPr="00F851F3">
        <w:rPr>
          <w:rFonts w:ascii="Georgia" w:hAnsi="Georgia"/>
        </w:rPr>
        <w:t xml:space="preserve">ó </w:t>
      </w:r>
      <w:r w:rsidR="00CA0424" w:rsidRPr="00F851F3">
        <w:rPr>
          <w:rFonts w:ascii="Georgia" w:hAnsi="Georgia"/>
        </w:rPr>
        <w:t>a quienes se consideró pertinente</w:t>
      </w:r>
      <w:r w:rsidR="004A752D" w:rsidRPr="00F851F3">
        <w:rPr>
          <w:rFonts w:ascii="Georgia" w:hAnsi="Georgia" w:cs="Arial"/>
        </w:rPr>
        <w:t xml:space="preserve"> </w:t>
      </w:r>
      <w:r w:rsidR="00533ABA" w:rsidRPr="00F851F3">
        <w:rPr>
          <w:rFonts w:ascii="Georgia" w:hAnsi="Georgia"/>
        </w:rPr>
        <w:t>y se ordenó notificar a las partes, entre otros ordenamientos (Folio</w:t>
      </w:r>
      <w:r w:rsidR="002633BF" w:rsidRPr="00F851F3">
        <w:rPr>
          <w:rFonts w:ascii="Georgia" w:hAnsi="Georgia"/>
        </w:rPr>
        <w:t xml:space="preserve"> </w:t>
      </w:r>
      <w:r w:rsidR="00DD17E7">
        <w:rPr>
          <w:rFonts w:ascii="Georgia" w:hAnsi="Georgia"/>
        </w:rPr>
        <w:t>20</w:t>
      </w:r>
      <w:r w:rsidR="00533ABA" w:rsidRPr="00F851F3">
        <w:rPr>
          <w:rFonts w:ascii="Georgia" w:hAnsi="Georgia"/>
        </w:rPr>
        <w:t xml:space="preserve">, </w:t>
      </w:r>
      <w:r w:rsidR="004622F3" w:rsidRPr="00F851F3">
        <w:rPr>
          <w:rFonts w:ascii="Georgia" w:hAnsi="Georgia"/>
        </w:rPr>
        <w:t>ibí</w:t>
      </w:r>
      <w:r w:rsidR="00533ABA" w:rsidRPr="00F851F3">
        <w:rPr>
          <w:rFonts w:ascii="Georgia" w:hAnsi="Georgia"/>
        </w:rPr>
        <w:t xml:space="preserve">dem). </w:t>
      </w:r>
      <w:r w:rsidR="00417ACE" w:rsidRPr="00F851F3">
        <w:rPr>
          <w:rFonts w:ascii="Georgia" w:hAnsi="Georgia"/>
        </w:rPr>
        <w:t xml:space="preserve">Fueron </w:t>
      </w:r>
      <w:r w:rsidR="00533ABA" w:rsidRPr="00F851F3">
        <w:rPr>
          <w:rFonts w:ascii="Georgia" w:hAnsi="Georgia"/>
        </w:rPr>
        <w:t xml:space="preserve">debidamente </w:t>
      </w:r>
      <w:r w:rsidR="004A752D" w:rsidRPr="00F851F3">
        <w:rPr>
          <w:rFonts w:ascii="Georgia" w:hAnsi="Georgia"/>
        </w:rPr>
        <w:t xml:space="preserve">enterados los extremos de la acción </w:t>
      </w:r>
      <w:r w:rsidR="00417ACE" w:rsidRPr="00F851F3">
        <w:rPr>
          <w:rFonts w:ascii="Georgia" w:hAnsi="Georgia"/>
        </w:rPr>
        <w:t xml:space="preserve">y </w:t>
      </w:r>
      <w:r w:rsidR="004A752D" w:rsidRPr="00F851F3">
        <w:rPr>
          <w:rFonts w:ascii="Georgia" w:hAnsi="Georgia"/>
        </w:rPr>
        <w:t xml:space="preserve">la parte </w:t>
      </w:r>
      <w:r w:rsidR="00417ACE" w:rsidRPr="00F851F3">
        <w:rPr>
          <w:rFonts w:ascii="Georgia" w:hAnsi="Georgia"/>
        </w:rPr>
        <w:t>vinculad</w:t>
      </w:r>
      <w:r w:rsidR="00813087" w:rsidRPr="00F851F3">
        <w:rPr>
          <w:rFonts w:ascii="Georgia" w:hAnsi="Georgia"/>
        </w:rPr>
        <w:t>a</w:t>
      </w:r>
      <w:r w:rsidR="00533ABA" w:rsidRPr="00F851F3">
        <w:rPr>
          <w:rFonts w:ascii="Georgia" w:hAnsi="Georgia"/>
        </w:rPr>
        <w:t xml:space="preserve"> (Folios </w:t>
      </w:r>
      <w:r w:rsidR="00DD17E7">
        <w:rPr>
          <w:rFonts w:ascii="Georgia" w:hAnsi="Georgia"/>
        </w:rPr>
        <w:t>21 a 24</w:t>
      </w:r>
      <w:r w:rsidR="004A752D" w:rsidRPr="00F851F3">
        <w:rPr>
          <w:rFonts w:ascii="Georgia" w:hAnsi="Georgia"/>
        </w:rPr>
        <w:t xml:space="preserve">, </w:t>
      </w:r>
      <w:r w:rsidR="004622F3" w:rsidRPr="00F851F3">
        <w:rPr>
          <w:rFonts w:ascii="Georgia" w:hAnsi="Georgia"/>
        </w:rPr>
        <w:t>ibídem</w:t>
      </w:r>
      <w:r w:rsidR="00533ABA" w:rsidRPr="00F851F3">
        <w:rPr>
          <w:rFonts w:ascii="Georgia" w:hAnsi="Georgia"/>
        </w:rPr>
        <w:t>)</w:t>
      </w:r>
      <w:r w:rsidR="00D91662" w:rsidRPr="00F851F3">
        <w:rPr>
          <w:rFonts w:ascii="Georgia" w:hAnsi="Georgia"/>
        </w:rPr>
        <w:t>.</w:t>
      </w:r>
      <w:r w:rsidR="003C676B" w:rsidRPr="00F851F3">
        <w:rPr>
          <w:rFonts w:ascii="Georgia" w:hAnsi="Georgia"/>
        </w:rPr>
        <w:t xml:space="preserve"> </w:t>
      </w:r>
      <w:r w:rsidR="00DD17E7">
        <w:rPr>
          <w:rFonts w:ascii="Georgia" w:hAnsi="Georgia"/>
        </w:rPr>
        <w:t xml:space="preserve">Contestaron los despachos judiciales accionados </w:t>
      </w:r>
      <w:r w:rsidR="00CA0424" w:rsidRPr="00F851F3">
        <w:rPr>
          <w:rFonts w:ascii="Georgia" w:hAnsi="Georgia"/>
        </w:rPr>
        <w:t xml:space="preserve">(Folios </w:t>
      </w:r>
      <w:r w:rsidR="00DD17E7">
        <w:rPr>
          <w:rFonts w:ascii="Georgia" w:hAnsi="Georgia"/>
        </w:rPr>
        <w:t xml:space="preserve">24 a 25 y 27, ib.). Se arrimó la documentación requerida </w:t>
      </w:r>
      <w:r w:rsidR="00260F52" w:rsidRPr="00F851F3">
        <w:rPr>
          <w:rFonts w:ascii="Georgia" w:hAnsi="Georgia"/>
        </w:rPr>
        <w:t xml:space="preserve">(Folio </w:t>
      </w:r>
      <w:r w:rsidR="00DD17E7">
        <w:rPr>
          <w:rFonts w:ascii="Georgia" w:hAnsi="Georgia"/>
        </w:rPr>
        <w:t>26</w:t>
      </w:r>
      <w:r w:rsidR="00260F52" w:rsidRPr="00F851F3">
        <w:rPr>
          <w:rFonts w:ascii="Georgia" w:hAnsi="Georgia"/>
        </w:rPr>
        <w:t>, ib.)</w:t>
      </w:r>
      <w:r w:rsidR="00CA0424" w:rsidRPr="00F851F3">
        <w:rPr>
          <w:rFonts w:ascii="Georgia" w:hAnsi="Georgia"/>
        </w:rPr>
        <w:t>.</w:t>
      </w:r>
    </w:p>
    <w:p w:rsidR="001C15CE" w:rsidRPr="00F851F3" w:rsidRDefault="001C15CE" w:rsidP="003C676B">
      <w:pPr>
        <w:spacing w:line="360" w:lineRule="auto"/>
        <w:jc w:val="both"/>
        <w:rPr>
          <w:rFonts w:ascii="Georgia" w:hAnsi="Georgia"/>
        </w:rPr>
      </w:pPr>
    </w:p>
    <w:p w:rsidR="001C15CE" w:rsidRPr="00F851F3" w:rsidRDefault="001C15CE" w:rsidP="001C15CE">
      <w:pPr>
        <w:numPr>
          <w:ilvl w:val="0"/>
          <w:numId w:val="18"/>
        </w:numPr>
        <w:spacing w:line="360" w:lineRule="auto"/>
        <w:jc w:val="both"/>
        <w:rPr>
          <w:rFonts w:ascii="Georgia" w:hAnsi="Georgia"/>
        </w:rPr>
      </w:pPr>
      <w:r w:rsidRPr="00F851F3">
        <w:rPr>
          <w:rFonts w:ascii="Georgia" w:hAnsi="Georgia"/>
        </w:rPr>
        <w:t>LA SINOPSIS DE LAS RESPUESTAS</w:t>
      </w:r>
    </w:p>
    <w:p w:rsidR="001C15CE" w:rsidRPr="00A01C7A" w:rsidRDefault="001C15CE" w:rsidP="001C15CE">
      <w:pPr>
        <w:pStyle w:val="Textoindependiente"/>
        <w:spacing w:line="360" w:lineRule="auto"/>
        <w:rPr>
          <w:rFonts w:ascii="Georgia" w:hAnsi="Georgia"/>
          <w:sz w:val="24"/>
          <w:szCs w:val="24"/>
        </w:rPr>
      </w:pPr>
    </w:p>
    <w:p w:rsidR="00060BA8" w:rsidRDefault="00060BA8" w:rsidP="001C15CE">
      <w:pPr>
        <w:widowControl/>
        <w:spacing w:line="360" w:lineRule="auto"/>
        <w:jc w:val="both"/>
        <w:rPr>
          <w:rFonts w:ascii="Georgia" w:hAnsi="Georgia"/>
        </w:rPr>
      </w:pPr>
      <w:r>
        <w:rPr>
          <w:rFonts w:ascii="Georgia" w:hAnsi="Georgia"/>
        </w:rPr>
        <w:t>El Juzgado Promiscuo Municipal de La Virginia adujo que no es de recibo que se alegue la vulneración del derecho al debido proceso, puesto que el actor ha sido enterado de cada decisión, tuvo la oportunidad para controvertir, adelantar las gestiones para acatar el fallo, e incluso,  en dos oportunidades se suspendió el trámite incidental, sin que haya atendido la orden judicial. Pidió declarar improcedente la tutela (Folios 24 y 24, ib.).</w:t>
      </w:r>
    </w:p>
    <w:p w:rsidR="00060BA8" w:rsidRDefault="00060BA8" w:rsidP="001C15CE">
      <w:pPr>
        <w:widowControl/>
        <w:spacing w:line="360" w:lineRule="auto"/>
        <w:jc w:val="both"/>
        <w:rPr>
          <w:rFonts w:ascii="Georgia" w:hAnsi="Georgia"/>
        </w:rPr>
      </w:pPr>
    </w:p>
    <w:p w:rsidR="001C15CE" w:rsidRPr="00060BA8" w:rsidRDefault="00060BA8" w:rsidP="001C15CE">
      <w:pPr>
        <w:widowControl/>
        <w:spacing w:line="360" w:lineRule="auto"/>
        <w:jc w:val="both"/>
        <w:rPr>
          <w:rFonts w:ascii="Georgia" w:hAnsi="Georgia"/>
        </w:rPr>
      </w:pPr>
      <w:r>
        <w:rPr>
          <w:rFonts w:ascii="Georgia" w:hAnsi="Georgia"/>
        </w:rPr>
        <w:t xml:space="preserve">El Juzgado Promiscuo del Circuito de esa municipalidad </w:t>
      </w:r>
      <w:r w:rsidR="00ED7BFF">
        <w:rPr>
          <w:rFonts w:ascii="Georgia" w:hAnsi="Georgia"/>
        </w:rPr>
        <w:t>se opuso a las pretensiones y pidió negar el amparo. Refirió que confirmó la sanción por desacato debido a que el actor no acreditó el acatamiento de la sentencia; se limitó a informar sobre la imposibilidad de cumplir en esa localidad, sin hacer manifestaciones adicionales por el término de tres (3) meses (Folio</w:t>
      </w:r>
      <w:r w:rsidR="001C15CE" w:rsidRPr="00F851F3">
        <w:rPr>
          <w:rFonts w:ascii="Georgia" w:hAnsi="Georgia"/>
        </w:rPr>
        <w:t xml:space="preserve"> </w:t>
      </w:r>
      <w:r w:rsidR="00ED7BFF">
        <w:rPr>
          <w:rFonts w:ascii="Georgia" w:hAnsi="Georgia"/>
        </w:rPr>
        <w:t>27</w:t>
      </w:r>
      <w:r w:rsidR="001C15CE" w:rsidRPr="00F851F3">
        <w:rPr>
          <w:rFonts w:ascii="Georgia" w:hAnsi="Georgia"/>
        </w:rPr>
        <w:t>, ib.)</w:t>
      </w:r>
      <w:r w:rsidR="001C15CE" w:rsidRPr="00F851F3">
        <w:rPr>
          <w:rFonts w:ascii="Georgia" w:hAnsi="Georgia" w:cs="Arial"/>
        </w:rPr>
        <w:t xml:space="preserve">. </w:t>
      </w:r>
    </w:p>
    <w:p w:rsidR="00D91662" w:rsidRPr="00F851F3" w:rsidRDefault="00D91662" w:rsidP="00533ABA">
      <w:pPr>
        <w:spacing w:line="360" w:lineRule="auto"/>
        <w:jc w:val="both"/>
        <w:rPr>
          <w:rFonts w:ascii="Georgia" w:hAnsi="Georgia"/>
        </w:rPr>
      </w:pPr>
    </w:p>
    <w:p w:rsidR="00533ABA" w:rsidRPr="00F851F3" w:rsidRDefault="00533ABA" w:rsidP="001C15CE">
      <w:pPr>
        <w:pStyle w:val="Textoindependiente"/>
        <w:numPr>
          <w:ilvl w:val="0"/>
          <w:numId w:val="18"/>
        </w:numPr>
        <w:spacing w:line="360" w:lineRule="auto"/>
        <w:rPr>
          <w:rFonts w:ascii="Georgia" w:hAnsi="Georgia"/>
          <w:sz w:val="24"/>
          <w:szCs w:val="24"/>
        </w:rPr>
      </w:pPr>
      <w:r w:rsidRPr="00F851F3">
        <w:rPr>
          <w:rFonts w:ascii="Georgia" w:hAnsi="Georgia"/>
          <w:sz w:val="24"/>
          <w:szCs w:val="24"/>
        </w:rPr>
        <w:lastRenderedPageBreak/>
        <w:t>LA FUNDAMENTACIÓN JURÍDICA PARA DECIDIR</w:t>
      </w:r>
    </w:p>
    <w:p w:rsidR="00260F52" w:rsidRPr="00F851F3" w:rsidRDefault="00260F52" w:rsidP="00260F52">
      <w:pPr>
        <w:pStyle w:val="Textoindependiente"/>
        <w:spacing w:line="360" w:lineRule="auto"/>
        <w:rPr>
          <w:rFonts w:ascii="Georgia" w:hAnsi="Georgia"/>
          <w:sz w:val="24"/>
          <w:szCs w:val="24"/>
        </w:rPr>
      </w:pPr>
    </w:p>
    <w:p w:rsidR="00533ABA" w:rsidRPr="00ED7BFF" w:rsidRDefault="00260F52" w:rsidP="00CA0424">
      <w:pPr>
        <w:pStyle w:val="Prrafodelista"/>
        <w:numPr>
          <w:ilvl w:val="1"/>
          <w:numId w:val="18"/>
        </w:numPr>
        <w:tabs>
          <w:tab w:val="left" w:pos="709"/>
        </w:tabs>
        <w:spacing w:line="360" w:lineRule="auto"/>
        <w:jc w:val="both"/>
        <w:rPr>
          <w:rFonts w:ascii="Georgia" w:hAnsi="Georgia" w:cs="Verdana"/>
        </w:rPr>
      </w:pPr>
      <w:r w:rsidRPr="00F851F3">
        <w:rPr>
          <w:rFonts w:ascii="Georgia" w:hAnsi="Georgia"/>
          <w:smallCaps/>
        </w:rPr>
        <w:t>La competencia</w:t>
      </w:r>
      <w:r w:rsidR="00CA0424" w:rsidRPr="00F851F3">
        <w:rPr>
          <w:rFonts w:ascii="Georgia" w:hAnsi="Georgia"/>
          <w:smallCaps/>
        </w:rPr>
        <w:t>.</w:t>
      </w:r>
      <w:r w:rsidR="00CA0424" w:rsidRPr="00F851F3">
        <w:rPr>
          <w:rFonts w:ascii="Georgia" w:hAnsi="Georgia"/>
        </w:rPr>
        <w:t xml:space="preserve"> </w:t>
      </w:r>
      <w:r w:rsidR="00963352" w:rsidRPr="00F851F3">
        <w:rPr>
          <w:rFonts w:ascii="Georgia" w:hAnsi="Georgia" w:cs="Arial"/>
        </w:rPr>
        <w:t xml:space="preserve">Es </w:t>
      </w:r>
      <w:r w:rsidR="00533ABA" w:rsidRPr="00F851F3">
        <w:rPr>
          <w:rFonts w:ascii="Georgia" w:hAnsi="Georgia" w:cs="Arial"/>
        </w:rPr>
        <w:t xml:space="preserve">competente </w:t>
      </w:r>
      <w:r w:rsidR="00963352" w:rsidRPr="00F851F3">
        <w:rPr>
          <w:rFonts w:ascii="Georgia" w:hAnsi="Georgia" w:cs="Arial"/>
        </w:rPr>
        <w:t xml:space="preserve">este Tribunal </w:t>
      </w:r>
      <w:r w:rsidR="00533ABA" w:rsidRPr="00F851F3">
        <w:rPr>
          <w:rFonts w:ascii="Georgia" w:hAnsi="Georgia" w:cs="Arial"/>
        </w:rPr>
        <w:t>para conocer la acción en razón a que esta Corporación es el superior jerárquico de</w:t>
      </w:r>
      <w:r w:rsidR="00295188" w:rsidRPr="00F851F3">
        <w:rPr>
          <w:rFonts w:ascii="Georgia" w:hAnsi="Georgia" w:cs="Arial"/>
        </w:rPr>
        <w:t xml:space="preserve"> uno de los </w:t>
      </w:r>
      <w:r w:rsidR="00813087" w:rsidRPr="00F851F3">
        <w:rPr>
          <w:rFonts w:ascii="Georgia" w:hAnsi="Georgia" w:cs="Arial"/>
        </w:rPr>
        <w:t>accionado</w:t>
      </w:r>
      <w:r w:rsidR="00295188" w:rsidRPr="00F851F3">
        <w:rPr>
          <w:rFonts w:ascii="Georgia" w:hAnsi="Georgia" w:cs="Arial"/>
        </w:rPr>
        <w:t>s</w:t>
      </w:r>
      <w:r w:rsidR="00533ABA" w:rsidRPr="00F851F3">
        <w:rPr>
          <w:rFonts w:ascii="Georgia" w:hAnsi="Georgia" w:cs="Arial"/>
        </w:rPr>
        <w:t>.</w:t>
      </w:r>
    </w:p>
    <w:p w:rsidR="00ED7BFF" w:rsidRPr="00F851F3" w:rsidRDefault="00ED7BFF" w:rsidP="00ED7BFF">
      <w:pPr>
        <w:pStyle w:val="Prrafodelista"/>
        <w:tabs>
          <w:tab w:val="left" w:pos="709"/>
        </w:tabs>
        <w:spacing w:line="360" w:lineRule="auto"/>
        <w:ind w:left="720"/>
        <w:jc w:val="both"/>
        <w:rPr>
          <w:rFonts w:ascii="Georgia" w:hAnsi="Georgia" w:cs="Verdana"/>
        </w:rPr>
      </w:pPr>
    </w:p>
    <w:p w:rsidR="00CA0424" w:rsidRPr="00F851F3" w:rsidRDefault="00CA0424" w:rsidP="00CA0424">
      <w:pPr>
        <w:pStyle w:val="Prrafodelista"/>
        <w:numPr>
          <w:ilvl w:val="1"/>
          <w:numId w:val="18"/>
        </w:numPr>
        <w:tabs>
          <w:tab w:val="left" w:pos="709"/>
        </w:tabs>
        <w:spacing w:line="360" w:lineRule="auto"/>
        <w:jc w:val="both"/>
        <w:rPr>
          <w:rFonts w:ascii="Georgia" w:hAnsi="Georgia" w:cs="Arial"/>
        </w:rPr>
      </w:pPr>
      <w:r w:rsidRPr="00F851F3">
        <w:rPr>
          <w:rFonts w:ascii="Georgia" w:hAnsi="Georgia"/>
          <w:smallCaps/>
        </w:rPr>
        <w:t>El problema jurídico a resolver</w:t>
      </w:r>
      <w:r w:rsidRPr="00F851F3">
        <w:rPr>
          <w:rFonts w:ascii="Georgia" w:hAnsi="Georgia" w:cs="Arial"/>
          <w:spacing w:val="-3"/>
          <w:lang w:val="es-ES_tradnl"/>
        </w:rPr>
        <w:t>. ¿</w:t>
      </w:r>
      <w:r w:rsidRPr="00F851F3">
        <w:rPr>
          <w:rFonts w:ascii="Georgia" w:hAnsi="Georgia" w:cs="Arial"/>
        </w:rPr>
        <w:t xml:space="preserve">Los Juzgados </w:t>
      </w:r>
      <w:r w:rsidR="00ED7BFF">
        <w:rPr>
          <w:rFonts w:ascii="Georgia" w:hAnsi="Georgia" w:cs="Arial"/>
        </w:rPr>
        <w:t xml:space="preserve">Promiscuos </w:t>
      </w:r>
      <w:r w:rsidRPr="00F851F3">
        <w:rPr>
          <w:rFonts w:ascii="Georgia" w:hAnsi="Georgia" w:cs="Arial"/>
        </w:rPr>
        <w:t xml:space="preserve">del Circuito y </w:t>
      </w:r>
      <w:r w:rsidR="00ED7BFF">
        <w:rPr>
          <w:rFonts w:ascii="Georgia" w:hAnsi="Georgia" w:cs="Arial"/>
        </w:rPr>
        <w:t xml:space="preserve">Municipal </w:t>
      </w:r>
      <w:r w:rsidRPr="00F851F3">
        <w:rPr>
          <w:rFonts w:ascii="Georgia" w:hAnsi="Georgia" w:cs="Arial"/>
        </w:rPr>
        <w:t xml:space="preserve">de </w:t>
      </w:r>
      <w:r w:rsidR="00ED7BFF">
        <w:rPr>
          <w:rFonts w:ascii="Georgia" w:hAnsi="Georgia" w:cs="Arial"/>
        </w:rPr>
        <w:t xml:space="preserve">La Virginia, R., </w:t>
      </w:r>
      <w:r w:rsidRPr="00F851F3">
        <w:rPr>
          <w:rFonts w:ascii="Georgia" w:hAnsi="Georgia" w:cs="Arial"/>
          <w:spacing w:val="-3"/>
          <w:lang w:val="es-ES_tradnl"/>
        </w:rPr>
        <w:t xml:space="preserve">han vulnerado o amenazado los derechos fundamentales de la accionante con ocasión de las decisiones adoptadas en el </w:t>
      </w:r>
      <w:r w:rsidR="00ED7BFF">
        <w:rPr>
          <w:rFonts w:ascii="Georgia" w:hAnsi="Georgia" w:cs="Arial"/>
          <w:spacing w:val="-3"/>
          <w:lang w:val="es-ES_tradnl"/>
        </w:rPr>
        <w:t>incidente de desacato</w:t>
      </w:r>
      <w:r w:rsidRPr="00F851F3">
        <w:rPr>
          <w:rFonts w:ascii="Georgia" w:hAnsi="Georgia" w:cs="Arial"/>
          <w:spacing w:val="-3"/>
          <w:lang w:val="es-ES_tradnl"/>
        </w:rPr>
        <w:t>?</w:t>
      </w:r>
    </w:p>
    <w:p w:rsidR="00CA0424" w:rsidRPr="00F851F3" w:rsidRDefault="00CA0424" w:rsidP="00CA0424">
      <w:pPr>
        <w:tabs>
          <w:tab w:val="left" w:pos="709"/>
        </w:tabs>
        <w:spacing w:line="360" w:lineRule="auto"/>
        <w:jc w:val="both"/>
        <w:rPr>
          <w:rFonts w:ascii="Georgia" w:hAnsi="Georgia" w:cs="Arial"/>
        </w:rPr>
      </w:pPr>
    </w:p>
    <w:p w:rsidR="00ED7BFF" w:rsidRPr="00ED7BFF" w:rsidRDefault="00ED7BFF" w:rsidP="00ED7BFF">
      <w:pPr>
        <w:pStyle w:val="Prrafodelista"/>
        <w:numPr>
          <w:ilvl w:val="1"/>
          <w:numId w:val="18"/>
        </w:numPr>
        <w:spacing w:line="360" w:lineRule="auto"/>
        <w:rPr>
          <w:rFonts w:ascii="Georgia" w:hAnsi="Georgia" w:cs="Arial"/>
          <w:smallCaps/>
        </w:rPr>
      </w:pPr>
      <w:r w:rsidRPr="00ED7BFF">
        <w:rPr>
          <w:rFonts w:ascii="Georgia" w:hAnsi="Georgia" w:cs="Arial"/>
          <w:smallCaps/>
        </w:rPr>
        <w:t>Los presupuestos generales de procedencia</w:t>
      </w:r>
    </w:p>
    <w:p w:rsidR="00ED7BFF" w:rsidRPr="00ED7BFF" w:rsidRDefault="00ED7BFF" w:rsidP="00ED7BFF">
      <w:pPr>
        <w:pStyle w:val="Prrafodelista"/>
        <w:spacing w:line="360" w:lineRule="auto"/>
        <w:ind w:left="720"/>
        <w:rPr>
          <w:rFonts w:ascii="Georgia" w:hAnsi="Georgia" w:cs="Arial"/>
        </w:rPr>
      </w:pPr>
    </w:p>
    <w:p w:rsidR="00A01C7A" w:rsidRPr="00A01C7A" w:rsidRDefault="00ED7BFF" w:rsidP="00A01C7A">
      <w:pPr>
        <w:pStyle w:val="Textoindependiente"/>
        <w:numPr>
          <w:ilvl w:val="2"/>
          <w:numId w:val="18"/>
        </w:numPr>
        <w:spacing w:line="360" w:lineRule="auto"/>
        <w:rPr>
          <w:rFonts w:ascii="Georgia" w:hAnsi="Georgia" w:cs="Arial"/>
          <w:sz w:val="24"/>
          <w:szCs w:val="24"/>
        </w:rPr>
      </w:pPr>
      <w:r w:rsidRPr="00A01C7A">
        <w:rPr>
          <w:rFonts w:ascii="Georgia" w:hAnsi="Georgia"/>
          <w:smallCaps/>
          <w:sz w:val="24"/>
          <w:szCs w:val="24"/>
        </w:rPr>
        <w:t xml:space="preserve">La legitimación en la causa. </w:t>
      </w:r>
      <w:r w:rsidRPr="00ED7BFF">
        <w:rPr>
          <w:rFonts w:ascii="Georgia" w:hAnsi="Georgia" w:cs="Arial"/>
          <w:sz w:val="24"/>
          <w:szCs w:val="24"/>
        </w:rPr>
        <w:t xml:space="preserve">Se cumple por activa dado que el accionante </w:t>
      </w:r>
      <w:r>
        <w:rPr>
          <w:rFonts w:ascii="Georgia" w:hAnsi="Georgia" w:cs="Arial"/>
          <w:sz w:val="24"/>
          <w:szCs w:val="24"/>
        </w:rPr>
        <w:t xml:space="preserve">actúa como parte pasiva </w:t>
      </w:r>
      <w:r w:rsidRPr="00ED7BFF">
        <w:rPr>
          <w:rFonts w:ascii="Georgia" w:hAnsi="Georgia" w:cs="Arial"/>
          <w:sz w:val="24"/>
          <w:szCs w:val="24"/>
        </w:rPr>
        <w:t xml:space="preserve">en el </w:t>
      </w:r>
      <w:r>
        <w:rPr>
          <w:rFonts w:ascii="Georgia" w:hAnsi="Georgia" w:cs="Arial"/>
          <w:sz w:val="24"/>
          <w:szCs w:val="24"/>
        </w:rPr>
        <w:t xml:space="preserve">incidente de desacato donde se </w:t>
      </w:r>
      <w:r w:rsidRPr="00ED7BFF">
        <w:rPr>
          <w:rFonts w:ascii="Georgia" w:hAnsi="Georgia" w:cs="Arial"/>
          <w:sz w:val="24"/>
          <w:szCs w:val="24"/>
        </w:rPr>
        <w:t xml:space="preserve">reprocha la falta al debido proceso. Y por pasiva lo son los Juzgados </w:t>
      </w:r>
      <w:r>
        <w:rPr>
          <w:rFonts w:ascii="Georgia" w:hAnsi="Georgia" w:cs="Arial"/>
          <w:sz w:val="24"/>
          <w:szCs w:val="24"/>
        </w:rPr>
        <w:t>accionados</w:t>
      </w:r>
      <w:r w:rsidRPr="00ED7BFF">
        <w:rPr>
          <w:rFonts w:ascii="Georgia" w:hAnsi="Georgia" w:cs="Arial"/>
          <w:sz w:val="24"/>
          <w:szCs w:val="24"/>
        </w:rPr>
        <w:t>, porque fueron las autoridades judiciales que conocieron el  juicio.</w:t>
      </w:r>
    </w:p>
    <w:p w:rsidR="00ED7BFF" w:rsidRPr="00A01C7A" w:rsidRDefault="00ED7BFF" w:rsidP="00ED7BF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lang w:val="es-ES"/>
        </w:rPr>
      </w:pPr>
      <w:r w:rsidRPr="00A01C7A">
        <w:rPr>
          <w:rFonts w:ascii="Georgia" w:hAnsi="Georgia" w:cs="Arial"/>
          <w:smallCaps/>
          <w:sz w:val="24"/>
          <w:szCs w:val="24"/>
          <w:lang w:val="es-ES"/>
        </w:rPr>
        <w:t xml:space="preserve">La procedencia frente a decisiones dentro de un incidente de desacato </w:t>
      </w:r>
    </w:p>
    <w:p w:rsidR="00ED7BFF" w:rsidRPr="00A01C7A" w:rsidRDefault="00ED7BFF" w:rsidP="00ED7BFF">
      <w:pPr>
        <w:pStyle w:val="Prrafodelista"/>
        <w:spacing w:line="360" w:lineRule="auto"/>
        <w:rPr>
          <w:rFonts w:ascii="Georgia" w:hAnsi="Georgia" w:cs="Arial"/>
          <w:smallCaps/>
        </w:rPr>
      </w:pPr>
    </w:p>
    <w:p w:rsidR="00ED7BFF" w:rsidRPr="00F27881" w:rsidRDefault="00ED7BFF" w:rsidP="00ED7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rPr>
      </w:pPr>
      <w:r w:rsidRPr="00F27881">
        <w:rPr>
          <w:rFonts w:ascii="Georgia" w:hAnsi="Georgia" w:cs="Arial"/>
          <w:sz w:val="24"/>
          <w:szCs w:val="24"/>
        </w:rPr>
        <w:t>La jurisprudencia</w:t>
      </w:r>
      <w:r w:rsidRPr="00F27881">
        <w:rPr>
          <w:rStyle w:val="Refdenotaalpie"/>
          <w:rFonts w:ascii="Georgia" w:hAnsi="Georgia"/>
          <w:sz w:val="24"/>
          <w:szCs w:val="24"/>
        </w:rPr>
        <w:footnoteReference w:id="1"/>
      </w:r>
      <w:r w:rsidRPr="00F27881">
        <w:rPr>
          <w:rFonts w:ascii="Georgia" w:hAnsi="Georgia" w:cs="Arial"/>
          <w:sz w:val="24"/>
          <w:szCs w:val="24"/>
        </w:rPr>
        <w:t xml:space="preserve"> ha sido reiterativa en sostener que es posible excepcionalmente rebatir por intermedio del amparo constitucional las decisiones que ponen fin a un incidente de desacato a fallo de tutela cuando se adviertan comprometidos los derechos fundamentales de las partes intervinientes, esencialmente el derecho al debido proceso. </w:t>
      </w:r>
    </w:p>
    <w:p w:rsidR="00ED7BFF" w:rsidRPr="00A01C7A" w:rsidRDefault="00ED7BFF" w:rsidP="00ED7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rPr>
      </w:pPr>
    </w:p>
    <w:p w:rsidR="00ED7BFF" w:rsidRPr="00F27881" w:rsidRDefault="00ED7BFF" w:rsidP="00ED7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sz w:val="24"/>
          <w:szCs w:val="24"/>
          <w:lang w:val="es-CO"/>
        </w:rPr>
      </w:pPr>
      <w:r w:rsidRPr="00F27881">
        <w:rPr>
          <w:rFonts w:ascii="Georgia" w:hAnsi="Georgia" w:cs="Arial"/>
          <w:sz w:val="24"/>
          <w:szCs w:val="24"/>
        </w:rPr>
        <w:t xml:space="preserve">Asimismo, el máximo ente constitucional, en cuanto a los requisitos de </w:t>
      </w:r>
      <w:proofErr w:type="spellStart"/>
      <w:r w:rsidRPr="00F27881">
        <w:rPr>
          <w:rFonts w:ascii="Georgia" w:hAnsi="Georgia" w:cs="Arial"/>
          <w:sz w:val="24"/>
          <w:szCs w:val="24"/>
        </w:rPr>
        <w:t>procedibilidad</w:t>
      </w:r>
      <w:proofErr w:type="spellEnd"/>
      <w:r w:rsidRPr="00F27881">
        <w:rPr>
          <w:rStyle w:val="Refdenotaalpie"/>
          <w:rFonts w:ascii="Georgia" w:hAnsi="Georgia"/>
          <w:i/>
          <w:sz w:val="24"/>
          <w:szCs w:val="24"/>
          <w:lang w:val="es-ES"/>
        </w:rPr>
        <w:footnoteReference w:id="2"/>
      </w:r>
      <w:r w:rsidRPr="00F27881">
        <w:rPr>
          <w:rFonts w:ascii="Georgia" w:hAnsi="Georgia" w:cs="Arial"/>
          <w:sz w:val="24"/>
          <w:szCs w:val="24"/>
        </w:rPr>
        <w:t xml:space="preserve"> </w:t>
      </w:r>
      <w:r w:rsidRPr="00F27881">
        <w:rPr>
          <w:rFonts w:ascii="Georgia" w:hAnsi="Georgia" w:cs="Arial"/>
          <w:i/>
          <w:sz w:val="22"/>
          <w:szCs w:val="24"/>
        </w:rPr>
        <w:t xml:space="preserve">“(…) </w:t>
      </w:r>
      <w:r w:rsidRPr="00F27881">
        <w:rPr>
          <w:rFonts w:ascii="Georgia" w:hAnsi="Georgia" w:cs="Arial"/>
          <w:i/>
          <w:sz w:val="22"/>
          <w:szCs w:val="24"/>
          <w:lang w:val="es-ES"/>
        </w:rPr>
        <w:t xml:space="preserve">ha aclarado que la acción de amparo procede en este caso cuando, </w:t>
      </w:r>
      <w:r w:rsidRPr="00F27881">
        <w:rPr>
          <w:rFonts w:ascii="Georgia" w:hAnsi="Georgia" w:cs="Arial"/>
          <w:i/>
          <w:sz w:val="22"/>
          <w:szCs w:val="24"/>
          <w:u w:val="single"/>
          <w:lang w:val="es-ES"/>
        </w:rPr>
        <w:t xml:space="preserve">(i) además de estar ejecutoriada la providencia que resuelve el desacato, se (ii) reúnan los requisitos generales y se (iii) configure por lo menos una de las causales especiales de </w:t>
      </w:r>
      <w:proofErr w:type="spellStart"/>
      <w:r w:rsidRPr="00F27881">
        <w:rPr>
          <w:rFonts w:ascii="Georgia" w:hAnsi="Georgia" w:cs="Arial"/>
          <w:i/>
          <w:sz w:val="22"/>
          <w:szCs w:val="24"/>
          <w:u w:val="single"/>
          <w:lang w:val="es-ES"/>
        </w:rPr>
        <w:t>procedibilidad</w:t>
      </w:r>
      <w:proofErr w:type="spellEnd"/>
      <w:r w:rsidRPr="00F27881">
        <w:rPr>
          <w:rFonts w:ascii="Georgia" w:hAnsi="Georgia" w:cs="Arial"/>
          <w:i/>
          <w:sz w:val="22"/>
          <w:szCs w:val="24"/>
          <w:u w:val="single"/>
          <w:lang w:val="es-ES"/>
        </w:rPr>
        <w:t xml:space="preserve"> de la acción de tutela contra providencias judiciales</w:t>
      </w:r>
      <w:r w:rsidRPr="00F27881">
        <w:rPr>
          <w:rFonts w:ascii="Georgia" w:hAnsi="Georgia" w:cs="Arial"/>
          <w:i/>
          <w:sz w:val="22"/>
          <w:szCs w:val="24"/>
          <w:lang w:val="es-ES"/>
        </w:rPr>
        <w:t xml:space="preserve"> (…)”</w:t>
      </w:r>
      <w:r w:rsidRPr="00F27881">
        <w:rPr>
          <w:rFonts w:ascii="Georgia" w:hAnsi="Georgia" w:cs="Arial"/>
          <w:i/>
          <w:sz w:val="24"/>
          <w:szCs w:val="24"/>
          <w:lang w:val="es-ES"/>
        </w:rPr>
        <w:t xml:space="preserve"> </w:t>
      </w:r>
      <w:r w:rsidRPr="00F27881">
        <w:rPr>
          <w:rFonts w:ascii="Georgia" w:hAnsi="Georgia" w:cs="Arial"/>
          <w:sz w:val="24"/>
          <w:szCs w:val="24"/>
          <w:lang w:val="es-ES"/>
        </w:rPr>
        <w:t>(</w:t>
      </w:r>
      <w:proofErr w:type="spellStart"/>
      <w:r w:rsidRPr="00F27881">
        <w:rPr>
          <w:rFonts w:ascii="Georgia" w:hAnsi="Georgia" w:cs="Arial"/>
          <w:sz w:val="24"/>
          <w:szCs w:val="24"/>
          <w:lang w:val="es-ES"/>
        </w:rPr>
        <w:t>Sublíneas</w:t>
      </w:r>
      <w:proofErr w:type="spellEnd"/>
      <w:r w:rsidRPr="00F27881">
        <w:rPr>
          <w:rFonts w:ascii="Georgia" w:hAnsi="Georgia" w:cs="Arial"/>
          <w:sz w:val="24"/>
          <w:szCs w:val="24"/>
          <w:lang w:val="es-ES"/>
        </w:rPr>
        <w:t xml:space="preserve"> de esta Sala)</w:t>
      </w:r>
      <w:r w:rsidRPr="00F27881">
        <w:rPr>
          <w:rFonts w:ascii="Georgia" w:hAnsi="Georgia" w:cs="Arial"/>
          <w:sz w:val="24"/>
          <w:szCs w:val="24"/>
          <w:lang w:val="es-CO"/>
        </w:rPr>
        <w:t>.</w:t>
      </w:r>
    </w:p>
    <w:p w:rsidR="00ED7BFF" w:rsidRPr="00A01C7A" w:rsidRDefault="00ED7BFF" w:rsidP="00ED7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lang w:val="es-ES"/>
        </w:rPr>
      </w:pPr>
    </w:p>
    <w:p w:rsidR="00ED7BFF" w:rsidRPr="00F27881" w:rsidRDefault="00ED7BFF" w:rsidP="00ED7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iCs/>
          <w:sz w:val="24"/>
          <w:szCs w:val="24"/>
          <w:bdr w:val="none" w:sz="0" w:space="0" w:color="auto" w:frame="1"/>
          <w:shd w:val="clear" w:color="auto" w:fill="FFFFFF"/>
        </w:rPr>
      </w:pPr>
      <w:r w:rsidRPr="00F27881">
        <w:rPr>
          <w:rFonts w:ascii="Georgia" w:hAnsi="Georgia" w:cs="Arial"/>
          <w:sz w:val="24"/>
          <w:szCs w:val="24"/>
          <w:lang w:val="es-ES"/>
        </w:rPr>
        <w:t>También, ha referido que</w:t>
      </w:r>
      <w:r w:rsidRPr="00F27881">
        <w:rPr>
          <w:rStyle w:val="Refdenotaalpie"/>
          <w:rFonts w:ascii="Georgia" w:hAnsi="Georgia"/>
          <w:i/>
          <w:iCs/>
          <w:sz w:val="24"/>
          <w:szCs w:val="24"/>
          <w:bdr w:val="none" w:sz="0" w:space="0" w:color="auto" w:frame="1"/>
          <w:shd w:val="clear" w:color="auto" w:fill="FFFFFF"/>
        </w:rPr>
        <w:footnoteReference w:id="3"/>
      </w:r>
      <w:r w:rsidRPr="00F27881">
        <w:rPr>
          <w:rFonts w:ascii="Georgia" w:hAnsi="Georgia" w:cs="Arial"/>
          <w:sz w:val="24"/>
          <w:szCs w:val="24"/>
          <w:lang w:val="es-ES"/>
        </w:rPr>
        <w:t xml:space="preserve">: </w:t>
      </w:r>
      <w:r w:rsidRPr="00F27881">
        <w:rPr>
          <w:rFonts w:ascii="Georgia" w:hAnsi="Georgia" w:cs="Arial"/>
          <w:i/>
          <w:iCs/>
          <w:sz w:val="22"/>
          <w:szCs w:val="24"/>
          <w:bdr w:val="none" w:sz="0" w:space="0" w:color="auto" w:frame="1"/>
          <w:shd w:val="clear" w:color="auto" w:fill="FFFFFF"/>
        </w:rPr>
        <w:t xml:space="preserve">“(…) </w:t>
      </w:r>
      <w:r w:rsidRPr="00F27881">
        <w:rPr>
          <w:rFonts w:ascii="Georgia" w:hAnsi="Georgia" w:cs="Arial"/>
          <w:i/>
          <w:iCs/>
          <w:sz w:val="22"/>
          <w:szCs w:val="24"/>
          <w:u w:val="single"/>
          <w:bdr w:val="none" w:sz="0" w:space="0" w:color="auto" w:frame="1"/>
          <w:shd w:val="clear" w:color="auto" w:fill="FFFFFF"/>
        </w:rPr>
        <w:t>(i) los argumentos del accionante en el trámite del incidente de desacato y en la acción de tutela deben ser consistentes; (ii) no deben existir alegaciones nuevas, que debieron ser argumentadas en el incidente de desacato; y (iii) no se puede recurrir a la solicitud de nuevas pruebas que no fueron originalmente solicitadas y que el juez no tenía que practicar de oficio</w:t>
      </w:r>
      <w:r w:rsidRPr="00A01C7A">
        <w:rPr>
          <w:rFonts w:ascii="Georgia" w:hAnsi="Georgia" w:cs="Arial"/>
          <w:i/>
          <w:iCs/>
          <w:sz w:val="22"/>
          <w:szCs w:val="24"/>
          <w:bdr w:val="none" w:sz="0" w:space="0" w:color="auto" w:frame="1"/>
          <w:shd w:val="clear" w:color="auto" w:fill="FFFFFF"/>
        </w:rPr>
        <w:t xml:space="preserve"> (…)”</w:t>
      </w:r>
      <w:r w:rsidRPr="00F27881">
        <w:rPr>
          <w:rFonts w:ascii="Georgia" w:hAnsi="Georgia" w:cs="Arial"/>
          <w:i/>
          <w:iCs/>
          <w:sz w:val="24"/>
          <w:szCs w:val="24"/>
          <w:bdr w:val="none" w:sz="0" w:space="0" w:color="auto" w:frame="1"/>
          <w:shd w:val="clear" w:color="auto" w:fill="FFFFFF"/>
        </w:rPr>
        <w:t xml:space="preserve"> </w:t>
      </w:r>
      <w:r w:rsidRPr="00F27881">
        <w:rPr>
          <w:rFonts w:ascii="Georgia" w:hAnsi="Georgia" w:cs="Arial"/>
          <w:iCs/>
          <w:sz w:val="24"/>
          <w:szCs w:val="24"/>
          <w:bdr w:val="none" w:sz="0" w:space="0" w:color="auto" w:frame="1"/>
          <w:shd w:val="clear" w:color="auto" w:fill="FFFFFF"/>
        </w:rPr>
        <w:t>(Subrayas fuera del texto original).</w:t>
      </w:r>
    </w:p>
    <w:p w:rsidR="00A01C7A" w:rsidRPr="00A01C7A" w:rsidRDefault="00A01C7A" w:rsidP="00A01C7A">
      <w:pPr>
        <w:spacing w:line="360" w:lineRule="auto"/>
        <w:jc w:val="both"/>
        <w:rPr>
          <w:rFonts w:ascii="Georgia" w:hAnsi="Georgia" w:cs="Arial"/>
        </w:rPr>
      </w:pPr>
    </w:p>
    <w:p w:rsidR="00A01C7A" w:rsidRPr="00A01C7A" w:rsidRDefault="00A01C7A" w:rsidP="00A01C7A">
      <w:pPr>
        <w:widowControl/>
        <w:numPr>
          <w:ilvl w:val="2"/>
          <w:numId w:val="18"/>
        </w:numPr>
        <w:tabs>
          <w:tab w:val="left" w:pos="993"/>
        </w:tabs>
        <w:autoSpaceDE/>
        <w:autoSpaceDN/>
        <w:adjustRightInd/>
        <w:spacing w:line="360" w:lineRule="auto"/>
        <w:rPr>
          <w:rFonts w:ascii="Georgia" w:hAnsi="Georgia"/>
          <w:smallCaps/>
          <w:sz w:val="28"/>
        </w:rPr>
      </w:pPr>
      <w:r w:rsidRPr="00A01C7A">
        <w:rPr>
          <w:rFonts w:ascii="Georgia" w:hAnsi="Georgia"/>
          <w:smallCaps/>
        </w:rPr>
        <w:t xml:space="preserve">Las sub-reglas de análisis en la </w:t>
      </w:r>
      <w:proofErr w:type="spellStart"/>
      <w:r w:rsidRPr="00A01C7A">
        <w:rPr>
          <w:rFonts w:ascii="Georgia" w:hAnsi="Georgia"/>
          <w:smallCaps/>
        </w:rPr>
        <w:t>procedibilidad</w:t>
      </w:r>
      <w:proofErr w:type="spellEnd"/>
      <w:r w:rsidRPr="00A01C7A">
        <w:rPr>
          <w:rFonts w:ascii="Georgia" w:hAnsi="Georgia"/>
          <w:smallCaps/>
        </w:rPr>
        <w:t xml:space="preserve"> frente a decisiones judiciales</w:t>
      </w:r>
    </w:p>
    <w:p w:rsidR="00A01C7A" w:rsidRPr="00A01C7A" w:rsidRDefault="00A01C7A" w:rsidP="00A01C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CO"/>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lastRenderedPageBreak/>
        <w:t xml:space="preserve">Desde la sentencia C-543 </w:t>
      </w:r>
      <w:r w:rsidRPr="00A01C7A">
        <w:rPr>
          <w:rFonts w:ascii="Georgia" w:hAnsi="Georgia" w:cs="Times New Roman"/>
          <w:spacing w:val="-3"/>
          <w:szCs w:val="20"/>
          <w:lang w:val="es-ES_tradnl"/>
        </w:rPr>
        <w:t xml:space="preserve"> </w:t>
      </w:r>
      <w:r w:rsidRPr="00A01C7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01C7A">
        <w:rPr>
          <w:rFonts w:ascii="Georgia" w:hAnsi="Georgia" w:cs="Arial"/>
          <w:spacing w:val="-3"/>
          <w:vertAlign w:val="superscript"/>
          <w:lang w:val="es-ES_tradnl"/>
        </w:rPr>
        <w:footnoteReference w:id="4"/>
      </w:r>
      <w:r w:rsidRPr="00A01C7A">
        <w:rPr>
          <w:rFonts w:ascii="Georgia" w:hAnsi="Georgia" w:cs="Arial"/>
          <w:spacing w:val="-3"/>
          <w:lang w:val="es-ES_tradnl"/>
        </w:rPr>
        <w:t xml:space="preserve">, básicamente sustituyó la expresión “vías de hecho” por la de “causales genéricas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xml:space="preserve">” y ensanchó las causales especiales, pasando de cuatro (4) a ocho (8).  En el mismo sentido Quiroga </w:t>
      </w:r>
      <w:proofErr w:type="spellStart"/>
      <w:r w:rsidRPr="00A01C7A">
        <w:rPr>
          <w:rFonts w:ascii="Georgia" w:hAnsi="Georgia" w:cs="Arial"/>
          <w:spacing w:val="-3"/>
          <w:lang w:val="es-ES_tradnl"/>
        </w:rPr>
        <w:t>Natale</w:t>
      </w:r>
      <w:proofErr w:type="spellEnd"/>
      <w:r w:rsidRPr="00A01C7A">
        <w:rPr>
          <w:rFonts w:ascii="Georgia" w:hAnsi="Georgia" w:cs="Times New Roman"/>
          <w:spacing w:val="-3"/>
          <w:vertAlign w:val="superscript"/>
          <w:lang w:val="es-ES_tradnl"/>
        </w:rPr>
        <w:footnoteReference w:id="5"/>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Ahora, en frente del examen que se reclama en sede constitucional, resulta de mayúscula trascendencia, precisar que </w:t>
      </w:r>
      <w:r w:rsidRPr="00A01C7A">
        <w:rPr>
          <w:rFonts w:ascii="Georgia" w:hAnsi="Georgia" w:cs="Arial"/>
          <w:spacing w:val="-3"/>
          <w:u w:val="single"/>
          <w:lang w:val="es-ES_tradnl"/>
        </w:rPr>
        <w:t>se trata de un juicio de validez y no de corrección</w:t>
      </w:r>
      <w:r w:rsidRPr="00A01C7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01C7A">
        <w:rPr>
          <w:rFonts w:ascii="Georgia" w:hAnsi="Georgia" w:cs="Arial"/>
          <w:spacing w:val="-3"/>
          <w:vertAlign w:val="superscript"/>
          <w:lang w:val="es-ES_tradnl"/>
        </w:rPr>
        <w:footnoteReference w:id="6"/>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Los requisitos generales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xml:space="preserve">, explicados en amplitud en la sentencia C-590 de </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2005</w:t>
      </w:r>
      <w:r w:rsidRPr="00A01C7A">
        <w:rPr>
          <w:rFonts w:ascii="Georgia" w:hAnsi="Georgia" w:cs="Arial"/>
          <w:spacing w:val="-3"/>
          <w:vertAlign w:val="superscript"/>
          <w:lang w:val="es-ES_tradnl"/>
        </w:rPr>
        <w:footnoteReference w:id="7"/>
      </w:r>
      <w:r w:rsidRPr="00A01C7A">
        <w:rPr>
          <w:rFonts w:ascii="Georgia" w:hAnsi="Georgia" w:cs="Arial"/>
          <w:spacing w:val="-3"/>
          <w:lang w:val="es-ES_tradnl"/>
        </w:rPr>
        <w:t xml:space="preserve"> y reiterados en la consolidada línea jurisprudencial de la CC</w:t>
      </w:r>
      <w:r w:rsidRPr="00A01C7A">
        <w:rPr>
          <w:rFonts w:ascii="Georgia" w:hAnsi="Georgia" w:cs="Arial"/>
          <w:spacing w:val="-3"/>
          <w:vertAlign w:val="superscript"/>
          <w:lang w:val="es-ES_tradnl"/>
        </w:rPr>
        <w:footnoteReference w:id="8"/>
      </w:r>
      <w:r w:rsidRPr="00A01C7A">
        <w:rPr>
          <w:rFonts w:ascii="Georgia" w:hAnsi="Georgia" w:cs="Arial"/>
          <w:spacing w:val="-3"/>
          <w:lang w:val="es-ES_tradnl"/>
        </w:rPr>
        <w:t xml:space="preserve"> (2017)</w:t>
      </w:r>
      <w:r w:rsidRPr="00A01C7A">
        <w:rPr>
          <w:rFonts w:ascii="Georgia" w:hAnsi="Georgia" w:cs="Times New Roman"/>
          <w:spacing w:val="-3"/>
          <w:vertAlign w:val="superscript"/>
          <w:lang w:val="es-ES_tradnl"/>
        </w:rPr>
        <w:footnoteReference w:id="9"/>
      </w:r>
      <w:r w:rsidRPr="00A01C7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01C7A">
        <w:rPr>
          <w:rFonts w:ascii="Georgia" w:hAnsi="Georgia" w:cs="Times New Roman"/>
          <w:spacing w:val="-3"/>
          <w:vertAlign w:val="superscript"/>
          <w:lang w:val="es-ES_tradnl"/>
        </w:rPr>
        <w:footnoteReference w:id="10"/>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 otra parte, como requisitos o causales especiales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01C7A">
        <w:rPr>
          <w:rFonts w:ascii="Georgia" w:hAnsi="Georgia" w:cs="Arial"/>
          <w:spacing w:val="-3"/>
          <w:vertAlign w:val="superscript"/>
          <w:lang w:val="es-ES_tradnl"/>
        </w:rPr>
        <w:footnoteReference w:id="11"/>
      </w:r>
      <w:r w:rsidRPr="00A01C7A">
        <w:rPr>
          <w:rFonts w:ascii="Georgia" w:hAnsi="Georgia" w:cs="Arial"/>
          <w:spacing w:val="-3"/>
          <w:lang w:val="es-ES_tradnl"/>
        </w:rPr>
        <w:t xml:space="preserve"> y Quinche Ramírez</w:t>
      </w:r>
      <w:r w:rsidRPr="00A01C7A">
        <w:rPr>
          <w:rFonts w:ascii="Georgia" w:hAnsi="Georgia" w:cs="Arial"/>
          <w:spacing w:val="-3"/>
          <w:vertAlign w:val="superscript"/>
          <w:lang w:val="es-ES_tradnl"/>
        </w:rPr>
        <w:footnoteReference w:id="12"/>
      </w:r>
      <w:r w:rsidRPr="00A01C7A">
        <w:rPr>
          <w:rFonts w:ascii="Georgia" w:hAnsi="Georgia" w:cs="Arial"/>
          <w:spacing w:val="-3"/>
          <w:lang w:val="es-ES_tradnl"/>
        </w:rPr>
        <w:t>.</w:t>
      </w:r>
    </w:p>
    <w:p w:rsidR="0002470F" w:rsidRPr="00F851F3" w:rsidRDefault="0002470F" w:rsidP="0002470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lang w:val="es-ES"/>
        </w:rPr>
      </w:pPr>
    </w:p>
    <w:p w:rsidR="00D518EB" w:rsidRPr="00F851F3" w:rsidRDefault="009072D8" w:rsidP="005A7A13">
      <w:pPr>
        <w:pStyle w:val="Prrafodelista"/>
        <w:numPr>
          <w:ilvl w:val="2"/>
          <w:numId w:val="18"/>
        </w:numPr>
        <w:spacing w:line="360" w:lineRule="auto"/>
        <w:ind w:right="51"/>
        <w:jc w:val="both"/>
        <w:rPr>
          <w:rFonts w:ascii="Georgia" w:hAnsi="Georgia"/>
          <w:smallCaps/>
          <w:lang w:val="es-ES_tradnl"/>
        </w:rPr>
      </w:pPr>
      <w:r w:rsidRPr="00F851F3">
        <w:rPr>
          <w:rFonts w:ascii="Georgia" w:hAnsi="Georgia" w:cs="Arial"/>
          <w:smallCaps/>
          <w:lang w:val="es-ES_tradnl"/>
        </w:rPr>
        <w:t xml:space="preserve">La </w:t>
      </w:r>
      <w:r w:rsidR="005A7A13" w:rsidRPr="00F851F3">
        <w:rPr>
          <w:rFonts w:ascii="Georgia" w:hAnsi="Georgia" w:cs="Arial"/>
          <w:smallCaps/>
          <w:lang w:val="es-ES_tradnl"/>
        </w:rPr>
        <w:t>causal</w:t>
      </w:r>
      <w:r w:rsidRPr="00F851F3">
        <w:rPr>
          <w:rFonts w:ascii="Georgia" w:hAnsi="Georgia" w:cs="Arial"/>
          <w:smallCaps/>
          <w:lang w:val="es-ES_tradnl"/>
        </w:rPr>
        <w:t xml:space="preserve"> </w:t>
      </w:r>
      <w:r w:rsidR="005A7A13" w:rsidRPr="00F851F3">
        <w:rPr>
          <w:rFonts w:ascii="Georgia" w:hAnsi="Georgia" w:cs="Arial"/>
          <w:smallCaps/>
          <w:lang w:val="es-ES_tradnl"/>
        </w:rPr>
        <w:t>especial</w:t>
      </w:r>
      <w:r w:rsidR="00D518EB" w:rsidRPr="00F851F3">
        <w:rPr>
          <w:rFonts w:ascii="Georgia" w:hAnsi="Georgia" w:cs="Arial"/>
          <w:smallCaps/>
          <w:lang w:val="es-ES_tradnl"/>
        </w:rPr>
        <w:t xml:space="preserve"> </w:t>
      </w:r>
      <w:r w:rsidR="00D518EB" w:rsidRPr="00F851F3">
        <w:rPr>
          <w:rFonts w:ascii="Georgia" w:hAnsi="Georgia"/>
          <w:smallCaps/>
          <w:lang w:val="es-ES_tradnl"/>
        </w:rPr>
        <w:t xml:space="preserve">de </w:t>
      </w:r>
      <w:proofErr w:type="spellStart"/>
      <w:r w:rsidR="00D518EB" w:rsidRPr="00F851F3">
        <w:rPr>
          <w:rFonts w:ascii="Georgia" w:hAnsi="Georgia"/>
          <w:smallCaps/>
          <w:lang w:val="es-ES_tradnl"/>
        </w:rPr>
        <w:t>procedibilidad</w:t>
      </w:r>
      <w:proofErr w:type="spellEnd"/>
      <w:r w:rsidR="00D518EB" w:rsidRPr="00F851F3">
        <w:rPr>
          <w:rFonts w:ascii="Georgia" w:hAnsi="Georgia"/>
          <w:smallCaps/>
          <w:lang w:val="es-ES_tradnl"/>
        </w:rPr>
        <w:t xml:space="preserve"> </w:t>
      </w:r>
      <w:r w:rsidR="005A7A13" w:rsidRPr="00F851F3">
        <w:rPr>
          <w:rFonts w:ascii="Georgia" w:hAnsi="Georgia"/>
          <w:smallCaps/>
          <w:lang w:val="es-ES_tradnl"/>
        </w:rPr>
        <w:t>alegada</w:t>
      </w:r>
    </w:p>
    <w:p w:rsidR="00D518EB" w:rsidRPr="00F851F3" w:rsidRDefault="00D518EB" w:rsidP="00533ABA">
      <w:pPr>
        <w:pStyle w:val="Textoindependiente"/>
        <w:spacing w:line="360" w:lineRule="auto"/>
        <w:rPr>
          <w:rFonts w:ascii="Georgia" w:hAnsi="Georgia" w:cs="Arial"/>
          <w:sz w:val="24"/>
          <w:szCs w:val="24"/>
        </w:rPr>
      </w:pPr>
    </w:p>
    <w:p w:rsidR="00D518EB" w:rsidRPr="00F851F3" w:rsidRDefault="00D518EB" w:rsidP="005A7A13">
      <w:pPr>
        <w:pStyle w:val="Textoindependiente"/>
        <w:numPr>
          <w:ilvl w:val="3"/>
          <w:numId w:val="18"/>
        </w:numPr>
        <w:spacing w:line="360" w:lineRule="auto"/>
        <w:rPr>
          <w:rFonts w:ascii="Georgia" w:hAnsi="Georgia" w:cs="Arial"/>
          <w:smallCaps/>
          <w:sz w:val="24"/>
          <w:szCs w:val="24"/>
        </w:rPr>
      </w:pPr>
      <w:r w:rsidRPr="00F851F3">
        <w:rPr>
          <w:rFonts w:ascii="Georgia" w:hAnsi="Georgia" w:cs="Arial"/>
          <w:smallCaps/>
          <w:sz w:val="22"/>
          <w:szCs w:val="24"/>
        </w:rPr>
        <w:t>El de</w:t>
      </w:r>
      <w:r w:rsidR="00BD5487" w:rsidRPr="00F851F3">
        <w:rPr>
          <w:rFonts w:ascii="Georgia" w:hAnsi="Georgia" w:cs="Arial"/>
          <w:smallCaps/>
          <w:sz w:val="22"/>
          <w:szCs w:val="24"/>
        </w:rPr>
        <w:t>sconocimiento del precedente</w:t>
      </w:r>
    </w:p>
    <w:p w:rsidR="00D518EB" w:rsidRPr="00A01C7A" w:rsidRDefault="00D518EB" w:rsidP="00D518EB">
      <w:pPr>
        <w:pStyle w:val="Textoindependiente"/>
        <w:spacing w:line="360" w:lineRule="auto"/>
        <w:rPr>
          <w:rFonts w:ascii="Georgia" w:hAnsi="Georgia" w:cs="Arial"/>
          <w:sz w:val="24"/>
        </w:rPr>
      </w:pP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MX"/>
        </w:rPr>
      </w:pPr>
      <w:r w:rsidRPr="00A01C7A">
        <w:rPr>
          <w:rFonts w:ascii="Georgia" w:hAnsi="Georgia" w:cs="Arial"/>
          <w:spacing w:val="-3"/>
          <w:lang w:val="es-ES_tradnl"/>
        </w:rPr>
        <w:t xml:space="preserve">Se entiende por </w:t>
      </w:r>
      <w:r w:rsidRPr="00A01C7A">
        <w:rPr>
          <w:rFonts w:ascii="Georgia" w:hAnsi="Georgia" w:cs="Arial"/>
          <w:bCs/>
          <w:spacing w:val="-3"/>
          <w:lang w:val="es-ES_tradnl"/>
        </w:rPr>
        <w:t>precedente judicial</w:t>
      </w:r>
      <w:r w:rsidRPr="00A01C7A">
        <w:rPr>
          <w:rFonts w:ascii="Georgia" w:hAnsi="Georgia" w:cs="Arial"/>
          <w:spacing w:val="-3"/>
          <w:vertAlign w:val="superscript"/>
          <w:lang w:val="es-ES_tradnl"/>
        </w:rPr>
        <w:footnoteReference w:id="13"/>
      </w:r>
      <w:r w:rsidRPr="00A01C7A">
        <w:rPr>
          <w:rFonts w:ascii="Georgia" w:hAnsi="Georgia" w:cs="Arial"/>
          <w:bCs/>
          <w:spacing w:val="-3"/>
          <w:lang w:val="es-ES_tradnl"/>
        </w:rPr>
        <w:t>, ha dicho la CC</w:t>
      </w:r>
      <w:r w:rsidRPr="00A01C7A">
        <w:rPr>
          <w:rFonts w:ascii="Georgia" w:hAnsi="Georgia" w:cs="Times New Roman"/>
          <w:bCs/>
          <w:spacing w:val="-3"/>
          <w:vertAlign w:val="superscript"/>
          <w:lang w:val="es-ES_tradnl"/>
        </w:rPr>
        <w:footnoteReference w:id="14"/>
      </w:r>
      <w:r w:rsidRPr="00A01C7A">
        <w:rPr>
          <w:rFonts w:ascii="Georgia" w:hAnsi="Georgia" w:cs="Arial"/>
          <w:spacing w:val="-3"/>
          <w:lang w:val="es-ES_tradnl"/>
        </w:rPr>
        <w:t xml:space="preserve">: </w:t>
      </w:r>
      <w:r w:rsidRPr="00A01C7A">
        <w:rPr>
          <w:rFonts w:ascii="Georgia" w:hAnsi="Georgia" w:cs="Arial"/>
          <w:i/>
          <w:spacing w:val="-3"/>
          <w:sz w:val="22"/>
          <w:lang w:val="es-ES_tradnl"/>
        </w:rPr>
        <w:t xml:space="preserve">“(…) </w:t>
      </w:r>
      <w:r w:rsidRPr="00A01C7A">
        <w:rPr>
          <w:rFonts w:ascii="Georgia" w:hAnsi="Georgia" w:cs="Arial"/>
          <w:i/>
          <w:iCs/>
          <w:spacing w:val="-3"/>
          <w:sz w:val="22"/>
          <w:lang w:val="es-CO"/>
        </w:rPr>
        <w:t xml:space="preserve">por regla general, es aquella sentencia o conjunto de sentencias que presentan similitudes con un caso nuevo objeto de escrutinio en materia de (i) patrones fácticos y (ii) problemas jurídicos, y en las que en su ratio </w:t>
      </w:r>
      <w:proofErr w:type="spellStart"/>
      <w:r w:rsidRPr="00A01C7A">
        <w:rPr>
          <w:rFonts w:ascii="Georgia" w:hAnsi="Georgia" w:cs="Arial"/>
          <w:i/>
          <w:iCs/>
          <w:spacing w:val="-3"/>
          <w:sz w:val="22"/>
          <w:lang w:val="es-CO"/>
        </w:rPr>
        <w:t>decidendi</w:t>
      </w:r>
      <w:proofErr w:type="spellEnd"/>
      <w:r w:rsidRPr="00A01C7A">
        <w:rPr>
          <w:rFonts w:ascii="Georgia" w:hAnsi="Georgia" w:cs="Arial"/>
          <w:i/>
          <w:iCs/>
          <w:spacing w:val="-3"/>
          <w:sz w:val="22"/>
          <w:lang w:val="es-CO"/>
        </w:rPr>
        <w:t xml:space="preserve"> se ha fijado una regla para resolver la controversia, que sirve también para solucionar el nuevo caso</w:t>
      </w:r>
      <w:r w:rsidRPr="00A01C7A">
        <w:rPr>
          <w:rFonts w:ascii="Georgia" w:hAnsi="Georgia" w:cs="Arial"/>
          <w:i/>
          <w:spacing w:val="-3"/>
          <w:sz w:val="22"/>
        </w:rPr>
        <w:t xml:space="preserve"> </w:t>
      </w:r>
      <w:r w:rsidRPr="00A01C7A">
        <w:rPr>
          <w:rFonts w:ascii="Georgia" w:hAnsi="Georgia" w:cs="Arial"/>
          <w:i/>
          <w:spacing w:val="-3"/>
          <w:sz w:val="22"/>
          <w:lang w:val="es-ES_tradnl"/>
        </w:rPr>
        <w:t>(…)”</w:t>
      </w:r>
      <w:r w:rsidRPr="00A01C7A">
        <w:rPr>
          <w:rFonts w:ascii="Georgia" w:hAnsi="Georgia" w:cs="Arial"/>
          <w:i/>
          <w:spacing w:val="-3"/>
          <w:lang w:val="es-ES_tradnl"/>
        </w:rPr>
        <w:t>.</w:t>
      </w:r>
      <w:r w:rsidRPr="00A01C7A">
        <w:rPr>
          <w:rFonts w:ascii="Georgia" w:hAnsi="Georgia" w:cs="Arial"/>
          <w:spacing w:val="-3"/>
          <w:lang w:val="es-ES_tradnl"/>
        </w:rPr>
        <w:t xml:space="preserve">  La doctrina nacional más autorizada en esta materia, cuenta con la obra </w:t>
      </w:r>
      <w:r w:rsidRPr="00A01C7A">
        <w:rPr>
          <w:rFonts w:ascii="Georgia" w:hAnsi="Georgia" w:cs="Arial"/>
          <w:spacing w:val="-3"/>
          <w:lang w:val="es-ES_tradnl" w:eastAsia="es-MX"/>
        </w:rPr>
        <w:t>del profesor López Medina</w:t>
      </w:r>
      <w:r w:rsidRPr="00A01C7A">
        <w:rPr>
          <w:rFonts w:ascii="Georgia" w:hAnsi="Georgia" w:cs="Arial"/>
          <w:spacing w:val="-3"/>
          <w:vertAlign w:val="superscript"/>
          <w:lang w:val="es-ES_tradnl" w:eastAsia="es-MX"/>
        </w:rPr>
        <w:footnoteReference w:id="15"/>
      </w:r>
      <w:r w:rsidRPr="00A01C7A">
        <w:rPr>
          <w:rFonts w:ascii="Georgia" w:hAnsi="Georgia" w:cs="Arial"/>
          <w:spacing w:val="-3"/>
          <w:lang w:val="es-ES_tradnl" w:eastAsia="es-MX"/>
        </w:rPr>
        <w:t>, que puede consultarse para mayor ilustración académica.</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MX"/>
        </w:rPr>
      </w:pPr>
    </w:p>
    <w:p w:rsidR="009C3D3C"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CO"/>
        </w:rPr>
      </w:pPr>
      <w:r w:rsidRPr="00A01C7A">
        <w:rPr>
          <w:rFonts w:ascii="Georgia" w:hAnsi="Georgia" w:cs="Arial"/>
          <w:spacing w:val="-3"/>
          <w:lang w:val="es-ES_tradnl" w:eastAsia="es-CO"/>
        </w:rPr>
        <w:t>En</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 la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teoría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del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derecho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judicial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y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en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particular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nuestro </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Alto Tribunal constitucional, se </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roofErr w:type="gramStart"/>
      <w:r w:rsidRPr="00A01C7A">
        <w:rPr>
          <w:rFonts w:ascii="Georgia" w:hAnsi="Georgia" w:cs="Arial"/>
          <w:spacing w:val="-3"/>
          <w:lang w:val="es-ES_tradnl" w:eastAsia="es-CO"/>
        </w:rPr>
        <w:t>distingue</w:t>
      </w:r>
      <w:proofErr w:type="gramEnd"/>
      <w:r w:rsidRPr="00A01C7A">
        <w:rPr>
          <w:rFonts w:ascii="Georgia" w:hAnsi="Georgia" w:cs="Arial"/>
          <w:spacing w:val="-3"/>
          <w:lang w:val="es-ES_tradnl" w:eastAsia="es-CO"/>
        </w:rPr>
        <w:t xml:space="preserve"> el precedente horizontal y el vertical</w:t>
      </w:r>
      <w:r w:rsidRPr="00A01C7A">
        <w:rPr>
          <w:rFonts w:ascii="Georgia" w:hAnsi="Georgia" w:cs="Arial"/>
          <w:spacing w:val="-3"/>
          <w:vertAlign w:val="superscript"/>
          <w:lang w:val="es-ES_tradnl" w:eastAsia="es-CO"/>
        </w:rPr>
        <w:footnoteReference w:id="16"/>
      </w:r>
      <w:r w:rsidRPr="00A01C7A">
        <w:rPr>
          <w:rFonts w:ascii="Georgia" w:hAnsi="Georgia" w:cs="Arial"/>
          <w:spacing w:val="-3"/>
          <w:lang w:val="es-ES_tradnl" w:eastAsia="es-CO"/>
        </w:rPr>
        <w:t xml:space="preserve"> (2017),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CC</w:t>
      </w:r>
      <w:r w:rsidRPr="00A01C7A">
        <w:rPr>
          <w:rFonts w:ascii="Georgia" w:hAnsi="Georgia" w:cs="Times New Roman"/>
          <w:spacing w:val="-3"/>
          <w:vertAlign w:val="superscript"/>
          <w:lang w:val="es-ES_tradnl" w:eastAsia="es-CO"/>
        </w:rPr>
        <w:footnoteReference w:id="17"/>
      </w:r>
      <w:r w:rsidRPr="00A01C7A">
        <w:rPr>
          <w:rFonts w:ascii="Georgia" w:hAnsi="Georgia" w:cs="Arial"/>
          <w:spacing w:val="-3"/>
          <w:lang w:val="es-ES_tradnl" w:eastAsia="es-CO"/>
        </w:rPr>
        <w:t>.</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CO"/>
        </w:rPr>
      </w:pP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eastAsia="es-CO"/>
        </w:rPr>
      </w:pPr>
      <w:r w:rsidRPr="00A01C7A">
        <w:rPr>
          <w:rFonts w:ascii="Georgia" w:hAnsi="Georgia" w:cs="Times New Roman"/>
          <w:spacing w:val="-3"/>
          <w:lang w:val="es-ES_tradnl"/>
        </w:rPr>
        <w:t xml:space="preserve">En  la  decisión  aludida  concluyó  la  Corporación  en  los  siguientes  términos: </w:t>
      </w:r>
      <w:r w:rsidRPr="00A01C7A">
        <w:rPr>
          <w:rFonts w:ascii="Georgia" w:hAnsi="Georgia" w:cs="Arial"/>
          <w:i/>
          <w:spacing w:val="-3"/>
          <w:sz w:val="22"/>
          <w:lang w:val="es-ES_tradnl" w:eastAsia="es-CO"/>
        </w:rPr>
        <w:t>“Así, para la mayoría de asuntos, el precedente vertical que deben seguir los funcionarios judiciales es determinado por la Corte Suprema de Justicia o por el Consejo de Estado, como órganos de cierre dentro de su respectiva jurisdicción</w:t>
      </w:r>
      <w:r w:rsidRPr="00A01C7A">
        <w:rPr>
          <w:rFonts w:ascii="Georgia" w:hAnsi="Georgia" w:cs="Arial"/>
          <w:i/>
          <w:spacing w:val="-3"/>
          <w:sz w:val="22"/>
          <w:vertAlign w:val="superscript"/>
          <w:lang w:val="es-ES_tradnl" w:eastAsia="es-CO"/>
        </w:rPr>
        <w:footnoteReference w:id="18"/>
      </w:r>
      <w:r w:rsidRPr="00A01C7A">
        <w:rPr>
          <w:rFonts w:ascii="Georgia" w:hAnsi="Georgia" w:cs="Arial"/>
          <w:i/>
          <w:spacing w:val="-3"/>
          <w:sz w:val="22"/>
          <w:lang w:val="es-ES_tradnl" w:eastAsia="es-CO"/>
        </w:rPr>
        <w:t>. En los casos en los que no son susceptibles de ser revisados por las autoridades mencionadas, son los tribunales los encargados de establecer criterios hermenéuticos para los operadores judiciales inferiores”</w:t>
      </w:r>
      <w:r w:rsidRPr="00A01C7A">
        <w:rPr>
          <w:rFonts w:ascii="Georgia" w:hAnsi="Georgia" w:cs="Arial"/>
          <w:i/>
          <w:spacing w:val="-3"/>
          <w:vertAlign w:val="superscript"/>
          <w:lang w:val="es-ES_tradnl" w:eastAsia="es-CO"/>
        </w:rPr>
        <w:footnoteReference w:id="19"/>
      </w:r>
      <w:r w:rsidRPr="00A01C7A">
        <w:rPr>
          <w:rFonts w:ascii="Georgia" w:hAnsi="Georgia" w:cs="Arial"/>
          <w:i/>
          <w:spacing w:val="-3"/>
          <w:lang w:val="es-ES_tradnl" w:eastAsia="es-CO"/>
        </w:rPr>
        <w:t>.</w:t>
      </w:r>
      <w:r w:rsidRPr="00A01C7A">
        <w:rPr>
          <w:rFonts w:ascii="Georgia" w:hAnsi="Georgia" w:cs="Arial"/>
          <w:spacing w:val="-3"/>
          <w:lang w:val="es-ES_tradnl" w:eastAsia="es-CO"/>
        </w:rPr>
        <w:t xml:space="preserve"> </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CO"/>
        </w:rPr>
      </w:pP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CO"/>
        </w:rPr>
      </w:pPr>
      <w:r w:rsidRPr="00A01C7A">
        <w:rPr>
          <w:rFonts w:ascii="Georgia" w:hAnsi="Georgia" w:cs="Times New Roman"/>
          <w:spacing w:val="-3"/>
          <w:lang w:val="es-ES_tradnl"/>
        </w:rPr>
        <w:t>También se tiene dicho que e</w:t>
      </w:r>
      <w:r w:rsidRPr="00A01C7A">
        <w:rPr>
          <w:rFonts w:ascii="Georgia" w:hAnsi="Georgia" w:cs="Arial"/>
          <w:spacing w:val="-3"/>
          <w:lang w:val="es-ES_tradnl"/>
        </w:rPr>
        <w:t xml:space="preserve">l precedente no solo es orientador, sino </w:t>
      </w:r>
      <w:r w:rsidRPr="00A01C7A">
        <w:rPr>
          <w:rFonts w:ascii="Georgia" w:hAnsi="Georgia" w:cs="Arial"/>
          <w:bCs/>
          <w:spacing w:val="-3"/>
          <w:u w:val="single"/>
          <w:lang w:val="es-ES_tradnl"/>
        </w:rPr>
        <w:t>obligatorio</w:t>
      </w:r>
      <w:r w:rsidRPr="00A01C7A">
        <w:rPr>
          <w:rFonts w:ascii="Georgia" w:hAnsi="Georgia" w:cs="Arial"/>
          <w:spacing w:val="-3"/>
          <w:lang w:val="es-ES_tradnl"/>
        </w:rPr>
        <w:t xml:space="preserve">, aunque con la posibilidad de discrepar, a condición de tener presente que: </w:t>
      </w:r>
      <w:r w:rsidRPr="00A01C7A">
        <w:rPr>
          <w:rFonts w:ascii="Georgia" w:hAnsi="Georgia" w:cs="Arial"/>
          <w:i/>
          <w:spacing w:val="-3"/>
          <w:lang w:val="es-ES_tradnl"/>
        </w:rPr>
        <w:t>“</w:t>
      </w:r>
      <w:r w:rsidRPr="00A01C7A">
        <w:rPr>
          <w:rFonts w:ascii="Georgia" w:hAnsi="Georgia" w:cs="Arial"/>
          <w:i/>
          <w:spacing w:val="-3"/>
          <w:sz w:val="22"/>
          <w:lang w:val="es-ES_tradnl"/>
        </w:rPr>
        <w:t xml:space="preserve">(…) </w:t>
      </w:r>
      <w:r w:rsidRPr="00A01C7A">
        <w:rPr>
          <w:rFonts w:ascii="Georgia" w:hAnsi="Georgia" w:cs="Arial"/>
          <w:i/>
          <w:iCs/>
          <w:spacing w:val="-3"/>
          <w:sz w:val="22"/>
          <w:lang w:val="es-ES_tradnl"/>
        </w:rPr>
        <w:t xml:space="preserve">están obligados </w:t>
      </w:r>
      <w:r w:rsidRPr="00A01C7A">
        <w:rPr>
          <w:rFonts w:ascii="Georgia" w:hAnsi="Georgia" w:cs="Arial"/>
          <w:iCs/>
          <w:spacing w:val="-3"/>
          <w:sz w:val="22"/>
          <w:lang w:val="es-ES_tradnl"/>
        </w:rPr>
        <w:t>(Sic)</w:t>
      </w:r>
      <w:r w:rsidRPr="00A01C7A">
        <w:rPr>
          <w:rFonts w:ascii="Georgia" w:hAnsi="Georgia" w:cs="Arial"/>
          <w:i/>
          <w:iCs/>
          <w:spacing w:val="-3"/>
          <w:sz w:val="22"/>
          <w:lang w:val="es-ES_tradnl"/>
        </w:rPr>
        <w:t xml:space="preserve"> exponer clara y razonadamente los fundamentos jurídicos que justifican su decisión</w:t>
      </w:r>
      <w:r w:rsidRPr="00A01C7A">
        <w:rPr>
          <w:rFonts w:ascii="Georgia" w:hAnsi="Georgia" w:cs="Arial"/>
          <w:i/>
          <w:spacing w:val="-3"/>
          <w:sz w:val="22"/>
          <w:lang w:val="es-ES_tradnl"/>
        </w:rPr>
        <w:t xml:space="preserve"> (…)</w:t>
      </w:r>
      <w:r w:rsidRPr="00A01C7A">
        <w:rPr>
          <w:rFonts w:ascii="Georgia" w:hAnsi="Georgia" w:cs="Arial"/>
          <w:i/>
          <w:spacing w:val="-3"/>
          <w:lang w:val="es-ES_tradnl"/>
        </w:rPr>
        <w:t>”</w:t>
      </w:r>
      <w:r w:rsidRPr="00A01C7A">
        <w:rPr>
          <w:rFonts w:ascii="Georgia" w:hAnsi="Georgia" w:cs="Times New Roman"/>
          <w:i/>
          <w:spacing w:val="-3"/>
          <w:vertAlign w:val="superscript"/>
          <w:lang w:val="es-ES_tradnl"/>
        </w:rPr>
        <w:footnoteReference w:id="20"/>
      </w:r>
      <w:r w:rsidRPr="00A01C7A">
        <w:rPr>
          <w:rFonts w:ascii="Georgia" w:hAnsi="Georgia" w:cs="Arial"/>
          <w:i/>
          <w:spacing w:val="-3"/>
          <w:lang w:val="es-ES_tradnl"/>
        </w:rPr>
        <w:t xml:space="preserve">, </w:t>
      </w:r>
      <w:r w:rsidRPr="00A01C7A">
        <w:rPr>
          <w:rFonts w:ascii="Georgia" w:hAnsi="Georgia" w:cs="Arial"/>
          <w:spacing w:val="-3"/>
          <w:lang w:val="es-ES_tradnl"/>
        </w:rPr>
        <w:t xml:space="preserve">por eso precisa la </w:t>
      </w:r>
      <w:r w:rsidR="009C3D3C">
        <w:rPr>
          <w:rFonts w:ascii="Georgia" w:hAnsi="Georgia" w:cs="Arial"/>
          <w:spacing w:val="-3"/>
          <w:lang w:val="es-ES_tradnl"/>
        </w:rPr>
        <w:t>Corte</w:t>
      </w:r>
      <w:r w:rsidRPr="00A01C7A">
        <w:rPr>
          <w:rFonts w:ascii="Georgia" w:hAnsi="Georgia" w:cs="Times New Roman"/>
          <w:spacing w:val="-3"/>
          <w:vertAlign w:val="superscript"/>
          <w:lang w:val="es-ES_tradnl"/>
        </w:rPr>
        <w:footnoteReference w:id="21"/>
      </w:r>
      <w:r w:rsidRPr="00A01C7A">
        <w:rPr>
          <w:rFonts w:ascii="Georgia" w:hAnsi="Georgia" w:cs="Arial"/>
          <w:spacing w:val="-3"/>
          <w:lang w:val="es-ES_tradnl"/>
        </w:rPr>
        <w:t xml:space="preserve">, tantas veces citada: </w:t>
      </w:r>
      <w:r w:rsidRPr="00A01C7A">
        <w:rPr>
          <w:rFonts w:ascii="Georgia" w:hAnsi="Georgia" w:cs="Arial"/>
          <w:i/>
          <w:spacing w:val="-3"/>
          <w:sz w:val="22"/>
          <w:lang w:val="es-ES_tradnl"/>
        </w:rPr>
        <w:t xml:space="preserve">“(…) </w:t>
      </w:r>
      <w:r w:rsidRPr="00A01C7A">
        <w:rPr>
          <w:rFonts w:ascii="Georgia" w:hAnsi="Georgia" w:cs="Arial"/>
          <w:i/>
          <w:iCs/>
          <w:color w:val="000000"/>
          <w:spacing w:val="-3"/>
          <w:sz w:val="22"/>
          <w:szCs w:val="22"/>
          <w:shd w:val="clear" w:color="auto" w:fill="FFFFFF"/>
          <w:lang w:val="es-ES_tradnl"/>
        </w:rPr>
        <w:t xml:space="preserve">el error no se presenta siempre que el funcionario jurisdiccional reconozca y señale las decisiones anteriores de las que se aparta, y argumente con suficiencia los motivos de su decisión. Ello sucede con un manejo legítimo del precedente, labor que </w:t>
      </w:r>
      <w:r w:rsidRPr="00A01C7A">
        <w:rPr>
          <w:rFonts w:ascii="Georgia" w:hAnsi="Georgia" w:cs="Arial"/>
          <w:i/>
          <w:iCs/>
          <w:color w:val="000000"/>
          <w:spacing w:val="-3"/>
          <w:sz w:val="22"/>
          <w:szCs w:val="22"/>
          <w:shd w:val="clear" w:color="auto" w:fill="FFFFFF"/>
          <w:lang w:val="es-ES_tradnl"/>
        </w:rPr>
        <w:lastRenderedPageBreak/>
        <w:t xml:space="preserve">obliga a que el juez i) se refiera al precedente anterior y ii) ofrezca un argumento suficiente para el abandono o </w:t>
      </w:r>
      <w:r w:rsidRPr="00A01C7A">
        <w:rPr>
          <w:rFonts w:ascii="Georgia" w:hAnsi="Georgia" w:cs="Arial"/>
          <w:i/>
          <w:iCs/>
          <w:spacing w:val="-3"/>
          <w:sz w:val="22"/>
          <w:szCs w:val="22"/>
          <w:shd w:val="clear" w:color="auto" w:fill="FFFFFF"/>
          <w:lang w:val="es-ES_tradnl"/>
        </w:rPr>
        <w:t>cambio de la norma jurisprudencial</w:t>
      </w:r>
      <w:r w:rsidR="009C3D3C" w:rsidRPr="009C3D3C">
        <w:rPr>
          <w:rFonts w:ascii="Georgia" w:hAnsi="Georgia" w:cs="Arial"/>
          <w:i/>
          <w:iCs/>
          <w:spacing w:val="-3"/>
          <w:sz w:val="22"/>
          <w:szCs w:val="22"/>
          <w:shd w:val="clear" w:color="auto" w:fill="FFFFFF"/>
          <w:lang w:val="es-ES_tradnl"/>
        </w:rPr>
        <w:t xml:space="preserve"> (…)</w:t>
      </w:r>
      <w:r w:rsidRPr="00A01C7A">
        <w:rPr>
          <w:rFonts w:ascii="Georgia" w:hAnsi="Georgia" w:cs="Arial"/>
          <w:i/>
          <w:iCs/>
          <w:spacing w:val="-3"/>
          <w:sz w:val="22"/>
          <w:szCs w:val="22"/>
          <w:shd w:val="clear" w:color="auto" w:fill="FFFFFF"/>
          <w:lang w:val="es-ES_tradnl"/>
        </w:rPr>
        <w:t>”.</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En suma, la doctrina del precedente judicial y su nivel de obligatoriedad para las autoridades, en aras de garantizar </w:t>
      </w:r>
      <w:r w:rsidRPr="00A01C7A">
        <w:rPr>
          <w:rFonts w:ascii="Georgia" w:hAnsi="Georgia" w:cs="Arial"/>
          <w:spacing w:val="-3"/>
          <w:lang w:val="es-ES_tradnl" w:eastAsia="es-CO"/>
        </w:rPr>
        <w:t>la confianza en las decisiones de los jueces, se armoniza con los principios de seguridad jurídica, igualdad, buena fe y confianza legítima imperantes en nuestro sistema jurídico. Importa una ilustración dogmática adicional, con las concisas palabras de la Corte citada</w:t>
      </w:r>
      <w:r w:rsidRPr="009C3D3C">
        <w:rPr>
          <w:rFonts w:ascii="Georgia" w:hAnsi="Georgia" w:cs="Times New Roman"/>
          <w:spacing w:val="-3"/>
          <w:vertAlign w:val="superscript"/>
          <w:lang w:val="es-ES_tradnl" w:eastAsia="es-CO"/>
        </w:rPr>
        <w:footnoteReference w:id="22"/>
      </w:r>
      <w:r w:rsidRPr="00A01C7A">
        <w:rPr>
          <w:rFonts w:ascii="Georgia" w:hAnsi="Georgia" w:cs="Arial"/>
          <w:spacing w:val="-3"/>
          <w:lang w:val="es-ES_tradnl" w:eastAsia="es-CO"/>
        </w:rPr>
        <w:t>:</w:t>
      </w:r>
    </w:p>
    <w:p w:rsidR="00A01C7A" w:rsidRPr="00A01C7A" w:rsidRDefault="00A01C7A" w:rsidP="00A01C7A">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A01C7A" w:rsidRPr="00A01C7A" w:rsidRDefault="00A01C7A" w:rsidP="00A01C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Georgia" w:hAnsi="Georgia" w:cs="Arial"/>
          <w:spacing w:val="-3"/>
          <w:szCs w:val="20"/>
          <w:lang w:val="es-ES_tradnl"/>
        </w:rPr>
      </w:pPr>
      <w:r w:rsidRPr="00A01C7A">
        <w:rPr>
          <w:rFonts w:ascii="Georgia" w:hAnsi="Georgia" w:cs="Arial"/>
          <w:spacing w:val="-3"/>
          <w:lang w:val="es-ES_tradnl" w:eastAsia="es-CO"/>
        </w:rPr>
        <w:t xml:space="preserve">En resumen, los jueces tienen un deber de obligatorio cumplimiento y es el de </w:t>
      </w:r>
      <w:r w:rsidRPr="00A01C7A">
        <w:rPr>
          <w:rFonts w:ascii="Georgia" w:hAnsi="Georgia" w:cs="Arial"/>
          <w:bCs/>
          <w:spacing w:val="-3"/>
          <w:lang w:val="es-ES_tradnl" w:eastAsia="es-CO"/>
        </w:rPr>
        <w:t xml:space="preserve">(i) </w:t>
      </w:r>
      <w:r w:rsidRPr="00A01C7A">
        <w:rPr>
          <w:rFonts w:ascii="Georgia" w:hAnsi="Georgia" w:cs="Arial"/>
          <w:spacing w:val="-3"/>
          <w:lang w:val="es-ES_tradnl" w:eastAsia="es-CO"/>
        </w:rPr>
        <w:t xml:space="preserve">acoger las decisiones proferidas por los órganos de cierre en cada una de las jurisdicciones (ordinaria, contencioso administrativa o constitucional) cuando éstas constituyen precedentes, y/o </w:t>
      </w:r>
      <w:r w:rsidRPr="00A01C7A">
        <w:rPr>
          <w:rFonts w:ascii="Georgia" w:hAnsi="Georgia" w:cs="Arial"/>
          <w:bCs/>
          <w:spacing w:val="-3"/>
          <w:lang w:val="es-ES_tradnl" w:eastAsia="es-CO"/>
        </w:rPr>
        <w:t xml:space="preserve">(ii) </w:t>
      </w:r>
      <w:r w:rsidRPr="00A01C7A">
        <w:rPr>
          <w:rFonts w:ascii="Georgia" w:hAnsi="Georgia" w:cs="Arial"/>
          <w:spacing w:val="-3"/>
          <w:lang w:val="es-ES_tradnl" w:eastAsia="es-CO"/>
        </w:rPr>
        <w:t>sus propias decisiones en casos idénticos, por el respeto del trato igual al acceder a la justicia. Sin embargo, esta regla no es absoluta, ya que los jueces pueden apartarse de dicho precedente,</w:t>
      </w:r>
      <w:r w:rsidR="009C3D3C">
        <w:rPr>
          <w:rFonts w:ascii="Georgia" w:hAnsi="Georgia" w:cs="Arial"/>
          <w:spacing w:val="-3"/>
          <w:lang w:val="es-ES_tradnl" w:eastAsia="es-CO"/>
        </w:rPr>
        <w:t xml:space="preserve"> </w:t>
      </w:r>
      <w:r w:rsidRPr="00A01C7A">
        <w:rPr>
          <w:rFonts w:ascii="Georgia" w:hAnsi="Georgia" w:cs="Arial"/>
          <w:spacing w:val="-3"/>
          <w:lang w:val="es-ES_tradnl" w:eastAsia="es-CO"/>
        </w:rPr>
        <w:t xml:space="preserve">pero cumpliendo la carga argumentativa antes descrita y construyendo una mejor respuesta al problema jurídico. En este orden de ideas, por ejemplo, cuando un juez de inferior jerarquía se aparta de un precedente establecido en su jurisdicción por el órgano de cierre o de su propio precedente, sin exponer un razonamiento proporcional y razonable para el efecto, incurre en la causal de </w:t>
      </w:r>
      <w:proofErr w:type="spellStart"/>
      <w:r w:rsidRPr="00A01C7A">
        <w:rPr>
          <w:rFonts w:ascii="Georgia" w:hAnsi="Georgia" w:cs="Arial"/>
          <w:spacing w:val="-3"/>
          <w:lang w:val="es-ES_tradnl" w:eastAsia="es-CO"/>
        </w:rPr>
        <w:t>procedibilidad</w:t>
      </w:r>
      <w:proofErr w:type="spellEnd"/>
      <w:r w:rsidRPr="00A01C7A">
        <w:rPr>
          <w:rFonts w:ascii="Georgia" w:hAnsi="Georgia" w:cs="Arial"/>
          <w:spacing w:val="-3"/>
          <w:lang w:val="es-ES_tradnl" w:eastAsia="es-CO"/>
        </w:rPr>
        <w:t xml:space="preserve"> de la tutela por defecto sustantivo o material, que tiene como consecuencia, una vulneración de los derechos fundamentales a la igualdad y al debido proceso de las personas partícipes del proceso respectivo, entre otros.</w:t>
      </w:r>
    </w:p>
    <w:p w:rsidR="00A01C7A" w:rsidRPr="00A01C7A" w:rsidRDefault="00A01C7A" w:rsidP="00A01C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400"/>
        <w:jc w:val="both"/>
        <w:textAlignment w:val="baseline"/>
        <w:rPr>
          <w:rFonts w:ascii="Georgia" w:hAnsi="Georgia" w:cs="Times New Roman"/>
          <w:smallCaps/>
          <w:spacing w:val="-3"/>
          <w:sz w:val="28"/>
          <w:lang w:val="es-CO"/>
        </w:rPr>
      </w:pPr>
    </w:p>
    <w:p w:rsidR="00811889" w:rsidRPr="00F851F3" w:rsidRDefault="00811889" w:rsidP="00260F52">
      <w:pPr>
        <w:pStyle w:val="Prrafodelista"/>
        <w:numPr>
          <w:ilvl w:val="0"/>
          <w:numId w:val="18"/>
        </w:numPr>
        <w:spacing w:line="360" w:lineRule="auto"/>
        <w:ind w:right="51"/>
        <w:jc w:val="both"/>
        <w:rPr>
          <w:rFonts w:ascii="Georgia" w:hAnsi="Georgia" w:cs="Arial"/>
          <w:lang w:val="es-ES_tradnl"/>
        </w:rPr>
      </w:pPr>
      <w:r w:rsidRPr="00F851F3">
        <w:rPr>
          <w:rFonts w:ascii="Georgia" w:hAnsi="Georgia" w:cs="Arial"/>
          <w:lang w:val="es-ES_tradnl"/>
        </w:rPr>
        <w:t>EL ANÁLISIS DEL CASO EN CONCRETO</w:t>
      </w:r>
    </w:p>
    <w:p w:rsidR="00811889" w:rsidRPr="00F851F3" w:rsidRDefault="00811889" w:rsidP="001453D4">
      <w:pPr>
        <w:spacing w:line="360" w:lineRule="auto"/>
        <w:ind w:right="567"/>
        <w:jc w:val="both"/>
        <w:rPr>
          <w:rFonts w:ascii="Georgia" w:hAnsi="Georgia" w:cs="Arial"/>
          <w:iCs/>
          <w:sz w:val="22"/>
          <w:lang w:val="es-CO" w:eastAsia="es-CO"/>
        </w:rPr>
      </w:pPr>
    </w:p>
    <w:p w:rsidR="006C5B0C" w:rsidRPr="006C5B0C"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r w:rsidRPr="006C5B0C">
        <w:rPr>
          <w:rFonts w:ascii="Georgia" w:hAnsi="Georgia" w:cs="Times New Roman"/>
          <w:spacing w:val="-3"/>
          <w:lang w:val="es-ES_tradnl"/>
        </w:rPr>
        <w:t xml:space="preserve">En la metodología enseñada por la doctrina constitucional, el primer examen consiste en verificar los presupuestos generales de </w:t>
      </w:r>
      <w:proofErr w:type="spellStart"/>
      <w:r w:rsidRPr="006C5B0C">
        <w:rPr>
          <w:rFonts w:ascii="Georgia" w:hAnsi="Georgia" w:cs="Times New Roman"/>
          <w:spacing w:val="-3"/>
          <w:lang w:val="es-ES_tradnl"/>
        </w:rPr>
        <w:t>procedibilidad</w:t>
      </w:r>
      <w:proofErr w:type="spellEnd"/>
      <w:r w:rsidRPr="006C5B0C">
        <w:rPr>
          <w:rFonts w:ascii="Georgia" w:hAnsi="Georgia" w:cs="Times New Roman"/>
          <w:spacing w:val="-3"/>
          <w:lang w:val="es-ES_tradnl"/>
        </w:rPr>
        <w:t>, y para el caso se hallan cumplidos.</w:t>
      </w:r>
    </w:p>
    <w:p w:rsidR="006C5B0C" w:rsidRPr="006C5B0C"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lang w:val="es-ES_tradnl"/>
        </w:rPr>
      </w:pPr>
    </w:p>
    <w:p w:rsidR="00177CA2" w:rsidRPr="00BC6976"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6C5B0C">
        <w:rPr>
          <w:rFonts w:ascii="Georgia" w:hAnsi="Georgia" w:cs="Times New Roman"/>
          <w:spacing w:val="-3"/>
          <w:lang w:val="es-ES_tradnl"/>
        </w:rPr>
        <w:t>En efecto, se tiene que es evidente que tiene relevancia constitucional</w:t>
      </w:r>
      <w:r w:rsidR="0085049B">
        <w:rPr>
          <w:rFonts w:ascii="Georgia" w:hAnsi="Georgia" w:cs="Times New Roman"/>
          <w:spacing w:val="-3"/>
          <w:lang w:val="es-ES_tradnl"/>
        </w:rPr>
        <w:t xml:space="preserve"> con ocasión del derecho fundamental invocado</w:t>
      </w:r>
      <w:r w:rsidRPr="006C5B0C">
        <w:rPr>
          <w:rFonts w:ascii="Georgia" w:hAnsi="Georgia" w:cs="Times New Roman"/>
          <w:spacing w:val="-3"/>
          <w:lang w:val="es-ES_tradnl"/>
        </w:rPr>
        <w:t>; la subsidiariedad</w:t>
      </w:r>
      <w:r w:rsidRPr="006C5B0C">
        <w:rPr>
          <w:rFonts w:ascii="Georgia" w:hAnsi="Georgia" w:cs="Times New Roman"/>
          <w:spacing w:val="-3"/>
          <w:vertAlign w:val="superscript"/>
          <w:lang w:val="es-ES_tradnl"/>
        </w:rPr>
        <w:footnoteReference w:id="23"/>
      </w:r>
      <w:r w:rsidRPr="006C5B0C">
        <w:rPr>
          <w:rFonts w:ascii="Georgia" w:hAnsi="Georgia" w:cs="Times New Roman"/>
          <w:spacing w:val="-3"/>
          <w:lang w:val="es-ES_tradnl"/>
        </w:rPr>
        <w:t xml:space="preserve">, porque la decisión cuestionada es irrecurrible (Artículo 52 del Decreto 2591 de 1991); </w:t>
      </w:r>
      <w:r w:rsidR="0085049B">
        <w:rPr>
          <w:rFonts w:ascii="Georgia" w:hAnsi="Georgia" w:cs="Times New Roman"/>
          <w:spacing w:val="-3"/>
          <w:lang w:val="es-ES_tradnl"/>
        </w:rPr>
        <w:t xml:space="preserve">pese a que se trata de una decisión tomada al interior de una tutela, es procedente el amparo en la medida que se advierte comprometido </w:t>
      </w:r>
      <w:r w:rsidR="0085049B" w:rsidRPr="00F27881">
        <w:rPr>
          <w:rFonts w:ascii="Georgia" w:hAnsi="Georgia" w:cs="Arial"/>
        </w:rPr>
        <w:t xml:space="preserve">el derecho </w:t>
      </w:r>
      <w:r w:rsidR="0085049B">
        <w:rPr>
          <w:rFonts w:ascii="Georgia" w:hAnsi="Georgia" w:cs="Arial"/>
        </w:rPr>
        <w:t xml:space="preserve">fundamental </w:t>
      </w:r>
      <w:r w:rsidR="0085049B" w:rsidRPr="00F27881">
        <w:rPr>
          <w:rFonts w:ascii="Georgia" w:hAnsi="Georgia" w:cs="Arial"/>
        </w:rPr>
        <w:t>al debido proceso</w:t>
      </w:r>
      <w:r w:rsidR="0085049B" w:rsidRPr="00F27881">
        <w:rPr>
          <w:rStyle w:val="Refdenotaalpie"/>
          <w:rFonts w:ascii="Georgia" w:hAnsi="Georgia"/>
        </w:rPr>
        <w:footnoteReference w:id="24"/>
      </w:r>
      <w:r w:rsidR="0085049B">
        <w:rPr>
          <w:rFonts w:ascii="Georgia" w:hAnsi="Georgia" w:cs="Arial"/>
        </w:rPr>
        <w:t xml:space="preserve">; </w:t>
      </w:r>
      <w:r w:rsidRPr="006C5B0C">
        <w:rPr>
          <w:rFonts w:ascii="Georgia" w:hAnsi="Georgia" w:cs="Times New Roman"/>
          <w:spacing w:val="-3"/>
          <w:lang w:val="es-ES_tradnl"/>
        </w:rPr>
        <w:t>hay inmediatez</w:t>
      </w:r>
      <w:r w:rsidRPr="006C5B0C">
        <w:rPr>
          <w:rFonts w:ascii="Georgia" w:hAnsi="Georgia" w:cs="Times New Roman"/>
          <w:spacing w:val="-3"/>
          <w:vertAlign w:val="superscript"/>
          <w:lang w:val="es-ES_tradnl"/>
        </w:rPr>
        <w:footnoteReference w:id="25"/>
      </w:r>
      <w:r w:rsidRPr="006C5B0C">
        <w:rPr>
          <w:rFonts w:ascii="Georgia" w:hAnsi="Georgia" w:cs="Times New Roman"/>
          <w:spacing w:val="-3"/>
          <w:lang w:val="es-ES_tradnl"/>
        </w:rPr>
        <w:t xml:space="preserve"> porque </w:t>
      </w:r>
      <w:r w:rsidRPr="00BC6976">
        <w:rPr>
          <w:rFonts w:ascii="Georgia" w:hAnsi="Georgia" w:cs="Times New Roman"/>
          <w:spacing w:val="-3"/>
          <w:lang w:val="es-ES_tradnl"/>
        </w:rPr>
        <w:t xml:space="preserve">la providencia que confirmó la sanción por desacato data del 27-02-2018 (Folio 42 del CD visible a folio 26, este cuaderno); </w:t>
      </w:r>
      <w:r w:rsidR="00177CA2" w:rsidRPr="00BC6976">
        <w:rPr>
          <w:rFonts w:ascii="Georgia" w:hAnsi="Georgia" w:cs="Arial"/>
          <w:spacing w:val="-3"/>
          <w:lang w:val="es-ES_tradnl"/>
        </w:rPr>
        <w:t>la irregularidad tiene un efecto determinante sobre la decisión atacada; y se identificaron los hechos generadores de la vulneración.</w:t>
      </w:r>
    </w:p>
    <w:p w:rsidR="00177CA2" w:rsidRPr="00BC6976" w:rsidRDefault="00177CA2" w:rsidP="00177C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177CA2" w:rsidRPr="00BC6976" w:rsidRDefault="00177CA2" w:rsidP="00177CA2">
      <w:pPr>
        <w:widowControl/>
        <w:spacing w:line="360" w:lineRule="auto"/>
        <w:jc w:val="both"/>
        <w:rPr>
          <w:rFonts w:ascii="Georgia" w:hAnsi="Georgia" w:cs="Arial"/>
          <w:color w:val="000000"/>
        </w:rPr>
      </w:pPr>
      <w:r w:rsidRPr="00BC6976">
        <w:rPr>
          <w:rFonts w:ascii="Georgia" w:hAnsi="Georgia" w:cs="Arial"/>
        </w:rPr>
        <w:t xml:space="preserve">Concluido el estudio de los requisitos generales, incumbe proseguir con la revisión de las causales especiales y en el caso concreto se circunscriben al desconocimiento del </w:t>
      </w:r>
      <w:r w:rsidRPr="00BC6976">
        <w:rPr>
          <w:rFonts w:ascii="Georgia" w:hAnsi="Georgia" w:cs="Arial"/>
        </w:rPr>
        <w:lastRenderedPageBreak/>
        <w:t xml:space="preserve">precedente, pues se alega </w:t>
      </w:r>
      <w:r w:rsidR="009C2030" w:rsidRPr="00BC6976">
        <w:rPr>
          <w:rFonts w:ascii="Georgia" w:hAnsi="Georgia" w:cs="Arial"/>
        </w:rPr>
        <w:t xml:space="preserve">que los accionados omitieron </w:t>
      </w:r>
      <w:r w:rsidR="009C2030" w:rsidRPr="00BC6976">
        <w:rPr>
          <w:rFonts w:ascii="Georgia" w:hAnsi="Georgia" w:cs="Arial"/>
          <w:iCs/>
          <w:lang w:val="es-CO"/>
        </w:rPr>
        <w:t>valorar la responsabilidad subjetiva del accionante, según las sentencias T-1113 de 2005 y T-368 de 2005</w:t>
      </w:r>
      <w:r w:rsidRPr="00BC6976">
        <w:rPr>
          <w:rFonts w:ascii="Georgia" w:hAnsi="Georgia" w:cs="Arial"/>
          <w:color w:val="000000"/>
        </w:rPr>
        <w:t>.</w:t>
      </w:r>
    </w:p>
    <w:p w:rsidR="006C5B0C" w:rsidRPr="00BC6976"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1680"/>
        <w:jc w:val="both"/>
        <w:textAlignment w:val="baseline"/>
        <w:rPr>
          <w:rFonts w:ascii="Georgia" w:hAnsi="Georgia" w:cs="Times New Roman"/>
          <w:smallCaps/>
          <w:spacing w:val="-3"/>
          <w:szCs w:val="22"/>
          <w:lang w:val="es-ES_tradnl"/>
        </w:rPr>
      </w:pPr>
    </w:p>
    <w:p w:rsidR="00885B74" w:rsidRDefault="00885B74" w:rsidP="00885B74">
      <w:pPr>
        <w:spacing w:line="360" w:lineRule="auto"/>
        <w:ind w:right="51"/>
        <w:jc w:val="both"/>
        <w:rPr>
          <w:rFonts w:ascii="Georgia" w:hAnsi="Georgia" w:cs="Arial"/>
        </w:rPr>
      </w:pPr>
      <w:r w:rsidRPr="00BC6976">
        <w:rPr>
          <w:rFonts w:ascii="Georgia" w:hAnsi="Georgia" w:cs="Arial"/>
        </w:rPr>
        <w:t>Precisamente porque no tuvieron en cuenta la imposibilidad de cumplir la orden tutelar, en consideración a las condiciones especiales</w:t>
      </w:r>
      <w:r>
        <w:rPr>
          <w:rFonts w:ascii="Georgia" w:hAnsi="Georgia" w:cs="Arial"/>
        </w:rPr>
        <w:t xml:space="preserve"> de salud del señor Aleix de Jesús Cardona </w:t>
      </w:r>
      <w:proofErr w:type="spellStart"/>
      <w:r>
        <w:rPr>
          <w:rFonts w:ascii="Georgia" w:hAnsi="Georgia" w:cs="Arial"/>
        </w:rPr>
        <w:t>Cardona</w:t>
      </w:r>
      <w:proofErr w:type="spellEnd"/>
      <w:r>
        <w:rPr>
          <w:rFonts w:ascii="Georgia" w:hAnsi="Georgia" w:cs="Arial"/>
        </w:rPr>
        <w:t xml:space="preserve">, que implican la búsqueda de un asilo idóneo que cuente con la infraestructura y servicios mínimos necesarios para atenderlo; circunstancias que pusieron de presente los dos (2) albergues del municipio de La Virginia para rehusarse a recibirlo en sus instalaciones, por manera que aún se encuentra realizando las gestiones del caso. </w:t>
      </w:r>
    </w:p>
    <w:p w:rsidR="00885B74" w:rsidRDefault="00885B74" w:rsidP="00885B74">
      <w:pPr>
        <w:spacing w:line="360" w:lineRule="auto"/>
        <w:ind w:right="51"/>
        <w:jc w:val="both"/>
        <w:rPr>
          <w:rFonts w:ascii="Georgia" w:hAnsi="Georgia" w:cs="Arial"/>
        </w:rPr>
      </w:pPr>
    </w:p>
    <w:p w:rsidR="009C2030" w:rsidRPr="003D699A" w:rsidRDefault="006C5B0C" w:rsidP="006C5B0C">
      <w:pPr>
        <w:widowControl/>
        <w:spacing w:line="360" w:lineRule="auto"/>
        <w:jc w:val="both"/>
        <w:rPr>
          <w:rFonts w:ascii="Georgia" w:hAnsi="Georgia"/>
          <w:i/>
          <w:sz w:val="22"/>
          <w:lang w:val="es-CO"/>
        </w:rPr>
      </w:pPr>
      <w:r w:rsidRPr="00E62CCA">
        <w:rPr>
          <w:rFonts w:ascii="Georgia" w:hAnsi="Georgia"/>
          <w:lang w:val="es-CO"/>
        </w:rPr>
        <w:t xml:space="preserve">Revisadas las pruebas existentes, se tiene que el Juzgado </w:t>
      </w:r>
      <w:r w:rsidR="009C2030" w:rsidRPr="00E62CCA">
        <w:rPr>
          <w:rFonts w:ascii="Georgia" w:hAnsi="Georgia"/>
          <w:lang w:val="es-CO"/>
        </w:rPr>
        <w:t xml:space="preserve">Promiscuo </w:t>
      </w:r>
      <w:r w:rsidR="00885B74" w:rsidRPr="00E62CCA">
        <w:rPr>
          <w:rFonts w:ascii="Georgia" w:hAnsi="Georgia"/>
          <w:lang w:val="es-CO"/>
        </w:rPr>
        <w:t>del Circuito de La Virginia, con decisión del 27-02-2018</w:t>
      </w:r>
      <w:r w:rsidR="006731E3" w:rsidRPr="00E62CCA">
        <w:rPr>
          <w:rFonts w:ascii="Georgia" w:hAnsi="Georgia"/>
          <w:lang w:val="es-CO"/>
        </w:rPr>
        <w:t>,</w:t>
      </w:r>
      <w:r w:rsidR="00885B74" w:rsidRPr="00E62CCA">
        <w:rPr>
          <w:rFonts w:ascii="Georgia" w:hAnsi="Georgia"/>
          <w:lang w:val="es-CO"/>
        </w:rPr>
        <w:t xml:space="preserve"> confirmó la sanción por desacato impuesta por el Juzgado Promiscuo Municipal de esa localidad</w:t>
      </w:r>
      <w:r w:rsidR="006731E3" w:rsidRPr="00E62CCA">
        <w:rPr>
          <w:rFonts w:ascii="Georgia" w:hAnsi="Georgia"/>
          <w:lang w:val="es-CO"/>
        </w:rPr>
        <w:t>,</w:t>
      </w:r>
      <w:r w:rsidR="00885B74" w:rsidRPr="00E62CCA">
        <w:rPr>
          <w:rFonts w:ascii="Georgia" w:hAnsi="Georgia"/>
          <w:lang w:val="es-CO"/>
        </w:rPr>
        <w:t xml:space="preserve"> con auto del </w:t>
      </w:r>
      <w:r w:rsidR="00F73AB8" w:rsidRPr="00E62CCA">
        <w:rPr>
          <w:rFonts w:ascii="Georgia" w:hAnsi="Georgia"/>
          <w:lang w:val="es-CO"/>
        </w:rPr>
        <w:t xml:space="preserve">30-01-2018, al considerar: </w:t>
      </w:r>
      <w:r w:rsidR="00F73AB8" w:rsidRPr="003D699A">
        <w:rPr>
          <w:rFonts w:ascii="Georgia" w:hAnsi="Georgia"/>
          <w:i/>
          <w:sz w:val="22"/>
          <w:lang w:val="es-CO"/>
        </w:rPr>
        <w:t>“(…) las e</w:t>
      </w:r>
      <w:r w:rsidR="009D6974">
        <w:rPr>
          <w:rFonts w:ascii="Georgia" w:hAnsi="Georgia"/>
          <w:i/>
          <w:sz w:val="22"/>
          <w:lang w:val="es-CO"/>
        </w:rPr>
        <w:t>x</w:t>
      </w:r>
      <w:r w:rsidR="00F73AB8" w:rsidRPr="003D699A">
        <w:rPr>
          <w:rFonts w:ascii="Georgia" w:hAnsi="Georgia"/>
          <w:i/>
          <w:sz w:val="22"/>
          <w:lang w:val="es-CO"/>
        </w:rPr>
        <w:t xml:space="preserve">cusas dadas en el escrito de respuesta al primer requerimiento y por el cual se suspendió el proceso, no fueron suficientes. (…) al ver latente el incumplimiento (…) y el silencio guardado (…) durante el trámite después de </w:t>
      </w:r>
      <w:proofErr w:type="gramStart"/>
      <w:r w:rsidR="00F73AB8" w:rsidRPr="003D699A">
        <w:rPr>
          <w:rFonts w:ascii="Georgia" w:hAnsi="Georgia"/>
          <w:i/>
          <w:sz w:val="22"/>
          <w:lang w:val="es-CO"/>
        </w:rPr>
        <w:t>haber</w:t>
      </w:r>
      <w:r w:rsidR="00F73AB8" w:rsidRPr="003D699A">
        <w:rPr>
          <w:rFonts w:ascii="Georgia" w:hAnsi="Georgia"/>
          <w:i/>
          <w:sz w:val="22"/>
        </w:rPr>
        <w:t>[</w:t>
      </w:r>
      <w:proofErr w:type="gramEnd"/>
      <w:r w:rsidR="00F73AB8" w:rsidRPr="003D699A">
        <w:rPr>
          <w:rFonts w:ascii="Georgia" w:hAnsi="Georgia"/>
          <w:i/>
          <w:sz w:val="22"/>
        </w:rPr>
        <w:t>lo]</w:t>
      </w:r>
      <w:r w:rsidR="00F73AB8" w:rsidRPr="003D699A">
        <w:rPr>
          <w:rFonts w:ascii="Georgia" w:hAnsi="Georgia"/>
          <w:i/>
          <w:sz w:val="22"/>
          <w:lang w:val="es-CO"/>
        </w:rPr>
        <w:t xml:space="preserve"> suspendido y reactivado </w:t>
      </w:r>
      <w:r w:rsidR="006731E3" w:rsidRPr="003D699A">
        <w:rPr>
          <w:rFonts w:ascii="Georgia" w:hAnsi="Georgia"/>
          <w:i/>
          <w:sz w:val="22"/>
          <w:lang w:val="es-CO"/>
        </w:rPr>
        <w:t>s</w:t>
      </w:r>
      <w:r w:rsidR="00F73AB8" w:rsidRPr="003D699A">
        <w:rPr>
          <w:rFonts w:ascii="Georgia" w:hAnsi="Georgia"/>
          <w:i/>
          <w:sz w:val="22"/>
          <w:lang w:val="es-CO"/>
        </w:rPr>
        <w:t>ancionó al alcalde (…)”</w:t>
      </w:r>
      <w:r w:rsidR="00BC6976">
        <w:rPr>
          <w:rFonts w:ascii="Georgia" w:hAnsi="Georgia"/>
          <w:i/>
          <w:sz w:val="22"/>
          <w:lang w:val="es-CO"/>
        </w:rPr>
        <w:t xml:space="preserve"> </w:t>
      </w:r>
      <w:r w:rsidR="00BC6976">
        <w:rPr>
          <w:rFonts w:ascii="Georgia" w:hAnsi="Georgia"/>
          <w:lang w:val="es-CO"/>
        </w:rPr>
        <w:t>(Folios 42 a 45 del CD visible a folio 26, este cuaderno).</w:t>
      </w:r>
    </w:p>
    <w:p w:rsidR="00F73AB8" w:rsidRPr="00E62CCA" w:rsidRDefault="00F73AB8" w:rsidP="006C5B0C">
      <w:pPr>
        <w:widowControl/>
        <w:spacing w:line="360" w:lineRule="auto"/>
        <w:jc w:val="both"/>
        <w:rPr>
          <w:rFonts w:ascii="Georgia" w:hAnsi="Georgia"/>
          <w:i/>
          <w:sz w:val="22"/>
          <w:lang w:val="es-CO"/>
        </w:rPr>
      </w:pPr>
      <w:r w:rsidRPr="00E62CCA">
        <w:rPr>
          <w:rFonts w:ascii="Georgia" w:hAnsi="Georgia"/>
          <w:lang w:val="es-CO"/>
        </w:rPr>
        <w:t xml:space="preserve">Y más adelante anotó </w:t>
      </w:r>
      <w:r w:rsidRPr="00E62CCA">
        <w:rPr>
          <w:rFonts w:ascii="Georgia" w:hAnsi="Georgia"/>
          <w:i/>
          <w:sz w:val="22"/>
          <w:lang w:val="es-CO"/>
        </w:rPr>
        <w:t xml:space="preserve">“(…) se demostró que la alcaldía (…), no ha cumplido con la consecución del albergue ordenado (…). Aunque, esta entidad en principio oficio </w:t>
      </w:r>
      <w:r w:rsidR="009D6974">
        <w:rPr>
          <w:rFonts w:ascii="Georgia" w:hAnsi="Georgia"/>
          <w:i/>
          <w:sz w:val="22"/>
          <w:lang w:val="es-CO"/>
        </w:rPr>
        <w:t xml:space="preserve">(Sic) </w:t>
      </w:r>
      <w:r w:rsidRPr="00E62CCA">
        <w:rPr>
          <w:rFonts w:ascii="Georgia" w:hAnsi="Georgia"/>
          <w:i/>
          <w:sz w:val="22"/>
          <w:lang w:val="es-CO"/>
        </w:rPr>
        <w:t xml:space="preserve">a los hogares del anciano </w:t>
      </w:r>
      <w:proofErr w:type="spellStart"/>
      <w:r w:rsidRPr="00E62CCA">
        <w:rPr>
          <w:rFonts w:ascii="Georgia" w:hAnsi="Georgia"/>
          <w:i/>
          <w:sz w:val="22"/>
          <w:lang w:val="es-CO"/>
        </w:rPr>
        <w:t>nazareth</w:t>
      </w:r>
      <w:proofErr w:type="spellEnd"/>
      <w:r w:rsidRPr="00E62CCA">
        <w:rPr>
          <w:rFonts w:ascii="Georgia" w:hAnsi="Georgia"/>
          <w:i/>
          <w:sz w:val="22"/>
          <w:lang w:val="es-CO"/>
        </w:rPr>
        <w:t xml:space="preserve"> y a la fundación del buen samaritano (…); lugares donde no pueden recibir al accionante según lo manifestado (…). A pesar de </w:t>
      </w:r>
      <w:r w:rsidR="006731E3" w:rsidRPr="00E62CCA">
        <w:rPr>
          <w:rFonts w:ascii="Georgia" w:hAnsi="Georgia"/>
          <w:i/>
          <w:sz w:val="22"/>
          <w:lang w:val="es-CO"/>
        </w:rPr>
        <w:t xml:space="preserve">esto </w:t>
      </w:r>
      <w:r w:rsidRPr="00E62CCA">
        <w:rPr>
          <w:rFonts w:ascii="Georgia" w:hAnsi="Georgia"/>
          <w:i/>
          <w:sz w:val="22"/>
          <w:lang w:val="es-CO"/>
        </w:rPr>
        <w:t xml:space="preserve">es evidente para esta servidora judicial que la sustracción del cumplimiento de </w:t>
      </w:r>
      <w:r w:rsidR="006731E3" w:rsidRPr="00E62CCA">
        <w:rPr>
          <w:rFonts w:ascii="Georgia" w:hAnsi="Georgia"/>
          <w:i/>
          <w:sz w:val="22"/>
          <w:lang w:val="es-CO"/>
        </w:rPr>
        <w:t>l</w:t>
      </w:r>
      <w:r w:rsidRPr="00E62CCA">
        <w:rPr>
          <w:rFonts w:ascii="Georgia" w:hAnsi="Georgia"/>
          <w:i/>
          <w:sz w:val="22"/>
          <w:lang w:val="es-CO"/>
        </w:rPr>
        <w:t xml:space="preserve">a sentencia a todas luces es dolosa, </w:t>
      </w:r>
      <w:r w:rsidRPr="00E62CCA">
        <w:rPr>
          <w:rFonts w:ascii="Georgia" w:hAnsi="Georgia"/>
          <w:i/>
          <w:sz w:val="22"/>
          <w:u w:val="single"/>
          <w:lang w:val="es-CO"/>
        </w:rPr>
        <w:t xml:space="preserve">toda vez que no se evidencia que además de las solicitudes antes mencionadas las cuales se hicieron en el mes de noviembre del año 2017, se hubiesen realizado </w:t>
      </w:r>
      <w:r w:rsidR="006731E3" w:rsidRPr="00E62CCA">
        <w:rPr>
          <w:rFonts w:ascii="Georgia" w:hAnsi="Georgia"/>
          <w:i/>
          <w:sz w:val="22"/>
          <w:u w:val="single"/>
          <w:lang w:val="es-CO"/>
        </w:rPr>
        <w:t>más</w:t>
      </w:r>
      <w:r w:rsidRPr="00E62CCA">
        <w:rPr>
          <w:rFonts w:ascii="Georgia" w:hAnsi="Georgia"/>
          <w:i/>
          <w:sz w:val="22"/>
          <w:u w:val="single"/>
          <w:lang w:val="es-CO"/>
        </w:rPr>
        <w:t xml:space="preserve"> actuaciones administrativas (…) a pesar de haber transcurrido un poco más de 4 meses desde que se dictó el fallo</w:t>
      </w:r>
      <w:r w:rsidRPr="00E62CCA">
        <w:rPr>
          <w:rFonts w:ascii="Georgia" w:hAnsi="Georgia"/>
          <w:i/>
          <w:sz w:val="22"/>
          <w:lang w:val="es-CO"/>
        </w:rPr>
        <w:t xml:space="preserve"> (…)”</w:t>
      </w:r>
      <w:r w:rsidR="006731E3" w:rsidRPr="00E62CCA">
        <w:rPr>
          <w:rFonts w:ascii="Georgia" w:hAnsi="Georgia"/>
          <w:i/>
          <w:sz w:val="22"/>
          <w:lang w:val="es-CO"/>
        </w:rPr>
        <w:t xml:space="preserve"> </w:t>
      </w:r>
      <w:proofErr w:type="spellStart"/>
      <w:r w:rsidR="006731E3" w:rsidRPr="00BC6976">
        <w:rPr>
          <w:rFonts w:ascii="Georgia" w:hAnsi="Georgia"/>
          <w:lang w:val="es-CO"/>
        </w:rPr>
        <w:t>Sublínea</w:t>
      </w:r>
      <w:proofErr w:type="spellEnd"/>
      <w:r w:rsidR="006731E3" w:rsidRPr="00BC6976">
        <w:rPr>
          <w:rFonts w:ascii="Georgia" w:hAnsi="Georgia"/>
          <w:lang w:val="es-CO"/>
        </w:rPr>
        <w:t xml:space="preserve"> de la Sala</w:t>
      </w:r>
      <w:r w:rsidR="006731E3" w:rsidRPr="00BC6976">
        <w:rPr>
          <w:rFonts w:ascii="Georgia" w:hAnsi="Georgia"/>
          <w:i/>
          <w:lang w:val="es-CO"/>
        </w:rPr>
        <w:t xml:space="preserve"> </w:t>
      </w:r>
      <w:r w:rsidR="00BC6976">
        <w:rPr>
          <w:rFonts w:ascii="Georgia" w:hAnsi="Georgia"/>
          <w:lang w:val="es-CO"/>
        </w:rPr>
        <w:t>(Folios 42 a 45</w:t>
      </w:r>
      <w:r w:rsidR="002C4872">
        <w:rPr>
          <w:rFonts w:ascii="Georgia" w:hAnsi="Georgia"/>
          <w:lang w:val="es-CO"/>
        </w:rPr>
        <w:t xml:space="preserve"> del CD</w:t>
      </w:r>
      <w:r w:rsidR="00BC6976">
        <w:rPr>
          <w:rFonts w:ascii="Georgia" w:hAnsi="Georgia"/>
          <w:lang w:val="es-CO"/>
        </w:rPr>
        <w:t>, ibídem)</w:t>
      </w:r>
    </w:p>
    <w:p w:rsidR="00F73AB8" w:rsidRPr="006731E3" w:rsidRDefault="00F73AB8" w:rsidP="006C5B0C">
      <w:pPr>
        <w:widowControl/>
        <w:spacing w:line="360" w:lineRule="auto"/>
        <w:jc w:val="both"/>
        <w:rPr>
          <w:rFonts w:ascii="Georgia" w:hAnsi="Georgia"/>
          <w:sz w:val="28"/>
          <w:highlight w:val="yellow"/>
          <w:lang w:val="es-CO"/>
        </w:rPr>
      </w:pPr>
    </w:p>
    <w:p w:rsidR="00E62CCA" w:rsidRDefault="00F463FD" w:rsidP="00CF34D3">
      <w:pPr>
        <w:spacing w:line="360" w:lineRule="auto"/>
        <w:ind w:right="51"/>
        <w:jc w:val="both"/>
        <w:rPr>
          <w:rFonts w:ascii="Georgia" w:hAnsi="Georgia" w:cs="Arial"/>
        </w:rPr>
      </w:pPr>
      <w:r w:rsidRPr="00F851F3">
        <w:rPr>
          <w:rFonts w:ascii="Georgia" w:hAnsi="Georgia" w:cs="Arial"/>
        </w:rPr>
        <w:t xml:space="preserve">Esta </w:t>
      </w:r>
      <w:r w:rsidR="004F39BD" w:rsidRPr="00F851F3">
        <w:rPr>
          <w:rFonts w:ascii="Georgia" w:hAnsi="Georgia" w:cs="Arial"/>
        </w:rPr>
        <w:t xml:space="preserve">Sala </w:t>
      </w:r>
      <w:r w:rsidRPr="00F851F3">
        <w:rPr>
          <w:rFonts w:ascii="Georgia" w:hAnsi="Georgia" w:cs="Arial"/>
        </w:rPr>
        <w:t xml:space="preserve">considera que en este asunto en particular no se configura el defecto alegado. </w:t>
      </w:r>
      <w:r w:rsidR="006731E3">
        <w:rPr>
          <w:rFonts w:ascii="Georgia" w:hAnsi="Georgia" w:cs="Arial"/>
        </w:rPr>
        <w:t xml:space="preserve">Se reconoce la obligación de todo funcionario judicial </w:t>
      </w:r>
      <w:r w:rsidR="007E2EAD">
        <w:rPr>
          <w:rFonts w:ascii="Georgia" w:hAnsi="Georgia" w:cs="Arial"/>
        </w:rPr>
        <w:t xml:space="preserve">de </w:t>
      </w:r>
      <w:r w:rsidR="00E62CCA">
        <w:rPr>
          <w:rFonts w:ascii="Georgia" w:hAnsi="Georgia" w:cs="Arial"/>
        </w:rPr>
        <w:t>identificar</w:t>
      </w:r>
      <w:r w:rsidR="006731E3">
        <w:rPr>
          <w:rFonts w:ascii="Georgia" w:hAnsi="Georgia" w:cs="Arial"/>
        </w:rPr>
        <w:t xml:space="preserve"> </w:t>
      </w:r>
      <w:r w:rsidR="00E62CCA">
        <w:rPr>
          <w:rFonts w:ascii="Georgia" w:hAnsi="Georgia" w:cs="Arial"/>
        </w:rPr>
        <w:t xml:space="preserve">(i) </w:t>
      </w:r>
      <w:r w:rsidR="007E2EAD">
        <w:rPr>
          <w:rFonts w:ascii="Georgia" w:hAnsi="Georgia" w:cs="Arial"/>
        </w:rPr>
        <w:t>la persona</w:t>
      </w:r>
      <w:r w:rsidR="006731E3">
        <w:rPr>
          <w:rFonts w:ascii="Georgia" w:hAnsi="Georgia" w:cs="Arial"/>
        </w:rPr>
        <w:t xml:space="preserve"> del  </w:t>
      </w:r>
      <w:r w:rsidR="00E62CCA">
        <w:rPr>
          <w:rFonts w:ascii="Georgia" w:hAnsi="Georgia" w:cs="Arial"/>
        </w:rPr>
        <w:t>obligado;</w:t>
      </w:r>
      <w:r w:rsidR="006731E3">
        <w:rPr>
          <w:rFonts w:ascii="Georgia" w:hAnsi="Georgia" w:cs="Arial"/>
        </w:rPr>
        <w:t xml:space="preserve"> </w:t>
      </w:r>
      <w:r w:rsidR="00E62CCA">
        <w:rPr>
          <w:rFonts w:ascii="Georgia" w:hAnsi="Georgia" w:cs="Arial"/>
        </w:rPr>
        <w:t xml:space="preserve">(ii) </w:t>
      </w:r>
      <w:r w:rsidR="006731E3">
        <w:rPr>
          <w:rFonts w:ascii="Georgia" w:hAnsi="Georgia" w:cs="Arial"/>
        </w:rPr>
        <w:t>el término de ejecución</w:t>
      </w:r>
      <w:r w:rsidR="00E62CCA">
        <w:rPr>
          <w:rFonts w:ascii="Georgia" w:hAnsi="Georgia" w:cs="Arial"/>
        </w:rPr>
        <w:t xml:space="preserve"> del fallo y</w:t>
      </w:r>
      <w:r w:rsidR="006731E3">
        <w:rPr>
          <w:rFonts w:ascii="Georgia" w:hAnsi="Georgia" w:cs="Arial"/>
        </w:rPr>
        <w:t xml:space="preserve"> su alcance</w:t>
      </w:r>
      <w:r w:rsidR="00E62CCA">
        <w:rPr>
          <w:rFonts w:ascii="Georgia" w:hAnsi="Georgia" w:cs="Arial"/>
        </w:rPr>
        <w:t>;</w:t>
      </w:r>
      <w:r w:rsidR="006731E3">
        <w:rPr>
          <w:rFonts w:ascii="Georgia" w:hAnsi="Georgia" w:cs="Arial"/>
        </w:rPr>
        <w:t xml:space="preserve"> </w:t>
      </w:r>
      <w:r w:rsidR="00E62CCA">
        <w:rPr>
          <w:rFonts w:ascii="Georgia" w:hAnsi="Georgia" w:cs="Arial"/>
        </w:rPr>
        <w:t>(i</w:t>
      </w:r>
      <w:r w:rsidR="0036664F">
        <w:rPr>
          <w:rFonts w:ascii="Georgia" w:hAnsi="Georgia" w:cs="Arial"/>
        </w:rPr>
        <w:t>ii</w:t>
      </w:r>
      <w:r w:rsidR="00E62CCA">
        <w:rPr>
          <w:rFonts w:ascii="Georgia" w:hAnsi="Georgia" w:cs="Arial"/>
        </w:rPr>
        <w:t xml:space="preserve">) </w:t>
      </w:r>
      <w:r w:rsidR="006731E3">
        <w:rPr>
          <w:rFonts w:ascii="Georgia" w:hAnsi="Georgia" w:cs="Arial"/>
        </w:rPr>
        <w:t xml:space="preserve">si hubo incumplimiento y las razones que lo motivaron; </w:t>
      </w:r>
      <w:r w:rsidR="00E62CCA">
        <w:rPr>
          <w:rFonts w:ascii="Georgia" w:hAnsi="Georgia" w:cs="Arial"/>
        </w:rPr>
        <w:t xml:space="preserve">y por último (iv) </w:t>
      </w:r>
      <w:r w:rsidR="006731E3">
        <w:rPr>
          <w:rFonts w:ascii="Georgia" w:hAnsi="Georgia" w:cs="Arial"/>
        </w:rPr>
        <w:t xml:space="preserve">examinar </w:t>
      </w:r>
      <w:r w:rsidR="00E62CCA">
        <w:rPr>
          <w:rFonts w:ascii="Georgia" w:hAnsi="Georgia" w:cs="Arial"/>
        </w:rPr>
        <w:t xml:space="preserve">su </w:t>
      </w:r>
      <w:r w:rsidR="006731E3">
        <w:rPr>
          <w:rFonts w:ascii="Georgia" w:hAnsi="Georgia" w:cs="Arial"/>
        </w:rPr>
        <w:t>responsabilidad subjetiva, esto es, si hubo ánimo de evadir la orden</w:t>
      </w:r>
      <w:r w:rsidR="00E62CCA">
        <w:rPr>
          <w:rFonts w:ascii="Georgia" w:hAnsi="Georgia" w:cs="Arial"/>
        </w:rPr>
        <w:t>, según la jurisprudencia constitucional</w:t>
      </w:r>
      <w:r w:rsidR="00E62CCA">
        <w:rPr>
          <w:rStyle w:val="Refdenotaalpie"/>
          <w:rFonts w:ascii="Georgia" w:hAnsi="Georgia" w:cs="Arial"/>
          <w:lang w:val="es-CO"/>
        </w:rPr>
        <w:footnoteReference w:id="26"/>
      </w:r>
      <w:r w:rsidR="00E62CCA">
        <w:rPr>
          <w:rFonts w:ascii="Georgia" w:hAnsi="Georgia" w:cs="Arial"/>
        </w:rPr>
        <w:t>.</w:t>
      </w:r>
    </w:p>
    <w:p w:rsidR="00E62CCA" w:rsidRDefault="00E62CCA" w:rsidP="00CF34D3">
      <w:pPr>
        <w:spacing w:line="360" w:lineRule="auto"/>
        <w:ind w:right="51"/>
        <w:jc w:val="both"/>
        <w:rPr>
          <w:rFonts w:ascii="Georgia" w:hAnsi="Georgia" w:cs="Arial"/>
        </w:rPr>
      </w:pPr>
    </w:p>
    <w:p w:rsidR="009D6974" w:rsidRDefault="00E62CCA" w:rsidP="00CF34D3">
      <w:pPr>
        <w:spacing w:line="360" w:lineRule="auto"/>
        <w:ind w:right="51"/>
        <w:jc w:val="both"/>
        <w:rPr>
          <w:rFonts w:ascii="Georgia" w:hAnsi="Georgia" w:cs="Arial"/>
        </w:rPr>
      </w:pPr>
      <w:r>
        <w:rPr>
          <w:rFonts w:ascii="Georgia" w:hAnsi="Georgia" w:cs="Arial"/>
        </w:rPr>
        <w:t>S</w:t>
      </w:r>
      <w:r w:rsidR="006731E3">
        <w:rPr>
          <w:rFonts w:ascii="Georgia" w:hAnsi="Georgia" w:cs="Arial"/>
        </w:rPr>
        <w:t xml:space="preserve">in embargo, aun cuando la </w:t>
      </w:r>
      <w:r w:rsidR="006731E3" w:rsidRPr="006731E3">
        <w:rPr>
          <w:rFonts w:ascii="Georgia" w:hAnsi="Georgia" w:cs="Arial"/>
          <w:i/>
        </w:rPr>
        <w:t>a quo</w:t>
      </w:r>
      <w:r w:rsidR="006731E3">
        <w:rPr>
          <w:rFonts w:ascii="Georgia" w:hAnsi="Georgia" w:cs="Arial"/>
        </w:rPr>
        <w:t xml:space="preserve"> dejara de aludir</w:t>
      </w:r>
      <w:r w:rsidR="009D6974">
        <w:rPr>
          <w:rFonts w:ascii="Georgia" w:hAnsi="Georgia" w:cs="Arial"/>
        </w:rPr>
        <w:t>,</w:t>
      </w:r>
      <w:r w:rsidR="006731E3">
        <w:rPr>
          <w:rFonts w:ascii="Georgia" w:hAnsi="Georgia" w:cs="Arial"/>
        </w:rPr>
        <w:t xml:space="preserve"> expresamente</w:t>
      </w:r>
      <w:r w:rsidR="009D6974">
        <w:rPr>
          <w:rFonts w:ascii="Georgia" w:hAnsi="Georgia" w:cs="Arial"/>
        </w:rPr>
        <w:t>,</w:t>
      </w:r>
      <w:r w:rsidR="006731E3">
        <w:rPr>
          <w:rFonts w:ascii="Georgia" w:hAnsi="Georgia" w:cs="Arial"/>
        </w:rPr>
        <w:t xml:space="preserve"> a </w:t>
      </w:r>
      <w:r w:rsidR="009D6974">
        <w:rPr>
          <w:rFonts w:ascii="Georgia" w:hAnsi="Georgia" w:cs="Arial"/>
        </w:rPr>
        <w:t xml:space="preserve">los </w:t>
      </w:r>
      <w:r w:rsidR="006731E3">
        <w:rPr>
          <w:rFonts w:ascii="Georgia" w:hAnsi="Georgia" w:cs="Arial"/>
        </w:rPr>
        <w:t>precedente</w:t>
      </w:r>
      <w:r w:rsidR="009D6974">
        <w:rPr>
          <w:rFonts w:ascii="Georgia" w:hAnsi="Georgia" w:cs="Arial"/>
        </w:rPr>
        <w:t>s</w:t>
      </w:r>
      <w:r w:rsidR="006731E3">
        <w:rPr>
          <w:rFonts w:ascii="Georgia" w:hAnsi="Georgia" w:cs="Arial"/>
        </w:rPr>
        <w:t xml:space="preserve"> </w:t>
      </w:r>
      <w:r w:rsidR="009D6974">
        <w:rPr>
          <w:rFonts w:ascii="Georgia" w:hAnsi="Georgia" w:cs="Arial"/>
        </w:rPr>
        <w:t xml:space="preserve">citados </w:t>
      </w:r>
      <w:r w:rsidR="006731E3">
        <w:rPr>
          <w:rFonts w:ascii="Georgia" w:hAnsi="Georgia" w:cs="Arial"/>
        </w:rPr>
        <w:t xml:space="preserve">por el accionante, lo cierto es que </w:t>
      </w:r>
      <w:r>
        <w:rPr>
          <w:rFonts w:ascii="Georgia" w:hAnsi="Georgia" w:cs="Arial"/>
        </w:rPr>
        <w:t xml:space="preserve">sí </w:t>
      </w:r>
      <w:r w:rsidR="006731E3">
        <w:rPr>
          <w:rFonts w:ascii="Georgia" w:hAnsi="Georgia" w:cs="Arial"/>
        </w:rPr>
        <w:t xml:space="preserve">hizo </w:t>
      </w:r>
      <w:r>
        <w:rPr>
          <w:rFonts w:ascii="Georgia" w:hAnsi="Georgia" w:cs="Arial"/>
        </w:rPr>
        <w:t>el ejercicio de comprobar los mentados presupuestos</w:t>
      </w:r>
      <w:r w:rsidR="003D699A">
        <w:rPr>
          <w:rFonts w:ascii="Georgia" w:hAnsi="Georgia" w:cs="Arial"/>
        </w:rPr>
        <w:t xml:space="preserve">; </w:t>
      </w:r>
      <w:r>
        <w:rPr>
          <w:rFonts w:ascii="Georgia" w:hAnsi="Georgia" w:cs="Arial"/>
        </w:rPr>
        <w:t>respecto de la responsabilidad subjetiva fue diáfana en concluir</w:t>
      </w:r>
      <w:r w:rsidR="003D699A">
        <w:rPr>
          <w:rFonts w:ascii="Georgia" w:hAnsi="Georgia" w:cs="Arial"/>
        </w:rPr>
        <w:t>,</w:t>
      </w:r>
      <w:r>
        <w:rPr>
          <w:rFonts w:ascii="Georgia" w:hAnsi="Georgia" w:cs="Arial"/>
        </w:rPr>
        <w:t xml:space="preserve"> con base en las pruebas existentes</w:t>
      </w:r>
      <w:r w:rsidR="003D699A">
        <w:rPr>
          <w:rFonts w:ascii="Georgia" w:hAnsi="Georgia" w:cs="Arial"/>
        </w:rPr>
        <w:t>,</w:t>
      </w:r>
      <w:r>
        <w:rPr>
          <w:rFonts w:ascii="Georgia" w:hAnsi="Georgia" w:cs="Arial"/>
        </w:rPr>
        <w:t xml:space="preserve"> la desatención deliberada del fallo de tutela ante la escasa gestión del actor durante un prolongado lapso de tiempo</w:t>
      </w:r>
      <w:r w:rsidR="003D699A">
        <w:rPr>
          <w:rFonts w:ascii="Georgia" w:hAnsi="Georgia" w:cs="Arial"/>
        </w:rPr>
        <w:t xml:space="preserve">. </w:t>
      </w:r>
    </w:p>
    <w:p w:rsidR="009D6974" w:rsidRDefault="009D6974" w:rsidP="00CF34D3">
      <w:pPr>
        <w:spacing w:line="360" w:lineRule="auto"/>
        <w:ind w:right="51"/>
        <w:jc w:val="both"/>
        <w:rPr>
          <w:rFonts w:ascii="Georgia" w:hAnsi="Georgia" w:cs="Arial"/>
        </w:rPr>
      </w:pPr>
    </w:p>
    <w:p w:rsidR="00E62CCA" w:rsidRDefault="009D6974" w:rsidP="00CF34D3">
      <w:pPr>
        <w:spacing w:line="360" w:lineRule="auto"/>
        <w:ind w:right="51"/>
        <w:jc w:val="both"/>
        <w:rPr>
          <w:rFonts w:ascii="Georgia" w:hAnsi="Georgia" w:cs="Arial"/>
        </w:rPr>
      </w:pPr>
      <w:r>
        <w:rPr>
          <w:rFonts w:ascii="Georgia" w:hAnsi="Georgia" w:cs="Arial"/>
        </w:rPr>
        <w:t>Mírese que el juez de conocimiento atendió su petición de suspensión, pero una vez culminó, guardó silencio (Folios 15 a 27 del CD</w:t>
      </w:r>
      <w:r w:rsidR="002C4872">
        <w:rPr>
          <w:rFonts w:ascii="Georgia" w:hAnsi="Georgia" w:cs="Arial"/>
        </w:rPr>
        <w:t>,</w:t>
      </w:r>
      <w:r>
        <w:rPr>
          <w:rFonts w:ascii="Georgia" w:hAnsi="Georgia" w:cs="Arial"/>
        </w:rPr>
        <w:t xml:space="preserve"> </w:t>
      </w:r>
      <w:r w:rsidR="002C4872">
        <w:rPr>
          <w:rFonts w:ascii="Georgia" w:hAnsi="Georgia" w:cs="Arial"/>
        </w:rPr>
        <w:t>ib.)</w:t>
      </w:r>
      <w:r>
        <w:rPr>
          <w:rFonts w:ascii="Georgia" w:hAnsi="Georgia" w:cs="Arial"/>
        </w:rPr>
        <w:t xml:space="preserve">; y </w:t>
      </w:r>
      <w:r>
        <w:rPr>
          <w:rFonts w:ascii="Georgia" w:hAnsi="Georgia" w:cs="Arial"/>
          <w:lang w:val="es-CO"/>
        </w:rPr>
        <w:t xml:space="preserve">en sede de consulta </w:t>
      </w:r>
      <w:r>
        <w:rPr>
          <w:rFonts w:ascii="Georgia" w:hAnsi="Georgia" w:cs="Arial"/>
        </w:rPr>
        <w:t>alegó la imposibilidad de cumplir, mas dejó de arrimar prueba diferente a las peticiones que hizo a los albergues de La Virginia, R.</w:t>
      </w:r>
      <w:r w:rsidR="002C4872">
        <w:rPr>
          <w:rFonts w:ascii="Georgia" w:hAnsi="Georgia" w:cs="Arial"/>
        </w:rPr>
        <w:t xml:space="preserve"> (Folios 37 a 41 del CD, ib.)</w:t>
      </w:r>
      <w:r>
        <w:rPr>
          <w:rFonts w:ascii="Georgia" w:hAnsi="Georgia" w:cs="Arial"/>
        </w:rPr>
        <w:t xml:space="preserve">, no acreditó gestión </w:t>
      </w:r>
      <w:r w:rsidR="007A45C1">
        <w:rPr>
          <w:rFonts w:ascii="Georgia" w:hAnsi="Georgia" w:cs="Arial"/>
        </w:rPr>
        <w:t>adicional</w:t>
      </w:r>
      <w:r>
        <w:rPr>
          <w:rFonts w:ascii="Georgia" w:hAnsi="Georgia" w:cs="Arial"/>
        </w:rPr>
        <w:t xml:space="preserve">, fue pasivo. </w:t>
      </w:r>
      <w:r w:rsidR="003D699A">
        <w:rPr>
          <w:rFonts w:ascii="Georgia" w:hAnsi="Georgia" w:cs="Arial"/>
        </w:rPr>
        <w:t>En ese orden de ideas, se negará el amparo constitucional por la inexistencia de vulneración o amenaza del derecho al debido proceso.</w:t>
      </w:r>
    </w:p>
    <w:p w:rsidR="00C61F9A" w:rsidRDefault="00C61F9A" w:rsidP="007B3376">
      <w:pPr>
        <w:spacing w:line="360" w:lineRule="auto"/>
        <w:ind w:right="51"/>
        <w:jc w:val="both"/>
        <w:rPr>
          <w:rFonts w:ascii="Georgia" w:hAnsi="Georgia" w:cs="Arial"/>
        </w:rPr>
      </w:pPr>
    </w:p>
    <w:p w:rsidR="003D699A" w:rsidRDefault="003D699A" w:rsidP="00BC6976">
      <w:pPr>
        <w:spacing w:line="360" w:lineRule="auto"/>
        <w:jc w:val="both"/>
        <w:rPr>
          <w:rFonts w:ascii="Georgia" w:hAnsi="Georgia" w:cs="Arial"/>
          <w:lang w:val="es-CO"/>
        </w:rPr>
      </w:pPr>
      <w:r>
        <w:rPr>
          <w:rFonts w:ascii="Georgia" w:hAnsi="Georgia" w:cs="Arial"/>
        </w:rPr>
        <w:t xml:space="preserve">De otro lado, aunque no sea objeto de análisis, </w:t>
      </w:r>
      <w:r w:rsidR="003F0843">
        <w:rPr>
          <w:rFonts w:ascii="Georgia" w:hAnsi="Georgia" w:cs="Arial"/>
        </w:rPr>
        <w:t xml:space="preserve">cabe </w:t>
      </w:r>
      <w:r w:rsidR="00BC6976">
        <w:rPr>
          <w:rFonts w:ascii="Georgia" w:hAnsi="Georgia" w:cs="Arial"/>
        </w:rPr>
        <w:t>precisa</w:t>
      </w:r>
      <w:r w:rsidR="003F0843">
        <w:rPr>
          <w:rFonts w:ascii="Georgia" w:hAnsi="Georgia" w:cs="Arial"/>
        </w:rPr>
        <w:t>r</w:t>
      </w:r>
      <w:r w:rsidR="00BC6976">
        <w:rPr>
          <w:rFonts w:ascii="Georgia" w:hAnsi="Georgia" w:cs="Arial"/>
        </w:rPr>
        <w:t xml:space="preserve"> que </w:t>
      </w:r>
      <w:r w:rsidR="003F0843">
        <w:rPr>
          <w:rFonts w:ascii="Georgia" w:hAnsi="Georgia" w:cs="Arial"/>
        </w:rPr>
        <w:t xml:space="preserve">aún con una </w:t>
      </w:r>
      <w:r>
        <w:rPr>
          <w:rFonts w:ascii="Georgia" w:hAnsi="Georgia" w:cs="Arial"/>
        </w:rPr>
        <w:t xml:space="preserve">decisión </w:t>
      </w:r>
      <w:r w:rsidR="003F0843">
        <w:rPr>
          <w:rFonts w:ascii="Georgia" w:hAnsi="Georgia" w:cs="Arial"/>
        </w:rPr>
        <w:t xml:space="preserve">confirmatoria </w:t>
      </w:r>
      <w:r w:rsidR="009D6974">
        <w:rPr>
          <w:rFonts w:ascii="Georgia" w:hAnsi="Georgia" w:cs="Arial"/>
        </w:rPr>
        <w:t>de la sanción</w:t>
      </w:r>
      <w:r>
        <w:rPr>
          <w:rFonts w:ascii="Georgia" w:hAnsi="Georgia" w:cs="Arial"/>
        </w:rPr>
        <w:t xml:space="preserve">, dicha providencia puede ser </w:t>
      </w:r>
      <w:proofErr w:type="spellStart"/>
      <w:r>
        <w:rPr>
          <w:rFonts w:ascii="Georgia" w:hAnsi="Georgia" w:cs="Arial"/>
        </w:rPr>
        <w:t>inejecutada</w:t>
      </w:r>
      <w:proofErr w:type="spellEnd"/>
      <w:r>
        <w:rPr>
          <w:rFonts w:ascii="Georgia" w:hAnsi="Georgia" w:cs="Arial"/>
        </w:rPr>
        <w:t xml:space="preserve"> por la Jueza de conocimiento en el evento </w:t>
      </w:r>
      <w:r w:rsidR="009D6974">
        <w:rPr>
          <w:rFonts w:ascii="Georgia" w:hAnsi="Georgia" w:cs="Arial"/>
        </w:rPr>
        <w:t xml:space="preserve">de </w:t>
      </w:r>
      <w:r>
        <w:rPr>
          <w:rFonts w:ascii="Georgia" w:hAnsi="Georgia" w:cs="Arial"/>
        </w:rPr>
        <w:t>que advierta el cumplimiento de la orden tutelar</w:t>
      </w:r>
      <w:r w:rsidR="00BC6976">
        <w:rPr>
          <w:rFonts w:ascii="Georgia" w:hAnsi="Georgia" w:cs="Arial"/>
        </w:rPr>
        <w:t xml:space="preserve">. </w:t>
      </w:r>
      <w:r w:rsidR="00BC6976">
        <w:rPr>
          <w:rFonts w:ascii="Georgia" w:hAnsi="Georgia" w:cs="Arial"/>
          <w:lang w:val="es-CO"/>
        </w:rPr>
        <w:t xml:space="preserve">El </w:t>
      </w:r>
      <w:proofErr w:type="spellStart"/>
      <w:r w:rsidR="00BC6976">
        <w:rPr>
          <w:rFonts w:ascii="Georgia" w:hAnsi="Georgia" w:cs="Arial"/>
          <w:lang w:val="es-CO"/>
        </w:rPr>
        <w:t>incidentado</w:t>
      </w:r>
      <w:proofErr w:type="spellEnd"/>
      <w:r w:rsidR="00BC6976">
        <w:rPr>
          <w:rFonts w:ascii="Georgia" w:hAnsi="Georgia" w:cs="Arial"/>
          <w:lang w:val="es-CO"/>
        </w:rPr>
        <w:t xml:space="preserve"> puede</w:t>
      </w:r>
      <w:r w:rsidRPr="002541E9">
        <w:rPr>
          <w:rFonts w:ascii="Georgia" w:hAnsi="Georgia" w:cs="Arial"/>
          <w:lang w:val="es-CO"/>
        </w:rPr>
        <w:t xml:space="preserve">: </w:t>
      </w:r>
      <w:r w:rsidRPr="002541E9">
        <w:rPr>
          <w:rFonts w:ascii="Georgia" w:hAnsi="Georgia" w:cs="Arial"/>
          <w:i/>
          <w:sz w:val="22"/>
          <w:lang w:val="es-CO"/>
        </w:rPr>
        <w:t xml:space="preserve">“(…)  librarse  de  las  sanciones impuestas incluso si el acatamiento se da luego de consultada y confirmada la sanción, </w:t>
      </w:r>
      <w:r w:rsidRPr="009D6974">
        <w:rPr>
          <w:rFonts w:ascii="Georgia" w:hAnsi="Georgia" w:cs="Arial"/>
          <w:i/>
          <w:sz w:val="22"/>
          <w:u w:val="single"/>
          <w:lang w:val="es-CO"/>
        </w:rPr>
        <w:t>siempre y cuando se acredite el cumplimiento del fallo de tutela</w:t>
      </w:r>
      <w:r w:rsidRPr="009D6974">
        <w:rPr>
          <w:rFonts w:ascii="Georgia" w:hAnsi="Georgia" w:cs="Arial"/>
          <w:i/>
          <w:sz w:val="22"/>
          <w:lang w:val="es-CO"/>
        </w:rPr>
        <w:t xml:space="preserve"> (…)”</w:t>
      </w:r>
      <w:r w:rsidRPr="009D6974">
        <w:rPr>
          <w:rFonts w:ascii="Georgia" w:hAnsi="Georgia" w:cs="Arial"/>
          <w:sz w:val="22"/>
          <w:vertAlign w:val="superscript"/>
          <w:lang w:val="es-CO"/>
        </w:rPr>
        <w:footnoteReference w:id="27"/>
      </w:r>
      <w:r w:rsidR="009D6974">
        <w:rPr>
          <w:rFonts w:ascii="Georgia" w:hAnsi="Georgia" w:cs="Arial"/>
          <w:i/>
          <w:sz w:val="22"/>
          <w:lang w:val="es-CO"/>
        </w:rPr>
        <w:t>,</w:t>
      </w:r>
      <w:r w:rsidRPr="002541E9">
        <w:rPr>
          <w:rFonts w:ascii="Georgia" w:hAnsi="Georgia" w:cs="Arial"/>
          <w:i/>
          <w:sz w:val="22"/>
          <w:lang w:val="es-CO"/>
        </w:rPr>
        <w:t xml:space="preserve"> </w:t>
      </w:r>
      <w:r w:rsidR="009D6974" w:rsidRPr="003F0843">
        <w:rPr>
          <w:rFonts w:ascii="Georgia" w:hAnsi="Georgia" w:cs="Arial"/>
          <w:sz w:val="22"/>
          <w:lang w:val="es-CO"/>
        </w:rPr>
        <w:t>d</w:t>
      </w:r>
      <w:r w:rsidRPr="003F0843">
        <w:rPr>
          <w:rFonts w:ascii="Georgia" w:hAnsi="Georgia" w:cs="Arial"/>
          <w:lang w:val="es-CO"/>
        </w:rPr>
        <w:t>i</w:t>
      </w:r>
      <w:r>
        <w:rPr>
          <w:rFonts w:ascii="Georgia" w:hAnsi="Georgia" w:cs="Arial"/>
          <w:lang w:val="es-CO"/>
        </w:rPr>
        <w:t xml:space="preserve">scernimiento </w:t>
      </w:r>
      <w:r w:rsidR="009D6974">
        <w:rPr>
          <w:rFonts w:ascii="Georgia" w:hAnsi="Georgia" w:cs="Arial"/>
          <w:lang w:val="es-CO"/>
        </w:rPr>
        <w:t xml:space="preserve">que es </w:t>
      </w:r>
      <w:r>
        <w:rPr>
          <w:rFonts w:ascii="Georgia" w:hAnsi="Georgia" w:cs="Arial"/>
          <w:lang w:val="es-CO"/>
        </w:rPr>
        <w:t xml:space="preserve">compartido </w:t>
      </w:r>
      <w:r w:rsidRPr="002541E9">
        <w:rPr>
          <w:rFonts w:ascii="Georgia" w:hAnsi="Georgia" w:cs="Arial"/>
          <w:lang w:val="es-CO"/>
        </w:rPr>
        <w:t>por la CSJ</w:t>
      </w:r>
      <w:r w:rsidRPr="002541E9">
        <w:rPr>
          <w:rStyle w:val="Refdenotaalpie"/>
          <w:rFonts w:ascii="Arial" w:hAnsi="Arial" w:cs="Arial"/>
        </w:rPr>
        <w:footnoteReference w:id="28"/>
      </w:r>
      <w:r w:rsidRPr="002541E9">
        <w:rPr>
          <w:rFonts w:ascii="Georgia" w:hAnsi="Georgia" w:cs="Arial"/>
          <w:lang w:val="es-CO"/>
        </w:rPr>
        <w:t>.</w:t>
      </w:r>
      <w:r>
        <w:rPr>
          <w:rFonts w:ascii="Arial" w:hAnsi="Arial" w:cs="Arial"/>
        </w:rPr>
        <w:t xml:space="preserve"> </w:t>
      </w:r>
      <w:r w:rsidRPr="002541E9">
        <w:rPr>
          <w:rFonts w:ascii="Georgia" w:hAnsi="Georgia" w:cs="Arial"/>
          <w:lang w:val="es-CO"/>
        </w:rPr>
        <w:t xml:space="preserve"> </w:t>
      </w:r>
    </w:p>
    <w:p w:rsidR="00A67A68" w:rsidRPr="002541E9" w:rsidRDefault="00A67A68" w:rsidP="00BC6976">
      <w:pPr>
        <w:spacing w:line="360" w:lineRule="auto"/>
        <w:jc w:val="both"/>
        <w:rPr>
          <w:rFonts w:ascii="Georgia" w:hAnsi="Georgia" w:cs="Arial"/>
          <w:lang w:val="es-CO"/>
        </w:rPr>
      </w:pPr>
    </w:p>
    <w:p w:rsidR="00205C64" w:rsidRPr="00F851F3" w:rsidRDefault="00205C64" w:rsidP="00260F52">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4"/>
          <w:szCs w:val="24"/>
        </w:rPr>
      </w:pPr>
      <w:r w:rsidRPr="00F851F3">
        <w:rPr>
          <w:rFonts w:ascii="Georgia" w:hAnsi="Georgia" w:cs="Arial"/>
          <w:sz w:val="24"/>
          <w:szCs w:val="24"/>
        </w:rPr>
        <w:t xml:space="preserve">LAS CONCLUSIONES </w:t>
      </w:r>
    </w:p>
    <w:p w:rsidR="00205C64" w:rsidRPr="00BC6976" w:rsidRDefault="00205C64" w:rsidP="00205C64">
      <w:pPr>
        <w:pStyle w:val="Textoindependiente"/>
        <w:spacing w:line="360" w:lineRule="auto"/>
        <w:rPr>
          <w:rFonts w:ascii="Georgia" w:hAnsi="Georgia" w:cs="Arial"/>
          <w:sz w:val="24"/>
          <w:szCs w:val="24"/>
        </w:rPr>
      </w:pPr>
    </w:p>
    <w:p w:rsidR="0063381F" w:rsidRPr="00F851F3" w:rsidRDefault="0063381F" w:rsidP="0063381F">
      <w:pPr>
        <w:pStyle w:val="Textoindependiente"/>
        <w:tabs>
          <w:tab w:val="clear" w:pos="708"/>
        </w:tabs>
        <w:spacing w:line="360" w:lineRule="auto"/>
        <w:rPr>
          <w:rFonts w:ascii="Georgia" w:hAnsi="Georgia" w:cs="Arial"/>
          <w:sz w:val="24"/>
          <w:szCs w:val="24"/>
          <w:lang w:val="es-ES"/>
        </w:rPr>
      </w:pPr>
      <w:r w:rsidRPr="00F851F3">
        <w:rPr>
          <w:rFonts w:ascii="Georgia" w:hAnsi="Georgia" w:cs="Arial"/>
          <w:sz w:val="24"/>
          <w:szCs w:val="24"/>
          <w:lang w:val="es-ES"/>
        </w:rPr>
        <w:t>Con fundamento en las consideraciones expuestas</w:t>
      </w:r>
      <w:r w:rsidR="00E619EE" w:rsidRPr="00F851F3">
        <w:rPr>
          <w:rFonts w:ascii="Georgia" w:hAnsi="Georgia" w:cs="Arial"/>
          <w:sz w:val="24"/>
          <w:szCs w:val="24"/>
          <w:lang w:val="es-ES"/>
        </w:rPr>
        <w:t xml:space="preserve"> s</w:t>
      </w:r>
      <w:r w:rsidRPr="00F851F3">
        <w:rPr>
          <w:rFonts w:ascii="Georgia" w:hAnsi="Georgia" w:cs="Arial"/>
          <w:sz w:val="24"/>
          <w:szCs w:val="24"/>
          <w:lang w:val="es-ES"/>
        </w:rPr>
        <w:t xml:space="preserve">e </w:t>
      </w:r>
      <w:r w:rsidR="00E619EE" w:rsidRPr="00F851F3">
        <w:rPr>
          <w:rFonts w:ascii="Georgia" w:hAnsi="Georgia" w:cs="Arial"/>
          <w:sz w:val="24"/>
          <w:szCs w:val="24"/>
          <w:lang w:val="es-ES"/>
        </w:rPr>
        <w:t xml:space="preserve">negará </w:t>
      </w:r>
      <w:r w:rsidRPr="00F851F3">
        <w:rPr>
          <w:rFonts w:ascii="Georgia" w:hAnsi="Georgia" w:cs="Arial"/>
          <w:sz w:val="24"/>
          <w:szCs w:val="24"/>
          <w:lang w:val="es-ES"/>
        </w:rPr>
        <w:t xml:space="preserve">el </w:t>
      </w:r>
      <w:r w:rsidR="00E619EE" w:rsidRPr="00F851F3">
        <w:rPr>
          <w:rFonts w:ascii="Georgia" w:hAnsi="Georgia" w:cs="Arial"/>
          <w:sz w:val="24"/>
          <w:szCs w:val="24"/>
          <w:lang w:val="es-ES"/>
        </w:rPr>
        <w:t>amparo</w:t>
      </w:r>
      <w:r w:rsidRPr="00F851F3">
        <w:rPr>
          <w:rFonts w:ascii="Georgia" w:hAnsi="Georgia" w:cs="Arial"/>
          <w:sz w:val="24"/>
          <w:szCs w:val="24"/>
          <w:lang w:val="es-ES"/>
        </w:rPr>
        <w:t xml:space="preserve"> por </w:t>
      </w:r>
      <w:r w:rsidR="00E619EE" w:rsidRPr="00F851F3">
        <w:rPr>
          <w:rFonts w:ascii="Georgia" w:hAnsi="Georgia" w:cs="Arial"/>
          <w:sz w:val="24"/>
          <w:szCs w:val="24"/>
          <w:lang w:val="es-ES"/>
        </w:rPr>
        <w:t xml:space="preserve">ser inexistente </w:t>
      </w:r>
      <w:r w:rsidR="00B8719E" w:rsidRPr="00F851F3">
        <w:rPr>
          <w:rFonts w:ascii="Georgia" w:hAnsi="Georgia" w:cs="Arial"/>
          <w:sz w:val="24"/>
          <w:szCs w:val="24"/>
          <w:lang w:val="es-ES"/>
        </w:rPr>
        <w:t xml:space="preserve">el </w:t>
      </w:r>
      <w:r w:rsidRPr="00F851F3">
        <w:rPr>
          <w:rFonts w:ascii="Georgia" w:hAnsi="Georgia" w:cs="Arial"/>
          <w:sz w:val="24"/>
          <w:szCs w:val="24"/>
        </w:rPr>
        <w:t xml:space="preserve">defecto </w:t>
      </w:r>
      <w:r w:rsidR="00B8719E" w:rsidRPr="00F851F3">
        <w:rPr>
          <w:rFonts w:ascii="Georgia" w:hAnsi="Georgia" w:cs="Arial"/>
          <w:sz w:val="24"/>
          <w:szCs w:val="24"/>
        </w:rPr>
        <w:t>de desconocimiento del precedente jurisprudencial</w:t>
      </w:r>
      <w:r w:rsidR="000B061B" w:rsidRPr="00F851F3">
        <w:rPr>
          <w:rFonts w:ascii="Georgia" w:hAnsi="Georgia"/>
          <w:sz w:val="24"/>
          <w:szCs w:val="24"/>
        </w:rPr>
        <w:t>.</w:t>
      </w:r>
    </w:p>
    <w:p w:rsidR="0063381F" w:rsidRPr="00F851F3" w:rsidRDefault="0063381F" w:rsidP="0063381F">
      <w:pPr>
        <w:pStyle w:val="Textoindependiente"/>
        <w:spacing w:line="360" w:lineRule="auto"/>
        <w:rPr>
          <w:rFonts w:ascii="Georgia" w:hAnsi="Georgia" w:cs="Arial"/>
          <w:szCs w:val="24"/>
          <w:lang w:val="es-CO"/>
        </w:rPr>
      </w:pPr>
    </w:p>
    <w:p w:rsidR="0063381F" w:rsidRPr="00F851F3" w:rsidRDefault="0063381F" w:rsidP="0063381F">
      <w:pPr>
        <w:tabs>
          <w:tab w:val="left" w:pos="-720"/>
        </w:tabs>
        <w:suppressAutoHyphens/>
        <w:spacing w:line="360" w:lineRule="auto"/>
        <w:jc w:val="both"/>
        <w:rPr>
          <w:rFonts w:ascii="Georgia" w:hAnsi="Georgia" w:cs="Arial"/>
        </w:rPr>
      </w:pPr>
      <w:r w:rsidRPr="00F851F3">
        <w:rPr>
          <w:rFonts w:ascii="Georgia" w:hAnsi="Georgia" w:cs="Arial"/>
        </w:rPr>
        <w:t xml:space="preserve">En mérito de lo expuesto, el </w:t>
      </w:r>
      <w:r w:rsidRPr="00F851F3">
        <w:rPr>
          <w:rFonts w:ascii="Georgia" w:hAnsi="Georgia" w:cs="Arial"/>
          <w:bCs/>
          <w:smallCaps/>
        </w:rPr>
        <w:t>Tribunal Superior del Distrito Judicial de Pereira, Risaralda, Sala de Decisión Civil - Familia</w:t>
      </w:r>
      <w:r w:rsidRPr="00F851F3">
        <w:rPr>
          <w:rFonts w:ascii="Georgia" w:hAnsi="Georgia" w:cs="Arial"/>
        </w:rPr>
        <w:t>, administrando Justicia, en nombre de la República y por autoridad de la Ley,</w:t>
      </w:r>
    </w:p>
    <w:p w:rsidR="0063381F" w:rsidRPr="00F851F3" w:rsidRDefault="0063381F" w:rsidP="0063381F">
      <w:pPr>
        <w:tabs>
          <w:tab w:val="left" w:pos="-720"/>
        </w:tabs>
        <w:suppressAutoHyphens/>
        <w:spacing w:line="360" w:lineRule="auto"/>
        <w:jc w:val="both"/>
        <w:rPr>
          <w:rFonts w:ascii="Georgia" w:hAnsi="Georgia" w:cs="Arial"/>
          <w:sz w:val="12"/>
        </w:rPr>
      </w:pPr>
    </w:p>
    <w:p w:rsidR="0063381F" w:rsidRPr="00F851F3" w:rsidRDefault="0063381F" w:rsidP="0063381F">
      <w:pPr>
        <w:pStyle w:val="Textoindependiente"/>
        <w:spacing w:line="360" w:lineRule="auto"/>
        <w:jc w:val="center"/>
        <w:rPr>
          <w:rFonts w:ascii="Georgia" w:hAnsi="Georgia" w:cs="Arial"/>
          <w:bCs/>
          <w:smallCaps/>
          <w:sz w:val="24"/>
          <w:szCs w:val="24"/>
        </w:rPr>
      </w:pPr>
      <w:r w:rsidRPr="00F851F3">
        <w:rPr>
          <w:rFonts w:ascii="Georgia" w:hAnsi="Georgia" w:cs="Arial"/>
          <w:bCs/>
          <w:smallCaps/>
          <w:sz w:val="24"/>
          <w:szCs w:val="24"/>
        </w:rPr>
        <w:t xml:space="preserve">F A L </w:t>
      </w:r>
      <w:proofErr w:type="spellStart"/>
      <w:r w:rsidRPr="00F851F3">
        <w:rPr>
          <w:rFonts w:ascii="Georgia" w:hAnsi="Georgia" w:cs="Arial"/>
          <w:bCs/>
          <w:smallCaps/>
          <w:sz w:val="24"/>
          <w:szCs w:val="24"/>
        </w:rPr>
        <w:t>L</w:t>
      </w:r>
      <w:proofErr w:type="spellEnd"/>
      <w:r w:rsidRPr="00F851F3">
        <w:rPr>
          <w:rFonts w:ascii="Georgia" w:hAnsi="Georgia" w:cs="Arial"/>
          <w:bCs/>
          <w:smallCaps/>
          <w:sz w:val="24"/>
          <w:szCs w:val="24"/>
        </w:rPr>
        <w:t xml:space="preserve"> A,</w:t>
      </w:r>
    </w:p>
    <w:p w:rsidR="00663B5A" w:rsidRPr="00F851F3" w:rsidRDefault="00663B5A" w:rsidP="0063381F">
      <w:pPr>
        <w:pStyle w:val="Textoindependiente"/>
        <w:spacing w:line="360" w:lineRule="auto"/>
        <w:jc w:val="center"/>
        <w:rPr>
          <w:rFonts w:ascii="Georgia" w:hAnsi="Georgia" w:cs="Arial"/>
          <w:bCs/>
          <w:smallCaps/>
          <w:sz w:val="24"/>
          <w:szCs w:val="24"/>
        </w:rPr>
      </w:pPr>
    </w:p>
    <w:p w:rsidR="0063381F" w:rsidRPr="00F851F3" w:rsidRDefault="00E619EE"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sz w:val="24"/>
          <w:szCs w:val="24"/>
        </w:rPr>
        <w:t xml:space="preserve">NEGAR la acción de tutela presentada por </w:t>
      </w:r>
      <w:r w:rsidR="00BC6976">
        <w:rPr>
          <w:rFonts w:ascii="Georgia" w:hAnsi="Georgia"/>
          <w:sz w:val="24"/>
          <w:szCs w:val="24"/>
        </w:rPr>
        <w:t xml:space="preserve">el señor </w:t>
      </w:r>
      <w:r w:rsidR="00F851F3">
        <w:rPr>
          <w:rFonts w:ascii="Georgia" w:hAnsi="Georgia"/>
          <w:sz w:val="24"/>
          <w:szCs w:val="24"/>
        </w:rPr>
        <w:t>Javier Antonio Ocampo López</w:t>
      </w:r>
      <w:r w:rsidRPr="00F851F3">
        <w:rPr>
          <w:rFonts w:ascii="Georgia" w:hAnsi="Georgia"/>
          <w:sz w:val="24"/>
          <w:szCs w:val="24"/>
        </w:rPr>
        <w:t xml:space="preserve"> </w:t>
      </w:r>
      <w:r w:rsidR="00BC6976">
        <w:rPr>
          <w:rFonts w:ascii="Georgia" w:hAnsi="Georgia"/>
          <w:sz w:val="24"/>
          <w:szCs w:val="24"/>
        </w:rPr>
        <w:t xml:space="preserve">en calidad de Alcalde de La Virginia </w:t>
      </w:r>
      <w:r w:rsidRPr="00F851F3">
        <w:rPr>
          <w:rFonts w:ascii="Georgia" w:hAnsi="Georgia"/>
          <w:sz w:val="24"/>
          <w:szCs w:val="24"/>
        </w:rPr>
        <w:t xml:space="preserve">contra los Juzgados </w:t>
      </w:r>
      <w:r w:rsidR="00BC6976">
        <w:rPr>
          <w:rFonts w:ascii="Georgia" w:hAnsi="Georgia"/>
          <w:sz w:val="24"/>
          <w:szCs w:val="24"/>
        </w:rPr>
        <w:t>Promiscuos Municipal y del Circuito de esa municipalidad.</w:t>
      </w:r>
      <w:r w:rsidRPr="00F851F3">
        <w:rPr>
          <w:rFonts w:ascii="Georgia" w:hAnsi="Georgia"/>
          <w:sz w:val="24"/>
          <w:szCs w:val="24"/>
        </w:rPr>
        <w:t>, por inexistencia de defecto por el desconocimiento del precedente</w:t>
      </w:r>
      <w:r w:rsidR="0063381F" w:rsidRPr="00F851F3">
        <w:rPr>
          <w:rFonts w:ascii="Georgia" w:hAnsi="Georgia" w:cs="Arial"/>
          <w:sz w:val="24"/>
          <w:szCs w:val="24"/>
          <w:lang w:val="es-ES"/>
        </w:rPr>
        <w:t>.</w:t>
      </w:r>
    </w:p>
    <w:p w:rsidR="00663B5A" w:rsidRPr="00F851F3" w:rsidRDefault="00663B5A" w:rsidP="00663B5A">
      <w:pPr>
        <w:pStyle w:val="Textoindependiente"/>
        <w:tabs>
          <w:tab w:val="clear" w:pos="708"/>
        </w:tabs>
        <w:spacing w:line="360" w:lineRule="auto"/>
        <w:ind w:left="360"/>
        <w:rPr>
          <w:rFonts w:ascii="Georgia" w:hAnsi="Georgia"/>
          <w:sz w:val="24"/>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sz w:val="24"/>
          <w:szCs w:val="24"/>
        </w:rPr>
        <w:t>NOTIFICAR esta decisión a todas las partes, por el medio más expedito y eficaz.</w:t>
      </w:r>
    </w:p>
    <w:p w:rsidR="00663B5A" w:rsidRPr="00F851F3" w:rsidRDefault="00663B5A" w:rsidP="00663B5A">
      <w:pPr>
        <w:pStyle w:val="Textoindependiente"/>
        <w:tabs>
          <w:tab w:val="clear" w:pos="708"/>
        </w:tabs>
        <w:spacing w:line="360" w:lineRule="auto"/>
        <w:rPr>
          <w:rFonts w:ascii="Georgia" w:hAnsi="Georgia"/>
          <w:sz w:val="24"/>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cs="Arial"/>
          <w:sz w:val="24"/>
          <w:szCs w:val="24"/>
        </w:rPr>
        <w:t xml:space="preserve">REMITIR este expediente, de no ser impugnado este fallo, a la </w:t>
      </w:r>
      <w:r w:rsidR="00BC6976">
        <w:rPr>
          <w:rFonts w:ascii="Georgia" w:hAnsi="Georgia" w:cs="Arial"/>
          <w:sz w:val="24"/>
          <w:szCs w:val="24"/>
        </w:rPr>
        <w:t xml:space="preserve">CC </w:t>
      </w:r>
      <w:r w:rsidRPr="00F851F3">
        <w:rPr>
          <w:rFonts w:ascii="Georgia" w:hAnsi="Georgia" w:cs="Arial"/>
          <w:sz w:val="24"/>
          <w:szCs w:val="24"/>
        </w:rPr>
        <w:t>para su eventual revisión.</w:t>
      </w:r>
    </w:p>
    <w:p w:rsidR="00663B5A" w:rsidRPr="00F851F3" w:rsidRDefault="00663B5A" w:rsidP="00663B5A">
      <w:pPr>
        <w:pStyle w:val="Textoindependiente"/>
        <w:tabs>
          <w:tab w:val="clear" w:pos="708"/>
        </w:tabs>
        <w:spacing w:line="360" w:lineRule="auto"/>
        <w:rPr>
          <w:rFonts w:ascii="Georgia" w:hAnsi="Georgia"/>
          <w:sz w:val="24"/>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cs="Arial"/>
          <w:bCs/>
          <w:smallCaps/>
          <w:sz w:val="24"/>
          <w:szCs w:val="24"/>
        </w:rPr>
        <w:lastRenderedPageBreak/>
        <w:t xml:space="preserve">ARCHIVAR </w:t>
      </w:r>
      <w:r w:rsidRPr="00F851F3">
        <w:rPr>
          <w:rFonts w:ascii="Georgia" w:hAnsi="Georgia" w:cs="Arial"/>
          <w:sz w:val="24"/>
          <w:szCs w:val="24"/>
        </w:rPr>
        <w:t xml:space="preserve">el expediente, previa anotaciones en los libros </w:t>
      </w:r>
      <w:proofErr w:type="spellStart"/>
      <w:r w:rsidRPr="00F851F3">
        <w:rPr>
          <w:rFonts w:ascii="Georgia" w:hAnsi="Georgia" w:cs="Arial"/>
          <w:sz w:val="24"/>
          <w:szCs w:val="24"/>
        </w:rPr>
        <w:t>radicadores</w:t>
      </w:r>
      <w:proofErr w:type="spellEnd"/>
      <w:r w:rsidRPr="00F851F3">
        <w:rPr>
          <w:rFonts w:ascii="Georgia" w:hAnsi="Georgia" w:cs="Arial"/>
          <w:sz w:val="24"/>
          <w:szCs w:val="24"/>
        </w:rPr>
        <w:t>, una vez agotado el trámite ante la Corte Constitucional.</w:t>
      </w:r>
    </w:p>
    <w:p w:rsidR="00663B5A" w:rsidRPr="00F851F3" w:rsidRDefault="00663B5A" w:rsidP="00126266">
      <w:pPr>
        <w:pStyle w:val="Textoindependiente"/>
        <w:spacing w:line="360" w:lineRule="auto"/>
        <w:jc w:val="center"/>
        <w:rPr>
          <w:rFonts w:ascii="Georgia" w:hAnsi="Georgia"/>
          <w:smallCaps/>
          <w:sz w:val="14"/>
          <w:szCs w:val="24"/>
        </w:rPr>
      </w:pPr>
    </w:p>
    <w:p w:rsidR="00126266" w:rsidRPr="00F851F3" w:rsidRDefault="00126266" w:rsidP="00126266">
      <w:pPr>
        <w:pStyle w:val="Textoindependiente"/>
        <w:spacing w:line="360" w:lineRule="auto"/>
        <w:jc w:val="center"/>
        <w:rPr>
          <w:rFonts w:ascii="Georgia" w:hAnsi="Georgia"/>
          <w:smallCaps/>
          <w:sz w:val="24"/>
          <w:szCs w:val="24"/>
        </w:rPr>
      </w:pPr>
      <w:r w:rsidRPr="00F851F3">
        <w:rPr>
          <w:rFonts w:ascii="Georgia" w:hAnsi="Georgia"/>
          <w:smallCaps/>
          <w:sz w:val="24"/>
          <w:szCs w:val="24"/>
        </w:rPr>
        <w:t>Notifíquese,</w:t>
      </w:r>
    </w:p>
    <w:p w:rsidR="003A3AF6" w:rsidRDefault="003A3AF6"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8"/>
          <w:szCs w:val="18"/>
        </w:rPr>
      </w:pPr>
    </w:p>
    <w:p w:rsidR="00BC6976" w:rsidRPr="00BC6976" w:rsidRDefault="00BC6976"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szCs w:val="18"/>
        </w:rPr>
      </w:pPr>
    </w:p>
    <w:p w:rsidR="00687E88" w:rsidRPr="00F851F3"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F851F3">
        <w:rPr>
          <w:rFonts w:ascii="Georgia" w:hAnsi="Georgia" w:cs="Arial"/>
          <w:i/>
          <w:spacing w:val="-3"/>
          <w:w w:val="150"/>
          <w:sz w:val="28"/>
          <w:lang w:val="es-ES_tradnl"/>
        </w:rPr>
        <w:t>D</w:t>
      </w:r>
      <w:r w:rsidRPr="00F851F3">
        <w:rPr>
          <w:rFonts w:ascii="Georgia" w:hAnsi="Georgia" w:cs="Arial"/>
          <w:i/>
          <w:spacing w:val="-3"/>
          <w:w w:val="150"/>
          <w:sz w:val="18"/>
          <w:szCs w:val="16"/>
          <w:lang w:val="es-ES_tradnl"/>
        </w:rPr>
        <w:t xml:space="preserve">UBERNEY </w:t>
      </w:r>
      <w:r w:rsidRPr="00F851F3">
        <w:rPr>
          <w:rFonts w:ascii="Georgia" w:hAnsi="Georgia" w:cs="Arial"/>
          <w:i/>
          <w:spacing w:val="-3"/>
          <w:w w:val="150"/>
          <w:sz w:val="28"/>
          <w:lang w:val="es-ES_tradnl"/>
        </w:rPr>
        <w:t>G</w:t>
      </w:r>
      <w:r w:rsidRPr="00F851F3">
        <w:rPr>
          <w:rFonts w:ascii="Georgia" w:hAnsi="Georgia" w:cs="Arial"/>
          <w:i/>
          <w:spacing w:val="-3"/>
          <w:w w:val="150"/>
          <w:sz w:val="18"/>
          <w:szCs w:val="16"/>
          <w:lang w:val="es-ES_tradnl"/>
        </w:rPr>
        <w:t xml:space="preserve">RISALES </w:t>
      </w:r>
      <w:r w:rsidRPr="00F851F3">
        <w:rPr>
          <w:rFonts w:ascii="Georgia" w:hAnsi="Georgia" w:cs="Arial"/>
          <w:i/>
          <w:spacing w:val="-3"/>
          <w:w w:val="150"/>
          <w:sz w:val="28"/>
          <w:lang w:val="es-ES_tradnl"/>
        </w:rPr>
        <w:t>H</w:t>
      </w:r>
      <w:r w:rsidRPr="00F851F3">
        <w:rPr>
          <w:rFonts w:ascii="Georgia" w:hAnsi="Georgia" w:cs="Arial"/>
          <w:i/>
          <w:spacing w:val="-3"/>
          <w:w w:val="150"/>
          <w:sz w:val="18"/>
          <w:szCs w:val="16"/>
          <w:lang w:val="es-ES_tradnl"/>
        </w:rPr>
        <w:t>ERRERA</w:t>
      </w:r>
    </w:p>
    <w:p w:rsidR="00687E88" w:rsidRPr="00F851F3"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F851F3">
        <w:rPr>
          <w:rFonts w:ascii="Georgia" w:hAnsi="Georgia" w:cs="Arial"/>
          <w:i/>
          <w:spacing w:val="-3"/>
          <w:w w:val="150"/>
          <w:sz w:val="28"/>
          <w:lang w:val="es-ES_tradnl"/>
        </w:rPr>
        <w:t>M</w:t>
      </w:r>
      <w:r w:rsidRPr="00F851F3">
        <w:rPr>
          <w:rFonts w:ascii="Georgia" w:hAnsi="Georgia" w:cs="Arial"/>
          <w:i/>
          <w:spacing w:val="-3"/>
          <w:w w:val="150"/>
          <w:lang w:val="es-ES_tradnl"/>
        </w:rPr>
        <w:t xml:space="preserve"> </w:t>
      </w:r>
      <w:r w:rsidRPr="00F851F3">
        <w:rPr>
          <w:rFonts w:ascii="Georgia" w:hAnsi="Georgia" w:cs="Arial"/>
          <w:i/>
          <w:spacing w:val="-3"/>
          <w:w w:val="150"/>
          <w:sz w:val="18"/>
          <w:szCs w:val="20"/>
          <w:lang w:val="es-ES_tradnl"/>
        </w:rPr>
        <w:t>A G I S T R A D O</w:t>
      </w:r>
    </w:p>
    <w:p w:rsidR="0082689E" w:rsidRPr="00F851F3" w:rsidRDefault="0082689E"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s-ES_tradnl"/>
        </w:rPr>
      </w:pPr>
    </w:p>
    <w:p w:rsidR="003A3AF6" w:rsidRPr="00F851F3" w:rsidRDefault="003A3AF6"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s-ES_tradnl"/>
        </w:rPr>
      </w:pPr>
    </w:p>
    <w:p w:rsidR="003A3AF6" w:rsidRPr="00BC6976" w:rsidRDefault="003A3AF6"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4"/>
          <w:szCs w:val="18"/>
          <w:lang w:val="es-ES_tradnl"/>
        </w:rPr>
      </w:pPr>
    </w:p>
    <w:p w:rsidR="00687E88" w:rsidRPr="00F851F3"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szCs w:val="18"/>
          <w:lang w:val="es-ES_tradnl"/>
        </w:rPr>
      </w:pPr>
    </w:p>
    <w:p w:rsidR="00687E88" w:rsidRPr="00F851F3"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F851F3">
        <w:rPr>
          <w:rFonts w:ascii="Georgia" w:hAnsi="Georgia"/>
          <w:i/>
          <w:w w:val="150"/>
          <w:sz w:val="28"/>
          <w:szCs w:val="18"/>
          <w:lang w:val="es-ES_tradnl"/>
        </w:rPr>
        <w:t>E</w:t>
      </w:r>
      <w:r w:rsidRPr="00F851F3">
        <w:rPr>
          <w:rFonts w:ascii="Georgia" w:hAnsi="Georgia"/>
          <w:i/>
          <w:w w:val="150"/>
          <w:sz w:val="18"/>
          <w:szCs w:val="18"/>
          <w:lang w:val="es-ES_tradnl"/>
        </w:rPr>
        <w:t>DDER</w:t>
      </w:r>
      <w:r w:rsidRPr="00F851F3">
        <w:rPr>
          <w:rFonts w:ascii="Georgia" w:hAnsi="Georgia"/>
          <w:i/>
          <w:w w:val="150"/>
          <w:sz w:val="18"/>
          <w:lang w:val="es-ES_tradnl"/>
        </w:rPr>
        <w:t xml:space="preserve"> </w:t>
      </w:r>
      <w:r w:rsidRPr="00F851F3">
        <w:rPr>
          <w:rFonts w:ascii="Georgia" w:hAnsi="Georgia"/>
          <w:i/>
          <w:w w:val="150"/>
          <w:sz w:val="28"/>
          <w:lang w:val="es-ES_tradnl"/>
        </w:rPr>
        <w:t>J</w:t>
      </w:r>
      <w:r w:rsidRPr="00F851F3">
        <w:rPr>
          <w:rFonts w:ascii="Georgia" w:hAnsi="Georgia"/>
          <w:i/>
          <w:w w:val="150"/>
          <w:sz w:val="18"/>
          <w:szCs w:val="18"/>
          <w:lang w:val="es-ES_tradnl"/>
        </w:rPr>
        <w:t xml:space="preserve">IMMY </w:t>
      </w:r>
      <w:r w:rsidRPr="00F851F3">
        <w:rPr>
          <w:rFonts w:ascii="Georgia" w:hAnsi="Georgia"/>
          <w:i/>
          <w:w w:val="150"/>
          <w:sz w:val="28"/>
          <w:lang w:val="es-ES_tradnl"/>
        </w:rPr>
        <w:t>S</w:t>
      </w:r>
      <w:r w:rsidRPr="00F851F3">
        <w:rPr>
          <w:rFonts w:ascii="Georgia" w:hAnsi="Georgia"/>
          <w:i/>
          <w:w w:val="150"/>
          <w:sz w:val="18"/>
          <w:szCs w:val="18"/>
          <w:lang w:val="es-ES_tradnl"/>
        </w:rPr>
        <w:t xml:space="preserve">ÁNCHEZ </w:t>
      </w:r>
      <w:r w:rsidRPr="00F851F3">
        <w:rPr>
          <w:rFonts w:ascii="Georgia" w:hAnsi="Georgia"/>
          <w:i/>
          <w:w w:val="150"/>
          <w:sz w:val="28"/>
          <w:szCs w:val="18"/>
          <w:lang w:val="es-ES_tradnl"/>
        </w:rPr>
        <w:t>C.</w:t>
      </w:r>
      <w:r w:rsidRPr="00F851F3">
        <w:rPr>
          <w:rFonts w:ascii="Georgia" w:hAnsi="Georgia"/>
          <w:i/>
          <w:w w:val="150"/>
          <w:sz w:val="28"/>
          <w:szCs w:val="18"/>
          <w:lang w:val="es-ES_tradnl"/>
        </w:rPr>
        <w:tab/>
      </w:r>
      <w:r w:rsidRPr="00F851F3">
        <w:rPr>
          <w:rFonts w:ascii="Georgia" w:hAnsi="Georgia"/>
          <w:i/>
          <w:w w:val="150"/>
          <w:sz w:val="28"/>
          <w:szCs w:val="18"/>
          <w:lang w:val="es-ES_tradnl"/>
        </w:rPr>
        <w:tab/>
      </w:r>
      <w:r w:rsidRPr="00F851F3">
        <w:rPr>
          <w:rFonts w:ascii="Georgia" w:hAnsi="Georgia" w:cs="Arial"/>
          <w:i/>
          <w:spacing w:val="-3"/>
          <w:w w:val="150"/>
          <w:sz w:val="28"/>
          <w:szCs w:val="18"/>
        </w:rPr>
        <w:t>J</w:t>
      </w:r>
      <w:r w:rsidRPr="00F851F3">
        <w:rPr>
          <w:rFonts w:ascii="Georgia" w:hAnsi="Georgia" w:cs="Arial"/>
          <w:i/>
          <w:spacing w:val="-3"/>
          <w:w w:val="150"/>
          <w:sz w:val="18"/>
          <w:szCs w:val="18"/>
        </w:rPr>
        <w:t xml:space="preserve">AIME </w:t>
      </w:r>
      <w:r w:rsidRPr="00F851F3">
        <w:rPr>
          <w:rFonts w:ascii="Georgia" w:hAnsi="Georgia" w:cs="Arial"/>
          <w:i/>
          <w:spacing w:val="-3"/>
          <w:w w:val="150"/>
          <w:sz w:val="28"/>
          <w:szCs w:val="18"/>
        </w:rPr>
        <w:t>A</w:t>
      </w:r>
      <w:r w:rsidRPr="00F851F3">
        <w:rPr>
          <w:rFonts w:ascii="Georgia" w:hAnsi="Georgia"/>
          <w:i/>
          <w:w w:val="150"/>
          <w:sz w:val="18"/>
          <w:szCs w:val="18"/>
        </w:rPr>
        <w:t xml:space="preserve">LBERTO </w:t>
      </w:r>
      <w:r w:rsidRPr="00F851F3">
        <w:rPr>
          <w:rFonts w:ascii="Georgia" w:hAnsi="Georgia" w:cs="Arial"/>
          <w:i/>
          <w:spacing w:val="-3"/>
          <w:w w:val="150"/>
          <w:sz w:val="28"/>
          <w:szCs w:val="18"/>
        </w:rPr>
        <w:t>S</w:t>
      </w:r>
      <w:r w:rsidRPr="00F851F3">
        <w:rPr>
          <w:rFonts w:ascii="Georgia" w:hAnsi="Georgia" w:cs="Arial"/>
          <w:i/>
          <w:spacing w:val="-3"/>
          <w:w w:val="150"/>
          <w:sz w:val="18"/>
          <w:szCs w:val="16"/>
        </w:rPr>
        <w:t xml:space="preserve">ARAZA </w:t>
      </w:r>
      <w:r w:rsidRPr="00F851F3">
        <w:rPr>
          <w:rFonts w:ascii="Georgia" w:hAnsi="Georgia" w:cs="Arial"/>
          <w:i/>
          <w:spacing w:val="-3"/>
          <w:w w:val="150"/>
          <w:sz w:val="28"/>
          <w:szCs w:val="18"/>
        </w:rPr>
        <w:t>N.</w:t>
      </w:r>
    </w:p>
    <w:p w:rsidR="00403ECE" w:rsidRPr="00F851F3" w:rsidRDefault="00687E88"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F851F3">
        <w:rPr>
          <w:rFonts w:ascii="Georgia" w:hAnsi="Georgia" w:cs="Arial"/>
          <w:i/>
          <w:w w:val="150"/>
          <w:sz w:val="28"/>
          <w:lang w:val="es-ES_tradnl"/>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 </w:t>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w:t>
      </w:r>
    </w:p>
    <w:p w:rsidR="0087052B" w:rsidRPr="00F851F3" w:rsidRDefault="0087052B"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87052B" w:rsidRPr="00F851F3" w:rsidRDefault="0087052B" w:rsidP="0087052B">
      <w:pPr>
        <w:pStyle w:val="Textoindependiente"/>
        <w:tabs>
          <w:tab w:val="clear" w:pos="0"/>
          <w:tab w:val="clear" w:pos="708"/>
          <w:tab w:val="clear" w:pos="4248"/>
          <w:tab w:val="left" w:pos="9356"/>
          <w:tab w:val="left" w:pos="9498"/>
        </w:tabs>
        <w:spacing w:line="360" w:lineRule="auto"/>
        <w:ind w:left="7513"/>
        <w:jc w:val="right"/>
        <w:rPr>
          <w:rFonts w:ascii="Georgia" w:hAnsi="Georgia" w:cs="Arial"/>
          <w:w w:val="150"/>
          <w:sz w:val="28"/>
          <w:szCs w:val="18"/>
        </w:rPr>
      </w:pPr>
      <w:r w:rsidRPr="00F851F3">
        <w:rPr>
          <w:rFonts w:ascii="Georgia" w:hAnsi="Georgia"/>
          <w:i/>
          <w:w w:val="150"/>
          <w:sz w:val="8"/>
          <w:szCs w:val="10"/>
          <w:lang w:val="en-US"/>
        </w:rPr>
        <w:t xml:space="preserve">DGH / </w:t>
      </w:r>
      <w:r w:rsidR="00330266" w:rsidRPr="00F851F3">
        <w:rPr>
          <w:rFonts w:ascii="Georgia" w:hAnsi="Georgia"/>
          <w:i/>
          <w:w w:val="150"/>
          <w:sz w:val="8"/>
          <w:szCs w:val="10"/>
          <w:lang w:val="en-US"/>
        </w:rPr>
        <w:t>ODCD</w:t>
      </w:r>
      <w:r w:rsidRPr="00F851F3">
        <w:rPr>
          <w:rFonts w:ascii="Georgia" w:hAnsi="Georgia"/>
          <w:i/>
          <w:w w:val="150"/>
          <w:sz w:val="8"/>
          <w:szCs w:val="10"/>
          <w:lang w:val="en-US"/>
        </w:rPr>
        <w:t xml:space="preserve"> / </w:t>
      </w:r>
      <w:r w:rsidR="00BC6976">
        <w:rPr>
          <w:rFonts w:ascii="Georgia" w:hAnsi="Georgia"/>
          <w:i/>
          <w:w w:val="150"/>
          <w:sz w:val="8"/>
          <w:szCs w:val="10"/>
          <w:lang w:val="en-US"/>
        </w:rPr>
        <w:t>2018</w:t>
      </w:r>
    </w:p>
    <w:p w:rsidR="0087052B" w:rsidRPr="00F851F3" w:rsidRDefault="0087052B"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szCs w:val="18"/>
        </w:rPr>
      </w:pPr>
    </w:p>
    <w:sectPr w:rsidR="0087052B" w:rsidRPr="00F851F3" w:rsidSect="00A01C7A">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1C" w:rsidRDefault="00CF6B1C" w:rsidP="0099045D">
      <w:r>
        <w:separator/>
      </w:r>
    </w:p>
  </w:endnote>
  <w:endnote w:type="continuationSeparator" w:id="0">
    <w:p w:rsidR="00CF6B1C" w:rsidRDefault="00CF6B1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9A" w:rsidRPr="00A01C7A" w:rsidRDefault="00C61F9A" w:rsidP="0013771A">
    <w:pPr>
      <w:pStyle w:val="Piedepgina"/>
      <w:pBdr>
        <w:bottom w:val="double" w:sz="6" w:space="1" w:color="auto"/>
      </w:pBdr>
      <w:spacing w:line="360" w:lineRule="auto"/>
      <w:jc w:val="right"/>
      <w:rPr>
        <w:rFonts w:ascii="Georgia" w:hAnsi="Georgia" w:cs="Arial"/>
        <w:i/>
        <w:spacing w:val="20"/>
        <w:w w:val="200"/>
        <w:sz w:val="2"/>
        <w:szCs w:val="10"/>
        <w:lang w:val="es-CO"/>
      </w:rPr>
    </w:pPr>
  </w:p>
  <w:p w:rsidR="00C61F9A" w:rsidRPr="00A01C7A" w:rsidRDefault="00C61F9A" w:rsidP="0013771A">
    <w:pPr>
      <w:pStyle w:val="Piedepgina"/>
      <w:spacing w:line="360" w:lineRule="auto"/>
      <w:jc w:val="right"/>
      <w:rPr>
        <w:rFonts w:ascii="Georgia" w:hAnsi="Georgia" w:cs="Arial"/>
        <w:i/>
        <w:spacing w:val="20"/>
        <w:w w:val="200"/>
        <w:sz w:val="14"/>
        <w:szCs w:val="10"/>
        <w:lang w:val="es-CO"/>
      </w:rPr>
    </w:pPr>
  </w:p>
  <w:p w:rsidR="00C61F9A" w:rsidRPr="00A01C7A" w:rsidRDefault="00C61F9A" w:rsidP="0013771A">
    <w:pPr>
      <w:pStyle w:val="Piedepgina"/>
      <w:spacing w:line="360" w:lineRule="auto"/>
      <w:jc w:val="right"/>
      <w:rPr>
        <w:rFonts w:ascii="Georgia" w:hAnsi="Georgia" w:cs="Arial"/>
        <w:spacing w:val="20"/>
        <w:w w:val="200"/>
        <w:sz w:val="10"/>
        <w:szCs w:val="10"/>
        <w:lang w:val="es-CO"/>
      </w:rPr>
    </w:pPr>
    <w:r w:rsidRPr="00A01C7A">
      <w:rPr>
        <w:rFonts w:ascii="Georgia" w:hAnsi="Georgia" w:cs="Arial"/>
        <w:spacing w:val="20"/>
        <w:w w:val="200"/>
        <w:sz w:val="14"/>
        <w:szCs w:val="10"/>
        <w:lang w:val="es-CO"/>
      </w:rPr>
      <w:t>T</w:t>
    </w:r>
    <w:r w:rsidRPr="00A01C7A">
      <w:rPr>
        <w:rFonts w:ascii="Georgia" w:hAnsi="Georgia" w:cs="Arial"/>
        <w:spacing w:val="20"/>
        <w:w w:val="200"/>
        <w:sz w:val="10"/>
        <w:szCs w:val="10"/>
        <w:lang w:val="es-CO"/>
      </w:rPr>
      <w:t xml:space="preserve">RIBUNAL </w:t>
    </w:r>
    <w:r w:rsidRPr="00A01C7A">
      <w:rPr>
        <w:rFonts w:ascii="Georgia" w:hAnsi="Georgia" w:cs="Arial"/>
        <w:spacing w:val="20"/>
        <w:w w:val="200"/>
        <w:sz w:val="14"/>
        <w:szCs w:val="10"/>
        <w:lang w:val="es-CO"/>
      </w:rPr>
      <w:t>S</w:t>
    </w:r>
    <w:r w:rsidRPr="00A01C7A">
      <w:rPr>
        <w:rFonts w:ascii="Georgia" w:hAnsi="Georgia" w:cs="Arial"/>
        <w:spacing w:val="20"/>
        <w:w w:val="200"/>
        <w:sz w:val="10"/>
        <w:szCs w:val="10"/>
        <w:lang w:val="es-CO"/>
      </w:rPr>
      <w:t xml:space="preserve">UPERIOR DE </w:t>
    </w:r>
    <w:r w:rsidRPr="00A01C7A">
      <w:rPr>
        <w:rFonts w:ascii="Georgia" w:hAnsi="Georgia" w:cs="Arial"/>
        <w:spacing w:val="20"/>
        <w:w w:val="200"/>
        <w:sz w:val="14"/>
        <w:szCs w:val="10"/>
        <w:lang w:val="es-CO"/>
      </w:rPr>
      <w:t>P</w:t>
    </w:r>
    <w:r w:rsidRPr="00A01C7A">
      <w:rPr>
        <w:rFonts w:ascii="Georgia" w:hAnsi="Georgia" w:cs="Arial"/>
        <w:spacing w:val="20"/>
        <w:w w:val="200"/>
        <w:sz w:val="10"/>
        <w:szCs w:val="10"/>
        <w:lang w:val="es-CO"/>
      </w:rPr>
      <w:t>EREIRA</w:t>
    </w:r>
  </w:p>
  <w:p w:rsidR="00C61F9A" w:rsidRPr="00A01C7A" w:rsidRDefault="00C61F9A" w:rsidP="0013771A">
    <w:pPr>
      <w:pStyle w:val="Piedepgina"/>
      <w:jc w:val="right"/>
      <w:rPr>
        <w:rFonts w:ascii="Georgia" w:hAnsi="Georgia"/>
        <w:lang w:val="es-CO"/>
      </w:rPr>
    </w:pPr>
    <w:r w:rsidRPr="00A01C7A">
      <w:rPr>
        <w:rFonts w:ascii="Georgia" w:hAnsi="Georgia" w:cs="Arial"/>
        <w:spacing w:val="20"/>
        <w:w w:val="200"/>
        <w:sz w:val="10"/>
        <w:szCs w:val="10"/>
        <w:lang w:val="es-CO"/>
      </w:rPr>
      <w:t xml:space="preserve">MP </w:t>
    </w:r>
    <w:r w:rsidRPr="00A01C7A">
      <w:rPr>
        <w:rFonts w:ascii="Georgia" w:hAnsi="Georgia" w:cs="Arial"/>
        <w:spacing w:val="20"/>
        <w:w w:val="200"/>
        <w:sz w:val="12"/>
        <w:szCs w:val="10"/>
        <w:lang w:val="es-CO"/>
      </w:rPr>
      <w:t>D</w:t>
    </w:r>
    <w:r w:rsidRPr="00A01C7A">
      <w:rPr>
        <w:rFonts w:ascii="Georgia" w:hAnsi="Georgia" w:cs="Arial"/>
        <w:spacing w:val="20"/>
        <w:w w:val="200"/>
        <w:sz w:val="8"/>
        <w:szCs w:val="10"/>
        <w:lang w:val="es-CO"/>
      </w:rPr>
      <w:t>UBERNEY</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G</w:t>
    </w:r>
    <w:r w:rsidRPr="00A01C7A">
      <w:rPr>
        <w:rFonts w:ascii="Georgia" w:hAnsi="Georgia" w:cs="Arial"/>
        <w:spacing w:val="20"/>
        <w:w w:val="200"/>
        <w:sz w:val="8"/>
        <w:szCs w:val="10"/>
        <w:lang w:val="es-CO"/>
      </w:rPr>
      <w:t>RISALES</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H</w:t>
    </w:r>
    <w:r w:rsidRPr="00A01C7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1C" w:rsidRDefault="00CF6B1C" w:rsidP="0099045D">
      <w:r>
        <w:separator/>
      </w:r>
    </w:p>
  </w:footnote>
  <w:footnote w:type="continuationSeparator" w:id="0">
    <w:p w:rsidR="00CF6B1C" w:rsidRDefault="00CF6B1C" w:rsidP="0099045D">
      <w:r>
        <w:continuationSeparator/>
      </w:r>
    </w:p>
  </w:footnote>
  <w:footnote w:id="1">
    <w:p w:rsidR="00ED7BFF" w:rsidRPr="00A01C7A" w:rsidRDefault="00ED7BFF" w:rsidP="00ED7BFF">
      <w:pPr>
        <w:pStyle w:val="Textonotapie"/>
        <w:jc w:val="both"/>
        <w:rPr>
          <w:lang w:val="es-CO"/>
        </w:rPr>
      </w:pPr>
      <w:r w:rsidRPr="00A01C7A">
        <w:rPr>
          <w:rStyle w:val="Refdenotaalpie"/>
        </w:rPr>
        <w:footnoteRef/>
      </w:r>
      <w:r w:rsidRPr="00A01C7A">
        <w:t xml:space="preserve"> </w:t>
      </w:r>
      <w:r w:rsidRPr="00A01C7A">
        <w:rPr>
          <w:lang w:val="es-CO"/>
        </w:rPr>
        <w:t xml:space="preserve">CC. </w:t>
      </w:r>
      <w:hyperlink r:id="rId1" w:history="1">
        <w:r w:rsidRPr="00A01C7A">
          <w:rPr>
            <w:rStyle w:val="Hipervnculo"/>
            <w:color w:val="auto"/>
            <w:u w:val="none"/>
            <w:bdr w:val="none" w:sz="0" w:space="0" w:color="auto" w:frame="1"/>
            <w:shd w:val="clear" w:color="auto" w:fill="FFFFFF"/>
          </w:rPr>
          <w:t>T-271 de 2015</w:t>
        </w:r>
      </w:hyperlink>
      <w:r w:rsidRPr="00A01C7A">
        <w:t>.</w:t>
      </w:r>
    </w:p>
  </w:footnote>
  <w:footnote w:id="2">
    <w:p w:rsidR="00ED7BFF" w:rsidRPr="00A01C7A" w:rsidRDefault="00ED7BFF" w:rsidP="00ED7BFF">
      <w:pPr>
        <w:pStyle w:val="Textonotapie"/>
        <w:jc w:val="both"/>
        <w:rPr>
          <w:lang w:val="es-CO"/>
        </w:rPr>
      </w:pPr>
      <w:r w:rsidRPr="00A01C7A">
        <w:rPr>
          <w:rStyle w:val="Refdenotaalpie"/>
        </w:rPr>
        <w:footnoteRef/>
      </w:r>
      <w:r w:rsidRPr="00A01C7A">
        <w:t xml:space="preserve"> CC. </w:t>
      </w:r>
      <w:r w:rsidRPr="00A01C7A">
        <w:rPr>
          <w:shd w:val="clear" w:color="auto" w:fill="FFFFFF"/>
        </w:rPr>
        <w:t>T-171 y T-583 de 2009, reiteradas en la sentencia T-271 de 2015</w:t>
      </w:r>
      <w:r w:rsidRPr="00A01C7A">
        <w:rPr>
          <w:shd w:val="clear" w:color="auto" w:fill="FFFFFF"/>
          <w:lang w:val="es-CO"/>
        </w:rPr>
        <w:t>.</w:t>
      </w:r>
    </w:p>
  </w:footnote>
  <w:footnote w:id="3">
    <w:p w:rsidR="00ED7BFF" w:rsidRPr="00A01C7A" w:rsidRDefault="00ED7BFF" w:rsidP="00ED7BFF">
      <w:pPr>
        <w:pStyle w:val="Textonotapie"/>
        <w:jc w:val="both"/>
        <w:rPr>
          <w:lang w:val="es-CO"/>
        </w:rPr>
      </w:pPr>
      <w:r w:rsidRPr="00A01C7A">
        <w:rPr>
          <w:rStyle w:val="Refdenotaalpie"/>
        </w:rPr>
        <w:footnoteRef/>
      </w:r>
      <w:r w:rsidRPr="00A01C7A">
        <w:t xml:space="preserve"> CC. </w:t>
      </w:r>
      <w:r w:rsidRPr="00A01C7A">
        <w:rPr>
          <w:shd w:val="clear" w:color="auto" w:fill="FFFFFF"/>
        </w:rPr>
        <w:t>T-1113 de 2005.</w:t>
      </w:r>
    </w:p>
  </w:footnote>
  <w:footnote w:id="4">
    <w:p w:rsidR="00A01C7A" w:rsidRPr="00A01C7A" w:rsidRDefault="00A01C7A" w:rsidP="00A01C7A">
      <w:pPr>
        <w:pStyle w:val="Textonotapie"/>
        <w:jc w:val="both"/>
      </w:pPr>
      <w:r w:rsidRPr="00A01C7A">
        <w:rPr>
          <w:rStyle w:val="Refdenotaalpie"/>
        </w:rPr>
        <w:footnoteRef/>
      </w:r>
      <w:r w:rsidRPr="00A01C7A">
        <w:t xml:space="preserve"> QUINCHE R., Manuel F. Vías de hecho, acción de tutela contra providencias, Editorial Temis SA, Bogotá, 2013, p.103.</w:t>
      </w:r>
    </w:p>
  </w:footnote>
  <w:footnote w:id="5">
    <w:p w:rsidR="00A01C7A" w:rsidRPr="00A01C7A" w:rsidRDefault="00A01C7A" w:rsidP="00A01C7A">
      <w:pPr>
        <w:pStyle w:val="Textonotapie"/>
        <w:jc w:val="both"/>
      </w:pPr>
      <w:r w:rsidRPr="00A01C7A">
        <w:rPr>
          <w:rStyle w:val="Refdenotaalpie"/>
        </w:rPr>
        <w:footnoteRef/>
      </w:r>
      <w:r w:rsidRPr="00A01C7A">
        <w:t xml:space="preserve"> QUIROGA N., Édgar A. Tutela contra decisiones judiciales, Universidad Santo Tomás y editorial Ibáñez, Bogotá DC, 2014, p.83.</w:t>
      </w:r>
    </w:p>
  </w:footnote>
  <w:footnote w:id="6">
    <w:p w:rsidR="00A01C7A" w:rsidRPr="00A01C7A" w:rsidRDefault="00A01C7A" w:rsidP="00A01C7A">
      <w:pPr>
        <w:pStyle w:val="Textonotapie"/>
        <w:jc w:val="both"/>
      </w:pPr>
      <w:r w:rsidRPr="00A01C7A">
        <w:rPr>
          <w:rStyle w:val="Refdenotaalpie"/>
        </w:rPr>
        <w:footnoteRef/>
      </w:r>
      <w:r w:rsidRPr="00A01C7A">
        <w:t xml:space="preserve"> </w:t>
      </w:r>
      <w:r w:rsidRPr="00A01C7A">
        <w:rPr>
          <w:lang w:val="es-MX"/>
        </w:rPr>
        <w:t>CC. T-917 de 2011.</w:t>
      </w:r>
    </w:p>
  </w:footnote>
  <w:footnote w:id="7">
    <w:p w:rsidR="00A01C7A" w:rsidRPr="00A01C7A" w:rsidRDefault="00A01C7A" w:rsidP="00A01C7A">
      <w:pPr>
        <w:pStyle w:val="Textonotapie"/>
        <w:jc w:val="both"/>
      </w:pPr>
      <w:r w:rsidRPr="00A01C7A">
        <w:rPr>
          <w:rStyle w:val="Refdenotaalpie"/>
        </w:rPr>
        <w:footnoteRef/>
      </w:r>
      <w:r w:rsidRPr="00A01C7A">
        <w:rPr>
          <w:lang w:val="es-MX"/>
        </w:rPr>
        <w:t xml:space="preserve"> CC. C-590 de 2005.</w:t>
      </w:r>
    </w:p>
  </w:footnote>
  <w:footnote w:id="8">
    <w:p w:rsidR="00A01C7A" w:rsidRPr="00A01C7A" w:rsidRDefault="00A01C7A" w:rsidP="00A01C7A">
      <w:pPr>
        <w:pStyle w:val="Textonotapie"/>
        <w:jc w:val="both"/>
      </w:pPr>
      <w:r w:rsidRPr="00A01C7A">
        <w:rPr>
          <w:rStyle w:val="Refdenotaalpie"/>
        </w:rPr>
        <w:footnoteRef/>
      </w:r>
      <w:r w:rsidRPr="00A01C7A">
        <w:rPr>
          <w:lang w:val="es-MX"/>
        </w:rPr>
        <w:t xml:space="preserve"> CC. </w:t>
      </w:r>
      <w:r w:rsidRPr="00A01C7A">
        <w:rPr>
          <w:bCs/>
        </w:rPr>
        <w:t>SU-222 de 2016</w:t>
      </w:r>
      <w:r w:rsidRPr="00A01C7A">
        <w:rPr>
          <w:lang w:val="es-MX"/>
        </w:rPr>
        <w:t>.</w:t>
      </w:r>
    </w:p>
  </w:footnote>
  <w:footnote w:id="9">
    <w:p w:rsidR="00A01C7A" w:rsidRPr="00A01C7A" w:rsidRDefault="00A01C7A" w:rsidP="00A01C7A">
      <w:pPr>
        <w:pStyle w:val="Textonotapie"/>
        <w:rPr>
          <w:b/>
          <w:bCs/>
        </w:rPr>
      </w:pPr>
      <w:r w:rsidRPr="00A01C7A">
        <w:rPr>
          <w:rStyle w:val="Refdenotaalpie"/>
        </w:rPr>
        <w:footnoteRef/>
      </w:r>
      <w:r w:rsidRPr="00A01C7A">
        <w:t xml:space="preserve"> </w:t>
      </w:r>
      <w:r w:rsidRPr="00A01C7A">
        <w:rPr>
          <w:bCs/>
          <w:lang w:val="es-ES_tradnl"/>
        </w:rPr>
        <w:t>CC. T-137 de 2017.</w:t>
      </w:r>
    </w:p>
  </w:footnote>
  <w:footnote w:id="10">
    <w:p w:rsidR="00A01C7A" w:rsidRPr="00A01C7A" w:rsidRDefault="00A01C7A" w:rsidP="00A01C7A">
      <w:pPr>
        <w:pStyle w:val="Textonotapie"/>
        <w:rPr>
          <w:lang w:val="es-CO"/>
        </w:rPr>
      </w:pPr>
      <w:r w:rsidRPr="00A01C7A">
        <w:rPr>
          <w:rStyle w:val="Refdenotaalpie"/>
        </w:rPr>
        <w:footnoteRef/>
      </w:r>
      <w:r w:rsidRPr="00A01C7A">
        <w:t xml:space="preserve"> </w:t>
      </w:r>
      <w:r w:rsidRPr="00A01C7A">
        <w:rPr>
          <w:lang w:val="es-MX"/>
        </w:rPr>
        <w:t>CC. T-307 de 2015.</w:t>
      </w:r>
    </w:p>
  </w:footnote>
  <w:footnote w:id="11">
    <w:p w:rsidR="00A01C7A" w:rsidRPr="00A01C7A" w:rsidRDefault="00A01C7A" w:rsidP="00A01C7A">
      <w:pPr>
        <w:pStyle w:val="Textonotapie"/>
        <w:jc w:val="both"/>
      </w:pPr>
      <w:r w:rsidRPr="00A01C7A">
        <w:rPr>
          <w:vertAlign w:val="superscript"/>
        </w:rPr>
        <w:footnoteRef/>
      </w:r>
      <w:r w:rsidRPr="00A01C7A">
        <w:t xml:space="preserve"> ESCUELA JUDICIAL RODRIGO LARA BONILLA. </w:t>
      </w:r>
      <w:r w:rsidRPr="00A01C7A">
        <w:rPr>
          <w:lang w:val="es-CO"/>
        </w:rPr>
        <w:t xml:space="preserve">La acción de tutela en el ordenamiento constitucional colombiano, Universidad Nacional de Colombia, Catalina Botero Marino, </w:t>
      </w:r>
      <w:proofErr w:type="spellStart"/>
      <w:r w:rsidRPr="00A01C7A">
        <w:rPr>
          <w:lang w:val="es-CO"/>
        </w:rPr>
        <w:t>Ediprime</w:t>
      </w:r>
      <w:proofErr w:type="spellEnd"/>
      <w:r w:rsidRPr="00A01C7A">
        <w:rPr>
          <w:lang w:val="es-CO"/>
        </w:rPr>
        <w:t xml:space="preserve"> Ltda., 2006, p.61-75.</w:t>
      </w:r>
    </w:p>
  </w:footnote>
  <w:footnote w:id="12">
    <w:p w:rsidR="00A01C7A" w:rsidRPr="00A01C7A" w:rsidRDefault="00A01C7A" w:rsidP="00A01C7A">
      <w:pPr>
        <w:pStyle w:val="Textonotapie"/>
        <w:jc w:val="both"/>
      </w:pPr>
      <w:r w:rsidRPr="00A01C7A">
        <w:rPr>
          <w:rStyle w:val="Refdenotaalpie"/>
        </w:rPr>
        <w:footnoteRef/>
      </w:r>
      <w:r w:rsidRPr="00A01C7A">
        <w:t xml:space="preserve"> QUINCHE R., Manuel F. La acción de tutela, el amparo en Colombia, Bogotá DC, 2011, p.233-285.</w:t>
      </w:r>
    </w:p>
  </w:footnote>
  <w:footnote w:id="13">
    <w:p w:rsidR="00A01C7A" w:rsidRPr="00A01C7A" w:rsidRDefault="00A01C7A" w:rsidP="00A01C7A">
      <w:pPr>
        <w:pStyle w:val="Textonotapie"/>
        <w:jc w:val="both"/>
      </w:pPr>
      <w:r w:rsidRPr="00A01C7A">
        <w:rPr>
          <w:vertAlign w:val="superscript"/>
        </w:rPr>
        <w:footnoteRef/>
      </w:r>
      <w:r w:rsidRPr="00A01C7A">
        <w:t xml:space="preserve"> </w:t>
      </w:r>
      <w:r w:rsidRPr="00A01C7A">
        <w:rPr>
          <w:lang w:val="es-CO"/>
        </w:rPr>
        <w:t xml:space="preserve">Según el doctrinante </w:t>
      </w:r>
      <w:proofErr w:type="spellStart"/>
      <w:r w:rsidRPr="00A01C7A">
        <w:rPr>
          <w:lang w:val="es-CO"/>
        </w:rPr>
        <w:t>Pierluigi</w:t>
      </w:r>
      <w:proofErr w:type="spellEnd"/>
      <w:r w:rsidRPr="00A01C7A">
        <w:rPr>
          <w:lang w:val="es-CO"/>
        </w:rPr>
        <w:t xml:space="preserve"> </w:t>
      </w:r>
      <w:proofErr w:type="spellStart"/>
      <w:r w:rsidRPr="00A01C7A">
        <w:rPr>
          <w:lang w:val="es-CO"/>
        </w:rPr>
        <w:t>Chiassoni</w:t>
      </w:r>
      <w:proofErr w:type="spellEnd"/>
      <w:r w:rsidRPr="00A01C7A">
        <w:rPr>
          <w:lang w:val="es-CO"/>
        </w:rPr>
        <w:t xml:space="preserve"> en su libro “Desencanto para abogados realistas”, el precedente judicial puede ser entendido en cuatro acepciones; (i) precedente-sentencia, (ii) precedente-ratio, (iii) precedente-ratio autoritativo y (iv) precedente- ratio </w:t>
      </w:r>
      <w:proofErr w:type="spellStart"/>
      <w:r w:rsidRPr="00A01C7A">
        <w:rPr>
          <w:lang w:val="es-CO"/>
        </w:rPr>
        <w:t>decidendi</w:t>
      </w:r>
      <w:proofErr w:type="spellEnd"/>
      <w:r w:rsidRPr="00A01C7A">
        <w:rPr>
          <w:lang w:val="es-CO"/>
        </w:rPr>
        <w:t xml:space="preserve"> consolidada o precedente orientación. Este último hace referencia a </w:t>
      </w:r>
      <w:r w:rsidRPr="00A01C7A">
        <w:rPr>
          <w:i/>
          <w:lang w:val="es-CO"/>
        </w:rPr>
        <w:t xml:space="preserve">“es la ratio </w:t>
      </w:r>
      <w:proofErr w:type="spellStart"/>
      <w:r w:rsidRPr="00A01C7A">
        <w:rPr>
          <w:i/>
          <w:lang w:val="es-CO"/>
        </w:rPr>
        <w:t>decidenci</w:t>
      </w:r>
      <w:proofErr w:type="spellEnd"/>
      <w:r w:rsidRPr="00A01C7A">
        <w:rPr>
          <w:i/>
          <w:lang w:val="es-CO"/>
        </w:rPr>
        <w:t xml:space="preserve">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A01C7A">
        <w:rPr>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A01C7A">
          <w:rPr>
            <w:lang w:val="es-CO"/>
          </w:rPr>
          <w:t>la Corte Constitucional</w:t>
        </w:r>
      </w:smartTag>
      <w:r w:rsidRPr="00A01C7A">
        <w:rPr>
          <w:lang w:val="es-CO"/>
        </w:rPr>
        <w:t xml:space="preserve"> en el sentido en que debe ser una sentencia anterior que trata de hechos cuestiones y elemento muy similares al caso que se pretende resolver.</w:t>
      </w:r>
    </w:p>
  </w:footnote>
  <w:footnote w:id="14">
    <w:p w:rsidR="00A01C7A" w:rsidRPr="00A01C7A" w:rsidRDefault="00A01C7A" w:rsidP="00A01C7A">
      <w:pPr>
        <w:pStyle w:val="Textonotapie"/>
        <w:rPr>
          <w:lang w:val="es-CO"/>
        </w:rPr>
      </w:pPr>
      <w:r w:rsidRPr="00A01C7A">
        <w:rPr>
          <w:rStyle w:val="Refdenotaalpie"/>
        </w:rPr>
        <w:footnoteRef/>
      </w:r>
      <w:r w:rsidRPr="00A01C7A">
        <w:t xml:space="preserve"> </w:t>
      </w:r>
      <w:r w:rsidRPr="00A01C7A">
        <w:rPr>
          <w:lang w:val="es-CO"/>
        </w:rPr>
        <w:t>CC. T-737 de 2015.</w:t>
      </w:r>
    </w:p>
  </w:footnote>
  <w:footnote w:id="15">
    <w:p w:rsidR="00A01C7A" w:rsidRPr="00A01C7A" w:rsidRDefault="00A01C7A" w:rsidP="00A01C7A">
      <w:pPr>
        <w:pStyle w:val="Textonotapie"/>
        <w:jc w:val="both"/>
      </w:pPr>
      <w:r w:rsidRPr="00A01C7A">
        <w:rPr>
          <w:rStyle w:val="Refdenotaalpie"/>
        </w:rPr>
        <w:footnoteRef/>
      </w:r>
      <w:r w:rsidRPr="00A01C7A">
        <w:t xml:space="preserve"> </w:t>
      </w:r>
      <w:r w:rsidRPr="00A01C7A">
        <w:rPr>
          <w:lang w:val="es-CO"/>
        </w:rPr>
        <w:t xml:space="preserve">LÓPEZ M., Diego E. El derecho de los jueces, 8ª reimpresión de la 2ª edición, Bogotá DC, editorial </w:t>
      </w:r>
      <w:proofErr w:type="spellStart"/>
      <w:r w:rsidRPr="00A01C7A">
        <w:rPr>
          <w:lang w:val="es-CO"/>
        </w:rPr>
        <w:t>Legis</w:t>
      </w:r>
      <w:proofErr w:type="spellEnd"/>
      <w:r w:rsidRPr="00A01C7A">
        <w:rPr>
          <w:lang w:val="es-CO"/>
        </w:rPr>
        <w:t xml:space="preserve"> y Universidad de Los Andes, 2009, p.83.</w:t>
      </w:r>
    </w:p>
  </w:footnote>
  <w:footnote w:id="16">
    <w:p w:rsidR="00A01C7A" w:rsidRPr="00A01C7A" w:rsidRDefault="00A01C7A" w:rsidP="00A01C7A">
      <w:pPr>
        <w:pStyle w:val="Textonotapie"/>
        <w:jc w:val="both"/>
      </w:pPr>
      <w:r w:rsidRPr="00A01C7A">
        <w:rPr>
          <w:vertAlign w:val="superscript"/>
        </w:rPr>
        <w:footnoteRef/>
      </w:r>
      <w:r w:rsidRPr="00A01C7A">
        <w:t xml:space="preserve"> </w:t>
      </w:r>
      <w:r w:rsidRPr="00A01C7A">
        <w:rPr>
          <w:lang w:val="es-MX"/>
        </w:rPr>
        <w:t xml:space="preserve">CC. T-084 de 2017, T-038 de 2016, T-737 de 2015, </w:t>
      </w:r>
      <w:r w:rsidRPr="00A01C7A">
        <w:rPr>
          <w:lang w:val="es-CO"/>
        </w:rPr>
        <w:t>T-794 de 2011, T-082 de 2011, T-209 de 2011, entre otras.</w:t>
      </w:r>
    </w:p>
  </w:footnote>
  <w:footnote w:id="17">
    <w:p w:rsidR="00A01C7A" w:rsidRPr="00A01C7A" w:rsidRDefault="00A01C7A" w:rsidP="00A01C7A">
      <w:pPr>
        <w:pStyle w:val="Textonotapie"/>
        <w:jc w:val="both"/>
      </w:pPr>
      <w:r w:rsidRPr="00A01C7A">
        <w:rPr>
          <w:rStyle w:val="Refdenotaalpie"/>
        </w:rPr>
        <w:footnoteRef/>
      </w:r>
      <w:r w:rsidRPr="00A01C7A">
        <w:t xml:space="preserve"> </w:t>
      </w:r>
      <w:r w:rsidRPr="00A01C7A">
        <w:rPr>
          <w:lang w:val="es-MX"/>
        </w:rPr>
        <w:t>CC. T-831 de 2012, ob. cit.</w:t>
      </w:r>
    </w:p>
  </w:footnote>
  <w:footnote w:id="18">
    <w:p w:rsidR="00A01C7A" w:rsidRPr="00A01C7A" w:rsidRDefault="00A01C7A" w:rsidP="00A01C7A">
      <w:pPr>
        <w:pStyle w:val="Textonotapie"/>
        <w:jc w:val="both"/>
      </w:pPr>
      <w:r w:rsidRPr="00A01C7A">
        <w:rPr>
          <w:vertAlign w:val="superscript"/>
        </w:rPr>
        <w:footnoteRef/>
      </w:r>
      <w:r w:rsidRPr="00A01C7A">
        <w:t xml:space="preserve"> </w:t>
      </w:r>
      <w:r w:rsidRPr="00A01C7A">
        <w:rPr>
          <w:lang w:val="es-MX"/>
        </w:rPr>
        <w:t xml:space="preserve">CC. </w:t>
      </w:r>
      <w:r w:rsidRPr="00A01C7A">
        <w:t>T-123 de 1995, T-766 de 2008 y T-794 de 2011</w:t>
      </w:r>
      <w:r w:rsidRPr="00A01C7A">
        <w:rPr>
          <w:lang w:val="es-CO"/>
        </w:rPr>
        <w:t xml:space="preserve">. </w:t>
      </w:r>
    </w:p>
  </w:footnote>
  <w:footnote w:id="19">
    <w:p w:rsidR="00A01C7A" w:rsidRPr="00A01C7A" w:rsidRDefault="00A01C7A" w:rsidP="00A01C7A">
      <w:pPr>
        <w:pStyle w:val="Textonotapie"/>
        <w:jc w:val="both"/>
      </w:pPr>
      <w:r w:rsidRPr="00A01C7A">
        <w:rPr>
          <w:vertAlign w:val="superscript"/>
        </w:rPr>
        <w:footnoteRef/>
      </w:r>
      <w:r w:rsidRPr="00A01C7A">
        <w:t xml:space="preserve"> </w:t>
      </w:r>
      <w:r w:rsidRPr="00A01C7A">
        <w:rPr>
          <w:lang w:val="es-MX"/>
        </w:rPr>
        <w:t xml:space="preserve">CC. </w:t>
      </w:r>
      <w:r w:rsidRPr="00A01C7A">
        <w:rPr>
          <w:lang w:val="es-CO"/>
        </w:rPr>
        <w:t>T-211 de 2008, T-161 de 2010 y T-082 de 2011.</w:t>
      </w:r>
    </w:p>
  </w:footnote>
  <w:footnote w:id="20">
    <w:p w:rsidR="00A01C7A" w:rsidRPr="00A01C7A" w:rsidRDefault="00A01C7A" w:rsidP="00A01C7A">
      <w:pPr>
        <w:pStyle w:val="Textonotapie"/>
        <w:jc w:val="both"/>
      </w:pPr>
      <w:r w:rsidRPr="00A01C7A">
        <w:rPr>
          <w:rStyle w:val="Refdenotaalpie"/>
        </w:rPr>
        <w:footnoteRef/>
      </w:r>
      <w:r>
        <w:rPr>
          <w:lang w:val="es-MX"/>
        </w:rPr>
        <w:t xml:space="preserve"> </w:t>
      </w:r>
      <w:r w:rsidRPr="00A01C7A">
        <w:rPr>
          <w:lang w:val="es-MX"/>
        </w:rPr>
        <w:t>CC. C-836 de 2001.</w:t>
      </w:r>
    </w:p>
  </w:footnote>
  <w:footnote w:id="21">
    <w:p w:rsidR="00A01C7A" w:rsidRPr="00A01C7A" w:rsidRDefault="00A01C7A" w:rsidP="00A01C7A">
      <w:pPr>
        <w:pStyle w:val="Textonotapie"/>
        <w:rPr>
          <w:lang w:val="es-CO"/>
        </w:rPr>
      </w:pPr>
      <w:r w:rsidRPr="00A01C7A">
        <w:rPr>
          <w:rStyle w:val="Refdenotaalpie"/>
        </w:rPr>
        <w:footnoteRef/>
      </w:r>
      <w:r w:rsidRPr="00A01C7A">
        <w:t xml:space="preserve"> </w:t>
      </w:r>
      <w:r w:rsidRPr="00A01C7A">
        <w:rPr>
          <w:lang w:val="es-MX"/>
        </w:rPr>
        <w:t>CC. T-1029 del 2012.</w:t>
      </w:r>
    </w:p>
  </w:footnote>
  <w:footnote w:id="22">
    <w:p w:rsidR="00A01C7A" w:rsidRPr="00A01C7A" w:rsidRDefault="00A01C7A" w:rsidP="00A01C7A">
      <w:pPr>
        <w:pStyle w:val="Textonotapie"/>
        <w:rPr>
          <w:lang w:val="es-CO"/>
        </w:rPr>
      </w:pPr>
      <w:r w:rsidRPr="00A01C7A">
        <w:rPr>
          <w:rStyle w:val="Refdenotaalpie"/>
        </w:rPr>
        <w:footnoteRef/>
      </w:r>
      <w:r w:rsidRPr="00A01C7A">
        <w:t xml:space="preserve"> </w:t>
      </w:r>
      <w:r w:rsidRPr="00A01C7A">
        <w:rPr>
          <w:lang w:val="es-CO"/>
        </w:rPr>
        <w:t>CC. T-102 de 2014 y T-309 de 2015 (Referida en la C-0621 de 2015).</w:t>
      </w:r>
    </w:p>
  </w:footnote>
  <w:footnote w:id="23">
    <w:p w:rsidR="006C5B0C" w:rsidRPr="006C5B0C" w:rsidRDefault="006C5B0C" w:rsidP="006C5B0C">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w:t>
      </w:r>
      <w:proofErr w:type="spellStart"/>
      <w:r w:rsidRPr="006C5B0C">
        <w:rPr>
          <w:lang w:val="es-CO"/>
        </w:rPr>
        <w:t>Ediprime</w:t>
      </w:r>
      <w:proofErr w:type="spellEnd"/>
      <w:r w:rsidRPr="006C5B0C">
        <w:rPr>
          <w:lang w:val="es-CO"/>
        </w:rPr>
        <w:t xml:space="preserve"> Ltda., 2006, p.64-65. </w:t>
      </w:r>
    </w:p>
  </w:footnote>
  <w:footnote w:id="24">
    <w:p w:rsidR="0085049B" w:rsidRPr="00A01C7A" w:rsidRDefault="0085049B" w:rsidP="0085049B">
      <w:pPr>
        <w:pStyle w:val="Textonotapie"/>
        <w:jc w:val="both"/>
        <w:rPr>
          <w:lang w:val="es-CO"/>
        </w:rPr>
      </w:pPr>
      <w:r w:rsidRPr="00A01C7A">
        <w:rPr>
          <w:rStyle w:val="Refdenotaalpie"/>
        </w:rPr>
        <w:footnoteRef/>
      </w:r>
      <w:r w:rsidRPr="00A01C7A">
        <w:t xml:space="preserve"> </w:t>
      </w:r>
      <w:r w:rsidRPr="00A01C7A">
        <w:rPr>
          <w:lang w:val="es-CO"/>
        </w:rPr>
        <w:t xml:space="preserve">CC. </w:t>
      </w:r>
      <w:hyperlink r:id="rId2" w:history="1">
        <w:r w:rsidRPr="00A01C7A">
          <w:rPr>
            <w:rStyle w:val="Hipervnculo"/>
            <w:color w:val="auto"/>
            <w:u w:val="none"/>
            <w:bdr w:val="none" w:sz="0" w:space="0" w:color="auto" w:frame="1"/>
            <w:shd w:val="clear" w:color="auto" w:fill="FFFFFF"/>
          </w:rPr>
          <w:t>T-271 de 2015</w:t>
        </w:r>
      </w:hyperlink>
      <w:r w:rsidRPr="00A01C7A">
        <w:t>.</w:t>
      </w:r>
    </w:p>
  </w:footnote>
  <w:footnote w:id="25">
    <w:p w:rsidR="006C5B0C" w:rsidRPr="00F165B3" w:rsidRDefault="006C5B0C" w:rsidP="006C5B0C">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26">
    <w:p w:rsidR="00E62CCA" w:rsidRPr="00D43FB3" w:rsidRDefault="00E62CCA" w:rsidP="00E62CCA">
      <w:pPr>
        <w:pStyle w:val="Textonotapie"/>
        <w:jc w:val="both"/>
        <w:rPr>
          <w:b/>
          <w:bCs/>
        </w:rPr>
      </w:pPr>
      <w:r w:rsidRPr="00D43FB3">
        <w:rPr>
          <w:rStyle w:val="Refdenotaalpie"/>
        </w:rPr>
        <w:footnoteRef/>
      </w:r>
      <w:r w:rsidRPr="00D43FB3">
        <w:rPr>
          <w:lang w:val="es-CO"/>
        </w:rPr>
        <w:t xml:space="preserve"> CC. </w:t>
      </w:r>
      <w:r w:rsidRPr="00D43FB3">
        <w:rPr>
          <w:bCs/>
          <w:lang w:val="es-MX"/>
        </w:rPr>
        <w:t xml:space="preserve">T-226 de 2016, en igual sentido la </w:t>
      </w:r>
      <w:r w:rsidRPr="00D43FB3">
        <w:rPr>
          <w:lang w:val="es-CO"/>
        </w:rPr>
        <w:t>T-343 de 2011</w:t>
      </w:r>
      <w:r w:rsidRPr="00D43FB3">
        <w:rPr>
          <w:bCs/>
          <w:lang w:val="es-MX"/>
        </w:rPr>
        <w:t>.</w:t>
      </w:r>
    </w:p>
  </w:footnote>
  <w:footnote w:id="27">
    <w:p w:rsidR="003D699A" w:rsidRPr="0011170E" w:rsidRDefault="003D699A" w:rsidP="003D699A">
      <w:pPr>
        <w:pStyle w:val="Textonotapie"/>
        <w:jc w:val="both"/>
        <w:rPr>
          <w:lang w:val="es-CO"/>
        </w:rPr>
      </w:pPr>
      <w:r w:rsidRPr="0011170E">
        <w:rPr>
          <w:rStyle w:val="Refdenotaalpie"/>
        </w:rPr>
        <w:footnoteRef/>
      </w:r>
      <w:r w:rsidRPr="0011170E">
        <w:t xml:space="preserve"> </w:t>
      </w:r>
      <w:r w:rsidRPr="0011170E">
        <w:rPr>
          <w:lang w:val="es-MX"/>
        </w:rPr>
        <w:t>CC. A181 de 2015.</w:t>
      </w:r>
    </w:p>
  </w:footnote>
  <w:footnote w:id="28">
    <w:p w:rsidR="003D699A" w:rsidRPr="0011170E" w:rsidRDefault="003D699A" w:rsidP="003D699A">
      <w:pPr>
        <w:pStyle w:val="Textonotapie"/>
        <w:jc w:val="both"/>
        <w:rPr>
          <w:lang w:val="es-CO"/>
        </w:rPr>
      </w:pPr>
      <w:r w:rsidRPr="0011170E">
        <w:rPr>
          <w:rStyle w:val="Refdenotaalpie"/>
          <w:lang w:val="es-CO"/>
        </w:rPr>
        <w:footnoteRef/>
      </w:r>
      <w:r w:rsidR="00BC6976">
        <w:rPr>
          <w:lang w:val="es-CO"/>
        </w:rPr>
        <w:t xml:space="preserve"> CSJ</w:t>
      </w:r>
      <w:r w:rsidRPr="0011170E">
        <w:rPr>
          <w:lang w:val="es-CO"/>
        </w:rPr>
        <w:t xml:space="preserve">.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9A" w:rsidRPr="00F851F3" w:rsidRDefault="00C61F9A">
    <w:pPr>
      <w:pStyle w:val="Encabezado"/>
      <w:pBdr>
        <w:bottom w:val="single" w:sz="4" w:space="1" w:color="D9D9D9"/>
      </w:pBdr>
      <w:jc w:val="right"/>
      <w:rPr>
        <w:rFonts w:ascii="Georgia" w:hAnsi="Georgia" w:cs="Calibri"/>
        <w:i/>
        <w:sz w:val="20"/>
      </w:rPr>
    </w:pPr>
    <w:r w:rsidRPr="00F851F3">
      <w:rPr>
        <w:rFonts w:ascii="Georgia" w:hAnsi="Georgia" w:cs="Calibri"/>
        <w:i/>
        <w:color w:val="7F7F7F"/>
        <w:spacing w:val="60"/>
        <w:sz w:val="20"/>
      </w:rPr>
      <w:t>Página</w:t>
    </w:r>
    <w:r w:rsidRPr="00F851F3">
      <w:rPr>
        <w:rFonts w:ascii="Georgia" w:hAnsi="Georgia" w:cs="Calibri"/>
        <w:i/>
        <w:sz w:val="20"/>
      </w:rPr>
      <w:t xml:space="preserve"> | </w:t>
    </w:r>
    <w:r w:rsidRPr="00F851F3">
      <w:rPr>
        <w:rFonts w:ascii="Georgia" w:hAnsi="Georgia" w:cs="Calibri"/>
        <w:i/>
        <w:sz w:val="20"/>
      </w:rPr>
      <w:fldChar w:fldCharType="begin"/>
    </w:r>
    <w:r w:rsidRPr="00F851F3">
      <w:rPr>
        <w:rFonts w:ascii="Georgia" w:hAnsi="Georgia" w:cs="Calibri"/>
        <w:i/>
        <w:sz w:val="20"/>
      </w:rPr>
      <w:instrText xml:space="preserve"> PAGE   \* MERGEFORMAT </w:instrText>
    </w:r>
    <w:r w:rsidRPr="00F851F3">
      <w:rPr>
        <w:rFonts w:ascii="Georgia" w:hAnsi="Georgia" w:cs="Calibri"/>
        <w:i/>
        <w:sz w:val="20"/>
      </w:rPr>
      <w:fldChar w:fldCharType="separate"/>
    </w:r>
    <w:r w:rsidR="00BE1B91">
      <w:rPr>
        <w:rFonts w:ascii="Georgia" w:hAnsi="Georgia" w:cs="Calibri"/>
        <w:i/>
        <w:noProof/>
        <w:sz w:val="20"/>
      </w:rPr>
      <w:t>9</w:t>
    </w:r>
    <w:r w:rsidRPr="00F851F3">
      <w:rPr>
        <w:rFonts w:ascii="Georgia" w:hAnsi="Georgia" w:cs="Calibri"/>
        <w:i/>
        <w:sz w:val="20"/>
      </w:rPr>
      <w:fldChar w:fldCharType="end"/>
    </w:r>
  </w:p>
  <w:p w:rsidR="00C61F9A" w:rsidRPr="00A01C7A" w:rsidRDefault="00C61F9A" w:rsidP="00F41FF0">
    <w:pPr>
      <w:pStyle w:val="Encabezado"/>
      <w:ind w:right="360"/>
      <w:jc w:val="both"/>
      <w:rPr>
        <w:rFonts w:ascii="Georgia" w:hAnsi="Georgia" w:cs="Calibri"/>
        <w:i/>
        <w:smallCaps/>
        <w:sz w:val="20"/>
        <w:szCs w:val="22"/>
      </w:rPr>
    </w:pPr>
    <w:r w:rsidRPr="00A01C7A">
      <w:rPr>
        <w:rFonts w:ascii="Georgia" w:hAnsi="Georgia" w:cs="Calibri"/>
        <w:i/>
        <w:smallCaps/>
        <w:sz w:val="20"/>
        <w:szCs w:val="22"/>
      </w:rPr>
      <w:t>E</w:t>
    </w:r>
    <w:r w:rsidR="00F851F3" w:rsidRPr="00A01C7A">
      <w:rPr>
        <w:rFonts w:ascii="Georgia" w:hAnsi="Georgia" w:cs="Calibri"/>
        <w:i/>
        <w:smallCaps/>
        <w:sz w:val="20"/>
        <w:szCs w:val="22"/>
      </w:rPr>
      <w:t xml:space="preserve">xpediente </w:t>
    </w:r>
    <w:r w:rsidRPr="00A01C7A">
      <w:rPr>
        <w:rFonts w:ascii="Georgia" w:hAnsi="Georgia" w:cs="Calibri"/>
        <w:i/>
        <w:smallCaps/>
        <w:sz w:val="20"/>
        <w:szCs w:val="22"/>
      </w:rPr>
      <w:t>No.</w:t>
    </w:r>
    <w:r w:rsidR="00F851F3" w:rsidRPr="00A01C7A">
      <w:rPr>
        <w:rFonts w:ascii="Georgia" w:hAnsi="Georgia" w:cs="Calibri"/>
        <w:i/>
        <w:smallCaps/>
        <w:sz w:val="20"/>
        <w:szCs w:val="22"/>
      </w:rPr>
      <w:t>2018-00131-00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36BAECC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1"/>
  </w:num>
  <w:num w:numId="3">
    <w:abstractNumId w:val="20"/>
  </w:num>
  <w:num w:numId="4">
    <w:abstractNumId w:val="8"/>
  </w:num>
  <w:num w:numId="5">
    <w:abstractNumId w:val="37"/>
  </w:num>
  <w:num w:numId="6">
    <w:abstractNumId w:val="3"/>
  </w:num>
  <w:num w:numId="7">
    <w:abstractNumId w:val="27"/>
  </w:num>
  <w:num w:numId="8">
    <w:abstractNumId w:val="5"/>
  </w:num>
  <w:num w:numId="9">
    <w:abstractNumId w:val="38"/>
  </w:num>
  <w:num w:numId="10">
    <w:abstractNumId w:val="28"/>
  </w:num>
  <w:num w:numId="11">
    <w:abstractNumId w:val="25"/>
  </w:num>
  <w:num w:numId="12">
    <w:abstractNumId w:val="32"/>
  </w:num>
  <w:num w:numId="13">
    <w:abstractNumId w:val="16"/>
  </w:num>
  <w:num w:numId="14">
    <w:abstractNumId w:val="18"/>
  </w:num>
  <w:num w:numId="15">
    <w:abstractNumId w:val="23"/>
  </w:num>
  <w:num w:numId="16">
    <w:abstractNumId w:val="10"/>
  </w:num>
  <w:num w:numId="17">
    <w:abstractNumId w:val="24"/>
  </w:num>
  <w:num w:numId="18">
    <w:abstractNumId w:val="13"/>
  </w:num>
  <w:num w:numId="19">
    <w:abstractNumId w:val="11"/>
  </w:num>
  <w:num w:numId="20">
    <w:abstractNumId w:val="4"/>
  </w:num>
  <w:num w:numId="21">
    <w:abstractNumId w:val="42"/>
  </w:num>
  <w:num w:numId="22">
    <w:abstractNumId w:val="35"/>
  </w:num>
  <w:num w:numId="23">
    <w:abstractNumId w:val="33"/>
  </w:num>
  <w:num w:numId="24">
    <w:abstractNumId w:val="9"/>
  </w:num>
  <w:num w:numId="25">
    <w:abstractNumId w:val="31"/>
  </w:num>
  <w:num w:numId="26">
    <w:abstractNumId w:val="19"/>
  </w:num>
  <w:num w:numId="27">
    <w:abstractNumId w:val="22"/>
  </w:num>
  <w:num w:numId="28">
    <w:abstractNumId w:val="26"/>
  </w:num>
  <w:num w:numId="29">
    <w:abstractNumId w:val="6"/>
  </w:num>
  <w:num w:numId="30">
    <w:abstractNumId w:val="17"/>
  </w:num>
  <w:num w:numId="31">
    <w:abstractNumId w:val="1"/>
  </w:num>
  <w:num w:numId="32">
    <w:abstractNumId w:val="40"/>
  </w:num>
  <w:num w:numId="33">
    <w:abstractNumId w:val="7"/>
  </w:num>
  <w:num w:numId="34">
    <w:abstractNumId w:val="15"/>
  </w:num>
  <w:num w:numId="35">
    <w:abstractNumId w:val="36"/>
  </w:num>
  <w:num w:numId="36">
    <w:abstractNumId w:val="39"/>
  </w:num>
  <w:num w:numId="37">
    <w:abstractNumId w:val="30"/>
  </w:num>
  <w:num w:numId="38">
    <w:abstractNumId w:val="29"/>
  </w:num>
  <w:num w:numId="39">
    <w:abstractNumId w:val="34"/>
  </w:num>
  <w:num w:numId="40">
    <w:abstractNumId w:val="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726"/>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BA8"/>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2D6"/>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0AAD"/>
    <w:rsid w:val="000C134E"/>
    <w:rsid w:val="000C151C"/>
    <w:rsid w:val="000C185C"/>
    <w:rsid w:val="000C1994"/>
    <w:rsid w:val="000C19BF"/>
    <w:rsid w:val="000C21AE"/>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77CA2"/>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4A7"/>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5CE"/>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3C79"/>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6B"/>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872"/>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4CB"/>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266"/>
    <w:rsid w:val="00332750"/>
    <w:rsid w:val="00332783"/>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64F"/>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2B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6AB"/>
    <w:rsid w:val="003C5876"/>
    <w:rsid w:val="003C61F1"/>
    <w:rsid w:val="003C620B"/>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956"/>
    <w:rsid w:val="003D5FC6"/>
    <w:rsid w:val="003D6337"/>
    <w:rsid w:val="003D65B3"/>
    <w:rsid w:val="003D6763"/>
    <w:rsid w:val="003D699A"/>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84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DF9"/>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3EF"/>
    <w:rsid w:val="004F1603"/>
    <w:rsid w:val="004F1AB9"/>
    <w:rsid w:val="004F1CFF"/>
    <w:rsid w:val="004F2D5C"/>
    <w:rsid w:val="004F34AC"/>
    <w:rsid w:val="004F3596"/>
    <w:rsid w:val="004F3618"/>
    <w:rsid w:val="004F39BD"/>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27B4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A7A13"/>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D3E"/>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B5A"/>
    <w:rsid w:val="00663C56"/>
    <w:rsid w:val="00664006"/>
    <w:rsid w:val="00664DAF"/>
    <w:rsid w:val="00665243"/>
    <w:rsid w:val="0066535D"/>
    <w:rsid w:val="00665851"/>
    <w:rsid w:val="0066764D"/>
    <w:rsid w:val="00667E9D"/>
    <w:rsid w:val="00670818"/>
    <w:rsid w:val="00670D07"/>
    <w:rsid w:val="00671540"/>
    <w:rsid w:val="00671690"/>
    <w:rsid w:val="0067180D"/>
    <w:rsid w:val="00671E37"/>
    <w:rsid w:val="0067249F"/>
    <w:rsid w:val="006726E4"/>
    <w:rsid w:val="00672D56"/>
    <w:rsid w:val="006731E3"/>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BA9"/>
    <w:rsid w:val="006C2BB6"/>
    <w:rsid w:val="006C2CDF"/>
    <w:rsid w:val="006C3C38"/>
    <w:rsid w:val="006C45C5"/>
    <w:rsid w:val="006C45EE"/>
    <w:rsid w:val="006C4ED5"/>
    <w:rsid w:val="006C52DA"/>
    <w:rsid w:val="006C57E6"/>
    <w:rsid w:val="006C5B0C"/>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5FF"/>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978"/>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B07"/>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401"/>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5C1"/>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5130"/>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AB1"/>
    <w:rsid w:val="007E1CD0"/>
    <w:rsid w:val="007E1F07"/>
    <w:rsid w:val="007E247C"/>
    <w:rsid w:val="007E25A8"/>
    <w:rsid w:val="007E2877"/>
    <w:rsid w:val="007E293D"/>
    <w:rsid w:val="007E2B6E"/>
    <w:rsid w:val="007E2E20"/>
    <w:rsid w:val="007E2EAD"/>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6B14"/>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D4"/>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053"/>
    <w:rsid w:val="0084022E"/>
    <w:rsid w:val="00840E09"/>
    <w:rsid w:val="00840E35"/>
    <w:rsid w:val="0084128F"/>
    <w:rsid w:val="00841BFC"/>
    <w:rsid w:val="00841F94"/>
    <w:rsid w:val="008420D6"/>
    <w:rsid w:val="00842D42"/>
    <w:rsid w:val="008431FE"/>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49B"/>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5B74"/>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2BE"/>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8CE"/>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AEA"/>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030"/>
    <w:rsid w:val="009C254F"/>
    <w:rsid w:val="009C28F2"/>
    <w:rsid w:val="009C2DCA"/>
    <w:rsid w:val="009C2E56"/>
    <w:rsid w:val="009C39AD"/>
    <w:rsid w:val="009C3B9F"/>
    <w:rsid w:val="009C3D3C"/>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97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C7A"/>
    <w:rsid w:val="00A01E43"/>
    <w:rsid w:val="00A01FCB"/>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A68"/>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548"/>
    <w:rsid w:val="00B80992"/>
    <w:rsid w:val="00B81C26"/>
    <w:rsid w:val="00B81D32"/>
    <w:rsid w:val="00B82AA8"/>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532"/>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976"/>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1B91"/>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4684"/>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1F9A"/>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FDE"/>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424"/>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D10"/>
    <w:rsid w:val="00CB3FF7"/>
    <w:rsid w:val="00CB4807"/>
    <w:rsid w:val="00CB5067"/>
    <w:rsid w:val="00CB6725"/>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4D3"/>
    <w:rsid w:val="00CF39B9"/>
    <w:rsid w:val="00CF3B13"/>
    <w:rsid w:val="00CF3B75"/>
    <w:rsid w:val="00CF3C52"/>
    <w:rsid w:val="00CF4B66"/>
    <w:rsid w:val="00CF4C6C"/>
    <w:rsid w:val="00CF680A"/>
    <w:rsid w:val="00CF6B1C"/>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3A8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17E7"/>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21B"/>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0D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19EE"/>
    <w:rsid w:val="00E62CCA"/>
    <w:rsid w:val="00E62DE3"/>
    <w:rsid w:val="00E62F1F"/>
    <w:rsid w:val="00E64683"/>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44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BFF"/>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6A61"/>
    <w:rsid w:val="00EF7042"/>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18C"/>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3FD"/>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AB8"/>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1F3"/>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4CFD"/>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4646B3-1D89-4320-A4CA-F1721FA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5/T-271-15.rtf" TargetMode="External"/><Relationship Id="rId1" Type="http://schemas.openxmlformats.org/officeDocument/2006/relationships/hyperlink" Target="http://www.corteconstitucional.gov.co/sentencias/2015/T-271-15.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FDB5-35D1-4020-93C3-A30C3269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3073</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15</cp:revision>
  <cp:lastPrinted>2018-04-20T18:29:00Z</cp:lastPrinted>
  <dcterms:created xsi:type="dcterms:W3CDTF">2018-04-19T19:38:00Z</dcterms:created>
  <dcterms:modified xsi:type="dcterms:W3CDTF">2018-05-31T13:25:00Z</dcterms:modified>
</cp:coreProperties>
</file>