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24" w:rsidRPr="002E011F" w:rsidRDefault="00B13B24" w:rsidP="00B13B2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bookmarkStart w:id="0" w:name="_GoBack"/>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13B24" w:rsidRPr="002E011F" w:rsidRDefault="00B13B24" w:rsidP="00B13B2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13B24" w:rsidRDefault="00B13B24" w:rsidP="00B13B24">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 xml:space="preserve">Sentencia  – 2ª </w:t>
      </w:r>
      <w:r>
        <w:rPr>
          <w:rFonts w:asciiTheme="minorHAnsi" w:hAnsiTheme="minorHAnsi"/>
          <w:sz w:val="18"/>
          <w:szCs w:val="18"/>
        </w:rPr>
        <w:t>instancia – 08</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B13B24" w:rsidRPr="001B5572" w:rsidRDefault="00B13B24" w:rsidP="00B13B24">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w:t>
      </w:r>
      <w:r>
        <w:rPr>
          <w:rFonts w:asciiTheme="minorHAnsi" w:hAnsiTheme="minorHAnsi"/>
          <w:sz w:val="18"/>
          <w:szCs w:val="18"/>
        </w:rPr>
        <w:t>Subsidiariedad  - Improcedente</w:t>
      </w:r>
      <w:r>
        <w:rPr>
          <w:rFonts w:asciiTheme="minorHAnsi" w:hAnsiTheme="minorHAnsi"/>
          <w:sz w:val="18"/>
          <w:szCs w:val="18"/>
        </w:rPr>
        <w:t xml:space="preserve"> </w:t>
      </w:r>
    </w:p>
    <w:p w:rsidR="00B13B24" w:rsidRPr="001B5572" w:rsidRDefault="00B13B24" w:rsidP="00B13B24">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B13B24">
        <w:rPr>
          <w:rFonts w:asciiTheme="minorHAnsi" w:hAnsiTheme="minorHAnsi"/>
          <w:sz w:val="18"/>
          <w:szCs w:val="18"/>
        </w:rPr>
        <w:t>2018-00077-01</w:t>
      </w:r>
    </w:p>
    <w:p w:rsidR="00B13B24" w:rsidRDefault="00B13B24" w:rsidP="00B13B24">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Pr="00B13B24">
        <w:rPr>
          <w:rFonts w:asciiTheme="minorHAnsi" w:hAnsiTheme="minorHAnsi"/>
          <w:sz w:val="18"/>
          <w:szCs w:val="18"/>
        </w:rPr>
        <w:t>Yhon</w:t>
      </w:r>
      <w:proofErr w:type="spellEnd"/>
      <w:r w:rsidRPr="00B13B24">
        <w:rPr>
          <w:rFonts w:asciiTheme="minorHAnsi" w:hAnsiTheme="minorHAnsi"/>
          <w:sz w:val="18"/>
          <w:szCs w:val="18"/>
        </w:rPr>
        <w:t xml:space="preserve"> </w:t>
      </w:r>
      <w:proofErr w:type="spellStart"/>
      <w:r w:rsidRPr="00B13B24">
        <w:rPr>
          <w:rFonts w:asciiTheme="minorHAnsi" w:hAnsiTheme="minorHAnsi"/>
          <w:sz w:val="18"/>
          <w:szCs w:val="18"/>
        </w:rPr>
        <w:t>Alexánder</w:t>
      </w:r>
      <w:proofErr w:type="spellEnd"/>
      <w:r w:rsidRPr="00B13B24">
        <w:rPr>
          <w:rFonts w:asciiTheme="minorHAnsi" w:hAnsiTheme="minorHAnsi"/>
          <w:sz w:val="18"/>
          <w:szCs w:val="18"/>
        </w:rPr>
        <w:t xml:space="preserve"> Vargas García</w:t>
      </w:r>
    </w:p>
    <w:p w:rsidR="00B13B24" w:rsidRPr="001B5572" w:rsidRDefault="00B13B24" w:rsidP="00B13B24">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B13B24">
        <w:rPr>
          <w:rFonts w:asciiTheme="minorHAnsi" w:hAnsiTheme="minorHAnsi"/>
          <w:sz w:val="18"/>
          <w:szCs w:val="18"/>
        </w:rPr>
        <w:t>Ministerio de Educación Nacional y otra</w:t>
      </w:r>
    </w:p>
    <w:p w:rsidR="00B13B24" w:rsidRPr="001B5572" w:rsidRDefault="00B13B24" w:rsidP="00B13B24">
      <w:pPr>
        <w:rPr>
          <w:rFonts w:asciiTheme="minorHAnsi" w:hAnsiTheme="minorHAnsi"/>
          <w:sz w:val="18"/>
          <w:szCs w:val="18"/>
        </w:rPr>
      </w:pPr>
      <w:r>
        <w:rPr>
          <w:rFonts w:asciiTheme="minorHAnsi" w:hAnsiTheme="minorHAnsi"/>
          <w:sz w:val="18"/>
          <w:szCs w:val="18"/>
        </w:rPr>
        <w:t>Litisconsorte:</w:t>
      </w:r>
      <w:r>
        <w:rPr>
          <w:rFonts w:asciiTheme="minorHAnsi" w:hAnsiTheme="minorHAnsi"/>
          <w:sz w:val="18"/>
          <w:szCs w:val="18"/>
        </w:rPr>
        <w:tab/>
      </w:r>
      <w:r>
        <w:rPr>
          <w:rFonts w:asciiTheme="minorHAnsi" w:hAnsiTheme="minorHAnsi"/>
          <w:sz w:val="18"/>
          <w:szCs w:val="18"/>
        </w:rPr>
        <w:tab/>
      </w:r>
      <w:r w:rsidRPr="00B13B24">
        <w:rPr>
          <w:rFonts w:asciiTheme="minorHAnsi" w:hAnsiTheme="minorHAnsi"/>
          <w:sz w:val="18"/>
          <w:szCs w:val="18"/>
        </w:rPr>
        <w:t>Secretaría de Educación Municipal de Dosquebradas y otros</w:t>
      </w:r>
    </w:p>
    <w:p w:rsidR="00B13B24" w:rsidRPr="001B5572" w:rsidRDefault="00B13B24" w:rsidP="00B13B24">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B13B24" w:rsidRPr="001B5572" w:rsidRDefault="00B13B24" w:rsidP="00B13B24">
      <w:pPr>
        <w:rPr>
          <w:rFonts w:asciiTheme="minorHAnsi" w:hAnsiTheme="minorHAnsi"/>
          <w:sz w:val="18"/>
          <w:szCs w:val="18"/>
        </w:rPr>
      </w:pPr>
    </w:p>
    <w:p w:rsidR="00B13B24" w:rsidRPr="00B13B24" w:rsidRDefault="00B13B24" w:rsidP="00B13B24">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IGUALDAD / DEBIDO PROCESO / DOCENTE / EVALUACIÓN PARA AUMENTO SALARIAL / ACTO ADMINISTRATIVO / SUBSIDIARIEDAD / IMPROCEDENTE - </w:t>
      </w:r>
      <w:r>
        <w:rPr>
          <w:rFonts w:asciiTheme="minorHAnsi" w:hAnsiTheme="minorHAnsi"/>
          <w:b/>
          <w:sz w:val="18"/>
          <w:lang w:val="es-CO" w:eastAsia="fr-FR"/>
        </w:rPr>
        <w:t xml:space="preserve"> </w:t>
      </w:r>
      <w:r w:rsidRPr="00B13B24">
        <w:rPr>
          <w:rFonts w:asciiTheme="minorHAnsi" w:hAnsiTheme="minorHAnsi"/>
          <w:sz w:val="18"/>
          <w:lang w:val="es-CO" w:eastAsia="fr-FR"/>
        </w:rPr>
        <w:t>Cuestiona el actor el acto administrativo que confirmó la calificación obtenida en el proceso de evaluación de carácter diagnóstico formativo, pues considera que no se valoraron de forma objetiva todos los instrumentos aportados; además, se debió excluir la encuesta, tal como se dispuso con los profesores que se encontraban en paro, porque se hizo durante una semana que no había jornada estudiantil.</w:t>
      </w:r>
    </w:p>
    <w:p w:rsidR="00B13B24" w:rsidRPr="00B13B24" w:rsidRDefault="00B13B24" w:rsidP="00B13B24">
      <w:pPr>
        <w:pStyle w:val="Sinespaciado"/>
        <w:jc w:val="both"/>
        <w:rPr>
          <w:rFonts w:asciiTheme="minorHAnsi" w:hAnsiTheme="minorHAnsi"/>
          <w:sz w:val="18"/>
          <w:lang w:val="es-CO" w:eastAsia="fr-FR"/>
        </w:rPr>
      </w:pPr>
    </w:p>
    <w:p w:rsidR="00B13B24" w:rsidRPr="00B13B24" w:rsidRDefault="00B13B24" w:rsidP="00B13B24">
      <w:pPr>
        <w:pStyle w:val="Sinespaciado"/>
        <w:jc w:val="both"/>
        <w:rPr>
          <w:rFonts w:asciiTheme="minorHAnsi" w:hAnsiTheme="minorHAnsi"/>
          <w:sz w:val="18"/>
          <w:lang w:val="es-CO" w:eastAsia="fr-FR"/>
        </w:rPr>
      </w:pPr>
      <w:r w:rsidRPr="00B13B24">
        <w:rPr>
          <w:rFonts w:asciiTheme="minorHAnsi" w:hAnsiTheme="minorHAnsi"/>
          <w:sz w:val="18"/>
          <w:lang w:val="es-CO" w:eastAsia="fr-FR"/>
        </w:rPr>
        <w:t>Para esta Sala los argumentos de la impugnación son infundados, y por lo tanto, deberá confirmarse la decisión de primera instancia, toda vez que se avino a los postulados jurisprudenciales previamente referenciados; en efecto, el accionante cuenta con mecanismos judiciales diferentes a esta acción para la defensa de sus derechos, en consideración a que el acto administrativo de carácter particular reprochado, es susceptible de control judicial ante la jurisdicción administrativa.</w:t>
      </w:r>
    </w:p>
    <w:p w:rsidR="00B13B24" w:rsidRPr="00B13B24" w:rsidRDefault="00B13B24" w:rsidP="00B13B24">
      <w:pPr>
        <w:pStyle w:val="Sinespaciado"/>
        <w:jc w:val="both"/>
        <w:rPr>
          <w:rFonts w:asciiTheme="minorHAnsi" w:hAnsiTheme="minorHAnsi"/>
          <w:sz w:val="18"/>
          <w:lang w:val="es-CO" w:eastAsia="fr-FR"/>
        </w:rPr>
      </w:pPr>
    </w:p>
    <w:p w:rsidR="00B13B24" w:rsidRPr="00B13B24" w:rsidRDefault="00B13B24" w:rsidP="00B13B24">
      <w:pPr>
        <w:pStyle w:val="Sinespaciado"/>
        <w:jc w:val="both"/>
        <w:rPr>
          <w:rFonts w:asciiTheme="minorHAnsi" w:hAnsiTheme="minorHAnsi"/>
          <w:sz w:val="18"/>
          <w:lang w:val="es-CO" w:eastAsia="fr-FR"/>
        </w:rPr>
      </w:pPr>
      <w:r w:rsidRPr="00B13B24">
        <w:rPr>
          <w:rFonts w:asciiTheme="minorHAnsi" w:hAnsiTheme="minorHAnsi"/>
          <w:sz w:val="18"/>
          <w:lang w:val="es-CO" w:eastAsia="fr-FR"/>
        </w:rPr>
        <w:t xml:space="preserve">Nuestro sistema jurídico, tiene previstos los medios de control de nulidad y restablecimiento del derecho y de simple nulidad (Artículos 137 y 138-2 del </w:t>
      </w:r>
      <w:proofErr w:type="spellStart"/>
      <w:r w:rsidRPr="00B13B24">
        <w:rPr>
          <w:rFonts w:asciiTheme="minorHAnsi" w:hAnsiTheme="minorHAnsi"/>
          <w:sz w:val="18"/>
          <w:lang w:val="es-CO" w:eastAsia="fr-FR"/>
        </w:rPr>
        <w:t>CPACA</w:t>
      </w:r>
      <w:proofErr w:type="spellEnd"/>
      <w:r w:rsidRPr="00B13B24">
        <w:rPr>
          <w:rFonts w:asciiTheme="minorHAnsi" w:hAnsiTheme="minorHAnsi"/>
          <w:sz w:val="18"/>
          <w:lang w:val="es-CO" w:eastAsia="fr-FR"/>
        </w:rPr>
        <w:t xml:space="preserve">) a través de los cuales se puede demandar y solicitar, entre otras, la medida cautelar de suspensión provisional de los efectos del actor administrativo (Artículo 230-3º, </w:t>
      </w:r>
      <w:proofErr w:type="spellStart"/>
      <w:r w:rsidRPr="00B13B24">
        <w:rPr>
          <w:rFonts w:asciiTheme="minorHAnsi" w:hAnsiTheme="minorHAnsi"/>
          <w:sz w:val="18"/>
          <w:lang w:val="es-CO" w:eastAsia="fr-FR"/>
        </w:rPr>
        <w:t>CPACA</w:t>
      </w:r>
      <w:proofErr w:type="spellEnd"/>
      <w:r w:rsidRPr="00B13B24">
        <w:rPr>
          <w:rFonts w:asciiTheme="minorHAnsi" w:hAnsiTheme="minorHAnsi"/>
          <w:sz w:val="18"/>
          <w:lang w:val="es-CO" w:eastAsia="fr-FR"/>
        </w:rPr>
        <w:t xml:space="preserve">), que no requiere de caución (Artículo 232, inciso 3º, </w:t>
      </w:r>
      <w:proofErr w:type="spellStart"/>
      <w:r w:rsidRPr="00B13B24">
        <w:rPr>
          <w:rFonts w:asciiTheme="minorHAnsi" w:hAnsiTheme="minorHAnsi"/>
          <w:sz w:val="18"/>
          <w:lang w:val="es-CO" w:eastAsia="fr-FR"/>
        </w:rPr>
        <w:t>CPACA</w:t>
      </w:r>
      <w:proofErr w:type="spellEnd"/>
      <w:r w:rsidRPr="00B13B24">
        <w:rPr>
          <w:rFonts w:asciiTheme="minorHAnsi" w:hAnsiTheme="minorHAnsi"/>
          <w:sz w:val="18"/>
          <w:lang w:val="es-CO" w:eastAsia="fr-FR"/>
        </w:rPr>
        <w:t xml:space="preserve">) y que de ser decretada, perduraría hasta el día en que se imparta la decisión definitiva por el juez ordinario, lo que plano descarta la posible configuración de un agravio irreversible al acci0nante. </w:t>
      </w:r>
    </w:p>
    <w:p w:rsidR="00B13B24" w:rsidRPr="00B13B24" w:rsidRDefault="00B13B24" w:rsidP="00B13B24">
      <w:pPr>
        <w:pStyle w:val="Sinespaciado"/>
        <w:jc w:val="both"/>
        <w:rPr>
          <w:rFonts w:asciiTheme="minorHAnsi" w:hAnsiTheme="minorHAnsi"/>
          <w:sz w:val="18"/>
          <w:lang w:val="es-CO" w:eastAsia="fr-FR"/>
        </w:rPr>
      </w:pPr>
    </w:p>
    <w:p w:rsidR="00B13B24" w:rsidRPr="00B13B24" w:rsidRDefault="00B13B24" w:rsidP="00B13B24">
      <w:pPr>
        <w:pStyle w:val="Sinespaciado"/>
        <w:jc w:val="both"/>
        <w:rPr>
          <w:rFonts w:asciiTheme="minorHAnsi" w:hAnsiTheme="minorHAnsi"/>
          <w:sz w:val="18"/>
          <w:lang w:val="es-CO" w:eastAsia="fr-FR"/>
        </w:rPr>
      </w:pPr>
      <w:r w:rsidRPr="00B13B24">
        <w:rPr>
          <w:rFonts w:asciiTheme="minorHAnsi" w:hAnsiTheme="minorHAnsi"/>
          <w:sz w:val="18"/>
          <w:lang w:val="es-CO" w:eastAsia="fr-FR"/>
        </w:rPr>
        <w:t xml:space="preserve">Recuérdese que los actos administrativos están amparados por la presunción de legalidad, de tal suerte, que el examen del juez constitucional es excepcional y solo procede, cuando se demuestre un perjuicio </w:t>
      </w:r>
      <w:proofErr w:type="gramStart"/>
      <w:r w:rsidRPr="00B13B24">
        <w:rPr>
          <w:rFonts w:asciiTheme="minorHAnsi" w:hAnsiTheme="minorHAnsi"/>
          <w:sz w:val="18"/>
          <w:lang w:val="es-CO" w:eastAsia="fr-FR"/>
        </w:rPr>
        <w:t>irremediable ,</w:t>
      </w:r>
      <w:proofErr w:type="gramEnd"/>
      <w:r w:rsidRPr="00B13B24">
        <w:rPr>
          <w:rFonts w:asciiTheme="minorHAnsi" w:hAnsiTheme="minorHAnsi"/>
          <w:sz w:val="18"/>
          <w:lang w:val="es-CO" w:eastAsia="fr-FR"/>
        </w:rPr>
        <w:t xml:space="preserve"> que aquí no se probó. </w:t>
      </w:r>
    </w:p>
    <w:p w:rsidR="00B13B24" w:rsidRPr="00B13B24" w:rsidRDefault="00B13B24" w:rsidP="00B13B24">
      <w:pPr>
        <w:pStyle w:val="Sinespaciado"/>
        <w:jc w:val="both"/>
        <w:rPr>
          <w:rFonts w:asciiTheme="minorHAnsi" w:hAnsiTheme="minorHAnsi"/>
          <w:sz w:val="18"/>
          <w:lang w:val="es-CO" w:eastAsia="fr-FR"/>
        </w:rPr>
      </w:pPr>
    </w:p>
    <w:p w:rsidR="00B13B24" w:rsidRPr="00B13B24" w:rsidRDefault="00B13B24" w:rsidP="00B13B24">
      <w:pPr>
        <w:pStyle w:val="Sinespaciado"/>
        <w:jc w:val="both"/>
        <w:rPr>
          <w:rFonts w:asciiTheme="minorHAnsi" w:hAnsiTheme="minorHAnsi"/>
          <w:sz w:val="18"/>
          <w:lang w:val="es-CO" w:eastAsia="fr-FR"/>
        </w:rPr>
      </w:pPr>
      <w:r w:rsidRPr="00B13B24">
        <w:rPr>
          <w:rFonts w:asciiTheme="minorHAnsi" w:hAnsiTheme="minorHAnsi"/>
          <w:sz w:val="18"/>
          <w:lang w:val="es-CO" w:eastAsia="fr-FR"/>
        </w:rPr>
        <w:t xml:space="preserve">Para esta Magistratura la imposibilidad de acceder a un aumento salarial, con ocasión de la decisión rebatida, por sí misma, es insuficiente para advertir la urgencia e </w:t>
      </w:r>
      <w:proofErr w:type="spellStart"/>
      <w:r w:rsidRPr="00B13B24">
        <w:rPr>
          <w:rFonts w:asciiTheme="minorHAnsi" w:hAnsiTheme="minorHAnsi"/>
          <w:sz w:val="18"/>
          <w:lang w:val="es-CO" w:eastAsia="fr-FR"/>
        </w:rPr>
        <w:t>impostergabilidad</w:t>
      </w:r>
      <w:proofErr w:type="spellEnd"/>
      <w:r w:rsidRPr="00B13B24">
        <w:rPr>
          <w:rFonts w:asciiTheme="minorHAnsi" w:hAnsiTheme="minorHAnsi"/>
          <w:sz w:val="18"/>
          <w:lang w:val="es-CO" w:eastAsia="fr-FR"/>
        </w:rPr>
        <w:t xml:space="preserve"> del amparo constitucional; en manera alguna se alegó y probó la afectación al mínimo vital; el actor no es una persona de especial protección constitucional ni se encuentra en estado de debilidad manifiesta; por manera que el amparo también es improcedente como mecanismo transitorio; puede ejercitar los mentados medios de control administrativo, idóneos y eficaces para resolver la cuestión litigiosa.</w:t>
      </w:r>
    </w:p>
    <w:p w:rsidR="00B13B24" w:rsidRPr="00B13B24" w:rsidRDefault="00B13B24" w:rsidP="00B13B24">
      <w:pPr>
        <w:pStyle w:val="Sinespaciado"/>
        <w:jc w:val="both"/>
        <w:rPr>
          <w:rFonts w:asciiTheme="minorHAnsi" w:hAnsiTheme="minorHAnsi"/>
          <w:sz w:val="18"/>
          <w:lang w:val="es-CO" w:eastAsia="fr-FR"/>
        </w:rPr>
      </w:pPr>
    </w:p>
    <w:p w:rsidR="00B13B24" w:rsidRDefault="00B13B24" w:rsidP="00B13B24">
      <w:pPr>
        <w:pStyle w:val="Sinespaciado"/>
        <w:jc w:val="both"/>
        <w:rPr>
          <w:rFonts w:asciiTheme="minorHAnsi" w:hAnsiTheme="minorHAnsi"/>
          <w:sz w:val="18"/>
          <w:lang w:val="es-CO" w:eastAsia="fr-FR"/>
        </w:rPr>
      </w:pPr>
      <w:r w:rsidRPr="00B13B24">
        <w:rPr>
          <w:rFonts w:asciiTheme="minorHAnsi" w:hAnsiTheme="minorHAnsi"/>
          <w:sz w:val="18"/>
          <w:lang w:val="es-CO" w:eastAsia="fr-FR"/>
        </w:rPr>
        <w:t xml:space="preserve">Por último, es inexistente la vulneración del derecho a la igualdad invocado; se carece de prueba que acredite que la parte accionada dio un trato diferente a personas que se encontraban en la misma situación del actor; y, tampoco que con base en criterios dudosos -  haya decidido excluir el requisito de la encuesta estudiantil en la evaluación de los profesores que se encontraban en paro que, en todo caso, es una circunstancia diferente a la del interesado, quien sí continuó con sus labores docentes. </w:t>
      </w:r>
      <w:r>
        <w:rPr>
          <w:rFonts w:asciiTheme="minorHAnsi" w:hAnsiTheme="minorHAnsi"/>
          <w:sz w:val="18"/>
          <w:lang w:val="es-CO" w:eastAsia="fr-FR"/>
        </w:rPr>
        <w:t>(…)</w:t>
      </w:r>
    </w:p>
    <w:p w:rsidR="00B13B24" w:rsidRDefault="00B13B24" w:rsidP="00B13B24">
      <w:pPr>
        <w:pStyle w:val="Sinespaciado"/>
        <w:jc w:val="both"/>
        <w:rPr>
          <w:rFonts w:asciiTheme="minorHAnsi" w:hAnsiTheme="minorHAnsi"/>
          <w:sz w:val="18"/>
          <w:lang w:val="es-CO" w:eastAsia="fr-FR"/>
        </w:rPr>
      </w:pPr>
    </w:p>
    <w:p w:rsidR="00B13B24" w:rsidRDefault="00B13B24" w:rsidP="00B13B24">
      <w:pPr>
        <w:pStyle w:val="Sinespaciado"/>
        <w:jc w:val="both"/>
        <w:rPr>
          <w:rFonts w:asciiTheme="minorHAnsi" w:hAnsiTheme="minorHAnsi"/>
          <w:sz w:val="18"/>
          <w:lang w:val="es-CO" w:eastAsia="fr-FR"/>
        </w:rPr>
      </w:pPr>
    </w:p>
    <w:bookmarkEnd w:id="0"/>
    <w:p w:rsidR="00BA7E41" w:rsidRPr="001E5B6B" w:rsidRDefault="00D0509A" w:rsidP="00BA7E41">
      <w:pPr>
        <w:pStyle w:val="Sinespaciado"/>
        <w:tabs>
          <w:tab w:val="left" w:pos="3579"/>
        </w:tabs>
        <w:spacing w:line="360" w:lineRule="auto"/>
        <w:jc w:val="center"/>
        <w:rPr>
          <w:rFonts w:ascii="Georgia" w:hAnsi="Georgia" w:cs="Arial"/>
          <w:w w:val="140"/>
          <w:sz w:val="14"/>
        </w:rPr>
      </w:pPr>
      <w:r w:rsidRPr="003A6159">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3A6159">
        <w:rPr>
          <w:rFonts w:ascii="Georgia" w:hAnsi="Georgia" w:cs="Arial"/>
          <w:w w:val="140"/>
        </w:rPr>
        <w:br w:type="textWrapping" w:clear="all"/>
      </w:r>
      <w:r w:rsidR="00BA7E41" w:rsidRPr="001E5B6B">
        <w:rPr>
          <w:rFonts w:ascii="Georgia" w:hAnsi="Georgia" w:cs="Arial"/>
          <w:w w:val="140"/>
          <w:sz w:val="14"/>
        </w:rPr>
        <w:t>REPUBLICA DE COLOMBIA</w:t>
      </w:r>
    </w:p>
    <w:p w:rsidR="00BA7E41" w:rsidRPr="001E5B6B" w:rsidRDefault="00BA7E41" w:rsidP="00BA7E41">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BA7E41" w:rsidRPr="001E5B6B" w:rsidRDefault="00BA7E41" w:rsidP="00BA7E41">
      <w:pPr>
        <w:pStyle w:val="Sinespaciado"/>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BA7E41" w:rsidRPr="001E5B6B" w:rsidRDefault="00BA7E41" w:rsidP="00BA7E41">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BA7E41" w:rsidRPr="001E5B6B" w:rsidRDefault="00BA7E41" w:rsidP="00BA7E41">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3A6159" w:rsidRDefault="00486062" w:rsidP="00BA7E41">
      <w:pPr>
        <w:pStyle w:val="Sinespaciado"/>
        <w:tabs>
          <w:tab w:val="left" w:pos="3579"/>
        </w:tabs>
        <w:spacing w:line="360" w:lineRule="auto"/>
        <w:jc w:val="center"/>
        <w:rPr>
          <w:rFonts w:ascii="Georgia" w:hAnsi="Georgia" w:cs="Arial"/>
          <w:w w:val="140"/>
          <w:szCs w:val="18"/>
        </w:rPr>
      </w:pPr>
    </w:p>
    <w:p w:rsidR="0099045D" w:rsidRPr="003A6159" w:rsidRDefault="00970930" w:rsidP="00F560C3">
      <w:pPr>
        <w:pStyle w:val="Textoindependiente"/>
        <w:spacing w:line="360" w:lineRule="auto"/>
        <w:rPr>
          <w:rFonts w:ascii="Georgia" w:hAnsi="Georgia" w:cs="Arial"/>
          <w:sz w:val="22"/>
          <w:szCs w:val="22"/>
        </w:rPr>
      </w:pPr>
      <w:r w:rsidRPr="003A6159">
        <w:rPr>
          <w:rFonts w:ascii="Georgia" w:hAnsi="Georgia" w:cs="Arial"/>
          <w:sz w:val="22"/>
        </w:rPr>
        <w:tab/>
      </w:r>
      <w:r w:rsidR="00D70A1B" w:rsidRPr="003A6159">
        <w:rPr>
          <w:rFonts w:ascii="Georgia" w:hAnsi="Georgia" w:cs="Arial"/>
          <w:sz w:val="22"/>
        </w:rPr>
        <w:tab/>
      </w:r>
      <w:r w:rsidR="0099045D" w:rsidRPr="003A6159">
        <w:rPr>
          <w:rFonts w:ascii="Georgia" w:hAnsi="Georgia" w:cs="Arial"/>
          <w:sz w:val="22"/>
          <w:szCs w:val="22"/>
        </w:rPr>
        <w:t>Asunto</w:t>
      </w:r>
      <w:r w:rsidR="0099045D" w:rsidRPr="003A6159">
        <w:rPr>
          <w:rFonts w:ascii="Georgia" w:hAnsi="Georgia" w:cs="Arial"/>
          <w:sz w:val="22"/>
          <w:szCs w:val="22"/>
        </w:rPr>
        <w:tab/>
      </w:r>
      <w:r w:rsidR="0099045D" w:rsidRPr="003A6159">
        <w:rPr>
          <w:rFonts w:ascii="Georgia" w:hAnsi="Georgia" w:cs="Arial"/>
          <w:sz w:val="22"/>
          <w:szCs w:val="22"/>
        </w:rPr>
        <w:tab/>
      </w:r>
      <w:r w:rsidR="0099045D" w:rsidRPr="003A6159">
        <w:rPr>
          <w:rFonts w:ascii="Georgia" w:hAnsi="Georgia" w:cs="Arial"/>
          <w:sz w:val="22"/>
          <w:szCs w:val="22"/>
        </w:rPr>
        <w:tab/>
        <w:t xml:space="preserve">: Sentencia de tutela en </w:t>
      </w:r>
      <w:r w:rsidR="003A6159">
        <w:rPr>
          <w:rFonts w:ascii="Georgia" w:hAnsi="Georgia" w:cs="Arial"/>
          <w:sz w:val="22"/>
          <w:szCs w:val="22"/>
        </w:rPr>
        <w:t>segunda</w:t>
      </w:r>
      <w:r w:rsidR="0099045D" w:rsidRPr="003A6159">
        <w:rPr>
          <w:rFonts w:ascii="Georgia" w:hAnsi="Georgia" w:cs="Arial"/>
          <w:sz w:val="22"/>
          <w:szCs w:val="22"/>
        </w:rPr>
        <w:t xml:space="preserve"> instancia</w:t>
      </w:r>
      <w:r w:rsidR="0068647B" w:rsidRPr="003A6159">
        <w:rPr>
          <w:rFonts w:ascii="Georgia" w:hAnsi="Georgia" w:cs="Arial"/>
          <w:sz w:val="22"/>
          <w:szCs w:val="22"/>
        </w:rPr>
        <w:tab/>
      </w:r>
    </w:p>
    <w:p w:rsidR="0068647B" w:rsidRPr="003A6159" w:rsidRDefault="0068647B" w:rsidP="0068647B">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Accionante</w:t>
      </w:r>
      <w:r w:rsidRPr="003A6159">
        <w:rPr>
          <w:rFonts w:ascii="Georgia" w:hAnsi="Georgia" w:cs="Arial"/>
          <w:sz w:val="22"/>
        </w:rPr>
        <w:tab/>
      </w:r>
      <w:r w:rsidRPr="003A6159">
        <w:rPr>
          <w:rFonts w:ascii="Georgia" w:hAnsi="Georgia" w:cs="Arial"/>
          <w:sz w:val="22"/>
        </w:rPr>
        <w:tab/>
        <w:t xml:space="preserve">: </w:t>
      </w:r>
      <w:proofErr w:type="spellStart"/>
      <w:r w:rsidR="00BA7E41">
        <w:rPr>
          <w:rFonts w:ascii="Georgia" w:hAnsi="Georgia" w:cs="Arial"/>
          <w:sz w:val="22"/>
        </w:rPr>
        <w:t>Yhon</w:t>
      </w:r>
      <w:proofErr w:type="spellEnd"/>
      <w:r w:rsidR="00BA7E41">
        <w:rPr>
          <w:rFonts w:ascii="Georgia" w:hAnsi="Georgia" w:cs="Arial"/>
          <w:sz w:val="22"/>
        </w:rPr>
        <w:t xml:space="preserve"> </w:t>
      </w:r>
      <w:proofErr w:type="spellStart"/>
      <w:r w:rsidR="00BA7E41">
        <w:rPr>
          <w:rFonts w:ascii="Georgia" w:hAnsi="Georgia" w:cs="Arial"/>
          <w:sz w:val="22"/>
        </w:rPr>
        <w:t>Alexánder</w:t>
      </w:r>
      <w:proofErr w:type="spellEnd"/>
      <w:r w:rsidR="00BA7E41">
        <w:rPr>
          <w:rFonts w:ascii="Georgia" w:hAnsi="Georgia" w:cs="Arial"/>
          <w:sz w:val="22"/>
        </w:rPr>
        <w:t xml:space="preserve"> Vargas García</w:t>
      </w:r>
    </w:p>
    <w:p w:rsidR="0068647B" w:rsidRPr="003A6159" w:rsidRDefault="0068647B" w:rsidP="0068647B">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Accionado (s)</w:t>
      </w:r>
      <w:r w:rsidRPr="003A6159">
        <w:rPr>
          <w:rFonts w:ascii="Georgia" w:hAnsi="Georgia" w:cs="Arial"/>
          <w:sz w:val="22"/>
        </w:rPr>
        <w:tab/>
      </w:r>
      <w:r w:rsidRPr="003A6159">
        <w:rPr>
          <w:rFonts w:ascii="Georgia" w:hAnsi="Georgia" w:cs="Arial"/>
          <w:sz w:val="22"/>
        </w:rPr>
        <w:tab/>
        <w:t xml:space="preserve">: </w:t>
      </w:r>
      <w:r w:rsidR="00BA7E41">
        <w:rPr>
          <w:rFonts w:ascii="Georgia" w:hAnsi="Georgia" w:cs="Arial"/>
          <w:sz w:val="22"/>
          <w:lang w:val="es-CO"/>
        </w:rPr>
        <w:t xml:space="preserve">Ministerio de Educación Nacional </w:t>
      </w:r>
      <w:r w:rsidR="00A9348E" w:rsidRPr="003A6159">
        <w:rPr>
          <w:rFonts w:ascii="Georgia" w:hAnsi="Georgia" w:cs="Arial"/>
          <w:sz w:val="22"/>
          <w:lang w:val="es-CO"/>
        </w:rPr>
        <w:t>y otra</w:t>
      </w:r>
    </w:p>
    <w:p w:rsidR="0068647B" w:rsidRPr="003A6159" w:rsidRDefault="0068647B" w:rsidP="003A6159">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Litisconsorte (s)</w:t>
      </w:r>
      <w:r w:rsidRPr="003A6159">
        <w:rPr>
          <w:rFonts w:ascii="Georgia" w:hAnsi="Georgia" w:cs="Arial"/>
          <w:sz w:val="22"/>
        </w:rPr>
        <w:tab/>
        <w:t xml:space="preserve">: </w:t>
      </w:r>
      <w:r w:rsidR="00BA7E41">
        <w:rPr>
          <w:rFonts w:ascii="Georgia" w:hAnsi="Georgia" w:cs="Arial"/>
          <w:sz w:val="22"/>
        </w:rPr>
        <w:t>Secretaría de Educación Municipal de Dosquebradas y otros</w:t>
      </w:r>
    </w:p>
    <w:p w:rsidR="0068647B" w:rsidRPr="00BA7E41" w:rsidRDefault="0068647B" w:rsidP="0068647B">
      <w:pPr>
        <w:pStyle w:val="Textoindependiente"/>
        <w:spacing w:line="360" w:lineRule="auto"/>
        <w:rPr>
          <w:rFonts w:ascii="Georgia" w:hAnsi="Georgia" w:cs="Arial"/>
          <w:sz w:val="22"/>
          <w:lang w:val="es-CO"/>
        </w:rPr>
      </w:pPr>
      <w:r w:rsidRPr="003A6159">
        <w:rPr>
          <w:rFonts w:ascii="Georgia" w:hAnsi="Georgia" w:cs="Arial"/>
          <w:sz w:val="22"/>
        </w:rPr>
        <w:tab/>
      </w:r>
      <w:r w:rsidRPr="003A6159">
        <w:rPr>
          <w:rFonts w:ascii="Georgia" w:hAnsi="Georgia" w:cs="Arial"/>
          <w:sz w:val="22"/>
        </w:rPr>
        <w:tab/>
        <w:t>Radicación</w:t>
      </w:r>
      <w:r w:rsidRPr="003A6159">
        <w:rPr>
          <w:rFonts w:ascii="Georgia" w:hAnsi="Georgia" w:cs="Arial"/>
          <w:sz w:val="22"/>
        </w:rPr>
        <w:tab/>
      </w:r>
      <w:r w:rsidRPr="003A6159">
        <w:rPr>
          <w:rFonts w:ascii="Georgia" w:hAnsi="Georgia" w:cs="Arial"/>
          <w:sz w:val="22"/>
        </w:rPr>
        <w:tab/>
        <w:t xml:space="preserve">: </w:t>
      </w:r>
      <w:r w:rsidR="003A6159">
        <w:rPr>
          <w:rFonts w:ascii="Georgia" w:hAnsi="Georgia" w:cs="Arial"/>
          <w:sz w:val="22"/>
        </w:rPr>
        <w:t>2018-</w:t>
      </w:r>
      <w:r w:rsidR="00BA7E41">
        <w:rPr>
          <w:rFonts w:ascii="Georgia" w:hAnsi="Georgia" w:cs="Arial"/>
          <w:sz w:val="22"/>
        </w:rPr>
        <w:t>00077</w:t>
      </w:r>
      <w:r w:rsidR="003A6159">
        <w:rPr>
          <w:rFonts w:ascii="Georgia" w:hAnsi="Georgia" w:cs="Arial"/>
          <w:sz w:val="22"/>
        </w:rPr>
        <w:t xml:space="preserve">-01 </w:t>
      </w:r>
    </w:p>
    <w:p w:rsidR="003A6159" w:rsidRPr="003A6159" w:rsidRDefault="003A6159" w:rsidP="003A6159">
      <w:pPr>
        <w:pStyle w:val="Textoindependiente"/>
        <w:spacing w:line="360" w:lineRule="auto"/>
        <w:ind w:left="3540" w:hanging="3540"/>
        <w:rPr>
          <w:rFonts w:ascii="Georgia" w:hAnsi="Georgia" w:cs="Arial"/>
          <w:sz w:val="22"/>
        </w:rPr>
      </w:pPr>
      <w:r>
        <w:rPr>
          <w:rFonts w:ascii="Georgia" w:hAnsi="Georgia"/>
          <w:sz w:val="22"/>
          <w:szCs w:val="22"/>
        </w:rPr>
        <w:tab/>
      </w:r>
      <w:r>
        <w:rPr>
          <w:rFonts w:ascii="Georgia" w:hAnsi="Georgia"/>
          <w:sz w:val="22"/>
          <w:szCs w:val="22"/>
        </w:rPr>
        <w:tab/>
      </w:r>
      <w:r w:rsidRPr="0071674A">
        <w:rPr>
          <w:rFonts w:ascii="Georgia" w:hAnsi="Georgia"/>
          <w:sz w:val="22"/>
          <w:szCs w:val="22"/>
        </w:rPr>
        <w:t>Despacho de origen</w:t>
      </w:r>
      <w:r w:rsidRPr="0071674A">
        <w:rPr>
          <w:rFonts w:ascii="Georgia" w:hAnsi="Georgia"/>
          <w:sz w:val="22"/>
          <w:szCs w:val="22"/>
        </w:rPr>
        <w:tab/>
      </w:r>
      <w:r w:rsidRPr="0031302C">
        <w:rPr>
          <w:rFonts w:ascii="Georgia" w:hAnsi="Georgia"/>
          <w:sz w:val="22"/>
          <w:szCs w:val="22"/>
        </w:rPr>
        <w:t xml:space="preserve">: Juzgado </w:t>
      </w:r>
      <w:r w:rsidR="00BA7E41">
        <w:rPr>
          <w:rFonts w:ascii="Georgia" w:hAnsi="Georgia"/>
          <w:sz w:val="22"/>
          <w:szCs w:val="22"/>
        </w:rPr>
        <w:t xml:space="preserve">Primero de Familia </w:t>
      </w:r>
      <w:r w:rsidRPr="0071674A">
        <w:rPr>
          <w:rFonts w:ascii="Georgia" w:hAnsi="Georgia"/>
          <w:sz w:val="22"/>
          <w:szCs w:val="22"/>
        </w:rPr>
        <w:t>de Pereira</w:t>
      </w:r>
    </w:p>
    <w:p w:rsidR="0099045D" w:rsidRPr="003A6159" w:rsidRDefault="0068647B" w:rsidP="008E5334">
      <w:pPr>
        <w:pStyle w:val="Textoindependiente"/>
        <w:spacing w:line="360" w:lineRule="auto"/>
        <w:rPr>
          <w:rFonts w:ascii="Georgia" w:hAnsi="Georgia"/>
          <w:sz w:val="22"/>
          <w:szCs w:val="22"/>
        </w:rPr>
      </w:pPr>
      <w:r w:rsidRPr="003A6159">
        <w:rPr>
          <w:rFonts w:ascii="Georgia" w:hAnsi="Georgia" w:cs="Arial"/>
          <w:sz w:val="22"/>
        </w:rPr>
        <w:tab/>
      </w:r>
      <w:r w:rsidRPr="003A6159">
        <w:rPr>
          <w:rFonts w:ascii="Georgia" w:hAnsi="Georgia" w:cs="Arial"/>
          <w:sz w:val="22"/>
        </w:rPr>
        <w:tab/>
      </w:r>
      <w:r w:rsidR="00C82923" w:rsidRPr="003A6159">
        <w:rPr>
          <w:rFonts w:ascii="Georgia" w:hAnsi="Georgia" w:cs="Arial"/>
          <w:sz w:val="22"/>
        </w:rPr>
        <w:t>Tema</w:t>
      </w:r>
      <w:r w:rsidR="004736C3" w:rsidRPr="003A6159">
        <w:rPr>
          <w:rFonts w:ascii="Georgia" w:hAnsi="Georgia" w:cs="Arial"/>
          <w:sz w:val="22"/>
        </w:rPr>
        <w:t>s</w:t>
      </w:r>
      <w:r w:rsidR="00C82923" w:rsidRPr="003A6159">
        <w:rPr>
          <w:rFonts w:ascii="Georgia" w:hAnsi="Georgia" w:cs="Arial"/>
          <w:sz w:val="22"/>
        </w:rPr>
        <w:tab/>
      </w:r>
      <w:r w:rsidR="00C82923" w:rsidRPr="003A6159">
        <w:rPr>
          <w:rFonts w:ascii="Georgia" w:hAnsi="Georgia" w:cs="Arial"/>
          <w:sz w:val="22"/>
        </w:rPr>
        <w:tab/>
      </w:r>
      <w:r w:rsidR="00C82923" w:rsidRPr="003A6159">
        <w:rPr>
          <w:rFonts w:ascii="Georgia" w:hAnsi="Georgia" w:cs="Arial"/>
          <w:sz w:val="22"/>
        </w:rPr>
        <w:tab/>
        <w:t>:</w:t>
      </w:r>
      <w:r w:rsidR="008F34B8" w:rsidRPr="003A6159">
        <w:rPr>
          <w:rFonts w:ascii="Georgia" w:hAnsi="Georgia" w:cs="Arial"/>
          <w:sz w:val="22"/>
          <w:szCs w:val="22"/>
        </w:rPr>
        <w:t xml:space="preserve"> </w:t>
      </w:r>
      <w:r w:rsidR="00A3743E" w:rsidRPr="003A6159">
        <w:rPr>
          <w:rFonts w:ascii="Georgia" w:hAnsi="Georgia" w:cs="Arial"/>
          <w:sz w:val="22"/>
          <w:szCs w:val="18"/>
        </w:rPr>
        <w:t xml:space="preserve">Acto administrativo </w:t>
      </w:r>
      <w:r w:rsidR="00BA7E41">
        <w:rPr>
          <w:rFonts w:ascii="Georgia" w:hAnsi="Georgia" w:cs="Arial"/>
          <w:sz w:val="22"/>
          <w:szCs w:val="18"/>
        </w:rPr>
        <w:t>–</w:t>
      </w:r>
      <w:r w:rsidR="00A3743E" w:rsidRPr="003A6159">
        <w:rPr>
          <w:rFonts w:ascii="Georgia" w:hAnsi="Georgia" w:cs="Arial"/>
          <w:sz w:val="22"/>
          <w:szCs w:val="18"/>
        </w:rPr>
        <w:t xml:space="preserve"> </w:t>
      </w:r>
      <w:r w:rsidR="00BA7E41">
        <w:rPr>
          <w:rFonts w:ascii="Georgia" w:hAnsi="Georgia" w:cs="Arial"/>
          <w:sz w:val="22"/>
          <w:szCs w:val="18"/>
        </w:rPr>
        <w:t xml:space="preserve">Subsidiariedad - </w:t>
      </w:r>
      <w:r w:rsidR="00A3743E" w:rsidRPr="003A6159">
        <w:rPr>
          <w:rFonts w:ascii="Georgia" w:hAnsi="Georgia" w:cs="Arial"/>
          <w:sz w:val="22"/>
          <w:szCs w:val="18"/>
        </w:rPr>
        <w:t>Perjuicio irremediable</w:t>
      </w:r>
      <w:r w:rsidR="008E5334" w:rsidRPr="003A6159">
        <w:rPr>
          <w:rFonts w:ascii="Georgia" w:hAnsi="Georgia"/>
          <w:sz w:val="22"/>
          <w:szCs w:val="22"/>
        </w:rPr>
        <w:tab/>
      </w:r>
      <w:r w:rsidR="008E5334" w:rsidRPr="003A6159">
        <w:rPr>
          <w:rFonts w:ascii="Georgia" w:hAnsi="Georgia"/>
          <w:sz w:val="22"/>
          <w:szCs w:val="22"/>
        </w:rPr>
        <w:tab/>
      </w:r>
      <w:r w:rsidR="0099045D" w:rsidRPr="003A6159">
        <w:rPr>
          <w:rFonts w:ascii="Georgia" w:hAnsi="Georgia"/>
          <w:sz w:val="22"/>
          <w:szCs w:val="22"/>
        </w:rPr>
        <w:t>Magistrado Ponente</w:t>
      </w:r>
      <w:r w:rsidR="0099045D" w:rsidRPr="003A6159">
        <w:rPr>
          <w:rFonts w:ascii="Georgia" w:hAnsi="Georgia"/>
          <w:sz w:val="22"/>
          <w:szCs w:val="22"/>
        </w:rPr>
        <w:tab/>
        <w:t xml:space="preserve">: </w:t>
      </w:r>
      <w:proofErr w:type="spellStart"/>
      <w:r w:rsidR="0099045D" w:rsidRPr="003A6159">
        <w:rPr>
          <w:rFonts w:ascii="Georgia" w:hAnsi="Georgia"/>
          <w:smallCaps/>
          <w:sz w:val="22"/>
          <w:szCs w:val="22"/>
        </w:rPr>
        <w:t>Duberney</w:t>
      </w:r>
      <w:proofErr w:type="spellEnd"/>
      <w:r w:rsidR="0099045D" w:rsidRPr="003A6159">
        <w:rPr>
          <w:rFonts w:ascii="Georgia" w:hAnsi="Georgia"/>
          <w:smallCaps/>
          <w:sz w:val="22"/>
          <w:szCs w:val="22"/>
        </w:rPr>
        <w:t xml:space="preserve"> Grisales Herrera</w:t>
      </w:r>
    </w:p>
    <w:p w:rsidR="0099045D" w:rsidRPr="003A6159" w:rsidRDefault="007E004A" w:rsidP="00D70A1B">
      <w:pPr>
        <w:spacing w:line="360" w:lineRule="auto"/>
        <w:ind w:left="708" w:firstLine="708"/>
        <w:rPr>
          <w:rFonts w:ascii="Georgia" w:hAnsi="Georgia" w:cs="Arial"/>
          <w:b/>
          <w:bCs/>
          <w:sz w:val="22"/>
          <w:szCs w:val="22"/>
        </w:rPr>
      </w:pPr>
      <w:r w:rsidRPr="003A6159">
        <w:rPr>
          <w:rFonts w:ascii="Georgia" w:hAnsi="Georgia"/>
          <w:sz w:val="22"/>
          <w:szCs w:val="22"/>
        </w:rPr>
        <w:t>Acta número</w:t>
      </w:r>
      <w:r w:rsidRPr="003A6159">
        <w:rPr>
          <w:rFonts w:ascii="Georgia" w:hAnsi="Georgia"/>
          <w:sz w:val="22"/>
          <w:szCs w:val="22"/>
        </w:rPr>
        <w:tab/>
      </w:r>
      <w:r w:rsidR="005D510B" w:rsidRPr="003A6159">
        <w:rPr>
          <w:rFonts w:ascii="Georgia" w:hAnsi="Georgia"/>
          <w:sz w:val="22"/>
          <w:szCs w:val="22"/>
        </w:rPr>
        <w:tab/>
      </w:r>
      <w:r w:rsidR="0099045D" w:rsidRPr="003A6159">
        <w:rPr>
          <w:rFonts w:ascii="Georgia" w:hAnsi="Georgia"/>
          <w:sz w:val="22"/>
          <w:szCs w:val="22"/>
        </w:rPr>
        <w:t>:</w:t>
      </w:r>
      <w:r w:rsidR="005B5611" w:rsidRPr="003A6159">
        <w:rPr>
          <w:rFonts w:ascii="Georgia" w:hAnsi="Georgia"/>
          <w:sz w:val="22"/>
          <w:szCs w:val="22"/>
        </w:rPr>
        <w:t xml:space="preserve"> </w:t>
      </w:r>
      <w:r w:rsidR="006B527A">
        <w:rPr>
          <w:rFonts w:ascii="Georgia" w:hAnsi="Georgia"/>
          <w:sz w:val="22"/>
          <w:szCs w:val="22"/>
        </w:rPr>
        <w:t>148</w:t>
      </w:r>
      <w:r w:rsidR="00770C55" w:rsidRPr="003A6159">
        <w:rPr>
          <w:rFonts w:ascii="Georgia" w:hAnsi="Georgia"/>
          <w:sz w:val="22"/>
          <w:szCs w:val="22"/>
        </w:rPr>
        <w:t xml:space="preserve"> de </w:t>
      </w:r>
      <w:r w:rsidR="006B527A">
        <w:rPr>
          <w:rFonts w:ascii="Georgia" w:hAnsi="Georgia"/>
          <w:sz w:val="22"/>
          <w:szCs w:val="22"/>
        </w:rPr>
        <w:t>08</w:t>
      </w:r>
      <w:r w:rsidR="00770C55" w:rsidRPr="003A6159">
        <w:rPr>
          <w:rFonts w:ascii="Georgia" w:hAnsi="Georgia"/>
          <w:sz w:val="22"/>
          <w:szCs w:val="22"/>
        </w:rPr>
        <w:t>-</w:t>
      </w:r>
      <w:r w:rsidR="003A6159">
        <w:rPr>
          <w:rFonts w:ascii="Georgia" w:hAnsi="Georgia"/>
          <w:sz w:val="22"/>
          <w:szCs w:val="22"/>
        </w:rPr>
        <w:t>05</w:t>
      </w:r>
      <w:r w:rsidR="00770C55" w:rsidRPr="003A6159">
        <w:rPr>
          <w:rFonts w:ascii="Georgia" w:hAnsi="Georgia"/>
          <w:sz w:val="22"/>
          <w:szCs w:val="22"/>
        </w:rPr>
        <w:t>-</w:t>
      </w:r>
      <w:r w:rsidR="003A6159">
        <w:rPr>
          <w:rFonts w:ascii="Georgia" w:hAnsi="Georgia"/>
          <w:sz w:val="22"/>
          <w:szCs w:val="22"/>
        </w:rPr>
        <w:t>2018</w:t>
      </w:r>
    </w:p>
    <w:p w:rsidR="002060F5" w:rsidRPr="003A6159" w:rsidRDefault="002060F5" w:rsidP="002060F5">
      <w:pPr>
        <w:pBdr>
          <w:bottom w:val="double" w:sz="6" w:space="1" w:color="auto"/>
        </w:pBdr>
        <w:spacing w:line="360" w:lineRule="auto"/>
        <w:jc w:val="center"/>
        <w:rPr>
          <w:rFonts w:ascii="Georgia" w:hAnsi="Georgia" w:cs="Arial"/>
          <w:b/>
          <w:bCs/>
          <w:sz w:val="22"/>
          <w:szCs w:val="22"/>
        </w:rPr>
      </w:pPr>
    </w:p>
    <w:p w:rsidR="00D809D6" w:rsidRPr="003A6159" w:rsidRDefault="00D809D6" w:rsidP="00F373C4">
      <w:pPr>
        <w:spacing w:line="360" w:lineRule="auto"/>
        <w:jc w:val="center"/>
        <w:rPr>
          <w:rFonts w:ascii="Georgia" w:hAnsi="Georgia" w:cs="Arial"/>
          <w:b/>
          <w:bCs/>
          <w:sz w:val="22"/>
          <w:szCs w:val="22"/>
        </w:rPr>
      </w:pPr>
    </w:p>
    <w:p w:rsidR="006617DD" w:rsidRPr="003A6159" w:rsidRDefault="006617DD" w:rsidP="006617DD">
      <w:pPr>
        <w:spacing w:line="360" w:lineRule="auto"/>
        <w:jc w:val="center"/>
        <w:rPr>
          <w:rFonts w:ascii="Georgia" w:hAnsi="Georgia" w:cs="Arial"/>
          <w:iCs/>
          <w:sz w:val="28"/>
          <w:szCs w:val="28"/>
          <w:lang w:val="es-CO"/>
        </w:rPr>
      </w:pPr>
      <w:r w:rsidRPr="003A6159">
        <w:rPr>
          <w:rFonts w:ascii="Georgia" w:hAnsi="Georgia" w:cs="Arial"/>
          <w:iCs/>
          <w:smallCaps/>
          <w:sz w:val="28"/>
          <w:szCs w:val="28"/>
          <w:lang w:val="es-CO"/>
        </w:rPr>
        <w:t>Pereira, R</w:t>
      </w:r>
      <w:r w:rsidR="007949D4" w:rsidRPr="003A6159">
        <w:rPr>
          <w:rFonts w:ascii="Georgia" w:hAnsi="Georgia" w:cs="Arial"/>
          <w:iCs/>
          <w:smallCaps/>
          <w:sz w:val="28"/>
          <w:szCs w:val="28"/>
          <w:lang w:val="es-CO"/>
        </w:rPr>
        <w:t>.</w:t>
      </w:r>
      <w:r w:rsidRPr="003A6159">
        <w:rPr>
          <w:rFonts w:ascii="Georgia" w:hAnsi="Georgia" w:cs="Arial"/>
          <w:iCs/>
          <w:smallCaps/>
          <w:sz w:val="28"/>
          <w:szCs w:val="28"/>
          <w:lang w:val="es-CO"/>
        </w:rPr>
        <w:t xml:space="preserve">, </w:t>
      </w:r>
      <w:r w:rsidR="006B527A">
        <w:rPr>
          <w:rFonts w:ascii="Georgia" w:hAnsi="Georgia" w:cs="Arial"/>
          <w:iCs/>
          <w:smallCaps/>
          <w:sz w:val="28"/>
          <w:szCs w:val="28"/>
          <w:lang w:val="es-CO"/>
        </w:rPr>
        <w:t>ocho</w:t>
      </w:r>
      <w:r w:rsidR="00A9348E" w:rsidRPr="003A6159">
        <w:rPr>
          <w:rFonts w:ascii="Georgia" w:hAnsi="Georgia" w:cs="Arial"/>
          <w:iCs/>
          <w:smallCaps/>
          <w:sz w:val="28"/>
          <w:szCs w:val="28"/>
          <w:lang w:val="es-CO"/>
        </w:rPr>
        <w:t xml:space="preserve"> </w:t>
      </w:r>
      <w:r w:rsidR="00437198" w:rsidRPr="003A6159">
        <w:rPr>
          <w:rFonts w:ascii="Georgia" w:hAnsi="Georgia" w:cs="Arial"/>
          <w:iCs/>
          <w:smallCaps/>
          <w:sz w:val="28"/>
          <w:szCs w:val="28"/>
          <w:lang w:val="es-CO"/>
        </w:rPr>
        <w:t>(</w:t>
      </w:r>
      <w:r w:rsidR="006B527A">
        <w:rPr>
          <w:rFonts w:ascii="Georgia" w:hAnsi="Georgia" w:cs="Arial"/>
          <w:iCs/>
          <w:smallCaps/>
          <w:sz w:val="28"/>
          <w:szCs w:val="28"/>
          <w:lang w:val="es-CO"/>
        </w:rPr>
        <w:t>8</w:t>
      </w:r>
      <w:r w:rsidR="00304ACE" w:rsidRPr="003A6159">
        <w:rPr>
          <w:rFonts w:ascii="Georgia" w:hAnsi="Georgia" w:cs="Arial"/>
          <w:iCs/>
          <w:smallCaps/>
          <w:sz w:val="28"/>
          <w:szCs w:val="28"/>
          <w:lang w:val="es-CO"/>
        </w:rPr>
        <w:t xml:space="preserve">) </w:t>
      </w:r>
      <w:r w:rsidRPr="003A6159">
        <w:rPr>
          <w:rFonts w:ascii="Georgia" w:hAnsi="Georgia" w:cs="Arial"/>
          <w:iCs/>
          <w:smallCaps/>
          <w:sz w:val="28"/>
          <w:szCs w:val="28"/>
          <w:lang w:val="es-CO"/>
        </w:rPr>
        <w:t xml:space="preserve">de </w:t>
      </w:r>
      <w:r w:rsidR="003A6159">
        <w:rPr>
          <w:rFonts w:ascii="Georgia" w:hAnsi="Georgia" w:cs="Arial"/>
          <w:iCs/>
          <w:smallCaps/>
          <w:sz w:val="28"/>
          <w:szCs w:val="28"/>
          <w:lang w:val="es-CO"/>
        </w:rPr>
        <w:t>mayo</w:t>
      </w:r>
      <w:r w:rsidR="00A9348E" w:rsidRPr="003A6159">
        <w:rPr>
          <w:rFonts w:ascii="Georgia" w:hAnsi="Georgia" w:cs="Arial"/>
          <w:iCs/>
          <w:smallCaps/>
          <w:sz w:val="28"/>
          <w:szCs w:val="28"/>
          <w:lang w:val="es-CO"/>
        </w:rPr>
        <w:t xml:space="preserve"> </w:t>
      </w:r>
      <w:r w:rsidRPr="003A6159">
        <w:rPr>
          <w:rFonts w:ascii="Georgia" w:hAnsi="Georgia" w:cs="Arial"/>
          <w:iCs/>
          <w:smallCaps/>
          <w:sz w:val="28"/>
          <w:szCs w:val="28"/>
          <w:lang w:val="es-CO"/>
        </w:rPr>
        <w:t xml:space="preserve">de dos mil </w:t>
      </w:r>
      <w:r w:rsidR="003A6159">
        <w:rPr>
          <w:rFonts w:ascii="Georgia" w:hAnsi="Georgia" w:cs="Arial"/>
          <w:iCs/>
          <w:smallCaps/>
          <w:sz w:val="28"/>
          <w:szCs w:val="28"/>
          <w:lang w:val="es-CO"/>
        </w:rPr>
        <w:t xml:space="preserve">dieciocho </w:t>
      </w:r>
      <w:r w:rsidRPr="003A6159">
        <w:rPr>
          <w:rFonts w:ascii="Georgia" w:hAnsi="Georgia" w:cs="Arial"/>
          <w:iCs/>
          <w:smallCaps/>
          <w:sz w:val="28"/>
          <w:szCs w:val="28"/>
          <w:lang w:val="es-CO"/>
        </w:rPr>
        <w:t>(</w:t>
      </w:r>
      <w:r w:rsidR="003A6159">
        <w:rPr>
          <w:rFonts w:ascii="Georgia" w:hAnsi="Georgia" w:cs="Arial"/>
          <w:iCs/>
          <w:smallCaps/>
          <w:sz w:val="28"/>
          <w:szCs w:val="28"/>
          <w:lang w:val="es-CO"/>
        </w:rPr>
        <w:t>2018</w:t>
      </w:r>
      <w:r w:rsidRPr="003A6159">
        <w:rPr>
          <w:rFonts w:ascii="Georgia" w:hAnsi="Georgia" w:cs="Arial"/>
          <w:iCs/>
          <w:smallCaps/>
          <w:sz w:val="28"/>
          <w:szCs w:val="28"/>
          <w:lang w:val="es-CO"/>
        </w:rPr>
        <w:t>)</w:t>
      </w:r>
      <w:r w:rsidRPr="003A6159">
        <w:rPr>
          <w:rFonts w:ascii="Georgia" w:hAnsi="Georgia" w:cs="Arial"/>
          <w:iCs/>
          <w:sz w:val="28"/>
          <w:szCs w:val="28"/>
          <w:lang w:val="es-CO"/>
        </w:rPr>
        <w:t>.</w:t>
      </w:r>
    </w:p>
    <w:p w:rsidR="000147A2" w:rsidRPr="003A6159" w:rsidRDefault="000147A2" w:rsidP="0099045D">
      <w:pPr>
        <w:spacing w:line="360" w:lineRule="auto"/>
        <w:jc w:val="center"/>
        <w:rPr>
          <w:rFonts w:ascii="Georgia" w:hAnsi="Georgia" w:cs="Arial"/>
          <w:b/>
          <w:bCs/>
          <w:lang w:val="es-CO"/>
        </w:rPr>
      </w:pPr>
    </w:p>
    <w:p w:rsidR="00152300" w:rsidRPr="003A6159" w:rsidRDefault="00152300" w:rsidP="00152300">
      <w:pPr>
        <w:pStyle w:val="Textoindependiente"/>
        <w:numPr>
          <w:ilvl w:val="0"/>
          <w:numId w:val="1"/>
        </w:numPr>
        <w:spacing w:line="360" w:lineRule="auto"/>
        <w:rPr>
          <w:rFonts w:ascii="Georgia" w:hAnsi="Georgia"/>
          <w:szCs w:val="24"/>
        </w:rPr>
      </w:pPr>
      <w:r w:rsidRPr="003A6159">
        <w:rPr>
          <w:rFonts w:ascii="Georgia" w:hAnsi="Georgia"/>
          <w:szCs w:val="24"/>
        </w:rPr>
        <w:t>EL ASUNTO POR DECIDIR</w:t>
      </w:r>
    </w:p>
    <w:p w:rsidR="00152300" w:rsidRPr="003A6159" w:rsidRDefault="00152300" w:rsidP="00152300">
      <w:pPr>
        <w:pStyle w:val="Textoindependiente"/>
        <w:spacing w:line="360" w:lineRule="auto"/>
        <w:rPr>
          <w:rFonts w:ascii="Georgia" w:hAnsi="Georgia"/>
          <w:szCs w:val="24"/>
        </w:rPr>
      </w:pPr>
    </w:p>
    <w:p w:rsidR="00235C5D" w:rsidRPr="003A6159" w:rsidRDefault="003A6159" w:rsidP="00235C5D">
      <w:pPr>
        <w:pStyle w:val="Textoindependiente"/>
        <w:spacing w:line="360" w:lineRule="auto"/>
        <w:rPr>
          <w:rFonts w:ascii="Georgia" w:hAnsi="Georgia"/>
          <w:szCs w:val="24"/>
        </w:rPr>
      </w:pPr>
      <w:r w:rsidRPr="006F18F9">
        <w:rPr>
          <w:rFonts w:ascii="Georgia" w:hAnsi="Georgia"/>
          <w:szCs w:val="24"/>
        </w:rPr>
        <w:t>La impugnación suscitada en el trámite constitucional ya referido, una vez se ha cumplido la</w:t>
      </w:r>
      <w:r>
        <w:rPr>
          <w:rFonts w:ascii="Georgia" w:hAnsi="Georgia"/>
          <w:szCs w:val="24"/>
        </w:rPr>
        <w:t xml:space="preserve"> actuación de primera instancia</w:t>
      </w:r>
      <w:r w:rsidR="00235C5D" w:rsidRPr="003A6159">
        <w:rPr>
          <w:rFonts w:ascii="Georgia" w:hAnsi="Georgia"/>
          <w:szCs w:val="24"/>
        </w:rPr>
        <w:t>.</w:t>
      </w:r>
    </w:p>
    <w:p w:rsidR="00152300" w:rsidRPr="003A6159" w:rsidRDefault="00152300" w:rsidP="00152300">
      <w:pPr>
        <w:pStyle w:val="Textoindependiente"/>
        <w:spacing w:line="360" w:lineRule="auto"/>
        <w:rPr>
          <w:rFonts w:ascii="Georgia" w:hAnsi="Georgia"/>
          <w:szCs w:val="24"/>
          <w:lang w:val="es-CO"/>
        </w:rPr>
      </w:pPr>
    </w:p>
    <w:p w:rsidR="0099045D" w:rsidRPr="003A6159" w:rsidRDefault="0099045D" w:rsidP="0099045D">
      <w:pPr>
        <w:pStyle w:val="Textoindependiente"/>
        <w:numPr>
          <w:ilvl w:val="0"/>
          <w:numId w:val="1"/>
        </w:numPr>
        <w:spacing w:line="360" w:lineRule="auto"/>
        <w:rPr>
          <w:rFonts w:ascii="Georgia" w:hAnsi="Georgia"/>
          <w:szCs w:val="24"/>
        </w:rPr>
      </w:pPr>
      <w:r w:rsidRPr="003A6159">
        <w:rPr>
          <w:rFonts w:ascii="Georgia" w:hAnsi="Georgia"/>
          <w:szCs w:val="24"/>
        </w:rPr>
        <w:t xml:space="preserve">LA SÍNTESIS </w:t>
      </w:r>
      <w:r w:rsidR="003A6159">
        <w:rPr>
          <w:rFonts w:ascii="Georgia" w:hAnsi="Georgia"/>
          <w:szCs w:val="24"/>
        </w:rPr>
        <w:t>FÁCTICA</w:t>
      </w:r>
    </w:p>
    <w:p w:rsidR="0099045D" w:rsidRPr="003A6159" w:rsidRDefault="0099045D" w:rsidP="0099045D">
      <w:pPr>
        <w:pStyle w:val="Textoindependiente"/>
        <w:spacing w:line="360" w:lineRule="auto"/>
        <w:rPr>
          <w:rFonts w:ascii="Georgia" w:hAnsi="Georgia" w:cs="Arial"/>
          <w:szCs w:val="24"/>
        </w:rPr>
      </w:pPr>
    </w:p>
    <w:p w:rsidR="00F16E16" w:rsidRDefault="0073451A" w:rsidP="00152300">
      <w:pPr>
        <w:spacing w:line="360" w:lineRule="auto"/>
        <w:jc w:val="both"/>
        <w:rPr>
          <w:rFonts w:ascii="Georgia" w:hAnsi="Georgia" w:cs="Arial"/>
        </w:rPr>
      </w:pPr>
      <w:r w:rsidRPr="003A6159">
        <w:rPr>
          <w:rFonts w:ascii="Georgia" w:hAnsi="Georgia" w:cs="Arial"/>
        </w:rPr>
        <w:t xml:space="preserve">Expuso </w:t>
      </w:r>
      <w:r w:rsidR="00A9348E" w:rsidRPr="003A6159">
        <w:rPr>
          <w:rFonts w:ascii="Georgia" w:hAnsi="Georgia" w:cs="Arial"/>
        </w:rPr>
        <w:t xml:space="preserve">el actor </w:t>
      </w:r>
      <w:r w:rsidR="00AA2369" w:rsidRPr="003A6159">
        <w:rPr>
          <w:rFonts w:ascii="Georgia" w:hAnsi="Georgia" w:cs="Arial"/>
        </w:rPr>
        <w:t>que</w:t>
      </w:r>
      <w:r w:rsidR="00A9348E" w:rsidRPr="003A6159">
        <w:rPr>
          <w:rFonts w:ascii="Georgia" w:hAnsi="Georgia" w:cs="Arial"/>
        </w:rPr>
        <w:t xml:space="preserve"> </w:t>
      </w:r>
      <w:r w:rsidR="00BA7E41">
        <w:rPr>
          <w:rFonts w:ascii="Georgia" w:hAnsi="Georgia" w:cs="Arial"/>
        </w:rPr>
        <w:t>se inscribió en el proceso de evaluación para reubicación salarial en el escalafón nacional docente</w:t>
      </w:r>
      <w:r w:rsidR="00416FB9">
        <w:rPr>
          <w:rFonts w:ascii="Georgia" w:hAnsi="Georgia" w:cs="Arial"/>
        </w:rPr>
        <w:t xml:space="preserve">; </w:t>
      </w:r>
      <w:r w:rsidR="00BA7E41">
        <w:rPr>
          <w:rFonts w:ascii="Georgia" w:hAnsi="Georgia" w:cs="Arial"/>
        </w:rPr>
        <w:t xml:space="preserve">elaboró </w:t>
      </w:r>
      <w:r w:rsidR="00416FB9">
        <w:rPr>
          <w:rFonts w:ascii="Georgia" w:hAnsi="Georgia" w:cs="Arial"/>
        </w:rPr>
        <w:t xml:space="preserve">y resolvió </w:t>
      </w:r>
      <w:r w:rsidR="00BA7E41">
        <w:rPr>
          <w:rFonts w:ascii="Georgia" w:hAnsi="Georgia" w:cs="Arial"/>
        </w:rPr>
        <w:t xml:space="preserve">todos los instrumentos </w:t>
      </w:r>
      <w:r w:rsidR="00416FB9">
        <w:rPr>
          <w:rFonts w:ascii="Georgia" w:hAnsi="Georgia" w:cs="Arial"/>
        </w:rPr>
        <w:t>requeridos</w:t>
      </w:r>
      <w:r w:rsidR="00BA7E41">
        <w:rPr>
          <w:rFonts w:ascii="Georgia" w:hAnsi="Georgia" w:cs="Arial"/>
        </w:rPr>
        <w:t xml:space="preserve">; </w:t>
      </w:r>
      <w:r w:rsidR="009A2766">
        <w:rPr>
          <w:rFonts w:ascii="Georgia" w:hAnsi="Georgia" w:cs="Arial"/>
        </w:rPr>
        <w:t xml:space="preserve">sin embargo, el puntaje dado </w:t>
      </w:r>
      <w:r w:rsidR="00416FB9">
        <w:rPr>
          <w:rFonts w:ascii="Georgia" w:hAnsi="Georgia" w:cs="Arial"/>
        </w:rPr>
        <w:t>careció de</w:t>
      </w:r>
      <w:r w:rsidR="009A2766">
        <w:rPr>
          <w:rFonts w:ascii="Georgia" w:hAnsi="Georgia" w:cs="Arial"/>
        </w:rPr>
        <w:t xml:space="preserve"> </w:t>
      </w:r>
      <w:r w:rsidR="00416FB9">
        <w:rPr>
          <w:rFonts w:ascii="Georgia" w:hAnsi="Georgia" w:cs="Arial"/>
        </w:rPr>
        <w:t xml:space="preserve">la valoración </w:t>
      </w:r>
      <w:r w:rsidR="009A2766">
        <w:rPr>
          <w:rFonts w:ascii="Georgia" w:hAnsi="Georgia" w:cs="Arial"/>
        </w:rPr>
        <w:t xml:space="preserve">objetiva </w:t>
      </w:r>
      <w:r w:rsidR="00416FB9">
        <w:rPr>
          <w:rFonts w:ascii="Georgia" w:hAnsi="Georgia" w:cs="Arial"/>
        </w:rPr>
        <w:t xml:space="preserve">de </w:t>
      </w:r>
      <w:r w:rsidR="009A2766">
        <w:rPr>
          <w:rFonts w:ascii="Georgia" w:hAnsi="Georgia" w:cs="Arial"/>
        </w:rPr>
        <w:t xml:space="preserve">su labor educativa, pues contiene los mismos argumentos </w:t>
      </w:r>
      <w:r w:rsidR="00416FB9">
        <w:rPr>
          <w:rFonts w:ascii="Georgia" w:hAnsi="Georgia" w:cs="Arial"/>
        </w:rPr>
        <w:t>expuestos para otros educadores</w:t>
      </w:r>
      <w:r w:rsidR="00F16E16">
        <w:rPr>
          <w:rFonts w:ascii="Georgia" w:hAnsi="Georgia" w:cs="Arial"/>
        </w:rPr>
        <w:t>.</w:t>
      </w:r>
    </w:p>
    <w:p w:rsidR="00F16E16" w:rsidRDefault="00F16E16" w:rsidP="00152300">
      <w:pPr>
        <w:spacing w:line="360" w:lineRule="auto"/>
        <w:jc w:val="both"/>
        <w:rPr>
          <w:rFonts w:ascii="Georgia" w:hAnsi="Georgia" w:cs="Arial"/>
        </w:rPr>
      </w:pPr>
    </w:p>
    <w:p w:rsidR="00416FB9" w:rsidRDefault="00F16E16" w:rsidP="00152300">
      <w:pPr>
        <w:spacing w:line="360" w:lineRule="auto"/>
        <w:jc w:val="both"/>
        <w:rPr>
          <w:rFonts w:ascii="Georgia" w:hAnsi="Georgia" w:cs="Arial"/>
        </w:rPr>
      </w:pPr>
      <w:r>
        <w:rPr>
          <w:rFonts w:ascii="Georgia" w:hAnsi="Georgia" w:cs="Arial"/>
        </w:rPr>
        <w:t>A</w:t>
      </w:r>
      <w:r w:rsidR="00416FB9">
        <w:rPr>
          <w:rFonts w:ascii="Georgia" w:hAnsi="Georgia" w:cs="Arial"/>
        </w:rPr>
        <w:t xml:space="preserve">gregó que la encuesta estudiantil fue defectuosa puesto que el Centro Nacional de Consultoría </w:t>
      </w:r>
      <w:r w:rsidR="001348CC">
        <w:rPr>
          <w:rFonts w:ascii="Georgia" w:hAnsi="Georgia" w:cs="Arial"/>
        </w:rPr>
        <w:t xml:space="preserve">(CNC) </w:t>
      </w:r>
      <w:r w:rsidR="00416FB9">
        <w:rPr>
          <w:rFonts w:ascii="Georgia" w:hAnsi="Georgia" w:cs="Arial"/>
        </w:rPr>
        <w:t xml:space="preserve">la realizó durante </w:t>
      </w:r>
      <w:r w:rsidR="00416FB9" w:rsidRPr="00416FB9">
        <w:rPr>
          <w:rFonts w:ascii="Georgia" w:hAnsi="Georgia" w:cs="Arial"/>
          <w:i/>
          <w:sz w:val="22"/>
        </w:rPr>
        <w:t>“(…) la semana de desarrollo institucional, sin estudiantes, me confirman que la aplicaron a los estudiantes que encontraban en la institución y preguntaban si conocían al docente y listo (…)”</w:t>
      </w:r>
      <w:r>
        <w:rPr>
          <w:rFonts w:ascii="Georgia" w:hAnsi="Georgia" w:cs="Arial"/>
          <w:i/>
          <w:sz w:val="22"/>
        </w:rPr>
        <w:t xml:space="preserve">, </w:t>
      </w:r>
      <w:r w:rsidRPr="00F16E16">
        <w:rPr>
          <w:rFonts w:ascii="Georgia" w:hAnsi="Georgia" w:cs="Arial"/>
        </w:rPr>
        <w:t>en lugar de descartar este elemento evaluativo como lo hicieron con profesores que estaba en paro.</w:t>
      </w:r>
      <w:r w:rsidR="00416FB9">
        <w:rPr>
          <w:rFonts w:ascii="Georgia" w:hAnsi="Georgia" w:cs="Arial"/>
          <w:i/>
          <w:sz w:val="22"/>
        </w:rPr>
        <w:t xml:space="preserve"> </w:t>
      </w:r>
    </w:p>
    <w:p w:rsidR="00FB19CF" w:rsidRDefault="00FB19CF" w:rsidP="00152300">
      <w:pPr>
        <w:spacing w:line="360" w:lineRule="auto"/>
        <w:jc w:val="both"/>
        <w:rPr>
          <w:rFonts w:ascii="Georgia" w:hAnsi="Georgia" w:cs="Arial"/>
        </w:rPr>
      </w:pPr>
    </w:p>
    <w:p w:rsidR="007C6CE9" w:rsidRPr="003A6159" w:rsidRDefault="00FB19CF" w:rsidP="00152300">
      <w:pPr>
        <w:spacing w:line="360" w:lineRule="auto"/>
        <w:jc w:val="both"/>
        <w:rPr>
          <w:rFonts w:ascii="Georgia" w:hAnsi="Georgia" w:cs="Arial"/>
        </w:rPr>
      </w:pPr>
      <w:r>
        <w:rPr>
          <w:rFonts w:ascii="Georgia" w:hAnsi="Georgia" w:cs="Arial"/>
        </w:rPr>
        <w:t xml:space="preserve">Anotó que formuló </w:t>
      </w:r>
      <w:r w:rsidR="00F16E16">
        <w:rPr>
          <w:rFonts w:ascii="Georgia" w:hAnsi="Georgia" w:cs="Arial"/>
        </w:rPr>
        <w:t xml:space="preserve">varias peticiones y reclamaciones orientadas a que se le brindara información sobre la calificación de otro docentes y se descartara la encuesta estudiantil, pero fueron despachadas desfavorablemente por el ICFES, incluso, respondieron que ya había pasado el tiempo para hacerlo </w:t>
      </w:r>
      <w:r w:rsidR="003E18C4" w:rsidRPr="003A6159">
        <w:rPr>
          <w:rFonts w:ascii="Georgia" w:hAnsi="Georgia" w:cs="Arial"/>
        </w:rPr>
        <w:t xml:space="preserve">(Folios </w:t>
      </w:r>
      <w:r w:rsidR="00F16E16">
        <w:rPr>
          <w:rFonts w:ascii="Georgia" w:hAnsi="Georgia" w:cs="Arial"/>
        </w:rPr>
        <w:t>2 a 5</w:t>
      </w:r>
      <w:r w:rsidR="003E18C4" w:rsidRPr="003A6159">
        <w:rPr>
          <w:rFonts w:ascii="Georgia" w:hAnsi="Georgia" w:cs="Arial"/>
        </w:rPr>
        <w:t>, cuaderno</w:t>
      </w:r>
      <w:r w:rsidR="006A574B">
        <w:rPr>
          <w:rFonts w:ascii="Georgia" w:hAnsi="Georgia" w:cs="Arial"/>
        </w:rPr>
        <w:t xml:space="preserve"> principal</w:t>
      </w:r>
      <w:r w:rsidR="003E18C4" w:rsidRPr="003A6159">
        <w:rPr>
          <w:rFonts w:ascii="Georgia" w:hAnsi="Georgia" w:cs="Arial"/>
        </w:rPr>
        <w:t>)</w:t>
      </w:r>
      <w:r w:rsidR="008644AE" w:rsidRPr="003A6159">
        <w:rPr>
          <w:rFonts w:ascii="Georgia" w:hAnsi="Georgia" w:cs="Arial"/>
        </w:rPr>
        <w:t>.</w:t>
      </w:r>
      <w:r w:rsidR="008644AE" w:rsidRPr="003A6159">
        <w:rPr>
          <w:rFonts w:ascii="Georgia" w:hAnsi="Georgia" w:cs="Arial"/>
          <w:highlight w:val="yellow"/>
        </w:rPr>
        <w:t xml:space="preserve"> </w:t>
      </w:r>
    </w:p>
    <w:p w:rsidR="007C6CE9" w:rsidRPr="003A6159" w:rsidRDefault="007C6CE9" w:rsidP="00152300">
      <w:pPr>
        <w:spacing w:line="360" w:lineRule="auto"/>
        <w:jc w:val="both"/>
        <w:rPr>
          <w:rFonts w:ascii="Georgia" w:hAnsi="Georgia" w:cs="Arial"/>
        </w:rPr>
      </w:pPr>
    </w:p>
    <w:p w:rsidR="0099045D" w:rsidRDefault="00265F36" w:rsidP="0099045D">
      <w:pPr>
        <w:pStyle w:val="Textoindependiente"/>
        <w:numPr>
          <w:ilvl w:val="0"/>
          <w:numId w:val="1"/>
        </w:numPr>
        <w:spacing w:line="360" w:lineRule="auto"/>
        <w:rPr>
          <w:rFonts w:ascii="Georgia" w:hAnsi="Georgia"/>
          <w:szCs w:val="24"/>
        </w:rPr>
      </w:pPr>
      <w:r w:rsidRPr="003A6159">
        <w:rPr>
          <w:rFonts w:ascii="Georgia" w:hAnsi="Georgia"/>
          <w:szCs w:val="24"/>
        </w:rPr>
        <w:t xml:space="preserve">LOS </w:t>
      </w:r>
      <w:r w:rsidR="0099045D" w:rsidRPr="003A6159">
        <w:rPr>
          <w:rFonts w:ascii="Georgia" w:hAnsi="Georgia"/>
          <w:szCs w:val="24"/>
        </w:rPr>
        <w:t>DERECHO</w:t>
      </w:r>
      <w:r w:rsidRPr="003A6159">
        <w:rPr>
          <w:rFonts w:ascii="Georgia" w:hAnsi="Georgia"/>
          <w:szCs w:val="24"/>
        </w:rPr>
        <w:t>S</w:t>
      </w:r>
      <w:r w:rsidR="0099045D" w:rsidRPr="003A6159">
        <w:rPr>
          <w:rFonts w:ascii="Georgia" w:hAnsi="Georgia"/>
          <w:szCs w:val="24"/>
        </w:rPr>
        <w:t xml:space="preserve"> </w:t>
      </w:r>
      <w:r w:rsidR="004B7439" w:rsidRPr="003A6159">
        <w:rPr>
          <w:rFonts w:ascii="Georgia" w:hAnsi="Georgia"/>
          <w:szCs w:val="24"/>
        </w:rPr>
        <w:t>INVOCADOS</w:t>
      </w:r>
    </w:p>
    <w:p w:rsidR="006A574B" w:rsidRPr="003A6159" w:rsidRDefault="006A574B" w:rsidP="006A574B">
      <w:pPr>
        <w:pStyle w:val="Textoindependiente"/>
        <w:spacing w:line="360" w:lineRule="auto"/>
        <w:ind w:left="360"/>
        <w:rPr>
          <w:rFonts w:ascii="Georgia" w:hAnsi="Georgia"/>
          <w:szCs w:val="24"/>
        </w:rPr>
      </w:pPr>
    </w:p>
    <w:p w:rsidR="002F2C09" w:rsidRPr="003A615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3A6159">
        <w:rPr>
          <w:rFonts w:ascii="Georgia" w:hAnsi="Georgia" w:cs="Arial"/>
          <w:spacing w:val="-3"/>
          <w:lang w:val="es-ES_tradnl"/>
        </w:rPr>
        <w:t>L</w:t>
      </w:r>
      <w:r w:rsidR="004A4E9F" w:rsidRPr="003A6159">
        <w:rPr>
          <w:rFonts w:ascii="Georgia" w:hAnsi="Georgia" w:cs="Arial"/>
          <w:spacing w:val="-3"/>
          <w:lang w:val="es-ES_tradnl"/>
        </w:rPr>
        <w:t xml:space="preserve">os derechos fundamentales </w:t>
      </w:r>
      <w:r w:rsidR="006A574B">
        <w:rPr>
          <w:rFonts w:ascii="Georgia" w:hAnsi="Georgia" w:cs="Arial"/>
          <w:spacing w:val="-3"/>
          <w:lang w:val="es-ES_tradnl"/>
        </w:rPr>
        <w:t>a la igualdad</w:t>
      </w:r>
      <w:r w:rsidR="00F16E16">
        <w:rPr>
          <w:rFonts w:ascii="Georgia" w:hAnsi="Georgia" w:cs="Arial"/>
          <w:spacing w:val="-3"/>
          <w:lang w:val="es-ES_tradnl"/>
        </w:rPr>
        <w:t xml:space="preserve"> y al </w:t>
      </w:r>
      <w:r w:rsidR="002F2C09" w:rsidRPr="003A6159">
        <w:rPr>
          <w:rFonts w:ascii="Georgia" w:hAnsi="Georgia" w:cs="Arial"/>
          <w:spacing w:val="-3"/>
          <w:lang w:val="es-ES_tradnl"/>
        </w:rPr>
        <w:t>debido proceso</w:t>
      </w:r>
      <w:r w:rsidR="006A574B">
        <w:rPr>
          <w:rFonts w:ascii="Georgia" w:hAnsi="Georgia" w:cs="Arial"/>
          <w:spacing w:val="-3"/>
          <w:lang w:val="es-ES_tradnl"/>
        </w:rPr>
        <w:t xml:space="preserve"> </w:t>
      </w:r>
      <w:r w:rsidR="00235C5D" w:rsidRPr="003A6159">
        <w:rPr>
          <w:rFonts w:ascii="Georgia" w:hAnsi="Georgia" w:cs="Arial"/>
        </w:rPr>
        <w:t xml:space="preserve">(Folio </w:t>
      </w:r>
      <w:r w:rsidR="00F16E16">
        <w:rPr>
          <w:rFonts w:ascii="Georgia" w:hAnsi="Georgia" w:cs="Arial"/>
        </w:rPr>
        <w:t>2</w:t>
      </w:r>
      <w:r w:rsidR="000F0011">
        <w:rPr>
          <w:rFonts w:ascii="Georgia" w:hAnsi="Georgia" w:cs="Arial"/>
        </w:rPr>
        <w:t xml:space="preserve">, </w:t>
      </w:r>
      <w:r w:rsidR="00235C5D" w:rsidRPr="003A6159">
        <w:rPr>
          <w:rFonts w:ascii="Georgia" w:hAnsi="Georgia" w:cs="Arial"/>
        </w:rPr>
        <w:t>cuaderno</w:t>
      </w:r>
      <w:r w:rsidR="000F0011">
        <w:rPr>
          <w:rFonts w:ascii="Georgia" w:hAnsi="Georgia" w:cs="Arial"/>
        </w:rPr>
        <w:t xml:space="preserve"> principal</w:t>
      </w:r>
      <w:r w:rsidR="00235C5D" w:rsidRPr="003A6159">
        <w:rPr>
          <w:rFonts w:ascii="Georgia" w:hAnsi="Georgia" w:cs="Arial"/>
        </w:rPr>
        <w:t>).</w:t>
      </w:r>
    </w:p>
    <w:p w:rsidR="00F02C33" w:rsidRPr="003A6159"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3A6159" w:rsidRDefault="0099045D" w:rsidP="0099045D">
      <w:pPr>
        <w:pStyle w:val="Textoindependiente"/>
        <w:numPr>
          <w:ilvl w:val="0"/>
          <w:numId w:val="1"/>
        </w:numPr>
        <w:spacing w:line="360" w:lineRule="auto"/>
        <w:rPr>
          <w:rFonts w:ascii="Georgia" w:hAnsi="Georgia"/>
          <w:szCs w:val="24"/>
        </w:rPr>
      </w:pPr>
      <w:r w:rsidRPr="003A6159">
        <w:rPr>
          <w:rFonts w:ascii="Georgia" w:hAnsi="Georgia"/>
          <w:szCs w:val="24"/>
        </w:rPr>
        <w:t>LA PETICIÓN DE PROTECCIÓN</w:t>
      </w:r>
    </w:p>
    <w:p w:rsidR="00CD73B4" w:rsidRPr="003A6159" w:rsidRDefault="00CD73B4" w:rsidP="00CD73B4">
      <w:pPr>
        <w:pStyle w:val="Textoindependiente"/>
        <w:spacing w:line="360" w:lineRule="auto"/>
        <w:ind w:left="360"/>
        <w:rPr>
          <w:rFonts w:ascii="Georgia" w:hAnsi="Georgia"/>
          <w:szCs w:val="24"/>
        </w:rPr>
      </w:pPr>
    </w:p>
    <w:p w:rsidR="00993ADD" w:rsidRDefault="008E50E4" w:rsidP="000145EA">
      <w:pPr>
        <w:pStyle w:val="Sinespaciado"/>
        <w:spacing w:line="360" w:lineRule="auto"/>
        <w:jc w:val="both"/>
        <w:rPr>
          <w:rFonts w:ascii="Georgia" w:hAnsi="Georgia" w:cs="Arial"/>
          <w:color w:val="000000"/>
          <w:szCs w:val="24"/>
        </w:rPr>
      </w:pPr>
      <w:r w:rsidRPr="003A6159">
        <w:rPr>
          <w:rFonts w:ascii="Georgia" w:hAnsi="Georgia" w:cs="Arial"/>
          <w:color w:val="000000"/>
          <w:szCs w:val="24"/>
        </w:rPr>
        <w:t>P</w:t>
      </w:r>
      <w:r w:rsidR="004B019A" w:rsidRPr="003A6159">
        <w:rPr>
          <w:rFonts w:ascii="Georgia" w:hAnsi="Georgia" w:cs="Arial"/>
          <w:color w:val="000000"/>
          <w:szCs w:val="24"/>
        </w:rPr>
        <w:t xml:space="preserve">retende </w:t>
      </w:r>
      <w:r w:rsidR="00A63585" w:rsidRPr="003A6159">
        <w:rPr>
          <w:rFonts w:ascii="Georgia" w:hAnsi="Georgia" w:cs="Arial"/>
          <w:color w:val="000000"/>
          <w:szCs w:val="24"/>
        </w:rPr>
        <w:t>el</w:t>
      </w:r>
      <w:r w:rsidRPr="003A6159">
        <w:rPr>
          <w:rFonts w:ascii="Georgia" w:hAnsi="Georgia" w:cs="Arial"/>
          <w:color w:val="000000"/>
          <w:szCs w:val="24"/>
        </w:rPr>
        <w:t xml:space="preserve"> accionante </w:t>
      </w:r>
      <w:r w:rsidR="004B019A" w:rsidRPr="003A6159">
        <w:rPr>
          <w:rFonts w:ascii="Georgia" w:hAnsi="Georgia" w:cs="Arial"/>
          <w:color w:val="000000"/>
          <w:szCs w:val="24"/>
        </w:rPr>
        <w:t xml:space="preserve">que: </w:t>
      </w:r>
      <w:r w:rsidR="00AD2BA8" w:rsidRPr="003A6159">
        <w:rPr>
          <w:rFonts w:ascii="Georgia" w:hAnsi="Georgia" w:cs="Arial"/>
          <w:szCs w:val="24"/>
        </w:rPr>
        <w:t>(i) Se tutelen los derechos invocados;</w:t>
      </w:r>
      <w:r w:rsidR="00AD2BA8" w:rsidRPr="003A6159">
        <w:rPr>
          <w:rFonts w:ascii="Georgia" w:hAnsi="Georgia" w:cs="Arial"/>
          <w:color w:val="000000"/>
          <w:szCs w:val="24"/>
        </w:rPr>
        <w:t xml:space="preserve"> </w:t>
      </w:r>
      <w:r w:rsidR="000F0011">
        <w:rPr>
          <w:rFonts w:ascii="Georgia" w:hAnsi="Georgia" w:cs="Arial"/>
          <w:color w:val="000000"/>
          <w:szCs w:val="24"/>
        </w:rPr>
        <w:t>y, en consecuencia, s</w:t>
      </w:r>
      <w:r w:rsidR="000F0011" w:rsidRPr="003A6159">
        <w:rPr>
          <w:rFonts w:ascii="Georgia" w:hAnsi="Georgia" w:cs="Arial"/>
          <w:szCs w:val="24"/>
        </w:rPr>
        <w:t xml:space="preserve">e ordene </w:t>
      </w:r>
      <w:r w:rsidR="00F16E16">
        <w:rPr>
          <w:rFonts w:ascii="Georgia" w:hAnsi="Georgia" w:cs="Arial"/>
          <w:szCs w:val="24"/>
        </w:rPr>
        <w:t>al Ministerio de Educación y al ICFES</w:t>
      </w:r>
      <w:r w:rsidR="000F0011">
        <w:rPr>
          <w:rFonts w:ascii="Georgia" w:hAnsi="Georgia" w:cs="Arial"/>
          <w:szCs w:val="24"/>
        </w:rPr>
        <w:t xml:space="preserve">: </w:t>
      </w:r>
      <w:r w:rsidR="004B019A" w:rsidRPr="003A6159">
        <w:rPr>
          <w:rFonts w:ascii="Georgia" w:hAnsi="Georgia" w:cs="Arial"/>
          <w:color w:val="000000"/>
          <w:szCs w:val="24"/>
        </w:rPr>
        <w:t>(</w:t>
      </w:r>
      <w:r w:rsidR="00AD2BA8" w:rsidRPr="003A6159">
        <w:rPr>
          <w:rFonts w:ascii="Georgia" w:hAnsi="Georgia" w:cs="Arial"/>
          <w:color w:val="000000"/>
          <w:szCs w:val="24"/>
        </w:rPr>
        <w:t>i</w:t>
      </w:r>
      <w:r w:rsidR="004B019A" w:rsidRPr="003A6159">
        <w:rPr>
          <w:rFonts w:ascii="Georgia" w:hAnsi="Georgia" w:cs="Arial"/>
          <w:color w:val="000000"/>
          <w:szCs w:val="24"/>
        </w:rPr>
        <w:t xml:space="preserve">i) </w:t>
      </w:r>
      <w:r w:rsidR="00F16E16">
        <w:rPr>
          <w:rFonts w:ascii="Georgia" w:hAnsi="Georgia" w:cs="Arial"/>
          <w:color w:val="000000"/>
          <w:szCs w:val="24"/>
        </w:rPr>
        <w:t>Corregir los errores en incurrió en el proceso de evaluación</w:t>
      </w:r>
      <w:r w:rsidR="00993ADD">
        <w:rPr>
          <w:rFonts w:ascii="Georgia" w:hAnsi="Georgia" w:cs="Arial"/>
          <w:color w:val="000000"/>
          <w:szCs w:val="24"/>
        </w:rPr>
        <w:t xml:space="preserve">, sin </w:t>
      </w:r>
      <w:r w:rsidR="00F16E16">
        <w:rPr>
          <w:rFonts w:ascii="Georgia" w:hAnsi="Georgia" w:cs="Arial"/>
          <w:color w:val="000000"/>
          <w:szCs w:val="24"/>
        </w:rPr>
        <w:t>tener en cuenta la encuesta estudiantil</w:t>
      </w:r>
      <w:r w:rsidR="00993ADD">
        <w:rPr>
          <w:rFonts w:ascii="Georgia" w:hAnsi="Georgia" w:cs="Arial"/>
          <w:color w:val="000000"/>
          <w:szCs w:val="24"/>
        </w:rPr>
        <w:t xml:space="preserve">; además, validar la respuesta entregada y adjuntar la retroalimentación del tercer evaluador (Folios 2 a 5, cuaderno principal). </w:t>
      </w:r>
    </w:p>
    <w:p w:rsidR="00CE71D8" w:rsidRPr="003A6159" w:rsidRDefault="00CE71D8" w:rsidP="000145EA">
      <w:pPr>
        <w:pStyle w:val="Sinespaciado"/>
        <w:spacing w:line="360" w:lineRule="auto"/>
        <w:jc w:val="both"/>
        <w:rPr>
          <w:rFonts w:ascii="Georgia" w:hAnsi="Georgia" w:cs="Arial"/>
          <w:szCs w:val="24"/>
        </w:rPr>
      </w:pPr>
    </w:p>
    <w:p w:rsidR="000F0011" w:rsidRPr="0042493C" w:rsidRDefault="000F0011" w:rsidP="000F0011">
      <w:pPr>
        <w:pStyle w:val="Textoindependiente"/>
        <w:widowControl w:val="0"/>
        <w:numPr>
          <w:ilvl w:val="0"/>
          <w:numId w:val="1"/>
        </w:numPr>
        <w:spacing w:line="360" w:lineRule="auto"/>
        <w:rPr>
          <w:rFonts w:ascii="Georgia" w:hAnsi="Georgia" w:cs="Arial"/>
          <w:szCs w:val="24"/>
        </w:rPr>
      </w:pPr>
      <w:r w:rsidRPr="0042493C">
        <w:rPr>
          <w:rFonts w:ascii="Georgia" w:hAnsi="Georgia" w:cs="Arial"/>
          <w:szCs w:val="24"/>
        </w:rPr>
        <w:t>LA SÍNTESIS DE LA CRÓNICA PROCESAL</w:t>
      </w:r>
    </w:p>
    <w:p w:rsidR="000F0011" w:rsidRPr="0042493C" w:rsidRDefault="000F0011" w:rsidP="000F0011">
      <w:pPr>
        <w:pStyle w:val="Textoindependiente"/>
        <w:spacing w:line="360" w:lineRule="auto"/>
        <w:rPr>
          <w:rFonts w:ascii="Georgia" w:hAnsi="Georgia" w:cs="Arial"/>
          <w:szCs w:val="24"/>
        </w:rPr>
      </w:pPr>
    </w:p>
    <w:p w:rsidR="000F0011" w:rsidRPr="0042493C" w:rsidRDefault="000F0011" w:rsidP="000F0011">
      <w:pPr>
        <w:pStyle w:val="Textoindependiente"/>
        <w:widowControl w:val="0"/>
        <w:spacing w:line="360" w:lineRule="auto"/>
        <w:rPr>
          <w:rFonts w:ascii="Georgia" w:hAnsi="Georgia"/>
        </w:rPr>
      </w:pPr>
      <w:r w:rsidRPr="0042493C">
        <w:rPr>
          <w:rFonts w:ascii="Georgia" w:hAnsi="Georgia"/>
        </w:rPr>
        <w:t xml:space="preserve">Con providencia del </w:t>
      </w:r>
      <w:r w:rsidR="00993ADD">
        <w:rPr>
          <w:rFonts w:ascii="Georgia" w:hAnsi="Georgia"/>
        </w:rPr>
        <w:t xml:space="preserve">14-02-2018 </w:t>
      </w:r>
      <w:r w:rsidRPr="0042493C">
        <w:rPr>
          <w:rFonts w:ascii="Georgia" w:hAnsi="Georgia"/>
        </w:rPr>
        <w:t xml:space="preserve">se admitió y se dispuso notificar a las partes, entre otros ordenamientos (Folio </w:t>
      </w:r>
      <w:r w:rsidR="00993ADD">
        <w:rPr>
          <w:rFonts w:ascii="Georgia" w:hAnsi="Georgia"/>
        </w:rPr>
        <w:t>58</w:t>
      </w:r>
      <w:r w:rsidRPr="0042493C">
        <w:rPr>
          <w:rFonts w:ascii="Georgia" w:hAnsi="Georgia"/>
        </w:rPr>
        <w:t xml:space="preserve">, </w:t>
      </w:r>
      <w:r w:rsidRPr="0042493C">
        <w:rPr>
          <w:rFonts w:ascii="Georgia" w:hAnsi="Georgia" w:cs="Arial"/>
          <w:color w:val="000000"/>
          <w:lang w:val="es-CO"/>
        </w:rPr>
        <w:t>ibídem</w:t>
      </w:r>
      <w:r w:rsidRPr="0042493C">
        <w:rPr>
          <w:rFonts w:ascii="Georgia" w:hAnsi="Georgia"/>
        </w:rPr>
        <w:t xml:space="preserve">). El </w:t>
      </w:r>
      <w:r w:rsidR="00993ADD">
        <w:rPr>
          <w:rFonts w:ascii="Georgia" w:hAnsi="Georgia"/>
        </w:rPr>
        <w:t>26</w:t>
      </w:r>
      <w:r>
        <w:rPr>
          <w:rFonts w:ascii="Georgia" w:hAnsi="Georgia"/>
        </w:rPr>
        <w:t xml:space="preserve">-02-2018 </w:t>
      </w:r>
      <w:r w:rsidRPr="0042493C">
        <w:rPr>
          <w:rFonts w:ascii="Georgia" w:hAnsi="Georgia"/>
        </w:rPr>
        <w:t xml:space="preserve">se profirió sentencia (Folios </w:t>
      </w:r>
      <w:r w:rsidR="00993ADD">
        <w:rPr>
          <w:rFonts w:ascii="Georgia" w:hAnsi="Georgia"/>
        </w:rPr>
        <w:t>119 a 122</w:t>
      </w:r>
      <w:r w:rsidRPr="0042493C">
        <w:rPr>
          <w:rFonts w:ascii="Georgia" w:hAnsi="Georgia"/>
        </w:rPr>
        <w:t xml:space="preserve">, ibídem); </w:t>
      </w:r>
      <w:r>
        <w:rPr>
          <w:rFonts w:ascii="Georgia" w:hAnsi="Georgia"/>
        </w:rPr>
        <w:t>y</w:t>
      </w:r>
      <w:r w:rsidRPr="0042493C">
        <w:rPr>
          <w:rFonts w:ascii="Georgia" w:hAnsi="Georgia"/>
        </w:rPr>
        <w:t xml:space="preserve">, con proveído </w:t>
      </w:r>
      <w:r>
        <w:rPr>
          <w:rFonts w:ascii="Georgia" w:hAnsi="Georgia"/>
        </w:rPr>
        <w:t xml:space="preserve">del </w:t>
      </w:r>
      <w:r w:rsidR="00993ADD">
        <w:rPr>
          <w:rFonts w:ascii="Georgia" w:hAnsi="Georgia"/>
        </w:rPr>
        <w:t>03-03</w:t>
      </w:r>
      <w:r>
        <w:rPr>
          <w:rFonts w:ascii="Georgia" w:hAnsi="Georgia"/>
        </w:rPr>
        <w:t xml:space="preserve">-2018 </w:t>
      </w:r>
      <w:r w:rsidRPr="0042493C">
        <w:rPr>
          <w:rFonts w:ascii="Georgia" w:hAnsi="Georgia"/>
        </w:rPr>
        <w:t xml:space="preserve">se concedió la impugnación formulada por la parte </w:t>
      </w:r>
      <w:r w:rsidR="00993ADD">
        <w:rPr>
          <w:rFonts w:ascii="Georgia" w:hAnsi="Georgia"/>
        </w:rPr>
        <w:t xml:space="preserve">actora </w:t>
      </w:r>
      <w:r w:rsidRPr="0042493C">
        <w:rPr>
          <w:rFonts w:ascii="Georgia" w:hAnsi="Georgia"/>
        </w:rPr>
        <w:t xml:space="preserve">(Folio </w:t>
      </w:r>
      <w:r w:rsidR="00993ADD">
        <w:rPr>
          <w:rFonts w:ascii="Georgia" w:hAnsi="Georgia"/>
        </w:rPr>
        <w:t>131</w:t>
      </w:r>
      <w:r>
        <w:rPr>
          <w:rFonts w:ascii="Georgia" w:hAnsi="Georgia"/>
        </w:rPr>
        <w:t>, ibídem</w:t>
      </w:r>
      <w:r w:rsidRPr="0042493C">
        <w:rPr>
          <w:rFonts w:ascii="Georgia" w:hAnsi="Georgia"/>
        </w:rPr>
        <w:t xml:space="preserve">). </w:t>
      </w:r>
    </w:p>
    <w:p w:rsidR="000F0011" w:rsidRDefault="000F0011" w:rsidP="000F0011">
      <w:pPr>
        <w:pStyle w:val="Textoindependiente"/>
        <w:spacing w:line="360" w:lineRule="auto"/>
        <w:rPr>
          <w:rFonts w:ascii="Georgia" w:hAnsi="Georgia" w:cs="Arial"/>
          <w:szCs w:val="24"/>
        </w:rPr>
      </w:pPr>
    </w:p>
    <w:p w:rsidR="000F0011" w:rsidRPr="00A16B12" w:rsidRDefault="000F0011" w:rsidP="000F0011">
      <w:pPr>
        <w:pStyle w:val="Textoindependiente"/>
        <w:widowControl w:val="0"/>
        <w:spacing w:line="360" w:lineRule="auto"/>
        <w:rPr>
          <w:rFonts w:ascii="Georgia" w:hAnsi="Georgia"/>
          <w:lang w:val="es-CO"/>
        </w:rPr>
      </w:pPr>
      <w:r>
        <w:rPr>
          <w:rFonts w:ascii="Georgia" w:hAnsi="Georgia"/>
        </w:rPr>
        <w:t xml:space="preserve">Ya ante este Tribunal, con decisión del </w:t>
      </w:r>
      <w:r w:rsidR="00993ADD">
        <w:rPr>
          <w:rFonts w:ascii="Georgia" w:hAnsi="Georgia"/>
        </w:rPr>
        <w:t>14-03</w:t>
      </w:r>
      <w:r>
        <w:rPr>
          <w:rFonts w:ascii="Georgia" w:hAnsi="Georgia"/>
        </w:rPr>
        <w:t>-</w:t>
      </w:r>
      <w:r w:rsidR="00632742">
        <w:rPr>
          <w:rFonts w:ascii="Georgia" w:hAnsi="Georgia"/>
        </w:rPr>
        <w:t xml:space="preserve">2018 </w:t>
      </w:r>
      <w:r>
        <w:rPr>
          <w:rFonts w:ascii="Georgia" w:hAnsi="Georgia"/>
        </w:rPr>
        <w:t xml:space="preserve">se declaró la nulidad de lo actuado porque no se hizo la vinculación de todas las autoridades que integran la parte pasiva (Folios </w:t>
      </w:r>
      <w:r w:rsidR="00993ADD">
        <w:rPr>
          <w:rFonts w:ascii="Georgia" w:hAnsi="Georgia"/>
        </w:rPr>
        <w:t>4 y 5</w:t>
      </w:r>
      <w:r>
        <w:rPr>
          <w:rFonts w:ascii="Georgia" w:hAnsi="Georgia"/>
        </w:rPr>
        <w:t xml:space="preserve">, </w:t>
      </w:r>
      <w:r w:rsidR="00993ADD">
        <w:rPr>
          <w:rFonts w:ascii="Georgia" w:hAnsi="Georgia"/>
        </w:rPr>
        <w:t>cuaderno No.2</w:t>
      </w:r>
      <w:r w:rsidR="00632742">
        <w:rPr>
          <w:rFonts w:ascii="Georgia" w:hAnsi="Georgia"/>
        </w:rPr>
        <w:t>.)</w:t>
      </w:r>
      <w:r>
        <w:rPr>
          <w:rFonts w:ascii="Georgia" w:hAnsi="Georgia"/>
        </w:rPr>
        <w:t xml:space="preserve">; retornado el asunto, </w:t>
      </w:r>
      <w:r w:rsidR="00993ADD">
        <w:rPr>
          <w:rFonts w:ascii="Georgia" w:hAnsi="Georgia"/>
        </w:rPr>
        <w:t xml:space="preserve">la </w:t>
      </w:r>
      <w:r w:rsidRPr="00A16B12">
        <w:rPr>
          <w:rFonts w:ascii="Georgia" w:hAnsi="Georgia"/>
          <w:i/>
        </w:rPr>
        <w:t>a quo</w:t>
      </w:r>
      <w:r>
        <w:rPr>
          <w:rFonts w:ascii="Georgia" w:hAnsi="Georgia"/>
        </w:rPr>
        <w:t xml:space="preserve"> con auto del </w:t>
      </w:r>
      <w:r w:rsidR="00993ADD">
        <w:rPr>
          <w:rFonts w:ascii="Georgia" w:hAnsi="Georgia"/>
        </w:rPr>
        <w:t>16</w:t>
      </w:r>
      <w:r w:rsidR="00632742">
        <w:rPr>
          <w:rFonts w:ascii="Georgia" w:hAnsi="Georgia"/>
        </w:rPr>
        <w:t xml:space="preserve">-03-2018 enmendó dicha inconsistencia </w:t>
      </w:r>
      <w:r>
        <w:rPr>
          <w:rFonts w:ascii="Georgia" w:hAnsi="Georgia"/>
        </w:rPr>
        <w:t xml:space="preserve">(Folio </w:t>
      </w:r>
      <w:r w:rsidR="00993ADD">
        <w:rPr>
          <w:rFonts w:ascii="Georgia" w:hAnsi="Georgia"/>
        </w:rPr>
        <w:t>139</w:t>
      </w:r>
      <w:r>
        <w:rPr>
          <w:rFonts w:ascii="Georgia" w:hAnsi="Georgia"/>
        </w:rPr>
        <w:t xml:space="preserve">, </w:t>
      </w:r>
      <w:r w:rsidR="00993ADD">
        <w:rPr>
          <w:rFonts w:ascii="Georgia" w:hAnsi="Georgia"/>
        </w:rPr>
        <w:t>cuaderno principal</w:t>
      </w:r>
      <w:r>
        <w:rPr>
          <w:rFonts w:ascii="Georgia" w:hAnsi="Georgia"/>
        </w:rPr>
        <w:t xml:space="preserve">), el </w:t>
      </w:r>
      <w:r w:rsidR="00993ADD">
        <w:rPr>
          <w:rFonts w:ascii="Georgia" w:hAnsi="Georgia"/>
        </w:rPr>
        <w:t>23</w:t>
      </w:r>
      <w:r>
        <w:rPr>
          <w:rFonts w:ascii="Georgia" w:hAnsi="Georgia"/>
        </w:rPr>
        <w:t>-</w:t>
      </w:r>
      <w:r w:rsidR="00632742">
        <w:rPr>
          <w:rFonts w:ascii="Georgia" w:hAnsi="Georgia"/>
        </w:rPr>
        <w:t>03</w:t>
      </w:r>
      <w:r>
        <w:rPr>
          <w:rFonts w:ascii="Georgia" w:hAnsi="Georgia"/>
        </w:rPr>
        <w:t>-</w:t>
      </w:r>
      <w:r w:rsidR="00632742">
        <w:rPr>
          <w:rFonts w:ascii="Georgia" w:hAnsi="Georgia"/>
        </w:rPr>
        <w:t xml:space="preserve">2018 </w:t>
      </w:r>
      <w:r>
        <w:rPr>
          <w:rFonts w:ascii="Georgia" w:hAnsi="Georgia"/>
        </w:rPr>
        <w:t xml:space="preserve">dictó sentencia (Folios </w:t>
      </w:r>
      <w:r w:rsidR="00993ADD">
        <w:rPr>
          <w:rFonts w:ascii="Georgia" w:hAnsi="Georgia"/>
        </w:rPr>
        <w:t>198 a 202</w:t>
      </w:r>
      <w:r>
        <w:rPr>
          <w:rFonts w:ascii="Georgia" w:hAnsi="Georgia"/>
        </w:rPr>
        <w:t xml:space="preserve">, </w:t>
      </w:r>
      <w:r w:rsidR="00632742">
        <w:rPr>
          <w:rFonts w:ascii="Georgia" w:hAnsi="Georgia"/>
        </w:rPr>
        <w:t>ib.</w:t>
      </w:r>
      <w:r>
        <w:rPr>
          <w:rFonts w:ascii="Georgia" w:hAnsi="Georgia"/>
        </w:rPr>
        <w:t xml:space="preserve">) y el </w:t>
      </w:r>
      <w:r w:rsidR="00632742">
        <w:rPr>
          <w:rFonts w:ascii="Georgia" w:hAnsi="Georgia"/>
        </w:rPr>
        <w:t>23-</w:t>
      </w:r>
      <w:r w:rsidR="00993ADD">
        <w:rPr>
          <w:rFonts w:ascii="Georgia" w:hAnsi="Georgia"/>
        </w:rPr>
        <w:t>05-04-2018</w:t>
      </w:r>
      <w:r w:rsidR="00632742">
        <w:rPr>
          <w:rFonts w:ascii="Georgia" w:hAnsi="Georgia"/>
        </w:rPr>
        <w:t xml:space="preserve"> </w:t>
      </w:r>
      <w:r>
        <w:rPr>
          <w:rFonts w:ascii="Georgia" w:hAnsi="Georgia"/>
        </w:rPr>
        <w:t xml:space="preserve">concedió la impugnación presentada por </w:t>
      </w:r>
      <w:r w:rsidR="00632742">
        <w:rPr>
          <w:rFonts w:ascii="Georgia" w:hAnsi="Georgia"/>
        </w:rPr>
        <w:t xml:space="preserve">el </w:t>
      </w:r>
      <w:r w:rsidR="00993ADD">
        <w:rPr>
          <w:rFonts w:ascii="Georgia" w:hAnsi="Georgia"/>
        </w:rPr>
        <w:t xml:space="preserve">actor </w:t>
      </w:r>
      <w:r>
        <w:rPr>
          <w:rFonts w:ascii="Georgia" w:hAnsi="Georgia"/>
        </w:rPr>
        <w:t xml:space="preserve">(Folio </w:t>
      </w:r>
      <w:r w:rsidR="00993ADD">
        <w:rPr>
          <w:rFonts w:ascii="Georgia" w:hAnsi="Georgia"/>
        </w:rPr>
        <w:t>212, ibídem</w:t>
      </w:r>
      <w:r>
        <w:rPr>
          <w:rFonts w:ascii="Georgia" w:hAnsi="Georgia"/>
        </w:rPr>
        <w:t xml:space="preserve">).  </w:t>
      </w:r>
    </w:p>
    <w:p w:rsidR="000F0011" w:rsidRPr="0042493C" w:rsidRDefault="000F0011" w:rsidP="000F0011">
      <w:pPr>
        <w:pStyle w:val="Textoindependiente"/>
        <w:spacing w:line="360" w:lineRule="auto"/>
        <w:rPr>
          <w:rFonts w:ascii="Georgia" w:hAnsi="Georgia" w:cs="Arial"/>
          <w:szCs w:val="24"/>
        </w:rPr>
      </w:pPr>
    </w:p>
    <w:p w:rsidR="000F0011" w:rsidRPr="0042493C" w:rsidRDefault="000F0011" w:rsidP="000F0011">
      <w:pPr>
        <w:pStyle w:val="Textoindependiente"/>
        <w:widowControl w:val="0"/>
        <w:spacing w:line="360" w:lineRule="auto"/>
        <w:rPr>
          <w:rFonts w:ascii="Georgia" w:hAnsi="Georgia" w:cs="Arial"/>
          <w:szCs w:val="24"/>
        </w:rPr>
      </w:pPr>
      <w:r w:rsidRPr="0042493C">
        <w:rPr>
          <w:rFonts w:ascii="Georgia" w:hAnsi="Georgia" w:cs="Arial"/>
          <w:szCs w:val="24"/>
          <w:lang w:val="es-CO"/>
        </w:rPr>
        <w:t xml:space="preserve">Mediante la sentencia de instancia se </w:t>
      </w:r>
      <w:r>
        <w:rPr>
          <w:rFonts w:ascii="Georgia" w:hAnsi="Georgia" w:cs="Arial"/>
          <w:szCs w:val="24"/>
          <w:lang w:val="es-CO"/>
        </w:rPr>
        <w:t xml:space="preserve">declaró improcedente el </w:t>
      </w:r>
      <w:r w:rsidRPr="0042493C">
        <w:rPr>
          <w:rFonts w:ascii="Georgia" w:hAnsi="Georgia" w:cs="Arial"/>
          <w:szCs w:val="24"/>
        </w:rPr>
        <w:t xml:space="preserve">amparo constitucional </w:t>
      </w:r>
      <w:r w:rsidR="00993ADD">
        <w:rPr>
          <w:rFonts w:ascii="Georgia" w:hAnsi="Georgia" w:cs="Arial"/>
          <w:szCs w:val="24"/>
        </w:rPr>
        <w:t>por carecer de subsidiariedad, puesto que cuenta con el mecanismo ordinario para debatir los actos administrativos ante la autoridad competente y tampoco probó un perjuicio irremediable (Folios 198 a 202</w:t>
      </w:r>
      <w:r w:rsidRPr="0042493C">
        <w:rPr>
          <w:rFonts w:ascii="Georgia" w:hAnsi="Georgia" w:cs="Arial"/>
          <w:szCs w:val="24"/>
        </w:rPr>
        <w:t>, ib.).</w:t>
      </w:r>
    </w:p>
    <w:p w:rsidR="000F0011" w:rsidRPr="0042493C" w:rsidRDefault="000F0011" w:rsidP="000F0011">
      <w:pPr>
        <w:pStyle w:val="Textoindependiente"/>
        <w:widowControl w:val="0"/>
        <w:spacing w:line="360" w:lineRule="auto"/>
        <w:rPr>
          <w:rFonts w:ascii="Georgia" w:hAnsi="Georgia" w:cs="Arial"/>
          <w:szCs w:val="24"/>
        </w:rPr>
      </w:pPr>
    </w:p>
    <w:p w:rsidR="00073E68" w:rsidRDefault="00073E68" w:rsidP="000F0011">
      <w:pPr>
        <w:pStyle w:val="Textoindependiente"/>
        <w:widowControl w:val="0"/>
        <w:spacing w:line="360" w:lineRule="auto"/>
        <w:rPr>
          <w:rFonts w:ascii="Georgia" w:hAnsi="Georgia" w:cs="Arial"/>
          <w:szCs w:val="24"/>
        </w:rPr>
      </w:pPr>
      <w:r>
        <w:rPr>
          <w:rFonts w:ascii="Georgia" w:hAnsi="Georgia" w:cs="Arial"/>
          <w:szCs w:val="24"/>
        </w:rPr>
        <w:t xml:space="preserve">El </w:t>
      </w:r>
      <w:proofErr w:type="spellStart"/>
      <w:r w:rsidR="000F0011" w:rsidRPr="0042493C">
        <w:rPr>
          <w:rFonts w:ascii="Georgia" w:hAnsi="Georgia" w:cs="Arial"/>
          <w:szCs w:val="24"/>
        </w:rPr>
        <w:t>opugnante</w:t>
      </w:r>
      <w:proofErr w:type="spellEnd"/>
      <w:r w:rsidR="000F0011" w:rsidRPr="0042493C">
        <w:rPr>
          <w:rFonts w:ascii="Georgia" w:hAnsi="Georgia" w:cs="Arial"/>
          <w:szCs w:val="24"/>
        </w:rPr>
        <w:t xml:space="preserve"> adujo que </w:t>
      </w:r>
      <w:r>
        <w:rPr>
          <w:rFonts w:ascii="Georgia" w:hAnsi="Georgia" w:cs="Arial"/>
          <w:szCs w:val="24"/>
        </w:rPr>
        <w:t xml:space="preserve">el mecanismo ordinario ante la jurisdicción contencioso administrativa no es idóneo ni eficaz para proteger sus derechos fundamentales, toda vez </w:t>
      </w:r>
      <w:r w:rsidR="001348CC">
        <w:rPr>
          <w:rFonts w:ascii="Georgia" w:hAnsi="Georgia" w:cs="Arial"/>
          <w:szCs w:val="24"/>
        </w:rPr>
        <w:t xml:space="preserve">su trámite extendería de manera injustificada la vulneración de sus derechos fundamentales. </w:t>
      </w:r>
      <w:proofErr w:type="spellStart"/>
      <w:r w:rsidR="001348CC">
        <w:rPr>
          <w:rFonts w:ascii="Georgia" w:hAnsi="Georgia" w:cs="Arial"/>
          <w:szCs w:val="24"/>
        </w:rPr>
        <w:t>Tambien</w:t>
      </w:r>
      <w:proofErr w:type="spellEnd"/>
      <w:r w:rsidR="001348CC">
        <w:rPr>
          <w:rFonts w:ascii="Georgia" w:hAnsi="Georgia" w:cs="Arial"/>
          <w:szCs w:val="24"/>
        </w:rPr>
        <w:t xml:space="preserve"> expuso que la respuesta del CNC es incompleta, puesto que no aclara el trato diferenciado a los docentes en paro</w:t>
      </w:r>
      <w:r>
        <w:rPr>
          <w:rFonts w:ascii="Georgia" w:hAnsi="Georgia" w:cs="Arial"/>
          <w:szCs w:val="24"/>
        </w:rPr>
        <w:t xml:space="preserve">. Agregó que </w:t>
      </w:r>
      <w:r w:rsidR="001348CC">
        <w:rPr>
          <w:rFonts w:ascii="Georgia" w:hAnsi="Georgia" w:cs="Arial"/>
          <w:szCs w:val="24"/>
        </w:rPr>
        <w:t xml:space="preserve">sí hay perjuicio irremediable en la medida que las decisiones cuestionadas le impidieron obtener un nuevo ingreso </w:t>
      </w:r>
      <w:r w:rsidR="005A55B4">
        <w:rPr>
          <w:rFonts w:ascii="Georgia" w:hAnsi="Georgia" w:cs="Arial"/>
          <w:szCs w:val="24"/>
        </w:rPr>
        <w:t xml:space="preserve">(Folios 207 a </w:t>
      </w:r>
      <w:r w:rsidR="001348CC">
        <w:rPr>
          <w:rFonts w:ascii="Georgia" w:hAnsi="Georgia" w:cs="Arial"/>
          <w:szCs w:val="24"/>
        </w:rPr>
        <w:t>208</w:t>
      </w:r>
      <w:r w:rsidR="005A55B4">
        <w:rPr>
          <w:rFonts w:ascii="Georgia" w:hAnsi="Georgia" w:cs="Arial"/>
          <w:szCs w:val="24"/>
        </w:rPr>
        <w:t>, ib.).</w:t>
      </w:r>
    </w:p>
    <w:p w:rsidR="00B41B34" w:rsidRPr="003A6159" w:rsidRDefault="00B41B34" w:rsidP="00B50331">
      <w:pPr>
        <w:spacing w:line="360" w:lineRule="auto"/>
        <w:jc w:val="both"/>
        <w:rPr>
          <w:rFonts w:ascii="Georgia" w:hAnsi="Georgia"/>
          <w:sz w:val="22"/>
        </w:rPr>
      </w:pPr>
    </w:p>
    <w:p w:rsidR="005A55B4" w:rsidRPr="0042493C" w:rsidRDefault="005A55B4" w:rsidP="005A55B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Cs w:val="24"/>
        </w:rPr>
      </w:pPr>
      <w:r w:rsidRPr="0042493C">
        <w:rPr>
          <w:rFonts w:ascii="Georgia" w:hAnsi="Georgia" w:cs="Arial"/>
          <w:szCs w:val="24"/>
        </w:rPr>
        <w:t>LA FUNDAMENTACIÓN JURÍDICA PARA RESOLVER</w:t>
      </w:r>
    </w:p>
    <w:p w:rsidR="005A55B4" w:rsidRPr="0042493C" w:rsidRDefault="005A55B4" w:rsidP="005A55B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5A55B4" w:rsidRPr="0042493C" w:rsidRDefault="005A55B4" w:rsidP="005A55B4">
      <w:pPr>
        <w:pStyle w:val="Textoindependiente"/>
        <w:numPr>
          <w:ilvl w:val="1"/>
          <w:numId w:val="32"/>
        </w:numPr>
        <w:spacing w:line="360" w:lineRule="auto"/>
        <w:rPr>
          <w:rFonts w:ascii="Georgia" w:hAnsi="Georgia" w:cs="Arial"/>
          <w:lang w:val="es-CO"/>
        </w:rPr>
      </w:pPr>
      <w:r w:rsidRPr="0042493C">
        <w:rPr>
          <w:rFonts w:ascii="Georgia" w:hAnsi="Georgia" w:cs="Arial"/>
          <w:smallCaps/>
          <w:szCs w:val="24"/>
        </w:rPr>
        <w:t xml:space="preserve">La competencia funcional. </w:t>
      </w:r>
      <w:r w:rsidRPr="0042493C">
        <w:rPr>
          <w:rFonts w:ascii="Georgia" w:hAnsi="Georgia" w:cs="Arial"/>
          <w:lang w:val="es-CO"/>
        </w:rPr>
        <w:t>Esta Sala especializada está facultada en forma legal para   desatar   la   controversia   puesta   a   su   consideración,   por  ser  la  superiora jerárquica del Despacho que conoció en primera instancia.</w:t>
      </w:r>
    </w:p>
    <w:p w:rsidR="005A55B4" w:rsidRPr="0042493C" w:rsidRDefault="005A55B4" w:rsidP="005A55B4">
      <w:pPr>
        <w:tabs>
          <w:tab w:val="left" w:pos="1416"/>
        </w:tabs>
        <w:spacing w:line="360" w:lineRule="auto"/>
        <w:jc w:val="both"/>
        <w:rPr>
          <w:rFonts w:ascii="Georgia" w:hAnsi="Georgia" w:cs="Arial"/>
          <w:lang w:val="es-MX"/>
        </w:rPr>
      </w:pPr>
    </w:p>
    <w:p w:rsidR="005A55B4" w:rsidRPr="0042493C" w:rsidRDefault="005A55B4" w:rsidP="005A55B4">
      <w:pPr>
        <w:pStyle w:val="Textoindependiente"/>
        <w:numPr>
          <w:ilvl w:val="1"/>
          <w:numId w:val="32"/>
        </w:numPr>
        <w:tabs>
          <w:tab w:val="clear" w:pos="708"/>
        </w:tabs>
        <w:spacing w:line="360" w:lineRule="auto"/>
        <w:rPr>
          <w:rFonts w:ascii="Georgia" w:hAnsi="Georgia" w:cs="Arial"/>
          <w:szCs w:val="24"/>
        </w:rPr>
      </w:pPr>
      <w:r w:rsidRPr="0042493C">
        <w:rPr>
          <w:rFonts w:ascii="Georgia" w:hAnsi="Georgia" w:cs="Arial"/>
          <w:smallCaps/>
          <w:szCs w:val="24"/>
        </w:rPr>
        <w:t>El problema jurídico a resolver</w:t>
      </w:r>
      <w:r w:rsidRPr="0042493C">
        <w:rPr>
          <w:rFonts w:ascii="Georgia" w:hAnsi="Georgia" w:cs="Arial"/>
          <w:szCs w:val="24"/>
        </w:rPr>
        <w:t xml:space="preserve">. ¿Es procedente confirmar, modificar o revocar la sentencia del </w:t>
      </w:r>
      <w:r w:rsidRPr="0042493C">
        <w:rPr>
          <w:rFonts w:ascii="Georgia" w:hAnsi="Georgia"/>
        </w:rPr>
        <w:t xml:space="preserve">Juzgado </w:t>
      </w:r>
      <w:r w:rsidR="001348CC">
        <w:rPr>
          <w:rFonts w:ascii="Georgia" w:hAnsi="Georgia"/>
        </w:rPr>
        <w:t xml:space="preserve">Primero de Familia </w:t>
      </w:r>
      <w:r>
        <w:rPr>
          <w:rFonts w:ascii="Georgia" w:hAnsi="Georgia"/>
        </w:rPr>
        <w:t xml:space="preserve">de </w:t>
      </w:r>
      <w:r w:rsidRPr="0042493C">
        <w:rPr>
          <w:rFonts w:ascii="Georgia" w:hAnsi="Georgia"/>
          <w:lang w:val="es-CO"/>
        </w:rPr>
        <w:t>Pereira</w:t>
      </w:r>
      <w:r w:rsidRPr="0042493C">
        <w:rPr>
          <w:rFonts w:ascii="Georgia" w:hAnsi="Georgia" w:cs="Arial"/>
          <w:szCs w:val="24"/>
        </w:rPr>
        <w:t xml:space="preserve">, según la impugnación presentada? </w:t>
      </w:r>
    </w:p>
    <w:p w:rsidR="005A55B4" w:rsidRPr="00112187" w:rsidRDefault="005A55B4" w:rsidP="005A55B4">
      <w:pPr>
        <w:pStyle w:val="Textoindependiente"/>
        <w:spacing w:line="360" w:lineRule="auto"/>
        <w:rPr>
          <w:rFonts w:ascii="Georgia" w:hAnsi="Georgia" w:cs="Arial"/>
          <w:szCs w:val="24"/>
        </w:rPr>
      </w:pPr>
    </w:p>
    <w:p w:rsidR="005A55B4" w:rsidRPr="00837344" w:rsidRDefault="005A55B4" w:rsidP="005A55B4">
      <w:pPr>
        <w:pStyle w:val="Textoindependiente"/>
        <w:numPr>
          <w:ilvl w:val="1"/>
          <w:numId w:val="32"/>
        </w:numPr>
        <w:spacing w:line="360" w:lineRule="auto"/>
        <w:rPr>
          <w:rFonts w:ascii="Georgia" w:hAnsi="Georgia" w:cs="Arial"/>
          <w:szCs w:val="24"/>
        </w:rPr>
      </w:pPr>
      <w:r w:rsidRPr="0042493C">
        <w:rPr>
          <w:rFonts w:ascii="Georgia" w:hAnsi="Georgia"/>
          <w:smallCaps/>
          <w:szCs w:val="24"/>
        </w:rPr>
        <w:t>Los presupuestos generales de procedencia</w:t>
      </w:r>
    </w:p>
    <w:p w:rsidR="006064E0" w:rsidRPr="003A6159" w:rsidRDefault="006064E0" w:rsidP="00264032">
      <w:pPr>
        <w:spacing w:line="360" w:lineRule="auto"/>
        <w:jc w:val="both"/>
        <w:rPr>
          <w:rFonts w:ascii="Georgia" w:hAnsi="Georgia"/>
        </w:rPr>
      </w:pPr>
    </w:p>
    <w:p w:rsidR="000E4EBE" w:rsidRPr="005A55B4" w:rsidRDefault="000E4EBE" w:rsidP="005A55B4">
      <w:pPr>
        <w:pStyle w:val="Prrafodelista"/>
        <w:numPr>
          <w:ilvl w:val="2"/>
          <w:numId w:val="32"/>
        </w:numPr>
        <w:spacing w:line="360" w:lineRule="auto"/>
        <w:jc w:val="both"/>
        <w:rPr>
          <w:rFonts w:ascii="Georgia" w:hAnsi="Georgia"/>
          <w:smallCaps/>
        </w:rPr>
      </w:pPr>
      <w:r w:rsidRPr="005A55B4">
        <w:rPr>
          <w:rFonts w:ascii="Georgia" w:hAnsi="Georgia"/>
          <w:smallCaps/>
        </w:rPr>
        <w:t>La legitimación en la causa</w:t>
      </w:r>
    </w:p>
    <w:p w:rsidR="000E4EBE" w:rsidRPr="003A6159" w:rsidRDefault="000E4EBE" w:rsidP="000E4EBE">
      <w:pPr>
        <w:pStyle w:val="Textoindependiente"/>
        <w:numPr>
          <w:ilvl w:val="1"/>
          <w:numId w:val="1"/>
        </w:numPr>
        <w:spacing w:line="360" w:lineRule="auto"/>
        <w:ind w:left="720" w:hanging="720"/>
        <w:rPr>
          <w:rFonts w:ascii="Georgia" w:hAnsi="Georgia"/>
          <w:szCs w:val="24"/>
        </w:rPr>
      </w:pPr>
    </w:p>
    <w:p w:rsidR="000E4EBE" w:rsidRPr="003A6159" w:rsidRDefault="000E4EBE" w:rsidP="000E4EBE">
      <w:pPr>
        <w:pStyle w:val="Textoindependiente"/>
        <w:spacing w:line="360" w:lineRule="auto"/>
        <w:rPr>
          <w:rFonts w:ascii="Georgia" w:hAnsi="Georgia" w:cs="Arial"/>
          <w:szCs w:val="22"/>
        </w:rPr>
      </w:pPr>
      <w:r w:rsidRPr="003A6159">
        <w:rPr>
          <w:rFonts w:ascii="Georgia" w:hAnsi="Georgia" w:cs="Arial"/>
          <w:szCs w:val="22"/>
        </w:rPr>
        <w:t xml:space="preserve">Por activa se cumple en consideración a que quien ejerce la acción, el señor </w:t>
      </w:r>
      <w:proofErr w:type="spellStart"/>
      <w:r w:rsidR="001348CC">
        <w:rPr>
          <w:rFonts w:ascii="Georgia" w:hAnsi="Georgia" w:cs="Arial"/>
          <w:szCs w:val="22"/>
        </w:rPr>
        <w:t>Yhon</w:t>
      </w:r>
      <w:proofErr w:type="spellEnd"/>
      <w:r w:rsidR="001348CC">
        <w:rPr>
          <w:rFonts w:ascii="Georgia" w:hAnsi="Georgia" w:cs="Arial"/>
          <w:szCs w:val="22"/>
        </w:rPr>
        <w:t xml:space="preserve"> </w:t>
      </w:r>
      <w:proofErr w:type="spellStart"/>
      <w:r w:rsidR="001348CC">
        <w:rPr>
          <w:rFonts w:ascii="Georgia" w:hAnsi="Georgia" w:cs="Arial"/>
          <w:szCs w:val="22"/>
        </w:rPr>
        <w:t>Alexánder</w:t>
      </w:r>
      <w:proofErr w:type="spellEnd"/>
      <w:r w:rsidR="001348CC">
        <w:rPr>
          <w:rFonts w:ascii="Georgia" w:hAnsi="Georgia" w:cs="Arial"/>
          <w:szCs w:val="22"/>
        </w:rPr>
        <w:t xml:space="preserve"> Vargas García</w:t>
      </w:r>
      <w:r w:rsidRPr="003A6159">
        <w:rPr>
          <w:rFonts w:ascii="Georgia" w:hAnsi="Georgia" w:cs="Arial"/>
          <w:szCs w:val="24"/>
        </w:rPr>
        <w:t xml:space="preserve">, </w:t>
      </w:r>
      <w:r w:rsidR="005A55B4">
        <w:rPr>
          <w:rFonts w:ascii="Georgia" w:hAnsi="Georgia" w:cs="Arial"/>
          <w:szCs w:val="24"/>
        </w:rPr>
        <w:t xml:space="preserve">participó </w:t>
      </w:r>
      <w:r w:rsidR="00AB66E5">
        <w:rPr>
          <w:rFonts w:ascii="Georgia" w:hAnsi="Georgia" w:cs="Arial"/>
          <w:szCs w:val="24"/>
        </w:rPr>
        <w:t>en el proceso de escalafón nacional docente</w:t>
      </w:r>
      <w:r w:rsidRPr="003A6159">
        <w:rPr>
          <w:rFonts w:ascii="Georgia" w:hAnsi="Georgia" w:cs="Arial"/>
          <w:szCs w:val="22"/>
        </w:rPr>
        <w:t xml:space="preserve">. Por pasiva, </w:t>
      </w:r>
      <w:r w:rsidR="00AB66E5">
        <w:rPr>
          <w:rFonts w:ascii="Georgia" w:hAnsi="Georgia" w:cs="Arial"/>
          <w:szCs w:val="22"/>
        </w:rPr>
        <w:t xml:space="preserve">el ICFES en su calidad de operador de </w:t>
      </w:r>
      <w:r w:rsidR="006B527A">
        <w:rPr>
          <w:rFonts w:ascii="Georgia" w:hAnsi="Georgia" w:cs="Arial"/>
          <w:szCs w:val="22"/>
        </w:rPr>
        <w:t>la evaluación de carácter diagnó</w:t>
      </w:r>
      <w:r w:rsidR="00AB66E5">
        <w:rPr>
          <w:rFonts w:ascii="Georgia" w:hAnsi="Georgia" w:cs="Arial"/>
          <w:szCs w:val="22"/>
        </w:rPr>
        <w:t xml:space="preserve">stico formativo y la Unidad de Atención al Ciudadano del ICFES, puesto que resolvieron </w:t>
      </w:r>
      <w:r w:rsidR="0079763C">
        <w:rPr>
          <w:rFonts w:ascii="Georgia" w:hAnsi="Georgia" w:cs="Arial"/>
          <w:szCs w:val="22"/>
        </w:rPr>
        <w:t>la</w:t>
      </w:r>
      <w:r w:rsidR="00AB66E5">
        <w:rPr>
          <w:rFonts w:ascii="Georgia" w:hAnsi="Georgia" w:cs="Arial"/>
          <w:szCs w:val="22"/>
        </w:rPr>
        <w:t>s</w:t>
      </w:r>
      <w:r w:rsidR="0079763C">
        <w:rPr>
          <w:rFonts w:ascii="Georgia" w:hAnsi="Georgia" w:cs="Arial"/>
          <w:szCs w:val="22"/>
        </w:rPr>
        <w:t xml:space="preserve"> </w:t>
      </w:r>
      <w:r w:rsidR="00AB66E5">
        <w:rPr>
          <w:rFonts w:ascii="Georgia" w:hAnsi="Georgia" w:cs="Arial"/>
          <w:szCs w:val="22"/>
        </w:rPr>
        <w:t xml:space="preserve">reclamaciones </w:t>
      </w:r>
      <w:r w:rsidR="0079763C">
        <w:rPr>
          <w:rFonts w:ascii="Georgia" w:hAnsi="Georgia" w:cs="Arial"/>
          <w:szCs w:val="22"/>
        </w:rPr>
        <w:t>presentada</w:t>
      </w:r>
      <w:r w:rsidR="00AB66E5">
        <w:rPr>
          <w:rFonts w:ascii="Georgia" w:hAnsi="Georgia" w:cs="Arial"/>
          <w:szCs w:val="22"/>
        </w:rPr>
        <w:t>s</w:t>
      </w:r>
      <w:r w:rsidR="0079763C">
        <w:rPr>
          <w:rFonts w:ascii="Georgia" w:hAnsi="Georgia" w:cs="Arial"/>
          <w:szCs w:val="22"/>
        </w:rPr>
        <w:t xml:space="preserve"> por el actor </w:t>
      </w:r>
      <w:r w:rsidR="00AB66E5">
        <w:rPr>
          <w:rFonts w:ascii="Georgia" w:hAnsi="Georgia" w:cs="Arial"/>
          <w:szCs w:val="22"/>
        </w:rPr>
        <w:t>(Folios 25 a 32, 35 y 36, cuaderno principal); y el Centro Nacional de Consultoría porque fue la encargada de llevar a cabo la encuesta estudiantil</w:t>
      </w:r>
      <w:r w:rsidR="00AB66E5" w:rsidRPr="003A6159">
        <w:rPr>
          <w:rFonts w:ascii="Georgia" w:hAnsi="Georgia" w:cs="Arial"/>
          <w:szCs w:val="22"/>
        </w:rPr>
        <w:t>.</w:t>
      </w:r>
    </w:p>
    <w:p w:rsidR="000E4EBE" w:rsidRPr="003A6159" w:rsidRDefault="000E4EBE" w:rsidP="000E4EBE">
      <w:pPr>
        <w:pStyle w:val="Textoindependiente"/>
        <w:spacing w:line="360" w:lineRule="auto"/>
        <w:rPr>
          <w:rFonts w:ascii="Georgia" w:hAnsi="Georgia" w:cs="Arial"/>
          <w:szCs w:val="22"/>
        </w:rPr>
      </w:pPr>
    </w:p>
    <w:p w:rsidR="000E4EBE" w:rsidRPr="003A6159" w:rsidRDefault="000E4EBE" w:rsidP="000E4EBE">
      <w:pPr>
        <w:widowControl/>
        <w:spacing w:line="360" w:lineRule="auto"/>
        <w:jc w:val="both"/>
        <w:rPr>
          <w:rFonts w:ascii="Georgia" w:hAnsi="Georgia" w:cs="Arial"/>
          <w:szCs w:val="22"/>
        </w:rPr>
      </w:pPr>
      <w:r w:rsidRPr="003A6159">
        <w:rPr>
          <w:rFonts w:ascii="Georgia" w:hAnsi="Georgia" w:cs="Arial"/>
          <w:szCs w:val="22"/>
        </w:rPr>
        <w:t xml:space="preserve">Como </w:t>
      </w:r>
      <w:r w:rsidR="00027523">
        <w:rPr>
          <w:rFonts w:ascii="Georgia" w:hAnsi="Georgia" w:cs="Arial"/>
          <w:szCs w:val="22"/>
        </w:rPr>
        <w:t xml:space="preserve">el Ministerio de Educación Nacional, la Secretaría de Educación Municipal de Dosquebradas y la Institución Educativa Santa Juana de </w:t>
      </w:r>
      <w:proofErr w:type="spellStart"/>
      <w:r w:rsidR="00027523">
        <w:rPr>
          <w:rFonts w:ascii="Georgia" w:hAnsi="Georgia" w:cs="Arial"/>
          <w:szCs w:val="22"/>
        </w:rPr>
        <w:t>Lestonnac</w:t>
      </w:r>
      <w:proofErr w:type="spellEnd"/>
      <w:r w:rsidRPr="003A6159">
        <w:rPr>
          <w:rFonts w:ascii="Georgia" w:hAnsi="Georgia" w:cs="Arial"/>
          <w:szCs w:val="22"/>
        </w:rPr>
        <w:t xml:space="preserve">, no expidieron </w:t>
      </w:r>
      <w:r w:rsidR="0079763C">
        <w:rPr>
          <w:rFonts w:ascii="Georgia" w:hAnsi="Georgia" w:cs="Arial"/>
          <w:szCs w:val="22"/>
        </w:rPr>
        <w:t>el acto administrativo</w:t>
      </w:r>
      <w:r w:rsidRPr="003A6159">
        <w:rPr>
          <w:rFonts w:ascii="Georgia" w:hAnsi="Georgia" w:cs="Arial"/>
          <w:szCs w:val="22"/>
        </w:rPr>
        <w:t xml:space="preserve"> </w:t>
      </w:r>
      <w:r w:rsidR="00725BFB" w:rsidRPr="003A6159">
        <w:rPr>
          <w:rFonts w:ascii="Georgia" w:hAnsi="Georgia" w:cs="Arial"/>
          <w:szCs w:val="22"/>
        </w:rPr>
        <w:t xml:space="preserve">que supuestamente </w:t>
      </w:r>
      <w:r w:rsidR="0079763C">
        <w:rPr>
          <w:rFonts w:ascii="Georgia" w:hAnsi="Georgia" w:cs="Arial"/>
          <w:szCs w:val="22"/>
        </w:rPr>
        <w:t>vulnera o amenaza</w:t>
      </w:r>
      <w:r w:rsidRPr="003A6159">
        <w:rPr>
          <w:rFonts w:ascii="Georgia" w:hAnsi="Georgia" w:cs="Arial"/>
          <w:szCs w:val="22"/>
        </w:rPr>
        <w:t xml:space="preserve"> los derechos fundamentales invocados, </w:t>
      </w:r>
      <w:r w:rsidRPr="003A6159">
        <w:rPr>
          <w:rFonts w:ascii="Georgia" w:hAnsi="Georgia" w:cs="Arial"/>
        </w:rPr>
        <w:t>carecen de legitimación, por lo que se declarará improcedente el amparo en su contra.</w:t>
      </w:r>
    </w:p>
    <w:p w:rsidR="00386A76" w:rsidRPr="003A6159" w:rsidRDefault="00386A76" w:rsidP="00E06BFF">
      <w:pPr>
        <w:pStyle w:val="Sinespaciado"/>
        <w:spacing w:line="360" w:lineRule="auto"/>
        <w:jc w:val="both"/>
        <w:rPr>
          <w:rFonts w:ascii="Georgia" w:hAnsi="Georgia" w:cs="Arial"/>
          <w:szCs w:val="24"/>
        </w:rPr>
      </w:pPr>
    </w:p>
    <w:p w:rsidR="00386A76" w:rsidRPr="00574CE8" w:rsidRDefault="00386A76" w:rsidP="00574CE8">
      <w:pPr>
        <w:pStyle w:val="Prrafodelista"/>
        <w:numPr>
          <w:ilvl w:val="2"/>
          <w:numId w:val="32"/>
        </w:numPr>
        <w:spacing w:line="360" w:lineRule="auto"/>
        <w:jc w:val="both"/>
        <w:rPr>
          <w:rFonts w:ascii="Georgia" w:hAnsi="Georgia"/>
          <w:smallCaps/>
        </w:rPr>
      </w:pPr>
      <w:r w:rsidRPr="00574CE8">
        <w:rPr>
          <w:rFonts w:ascii="Georgia" w:hAnsi="Georgia"/>
          <w:smallCaps/>
        </w:rPr>
        <w:t>La inmediatez y la subsidiariedad</w:t>
      </w:r>
    </w:p>
    <w:p w:rsidR="00386A76" w:rsidRPr="003A6159" w:rsidRDefault="00386A76" w:rsidP="00E06BFF">
      <w:pPr>
        <w:pStyle w:val="Sinespaciado"/>
        <w:spacing w:line="360" w:lineRule="auto"/>
        <w:jc w:val="both"/>
        <w:rPr>
          <w:rFonts w:ascii="Georgia" w:hAnsi="Georgia" w:cs="Arial"/>
          <w:szCs w:val="24"/>
        </w:rPr>
      </w:pPr>
    </w:p>
    <w:p w:rsidR="00E06BFF" w:rsidRPr="003A6159" w:rsidRDefault="00E06BFF" w:rsidP="00E06BFF">
      <w:pPr>
        <w:pStyle w:val="Sinespaciado"/>
        <w:spacing w:line="360" w:lineRule="auto"/>
        <w:jc w:val="both"/>
        <w:rPr>
          <w:rFonts w:ascii="Georgia" w:hAnsi="Georgia" w:cs="Arial"/>
          <w:szCs w:val="24"/>
        </w:rPr>
      </w:pPr>
      <w:r w:rsidRPr="003A6159">
        <w:rPr>
          <w:rFonts w:ascii="Georgia" w:hAnsi="Georgia" w:cs="Arial"/>
          <w:szCs w:val="24"/>
        </w:rPr>
        <w:t xml:space="preserve">El artículo 86 de </w:t>
      </w:r>
      <w:smartTag w:uri="urn:schemas-microsoft-com:office:smarttags" w:element="PersonName">
        <w:smartTagPr>
          <w:attr w:name="ProductID" w:val="la Constituci￳n Pol￭tica"/>
        </w:smartTagPr>
        <w:r w:rsidRPr="003A6159">
          <w:rPr>
            <w:rFonts w:ascii="Georgia" w:hAnsi="Georgia" w:cs="Arial"/>
            <w:szCs w:val="24"/>
          </w:rPr>
          <w:t>la Constitución Política</w:t>
        </w:r>
      </w:smartTag>
      <w:r w:rsidRPr="003A6159">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3A6159">
        <w:rPr>
          <w:rFonts w:ascii="Georgia" w:hAnsi="Georgia" w:cs="Arial"/>
          <w:i/>
          <w:sz w:val="22"/>
          <w:szCs w:val="24"/>
        </w:rPr>
        <w:t>“(…) solo procederá cuando el afectado no disponga de otro medio de defensa judicial, salvo que aquella se utilice como mecanismo transitorio para evitar un perjuicio irremediable.”.</w:t>
      </w:r>
      <w:r w:rsidRPr="003A6159">
        <w:rPr>
          <w:rFonts w:ascii="Georgia" w:hAnsi="Georgia" w:cs="Arial"/>
          <w:sz w:val="22"/>
          <w:szCs w:val="24"/>
        </w:rPr>
        <w:t xml:space="preserve"> </w:t>
      </w:r>
    </w:p>
    <w:p w:rsidR="00E06BFF" w:rsidRPr="003A6159" w:rsidRDefault="00E06BFF" w:rsidP="00E06BFF">
      <w:pPr>
        <w:pStyle w:val="Sinespaciado"/>
        <w:spacing w:line="360" w:lineRule="auto"/>
        <w:jc w:val="both"/>
        <w:rPr>
          <w:rFonts w:ascii="Georgia" w:hAnsi="Georgia" w:cs="Arial"/>
          <w:noProof/>
          <w:sz w:val="20"/>
          <w:szCs w:val="24"/>
        </w:rPr>
      </w:pPr>
    </w:p>
    <w:p w:rsidR="00E06BFF" w:rsidRPr="003A6159" w:rsidRDefault="00E06BFF" w:rsidP="00E06BFF">
      <w:pPr>
        <w:pStyle w:val="Sinespaciado"/>
        <w:spacing w:line="360" w:lineRule="auto"/>
        <w:jc w:val="both"/>
        <w:rPr>
          <w:rFonts w:ascii="Georgia" w:hAnsi="Georgia" w:cs="Arial"/>
        </w:rPr>
      </w:pPr>
      <w:r w:rsidRPr="003A6159">
        <w:rPr>
          <w:rFonts w:ascii="Georgia" w:hAnsi="Georgia" w:cs="Arial"/>
          <w:noProof/>
          <w:szCs w:val="24"/>
        </w:rPr>
        <w:t>Nuestra Corte Constitucional tiene establecido que</w:t>
      </w:r>
      <w:r w:rsidR="00E0756B" w:rsidRPr="003A6159">
        <w:rPr>
          <w:rFonts w:ascii="Georgia" w:hAnsi="Georgia" w:cs="Arial"/>
          <w:noProof/>
          <w:szCs w:val="24"/>
        </w:rPr>
        <w:t>:</w:t>
      </w:r>
      <w:r w:rsidRPr="003A6159">
        <w:rPr>
          <w:rFonts w:ascii="Georgia" w:hAnsi="Georgia" w:cs="Arial"/>
          <w:noProof/>
          <w:szCs w:val="24"/>
        </w:rPr>
        <w:t xml:space="preserve"> (i) La </w:t>
      </w:r>
      <w:r w:rsidRPr="003A6159">
        <w:rPr>
          <w:rFonts w:ascii="Georgia" w:hAnsi="Georgia" w:cs="Arial"/>
          <w:iCs/>
          <w:noProof/>
          <w:szCs w:val="24"/>
        </w:rPr>
        <w:t>subsidiariedad</w:t>
      </w:r>
      <w:r w:rsidRPr="003A6159">
        <w:rPr>
          <w:rFonts w:ascii="Georgia" w:hAnsi="Georgia" w:cs="Arial"/>
          <w:noProof/>
          <w:szCs w:val="24"/>
        </w:rPr>
        <w:t xml:space="preserve"> o residualidad, y (ii) La </w:t>
      </w:r>
      <w:r w:rsidRPr="003A6159">
        <w:rPr>
          <w:rFonts w:ascii="Georgia" w:hAnsi="Georgia" w:cs="Arial"/>
          <w:iCs/>
          <w:noProof/>
          <w:szCs w:val="24"/>
        </w:rPr>
        <w:t>inmediatez</w:t>
      </w:r>
      <w:r w:rsidRPr="003A6159">
        <w:rPr>
          <w:rFonts w:ascii="Georgia" w:hAnsi="Georgia" w:cs="Arial"/>
          <w:noProof/>
          <w:szCs w:val="24"/>
        </w:rPr>
        <w:t>, son exigencias generales de procedencia de la acción, condiciones indispensables para el conocimiento de fondo de las solicitudes de protección de derechos fundamentales</w:t>
      </w:r>
      <w:r w:rsidRPr="003A6159">
        <w:rPr>
          <w:rStyle w:val="Refdenotaalpie"/>
          <w:rFonts w:ascii="Georgia" w:hAnsi="Georgia" w:cs="Arial"/>
          <w:szCs w:val="24"/>
        </w:rPr>
        <w:footnoteReference w:id="1"/>
      </w:r>
      <w:r w:rsidRPr="003A6159">
        <w:rPr>
          <w:rFonts w:ascii="Georgia" w:hAnsi="Georgia" w:cs="Arial"/>
          <w:noProof/>
          <w:szCs w:val="24"/>
        </w:rPr>
        <w:t>.</w:t>
      </w:r>
      <w:r w:rsidRPr="003A6159">
        <w:rPr>
          <w:rFonts w:ascii="Georgia" w:hAnsi="Georgia" w:cs="Arial"/>
          <w:noProof/>
          <w:szCs w:val="24"/>
          <w:lang w:val="es-CO"/>
        </w:rPr>
        <w:t xml:space="preserve"> </w:t>
      </w:r>
    </w:p>
    <w:p w:rsidR="00E06BFF" w:rsidRPr="003A6159" w:rsidRDefault="00E06BFF" w:rsidP="00E06BFF">
      <w:pPr>
        <w:spacing w:line="360" w:lineRule="auto"/>
        <w:jc w:val="both"/>
        <w:rPr>
          <w:rFonts w:ascii="Georgia" w:hAnsi="Georgia" w:cs="Arial"/>
          <w:sz w:val="20"/>
        </w:rPr>
      </w:pPr>
    </w:p>
    <w:p w:rsidR="00386A76" w:rsidRPr="00574CE8" w:rsidRDefault="00E06BFF" w:rsidP="00386A76">
      <w:pPr>
        <w:spacing w:line="360" w:lineRule="auto"/>
        <w:ind w:right="51"/>
        <w:jc w:val="both"/>
        <w:rPr>
          <w:rFonts w:ascii="Georgia" w:hAnsi="Georgia" w:cs="Arial"/>
          <w:noProof/>
          <w:szCs w:val="22"/>
        </w:rPr>
      </w:pPr>
      <w:r w:rsidRPr="003A6159">
        <w:rPr>
          <w:rFonts w:ascii="Georgia" w:hAnsi="Georgia" w:cs="Arial"/>
        </w:rPr>
        <w:t xml:space="preserve">El presupuesto de la inmediatez, </w:t>
      </w:r>
      <w:r w:rsidRPr="003A6159">
        <w:rPr>
          <w:rFonts w:ascii="Georgia" w:hAnsi="Georgia" w:cs="Arial"/>
          <w:noProof/>
          <w:szCs w:val="22"/>
        </w:rPr>
        <w:t xml:space="preserve">no merece reparo, pues la acción se formuló dentro de los seis (6) meses siguientes a los hechos supuestamente violatarios, que es el plazo general, </w:t>
      </w:r>
      <w:r w:rsidR="00DC3B4F" w:rsidRPr="003A6159">
        <w:rPr>
          <w:rFonts w:ascii="Georgia" w:hAnsi="Georgia" w:cs="Arial"/>
          <w:noProof/>
          <w:szCs w:val="22"/>
          <w:lang w:val="es-CO"/>
        </w:rPr>
        <w:t>fijado por la doctrina constitucional</w:t>
      </w:r>
      <w:r w:rsidR="00276D37" w:rsidRPr="003A6159">
        <w:rPr>
          <w:rFonts w:ascii="Georgia" w:hAnsi="Georgia" w:cs="Arial"/>
          <w:noProof/>
          <w:szCs w:val="22"/>
          <w:vertAlign w:val="superscript"/>
          <w:lang w:val="es-CO"/>
        </w:rPr>
        <w:footnoteReference w:id="2"/>
      </w:r>
      <w:r w:rsidR="0079763C">
        <w:rPr>
          <w:rFonts w:ascii="Georgia" w:hAnsi="Georgia" w:cs="Arial"/>
          <w:noProof/>
          <w:szCs w:val="22"/>
          <w:lang w:val="es-CO"/>
        </w:rPr>
        <w:t xml:space="preserve">, critero </w:t>
      </w:r>
      <w:r w:rsidR="00574CE8">
        <w:rPr>
          <w:rFonts w:ascii="Georgia" w:hAnsi="Georgia" w:cs="Arial"/>
          <w:noProof/>
          <w:szCs w:val="22"/>
          <w:lang w:val="es-CO"/>
        </w:rPr>
        <w:t xml:space="preserve">tambien reseñado por la </w:t>
      </w:r>
      <w:r w:rsidR="0079763C" w:rsidRPr="004E70F4">
        <w:rPr>
          <w:rFonts w:ascii="Georgia" w:hAnsi="Georgia" w:cs="Arial"/>
        </w:rPr>
        <w:t>CSJ</w:t>
      </w:r>
      <w:r w:rsidR="00574CE8" w:rsidRPr="004E70F4">
        <w:rPr>
          <w:rStyle w:val="Refdenotaalpie"/>
          <w:rFonts w:ascii="Georgia" w:hAnsi="Georgia" w:cs="Arial"/>
        </w:rPr>
        <w:footnoteReference w:id="3"/>
      </w:r>
      <w:r w:rsidR="00574CE8">
        <w:rPr>
          <w:rFonts w:ascii="Georgia" w:hAnsi="Georgia" w:cs="Arial"/>
        </w:rPr>
        <w:t xml:space="preserve"> en su jurisprudencia</w:t>
      </w:r>
      <w:r w:rsidRPr="003A6159">
        <w:rPr>
          <w:rFonts w:ascii="Georgia" w:hAnsi="Georgia" w:cs="Arial"/>
          <w:noProof/>
          <w:szCs w:val="22"/>
        </w:rPr>
        <w:t xml:space="preserve">; nótese que </w:t>
      </w:r>
      <w:r w:rsidR="00574CE8">
        <w:rPr>
          <w:rFonts w:ascii="Georgia" w:hAnsi="Georgia" w:cs="Arial"/>
          <w:noProof/>
          <w:szCs w:val="22"/>
        </w:rPr>
        <w:t xml:space="preserve">la decisión que confirmó la </w:t>
      </w:r>
      <w:r w:rsidR="00027523">
        <w:rPr>
          <w:rFonts w:ascii="Georgia" w:hAnsi="Georgia" w:cs="Arial"/>
          <w:noProof/>
          <w:szCs w:val="22"/>
        </w:rPr>
        <w:t xml:space="preserve">calificación </w:t>
      </w:r>
      <w:r w:rsidR="00574CE8">
        <w:rPr>
          <w:rFonts w:ascii="Georgia" w:hAnsi="Georgia" w:cs="Arial"/>
          <w:noProof/>
          <w:szCs w:val="22"/>
        </w:rPr>
        <w:t xml:space="preserve">del accionante </w:t>
      </w:r>
      <w:r w:rsidR="00027523">
        <w:rPr>
          <w:rFonts w:ascii="Georgia" w:hAnsi="Georgia" w:cs="Arial"/>
          <w:noProof/>
          <w:szCs w:val="22"/>
        </w:rPr>
        <w:t xml:space="preserve">en la evaluación para escalafon nacional docente data del mes de febrero de 2018 </w:t>
      </w:r>
      <w:r w:rsidRPr="003A6159">
        <w:rPr>
          <w:rFonts w:ascii="Georgia" w:hAnsi="Georgia" w:cs="Arial"/>
          <w:noProof/>
          <w:szCs w:val="22"/>
        </w:rPr>
        <w:t>(Folio</w:t>
      </w:r>
      <w:r w:rsidR="00276D37" w:rsidRPr="003A6159">
        <w:rPr>
          <w:rFonts w:ascii="Georgia" w:hAnsi="Georgia" w:cs="Arial"/>
          <w:noProof/>
          <w:szCs w:val="22"/>
        </w:rPr>
        <w:t>s</w:t>
      </w:r>
      <w:r w:rsidR="00E0756B" w:rsidRPr="003A6159">
        <w:rPr>
          <w:rFonts w:ascii="Georgia" w:hAnsi="Georgia" w:cs="Arial"/>
          <w:noProof/>
          <w:szCs w:val="22"/>
        </w:rPr>
        <w:t xml:space="preserve"> </w:t>
      </w:r>
      <w:r w:rsidR="00027523">
        <w:rPr>
          <w:rFonts w:ascii="Georgia" w:hAnsi="Georgia" w:cs="Arial"/>
          <w:noProof/>
          <w:szCs w:val="22"/>
        </w:rPr>
        <w:t>25 a 32</w:t>
      </w:r>
      <w:r w:rsidR="00E0756B" w:rsidRPr="003A6159">
        <w:rPr>
          <w:rFonts w:ascii="Georgia" w:hAnsi="Georgia" w:cs="Arial"/>
          <w:noProof/>
          <w:szCs w:val="22"/>
        </w:rPr>
        <w:t xml:space="preserve">, </w:t>
      </w:r>
      <w:r w:rsidR="00574CE8">
        <w:rPr>
          <w:rFonts w:ascii="Georgia" w:hAnsi="Georgia" w:cs="Arial"/>
          <w:noProof/>
          <w:szCs w:val="22"/>
        </w:rPr>
        <w:t>ibídem</w:t>
      </w:r>
      <w:r w:rsidR="00E0756B" w:rsidRPr="003A6159">
        <w:rPr>
          <w:rFonts w:ascii="Georgia" w:hAnsi="Georgia" w:cs="Arial"/>
          <w:noProof/>
          <w:szCs w:val="22"/>
        </w:rPr>
        <w:t>)</w:t>
      </w:r>
      <w:r w:rsidRPr="003A6159">
        <w:rPr>
          <w:rFonts w:ascii="Georgia" w:hAnsi="Georgia" w:cs="Arial"/>
          <w:noProof/>
          <w:szCs w:val="22"/>
        </w:rPr>
        <w:t xml:space="preserve"> y la tutela se radicó el </w:t>
      </w:r>
      <w:r w:rsidR="00027523">
        <w:rPr>
          <w:rFonts w:ascii="Georgia" w:hAnsi="Georgia" w:cs="Arial"/>
          <w:noProof/>
          <w:szCs w:val="22"/>
        </w:rPr>
        <w:t xml:space="preserve">12-02-2018 </w:t>
      </w:r>
      <w:r w:rsidRPr="003A6159">
        <w:rPr>
          <w:rFonts w:ascii="Georgia" w:hAnsi="Georgia" w:cs="Arial"/>
          <w:noProof/>
          <w:szCs w:val="22"/>
        </w:rPr>
        <w:t>(Folio</w:t>
      </w:r>
      <w:r w:rsidR="00E0756B" w:rsidRPr="003A6159">
        <w:rPr>
          <w:rFonts w:ascii="Georgia" w:hAnsi="Georgia" w:cs="Arial"/>
          <w:noProof/>
          <w:szCs w:val="22"/>
        </w:rPr>
        <w:t xml:space="preserve"> </w:t>
      </w:r>
      <w:r w:rsidR="00574CE8">
        <w:rPr>
          <w:rFonts w:ascii="Georgia" w:hAnsi="Georgia" w:cs="Arial"/>
          <w:noProof/>
          <w:szCs w:val="22"/>
        </w:rPr>
        <w:t>1</w:t>
      </w:r>
      <w:r w:rsidR="00E0756B" w:rsidRPr="003A6159">
        <w:rPr>
          <w:rFonts w:ascii="Georgia" w:hAnsi="Georgia" w:cs="Arial"/>
          <w:noProof/>
          <w:szCs w:val="22"/>
        </w:rPr>
        <w:t>, ib.</w:t>
      </w:r>
      <w:r w:rsidRPr="003A6159">
        <w:rPr>
          <w:rFonts w:ascii="Georgia" w:hAnsi="Georgia" w:cs="Arial"/>
          <w:noProof/>
          <w:szCs w:val="22"/>
        </w:rPr>
        <w:t xml:space="preserve">). </w:t>
      </w:r>
      <w:r w:rsidR="00386A76" w:rsidRPr="003A6159">
        <w:rPr>
          <w:rFonts w:ascii="Georgia" w:hAnsi="Georgia" w:cs="Arial"/>
          <w:noProof/>
          <w:szCs w:val="22"/>
          <w:lang w:val="es-CO"/>
        </w:rPr>
        <w:t xml:space="preserve">En cambio la </w:t>
      </w:r>
      <w:r w:rsidR="00386A76" w:rsidRPr="003A6159">
        <w:rPr>
          <w:rFonts w:ascii="Georgia" w:hAnsi="Georgia" w:cs="Arial"/>
          <w:iCs/>
          <w:noProof/>
        </w:rPr>
        <w:t>subsidiariedad</w:t>
      </w:r>
      <w:r w:rsidR="00386A76" w:rsidRPr="003A6159">
        <w:rPr>
          <w:rFonts w:ascii="Georgia" w:hAnsi="Georgia" w:cs="Arial"/>
          <w:noProof/>
        </w:rPr>
        <w:t xml:space="preserve"> </w:t>
      </w:r>
      <w:r w:rsidR="00386A76" w:rsidRPr="003A6159">
        <w:rPr>
          <w:rFonts w:ascii="Georgia" w:hAnsi="Georgia" w:cs="Arial"/>
          <w:noProof/>
          <w:szCs w:val="22"/>
          <w:lang w:val="es-CO"/>
        </w:rPr>
        <w:t>esta incumplida, tal como pasará a explicarse.</w:t>
      </w:r>
    </w:p>
    <w:p w:rsidR="00E06BFF" w:rsidRPr="003A6159" w:rsidRDefault="00E06BFF" w:rsidP="00E06BFF">
      <w:pPr>
        <w:pStyle w:val="Textoindependiente"/>
        <w:tabs>
          <w:tab w:val="clear" w:pos="708"/>
          <w:tab w:val="clear" w:pos="1416"/>
          <w:tab w:val="left" w:pos="709"/>
          <w:tab w:val="left" w:pos="1418"/>
        </w:tabs>
        <w:spacing w:line="360" w:lineRule="auto"/>
        <w:ind w:left="720"/>
        <w:rPr>
          <w:rFonts w:ascii="Georgia" w:hAnsi="Georgia"/>
          <w:szCs w:val="24"/>
        </w:rPr>
      </w:pPr>
    </w:p>
    <w:p w:rsidR="0079763C" w:rsidRPr="009D0589" w:rsidRDefault="009D0589" w:rsidP="009D0589">
      <w:pPr>
        <w:pStyle w:val="Textoindependiente"/>
        <w:numPr>
          <w:ilvl w:val="1"/>
          <w:numId w:val="32"/>
        </w:numPr>
        <w:spacing w:line="360" w:lineRule="auto"/>
        <w:rPr>
          <w:rFonts w:ascii="Georgia" w:hAnsi="Georgia" w:cs="Arial"/>
          <w:szCs w:val="22"/>
        </w:rPr>
      </w:pPr>
      <w:r w:rsidRPr="009D0589">
        <w:rPr>
          <w:rFonts w:ascii="Georgia" w:hAnsi="Georgia" w:cs="Arial"/>
          <w:bCs/>
          <w:iCs/>
          <w:smallCaps/>
          <w:szCs w:val="22"/>
          <w:lang w:val="es-ES"/>
        </w:rPr>
        <w:lastRenderedPageBreak/>
        <w:t>la subsidiariedad de la acción de tutela contra actos administrativos</w:t>
      </w:r>
    </w:p>
    <w:p w:rsidR="009D0589" w:rsidRPr="001D1780" w:rsidRDefault="009D0589" w:rsidP="009D0589">
      <w:pPr>
        <w:pStyle w:val="Textoindependiente"/>
        <w:spacing w:line="360" w:lineRule="auto"/>
        <w:ind w:left="720"/>
        <w:rPr>
          <w:rFonts w:ascii="Georgia" w:hAnsi="Georgia" w:cs="Arial"/>
          <w:sz w:val="20"/>
          <w:szCs w:val="22"/>
        </w:rPr>
      </w:pPr>
    </w:p>
    <w:p w:rsidR="0079763C" w:rsidRDefault="0079763C" w:rsidP="003D457F">
      <w:pPr>
        <w:pStyle w:val="Textoindependiente"/>
        <w:tabs>
          <w:tab w:val="clear" w:pos="708"/>
          <w:tab w:val="left" w:pos="-284"/>
        </w:tabs>
        <w:spacing w:line="360" w:lineRule="auto"/>
        <w:rPr>
          <w:rFonts w:ascii="Georgia" w:hAnsi="Georgia" w:cs="Arial"/>
        </w:rPr>
      </w:pPr>
      <w:r w:rsidRPr="0049720F">
        <w:rPr>
          <w:rFonts w:ascii="Georgia" w:hAnsi="Georgia"/>
          <w:szCs w:val="24"/>
        </w:rPr>
        <w:t>La Corte</w:t>
      </w:r>
      <w:r w:rsidR="00154551">
        <w:rPr>
          <w:rFonts w:ascii="Georgia" w:hAnsi="Georgia"/>
          <w:szCs w:val="24"/>
        </w:rPr>
        <w:t xml:space="preserve"> Constitucional</w:t>
      </w:r>
      <w:r w:rsidRPr="0049720F">
        <w:rPr>
          <w:rStyle w:val="Refdenotaalpie"/>
          <w:rFonts w:ascii="Georgia" w:hAnsi="Georgia"/>
          <w:szCs w:val="24"/>
        </w:rPr>
        <w:footnoteReference w:id="4"/>
      </w:r>
      <w:r w:rsidRPr="0049720F">
        <w:rPr>
          <w:rFonts w:ascii="Georgia" w:hAnsi="Georgia"/>
          <w:szCs w:val="24"/>
        </w:rPr>
        <w:t xml:space="preserve"> enseña que </w:t>
      </w:r>
      <w:r w:rsidRPr="0049720F">
        <w:rPr>
          <w:rFonts w:ascii="Georgia" w:hAnsi="Georgia" w:cs="Arial"/>
          <w:szCs w:val="24"/>
        </w:rPr>
        <w:t>el juez de tutela no puede asumir la facultad para sustituir al juez administrativo en la definición de la validez de los actos</w:t>
      </w:r>
      <w:r w:rsidR="00154551">
        <w:rPr>
          <w:rFonts w:ascii="Georgia" w:hAnsi="Georgia" w:cs="Arial"/>
          <w:szCs w:val="24"/>
        </w:rPr>
        <w:t xml:space="preserve"> administrativos</w:t>
      </w:r>
      <w:r w:rsidRPr="0049720F">
        <w:rPr>
          <w:rFonts w:ascii="Georgia" w:hAnsi="Georgia" w:cs="Arial"/>
          <w:szCs w:val="24"/>
        </w:rPr>
        <w:t xml:space="preserve">, ni suponer que podría suspenderlos provisionalmente pues ello representaría invadir el ámbito </w:t>
      </w:r>
      <w:r w:rsidR="009C466A">
        <w:rPr>
          <w:rFonts w:ascii="Georgia" w:hAnsi="Georgia" w:cs="Arial"/>
          <w:szCs w:val="24"/>
        </w:rPr>
        <w:t xml:space="preserve">de dicha jurisdicción; por lo tanto,  </w:t>
      </w:r>
      <w:r w:rsidR="009C466A" w:rsidRPr="0049720F">
        <w:rPr>
          <w:rFonts w:ascii="Georgia" w:hAnsi="Georgia" w:cs="Arial"/>
        </w:rPr>
        <w:t>tiene explicado</w:t>
      </w:r>
      <w:r w:rsidR="00566061">
        <w:rPr>
          <w:rFonts w:ascii="Georgia" w:hAnsi="Georgia" w:cs="Arial"/>
        </w:rPr>
        <w:t xml:space="preserve"> </w:t>
      </w:r>
      <w:r w:rsidRPr="0049720F">
        <w:rPr>
          <w:rFonts w:ascii="Georgia" w:hAnsi="Georgia" w:cs="Arial"/>
        </w:rPr>
        <w:t>que</w:t>
      </w:r>
      <w:r w:rsidR="00566061">
        <w:rPr>
          <w:rFonts w:ascii="Georgia" w:hAnsi="Georgia" w:cs="Arial"/>
        </w:rPr>
        <w:t>, por regla general,</w:t>
      </w:r>
      <w:r w:rsidRPr="0049720F">
        <w:rPr>
          <w:rFonts w:ascii="Georgia" w:hAnsi="Georgia" w:cs="Arial"/>
        </w:rPr>
        <w:t xml:space="preserve"> es improcedente la acción de tutela</w:t>
      </w:r>
      <w:r w:rsidR="00566061">
        <w:rPr>
          <w:rFonts w:ascii="Georgia" w:hAnsi="Georgia" w:cs="Arial"/>
        </w:rPr>
        <w:t xml:space="preserve"> frente a</w:t>
      </w:r>
      <w:r w:rsidR="009C466A">
        <w:rPr>
          <w:rFonts w:ascii="Georgia" w:hAnsi="Georgia" w:cs="Arial"/>
        </w:rPr>
        <w:t xml:space="preserve"> </w:t>
      </w:r>
      <w:r w:rsidR="009C466A" w:rsidRPr="0049720F">
        <w:rPr>
          <w:rFonts w:ascii="Georgia" w:hAnsi="Georgia" w:cs="Arial"/>
        </w:rPr>
        <w:t>actos administrativos</w:t>
      </w:r>
      <w:r w:rsidR="009C466A" w:rsidRPr="0049720F">
        <w:rPr>
          <w:rFonts w:ascii="Georgia" w:hAnsi="Georgia" w:cs="Arial"/>
          <w:vertAlign w:val="superscript"/>
        </w:rPr>
        <w:footnoteReference w:id="5"/>
      </w:r>
      <w:r w:rsidR="009C466A" w:rsidRPr="0049720F">
        <w:rPr>
          <w:rFonts w:ascii="Georgia" w:hAnsi="Georgia" w:cs="Arial"/>
          <w:vertAlign w:val="superscript"/>
        </w:rPr>
        <w:t>-</w:t>
      </w:r>
      <w:r w:rsidR="009C466A" w:rsidRPr="0049720F">
        <w:rPr>
          <w:rStyle w:val="Refdenotaalpie"/>
          <w:rFonts w:ascii="Georgia" w:hAnsi="Georgia"/>
        </w:rPr>
        <w:footnoteReference w:id="6"/>
      </w:r>
      <w:r w:rsidR="009C466A" w:rsidRPr="0049720F">
        <w:rPr>
          <w:rFonts w:ascii="Georgia" w:hAnsi="Georgia" w:cs="Arial"/>
        </w:rPr>
        <w:t xml:space="preserve">, </w:t>
      </w:r>
      <w:r w:rsidR="009D0589" w:rsidRPr="009D0589">
        <w:rPr>
          <w:rFonts w:ascii="Georgia" w:hAnsi="Georgia" w:cs="Arial"/>
          <w:i/>
          <w:sz w:val="22"/>
        </w:rPr>
        <w:t>“(…)</w:t>
      </w:r>
      <w:r w:rsidR="009D0589">
        <w:rPr>
          <w:rFonts w:ascii="Georgia" w:hAnsi="Georgia" w:cs="Arial"/>
          <w:i/>
          <w:sz w:val="22"/>
        </w:rPr>
        <w:t xml:space="preserve"> </w:t>
      </w:r>
      <w:r w:rsidR="009D0589" w:rsidRPr="009D0589">
        <w:rPr>
          <w:rFonts w:ascii="Georgia" w:hAnsi="Georgia" w:cs="Arial"/>
          <w:i/>
          <w:sz w:val="22"/>
          <w:lang w:val="es-ES"/>
        </w:rPr>
        <w:t>toda vez que, para controvertir su legalidad está previsto el respectivo mecanismo ordinario en la jurisdicción de lo contencioso administrativa (…)”</w:t>
      </w:r>
      <w:r w:rsidR="009D0589">
        <w:rPr>
          <w:rStyle w:val="Refdenotaalpie"/>
          <w:rFonts w:ascii="Georgia" w:hAnsi="Georgia"/>
          <w:i/>
          <w:sz w:val="22"/>
          <w:lang w:val="es-ES"/>
        </w:rPr>
        <w:footnoteReference w:id="7"/>
      </w:r>
      <w:r w:rsidRPr="0049720F">
        <w:rPr>
          <w:rFonts w:ascii="Georgia" w:hAnsi="Georgia" w:cs="Arial"/>
        </w:rPr>
        <w:t>.</w:t>
      </w:r>
    </w:p>
    <w:p w:rsidR="009D0589" w:rsidRPr="001D1780" w:rsidRDefault="009D0589" w:rsidP="003D457F">
      <w:pPr>
        <w:pStyle w:val="Textoindependiente"/>
        <w:tabs>
          <w:tab w:val="clear" w:pos="708"/>
          <w:tab w:val="left" w:pos="-284"/>
        </w:tabs>
        <w:spacing w:line="360" w:lineRule="auto"/>
        <w:rPr>
          <w:rFonts w:ascii="Georgia" w:hAnsi="Georgia" w:cs="Arial"/>
          <w:sz w:val="20"/>
        </w:rPr>
      </w:pPr>
    </w:p>
    <w:p w:rsidR="0079763C" w:rsidRPr="008A2F2E" w:rsidRDefault="008A2F2E" w:rsidP="0079763C">
      <w:pPr>
        <w:spacing w:line="360" w:lineRule="auto"/>
        <w:ind w:right="51"/>
        <w:jc w:val="both"/>
        <w:rPr>
          <w:rFonts w:ascii="Georgia" w:hAnsi="Georgia" w:cs="Arial"/>
          <w:sz w:val="22"/>
        </w:rPr>
      </w:pPr>
      <w:r w:rsidRPr="008A2F2E">
        <w:rPr>
          <w:rFonts w:ascii="Georgia" w:hAnsi="Georgia" w:cs="Arial"/>
        </w:rPr>
        <w:t>Dicha Corporación</w:t>
      </w:r>
      <w:r w:rsidR="0079763C" w:rsidRPr="008A2F2E">
        <w:rPr>
          <w:rStyle w:val="Refdenotaalpie"/>
          <w:rFonts w:ascii="Georgia" w:hAnsi="Georgia" w:cs="Arial"/>
        </w:rPr>
        <w:footnoteReference w:id="8"/>
      </w:r>
      <w:r w:rsidR="0079763C" w:rsidRPr="008A2F2E">
        <w:rPr>
          <w:rFonts w:ascii="Georgia" w:hAnsi="Georgia" w:cs="Arial"/>
        </w:rPr>
        <w:t>, luego de analizar la Ley 1437, concluyó que la tutela es improcedente</w:t>
      </w:r>
      <w:r w:rsidR="0079763C" w:rsidRPr="008A2F2E">
        <w:rPr>
          <w:rFonts w:ascii="Georgia" w:hAnsi="Georgia" w:cs="Arial"/>
          <w:color w:val="000000"/>
        </w:rPr>
        <w:t>,</w:t>
      </w:r>
      <w:r w:rsidR="0079763C" w:rsidRPr="008A2F2E">
        <w:rPr>
          <w:rFonts w:ascii="Georgia" w:hAnsi="Georgia" w:cs="Arial"/>
        </w:rPr>
        <w:t xml:space="preserve"> porque </w:t>
      </w:r>
      <w:r w:rsidRPr="008A2F2E">
        <w:rPr>
          <w:rFonts w:ascii="Georgia" w:hAnsi="Georgia" w:cs="Arial"/>
        </w:rPr>
        <w:t xml:space="preserve">los interesados </w:t>
      </w:r>
      <w:r w:rsidR="0079763C" w:rsidRPr="008A2F2E">
        <w:rPr>
          <w:rFonts w:ascii="Georgia" w:hAnsi="Georgia" w:cs="Arial"/>
        </w:rPr>
        <w:t>cuenta</w:t>
      </w:r>
      <w:r w:rsidRPr="008A2F2E">
        <w:rPr>
          <w:rFonts w:ascii="Georgia" w:hAnsi="Georgia" w:cs="Arial"/>
        </w:rPr>
        <w:t>n</w:t>
      </w:r>
      <w:r w:rsidR="0079763C" w:rsidRPr="008A2F2E">
        <w:rPr>
          <w:rFonts w:ascii="Georgia" w:hAnsi="Georgia" w:cs="Arial"/>
        </w:rPr>
        <w:t xml:space="preserve"> con un mecanismo judicial idóneo y eficaz, que puede promover ante el juez natural, y que solo podría considerarse deficiente si en juez constitucional advierte que </w:t>
      </w:r>
      <w:r w:rsidR="0079763C" w:rsidRPr="008A2F2E">
        <w:rPr>
          <w:rFonts w:ascii="Georgia" w:hAnsi="Georgia" w:cs="Arial"/>
          <w:i/>
          <w:sz w:val="22"/>
        </w:rPr>
        <w:t xml:space="preserve">“(…) </w:t>
      </w:r>
      <w:r w:rsidR="0079763C" w:rsidRPr="008A2F2E">
        <w:rPr>
          <w:rFonts w:ascii="Georgia" w:hAnsi="Georgia" w:cs="Arial"/>
          <w:i/>
          <w:sz w:val="22"/>
          <w:lang w:val="es-CO"/>
        </w:rPr>
        <w:t>(i) …la aplicación de las normas del CPACA no proporcione una protección oportuna de los derechos fundamentales o (ii) cuando el contenido o interpretación de las disposiciones de dicho Código no provean un amparo integral de tales derechos (…)”</w:t>
      </w:r>
      <w:r w:rsidR="009D0589">
        <w:rPr>
          <w:rFonts w:ascii="Georgia" w:hAnsi="Georgia" w:cs="Arial"/>
          <w:i/>
          <w:sz w:val="22"/>
          <w:lang w:val="es-CO"/>
        </w:rPr>
        <w:t>.</w:t>
      </w:r>
      <w:r w:rsidR="0079763C" w:rsidRPr="008A2F2E">
        <w:rPr>
          <w:rFonts w:ascii="Georgia" w:hAnsi="Georgia" w:cs="Arial"/>
          <w:lang w:val="es-CO"/>
        </w:rPr>
        <w:t xml:space="preserve">  </w:t>
      </w:r>
    </w:p>
    <w:p w:rsidR="0079763C" w:rsidRPr="008A2F2E" w:rsidRDefault="0079763C" w:rsidP="0079763C">
      <w:pPr>
        <w:spacing w:line="360" w:lineRule="auto"/>
        <w:ind w:right="51"/>
        <w:jc w:val="both"/>
        <w:rPr>
          <w:rFonts w:ascii="Georgia" w:hAnsi="Georgia" w:cs="Arial"/>
          <w:sz w:val="20"/>
          <w:lang w:val="es-CO"/>
        </w:rPr>
      </w:pPr>
      <w:r w:rsidRPr="008A2F2E">
        <w:rPr>
          <w:rFonts w:ascii="Georgia" w:hAnsi="Georgia" w:cs="Arial"/>
          <w:sz w:val="20"/>
          <w:lang w:val="es-CO"/>
        </w:rPr>
        <w:t> </w:t>
      </w:r>
    </w:p>
    <w:p w:rsidR="0079763C" w:rsidRPr="00D71EC5" w:rsidRDefault="0079763C" w:rsidP="00574CE8">
      <w:pPr>
        <w:pStyle w:val="Prrafodelista"/>
        <w:numPr>
          <w:ilvl w:val="2"/>
          <w:numId w:val="32"/>
        </w:numPr>
        <w:spacing w:line="360" w:lineRule="auto"/>
        <w:ind w:right="51"/>
        <w:jc w:val="both"/>
        <w:rPr>
          <w:rFonts w:ascii="Georgia" w:hAnsi="Georgia" w:cs="Arial"/>
          <w:smallCaps/>
        </w:rPr>
      </w:pPr>
      <w:r w:rsidRPr="00D71EC5">
        <w:rPr>
          <w:rFonts w:ascii="Georgia" w:hAnsi="Georgia" w:cs="Arial"/>
          <w:smallCaps/>
        </w:rPr>
        <w:t>La procedencia excepcional de la tutela</w:t>
      </w:r>
    </w:p>
    <w:p w:rsidR="0079763C" w:rsidRPr="0049720F" w:rsidRDefault="0079763C" w:rsidP="0079763C">
      <w:pPr>
        <w:pStyle w:val="Prrafodelista"/>
        <w:spacing w:line="360" w:lineRule="auto"/>
        <w:ind w:left="720" w:right="51"/>
        <w:jc w:val="both"/>
        <w:rPr>
          <w:rFonts w:ascii="Georgia" w:hAnsi="Georgia" w:cs="Arial"/>
          <w:sz w:val="20"/>
        </w:rPr>
      </w:pPr>
    </w:p>
    <w:p w:rsidR="001D1780" w:rsidRDefault="0079763C" w:rsidP="0079763C">
      <w:pPr>
        <w:spacing w:line="360" w:lineRule="auto"/>
        <w:ind w:right="51"/>
        <w:jc w:val="both"/>
        <w:rPr>
          <w:rFonts w:ascii="Georgia" w:hAnsi="Georgia" w:cs="Arial"/>
        </w:rPr>
      </w:pPr>
      <w:r w:rsidRPr="0049720F">
        <w:rPr>
          <w:rFonts w:ascii="Georgia" w:hAnsi="Georgia" w:cs="Arial"/>
        </w:rPr>
        <w:t xml:space="preserve">Además de lo anterior, esa Corporación también ha señalado que existen, al menos, dos </w:t>
      </w:r>
    </w:p>
    <w:p w:rsidR="0079763C" w:rsidRPr="0049720F" w:rsidRDefault="0079763C" w:rsidP="0079763C">
      <w:pPr>
        <w:spacing w:line="360" w:lineRule="auto"/>
        <w:ind w:right="51"/>
        <w:jc w:val="both"/>
        <w:rPr>
          <w:rFonts w:ascii="Georgia" w:hAnsi="Georgia" w:cs="Arial"/>
        </w:rPr>
      </w:pPr>
      <w:proofErr w:type="gramStart"/>
      <w:r w:rsidRPr="0049720F">
        <w:rPr>
          <w:rFonts w:ascii="Georgia" w:hAnsi="Georgia" w:cs="Arial"/>
        </w:rPr>
        <w:t>excepciones</w:t>
      </w:r>
      <w:proofErr w:type="gramEnd"/>
      <w:r w:rsidRPr="0049720F">
        <w:rPr>
          <w:rFonts w:ascii="Georgia" w:hAnsi="Georgia" w:cs="Arial"/>
        </w:rPr>
        <w:t xml:space="preserve"> a la regla general</w:t>
      </w:r>
      <w:r w:rsidRPr="0049720F">
        <w:rPr>
          <w:rFonts w:ascii="Georgia" w:hAnsi="Georgia" w:cs="Arial"/>
          <w:vertAlign w:val="superscript"/>
        </w:rPr>
        <w:footnoteReference w:id="9"/>
      </w:r>
      <w:r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49720F">
        <w:rPr>
          <w:rFonts w:ascii="Georgia" w:hAnsi="Georgia" w:cs="Arial"/>
          <w:vertAlign w:val="superscript"/>
        </w:rPr>
        <w:footnoteReference w:id="10"/>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11"/>
      </w:r>
      <w:r w:rsidRPr="0049720F">
        <w:rPr>
          <w:rFonts w:ascii="Georgia" w:hAnsi="Georgia" w:cs="Arial"/>
        </w:rPr>
        <w:t>, y (ii) cuando se trata de evitar la ocurrencia de un perjuicio irremediable</w:t>
      </w:r>
      <w:r w:rsidRPr="0049720F">
        <w:rPr>
          <w:rFonts w:ascii="Georgia" w:hAnsi="Georgia" w:cs="Arial"/>
          <w:vertAlign w:val="superscript"/>
        </w:rPr>
        <w:footnoteReference w:id="12"/>
      </w:r>
      <w:r w:rsidRPr="0049720F">
        <w:rPr>
          <w:rFonts w:ascii="Georgia" w:hAnsi="Georgia" w:cs="Arial"/>
        </w:rPr>
        <w:t>.</w:t>
      </w:r>
    </w:p>
    <w:p w:rsidR="0079763C" w:rsidRPr="0049720F" w:rsidRDefault="0079763C" w:rsidP="0079763C">
      <w:pPr>
        <w:spacing w:line="360" w:lineRule="auto"/>
        <w:ind w:right="51"/>
        <w:jc w:val="both"/>
        <w:rPr>
          <w:rFonts w:ascii="Georgia" w:hAnsi="Georgia" w:cs="Arial"/>
          <w:u w:val="single"/>
        </w:rPr>
      </w:pPr>
    </w:p>
    <w:p w:rsidR="0079763C" w:rsidRPr="0049720F" w:rsidRDefault="0079763C" w:rsidP="0079763C">
      <w:pPr>
        <w:spacing w:line="360" w:lineRule="auto"/>
        <w:ind w:right="-6"/>
        <w:jc w:val="both"/>
        <w:rPr>
          <w:rFonts w:ascii="Georgia" w:hAnsi="Georgia" w:cs="Arial"/>
          <w:szCs w:val="28"/>
        </w:rPr>
      </w:pPr>
      <w:r w:rsidRPr="0049720F">
        <w:rPr>
          <w:rFonts w:ascii="Georgia" w:hAnsi="Georgia" w:cs="Arial"/>
          <w:szCs w:val="28"/>
        </w:rPr>
        <w:t xml:space="preserve">Así las cosas, sobreviene memorar la noción de perjuicio irremediable, puesto que como se ha visto, es presupuesto de </w:t>
      </w:r>
      <w:proofErr w:type="spellStart"/>
      <w:r w:rsidRPr="0049720F">
        <w:rPr>
          <w:rFonts w:ascii="Georgia" w:hAnsi="Georgia" w:cs="Arial"/>
          <w:szCs w:val="28"/>
        </w:rPr>
        <w:t>procedibilidad</w:t>
      </w:r>
      <w:proofErr w:type="spellEnd"/>
      <w:r w:rsidRPr="0049720F">
        <w:rPr>
          <w:rFonts w:ascii="Georgia" w:hAnsi="Georgia" w:cs="Arial"/>
          <w:szCs w:val="28"/>
        </w:rPr>
        <w:t xml:space="preserve"> para examinar, en sede constitucional, la violación o amenaza al debido proceso administrativo, que alega la parte actora. A propósito, valga recordar que ninguna discusión amerita comprender que ese derecho alegado, tiene la estirpe </w:t>
      </w:r>
      <w:proofErr w:type="spellStart"/>
      <w:r w:rsidRPr="0049720F">
        <w:rPr>
          <w:rFonts w:ascii="Georgia" w:hAnsi="Georgia" w:cs="Arial"/>
          <w:i/>
          <w:szCs w:val="28"/>
        </w:rPr>
        <w:t>iusfundamental</w:t>
      </w:r>
      <w:proofErr w:type="spellEnd"/>
      <w:r w:rsidRPr="0049720F">
        <w:rPr>
          <w:rFonts w:ascii="Georgia" w:hAnsi="Georgia" w:cs="Arial"/>
          <w:szCs w:val="28"/>
        </w:rPr>
        <w:t xml:space="preserve"> pretendida; en realidad, la cuestión medular se centra en la viabilidad por virtud del daño irreparable que se logre invocar y probar.</w:t>
      </w:r>
    </w:p>
    <w:p w:rsidR="0079763C" w:rsidRPr="0049720F" w:rsidRDefault="0079763C" w:rsidP="0079763C">
      <w:pPr>
        <w:spacing w:line="360" w:lineRule="auto"/>
        <w:ind w:right="-6"/>
        <w:rPr>
          <w:rFonts w:ascii="Georgia" w:hAnsi="Georgia" w:cs="Arial"/>
          <w:sz w:val="20"/>
        </w:rPr>
      </w:pPr>
    </w:p>
    <w:p w:rsidR="0079763C" w:rsidRPr="0049720F" w:rsidRDefault="0079763C" w:rsidP="0079763C">
      <w:pPr>
        <w:spacing w:line="360" w:lineRule="auto"/>
        <w:ind w:right="51"/>
        <w:jc w:val="both"/>
        <w:rPr>
          <w:rFonts w:ascii="Georgia" w:hAnsi="Georgia"/>
          <w:szCs w:val="22"/>
          <w:lang w:val="es-ES_tradnl"/>
        </w:rPr>
      </w:pPr>
      <w:r w:rsidRPr="0049720F">
        <w:rPr>
          <w:rFonts w:ascii="Georgia" w:hAnsi="Georgia" w:cs="Arial"/>
        </w:rPr>
        <w:t xml:space="preserve">Sobre la </w:t>
      </w:r>
      <w:proofErr w:type="spellStart"/>
      <w:r w:rsidRPr="0049720F">
        <w:rPr>
          <w:rFonts w:ascii="Georgia" w:hAnsi="Georgia" w:cs="Arial"/>
        </w:rPr>
        <w:t>irremediabilidad</w:t>
      </w:r>
      <w:proofErr w:type="spellEnd"/>
      <w:r w:rsidRPr="0049720F">
        <w:rPr>
          <w:rFonts w:ascii="Georgia" w:hAnsi="Georgia" w:cs="Arial"/>
        </w:rPr>
        <w:t xml:space="preserve"> del perjuicio, la CC</w:t>
      </w:r>
      <w:r w:rsidRPr="0049720F">
        <w:rPr>
          <w:rStyle w:val="Refdenotaalpie"/>
          <w:rFonts w:ascii="Georgia" w:hAnsi="Georgia"/>
        </w:rPr>
        <w:footnoteReference w:id="13"/>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 xml:space="preserve">la </w:t>
      </w:r>
      <w:proofErr w:type="spellStart"/>
      <w:r w:rsidRPr="0049720F">
        <w:rPr>
          <w:rFonts w:ascii="Georgia" w:hAnsi="Georgia" w:cs="Arial"/>
          <w:i/>
          <w:sz w:val="22"/>
          <w:u w:val="single"/>
        </w:rPr>
        <w:t>impostergabilidad</w:t>
      </w:r>
      <w:proofErr w:type="spellEnd"/>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14"/>
      </w:r>
      <w:r w:rsidRPr="0049720F">
        <w:rPr>
          <w:rFonts w:ascii="Georgia" w:hAnsi="Georgia" w:cs="Arial"/>
          <w:vertAlign w:val="superscript"/>
        </w:rPr>
        <w:t xml:space="preserve"> </w:t>
      </w:r>
      <w:r w:rsidRPr="0049720F">
        <w:rPr>
          <w:rFonts w:ascii="Georgia" w:hAnsi="Georgia" w:cs="Arial"/>
        </w:rPr>
        <w:t xml:space="preserve">”.  </w:t>
      </w:r>
    </w:p>
    <w:p w:rsidR="0079763C" w:rsidRPr="0049720F" w:rsidRDefault="0079763C" w:rsidP="0079763C">
      <w:pPr>
        <w:spacing w:line="360" w:lineRule="auto"/>
        <w:ind w:right="51"/>
        <w:jc w:val="both"/>
        <w:rPr>
          <w:rFonts w:ascii="Georgia" w:hAnsi="Georgia"/>
          <w:sz w:val="20"/>
          <w:lang w:val="es-ES_tradnl"/>
        </w:rPr>
      </w:pPr>
    </w:p>
    <w:p w:rsidR="0079763C" w:rsidRPr="0049720F" w:rsidRDefault="0079763C" w:rsidP="0079763C">
      <w:pPr>
        <w:spacing w:line="360" w:lineRule="auto"/>
        <w:ind w:right="51"/>
        <w:jc w:val="both"/>
        <w:rPr>
          <w:rFonts w:ascii="Georgia" w:hAnsi="Georgia" w:cs="Arial"/>
          <w:i/>
          <w:sz w:val="22"/>
          <w:szCs w:val="22"/>
        </w:rPr>
      </w:pPr>
      <w:r w:rsidRPr="0049720F">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49720F">
        <w:rPr>
          <w:rStyle w:val="Refdenotaalpie"/>
          <w:rFonts w:ascii="Georgia" w:hAnsi="Georgia"/>
          <w:sz w:val="22"/>
        </w:rPr>
        <w:footnoteReference w:id="15"/>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En consecuencia, no todo perjuicio puede ser considerado como irremediable, sino solo aquel que por sus características de inminencia y gravedad, requiera de medidas de protección urgentes e impostergables.”.</w:t>
      </w:r>
    </w:p>
    <w:p w:rsidR="0079763C" w:rsidRPr="001D1780" w:rsidRDefault="0079763C" w:rsidP="0079763C">
      <w:pPr>
        <w:pStyle w:val="Textoindependiente"/>
        <w:tabs>
          <w:tab w:val="clear" w:pos="708"/>
          <w:tab w:val="clear" w:pos="1416"/>
          <w:tab w:val="left" w:pos="709"/>
          <w:tab w:val="left" w:pos="1418"/>
        </w:tabs>
        <w:spacing w:line="360" w:lineRule="auto"/>
        <w:rPr>
          <w:rFonts w:ascii="Georgia" w:hAnsi="Georgia"/>
          <w:sz w:val="20"/>
          <w:szCs w:val="24"/>
        </w:rPr>
      </w:pPr>
    </w:p>
    <w:p w:rsidR="0079763C" w:rsidRPr="0049720F" w:rsidRDefault="0079763C" w:rsidP="0079763C">
      <w:pPr>
        <w:spacing w:line="360" w:lineRule="auto"/>
        <w:ind w:right="51"/>
        <w:jc w:val="both"/>
        <w:rPr>
          <w:rFonts w:ascii="Georgia" w:hAnsi="Georgia"/>
        </w:rPr>
      </w:pPr>
      <w:r w:rsidRPr="00D71EC5">
        <w:rPr>
          <w:rFonts w:ascii="Georgia" w:hAnsi="Georgia"/>
        </w:rPr>
        <w:t>Las características del perjuicio irremediable conservan vigencia</w:t>
      </w:r>
      <w:r w:rsidRPr="00D71EC5">
        <w:rPr>
          <w:rStyle w:val="Refdenotaalpie"/>
          <w:rFonts w:ascii="Georgia" w:hAnsi="Georgia"/>
        </w:rPr>
        <w:footnoteReference w:id="16"/>
      </w:r>
      <w:r w:rsidRPr="00D71EC5">
        <w:rPr>
          <w:rFonts w:ascii="Georgia" w:hAnsi="Georgia"/>
        </w:rPr>
        <w:t>. Al respecto existe precedente horizontal de esta Sala del Tribunal</w:t>
      </w:r>
      <w:r w:rsidRPr="00D71EC5">
        <w:rPr>
          <w:rStyle w:val="Refdenotaalpie"/>
          <w:rFonts w:ascii="Georgia" w:hAnsi="Georgia"/>
        </w:rPr>
        <w:footnoteReference w:id="17"/>
      </w:r>
      <w:r w:rsidRPr="00D71EC5">
        <w:rPr>
          <w:rFonts w:ascii="Georgia" w:hAnsi="Georgia"/>
        </w:rPr>
        <w:t>.</w:t>
      </w:r>
    </w:p>
    <w:p w:rsidR="0079763C" w:rsidRPr="0049720F" w:rsidRDefault="0079763C" w:rsidP="0079763C">
      <w:pPr>
        <w:spacing w:line="360" w:lineRule="auto"/>
        <w:ind w:right="51"/>
        <w:jc w:val="both"/>
        <w:rPr>
          <w:rFonts w:ascii="Georgia" w:hAnsi="Georgia"/>
          <w:sz w:val="20"/>
        </w:rPr>
      </w:pPr>
    </w:p>
    <w:p w:rsidR="0079763C" w:rsidRPr="0049720F" w:rsidRDefault="0079763C" w:rsidP="0079763C">
      <w:pPr>
        <w:spacing w:line="360" w:lineRule="auto"/>
        <w:ind w:right="51"/>
        <w:jc w:val="both"/>
        <w:rPr>
          <w:rFonts w:ascii="Georgia" w:hAnsi="Georgia"/>
        </w:rPr>
      </w:pPr>
      <w:r w:rsidRPr="0049720F">
        <w:rPr>
          <w:rFonts w:ascii="Georgia" w:hAnsi="Georgia"/>
        </w:rPr>
        <w:t>También la Sala de Casación Civil de la CSJ</w:t>
      </w:r>
      <w:r w:rsidRPr="0049720F">
        <w:rPr>
          <w:rStyle w:val="Refdenotaalpie"/>
          <w:rFonts w:ascii="Georgia" w:hAnsi="Georgia"/>
        </w:rPr>
        <w:footnoteReference w:id="18"/>
      </w:r>
      <w:r w:rsidRPr="0049720F">
        <w:rPr>
          <w:rFonts w:ascii="Georgia" w:hAnsi="Georgia"/>
        </w:rPr>
        <w:t>, órgano de cierre de esta Corporación, ha sido reiterativa en cuanto a la improcedencia del amparo constitucional por el incumplimiento del supuesto de subsidiariedad y la ausencia de demostración del perjuicio irremediable y al efecto ha dicho</w:t>
      </w:r>
      <w:r w:rsidRPr="0049720F">
        <w:rPr>
          <w:rStyle w:val="Refdenotaalpie"/>
          <w:rFonts w:ascii="Georgia" w:hAnsi="Georgia"/>
        </w:rPr>
        <w:footnoteReference w:id="19"/>
      </w:r>
      <w:r w:rsidRPr="0049720F">
        <w:rPr>
          <w:rFonts w:ascii="Georgia" w:hAnsi="Georgia"/>
        </w:rPr>
        <w:t xml:space="preserve">: </w:t>
      </w:r>
    </w:p>
    <w:p w:rsidR="0079763C" w:rsidRPr="0049720F" w:rsidRDefault="0079763C" w:rsidP="0079763C">
      <w:pPr>
        <w:spacing w:line="360" w:lineRule="auto"/>
        <w:ind w:right="51"/>
        <w:jc w:val="both"/>
        <w:rPr>
          <w:rFonts w:ascii="Georgia" w:hAnsi="Georgia"/>
        </w:rPr>
      </w:pPr>
    </w:p>
    <w:p w:rsidR="0079763C" w:rsidRPr="0049720F" w:rsidRDefault="0079763C" w:rsidP="0079763C">
      <w:pPr>
        <w:ind w:left="567" w:right="618"/>
        <w:jc w:val="both"/>
        <w:rPr>
          <w:rFonts w:ascii="Georgia" w:hAnsi="Georgia" w:cs="Arial"/>
          <w:lang w:val="es-ES_tradnl"/>
        </w:rPr>
      </w:pPr>
      <w:r w:rsidRPr="0049720F">
        <w:rPr>
          <w:rFonts w:ascii="Georgia" w:hAnsi="Georgia" w:cs="Arial"/>
        </w:rPr>
        <w:t>…</w:t>
      </w:r>
      <w:r>
        <w:rPr>
          <w:rFonts w:ascii="Georgia" w:hAnsi="Georgia" w:cs="Arial"/>
        </w:rPr>
        <w:t xml:space="preserve"> </w:t>
      </w:r>
      <w:r w:rsidRPr="0049720F">
        <w:rPr>
          <w:rFonts w:ascii="Georgia" w:hAnsi="Georgia" w:cs="Arial"/>
        </w:rPr>
        <w:t xml:space="preserve">puede concluirse que «no se cumplen los elementos determinantes del </w:t>
      </w:r>
      <w:r w:rsidRPr="0049720F">
        <w:rPr>
          <w:rFonts w:ascii="Georgia" w:hAnsi="Georgia" w:cs="Arial"/>
        </w:rPr>
        <w:lastRenderedPageBreak/>
        <w:t xml:space="preserve">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9720F">
        <w:rPr>
          <w:rFonts w:ascii="Georgia" w:hAnsi="Georgia" w:cs="Arial"/>
          <w:lang w:val="es-ES_tradnl"/>
        </w:rPr>
        <w:t xml:space="preserve">2006-00227-01; criterio reiterado en </w:t>
      </w:r>
      <w:r w:rsidRPr="0049720F">
        <w:rPr>
          <w:rFonts w:ascii="Georgia" w:hAnsi="Georgia" w:cs="Arial"/>
          <w:iCs/>
          <w:lang w:val="es-CO"/>
        </w:rPr>
        <w:t>STC7077-2014 y STC16698-2015</w:t>
      </w:r>
      <w:r w:rsidRPr="0049720F">
        <w:rPr>
          <w:rFonts w:ascii="Georgia" w:hAnsi="Georgia" w:cs="Arial"/>
          <w:lang w:val="es-ES_tradnl"/>
        </w:rPr>
        <w:t>). (STC4676-2016, 15 abr. 2016, rad. 2016-00039-01)</w:t>
      </w:r>
      <w:r>
        <w:rPr>
          <w:rFonts w:ascii="Georgia" w:hAnsi="Georgia" w:cs="Arial"/>
          <w:lang w:val="es-ES_tradnl"/>
        </w:rPr>
        <w:t>.</w:t>
      </w:r>
    </w:p>
    <w:p w:rsidR="0079763C" w:rsidRPr="0049720F" w:rsidRDefault="0079763C" w:rsidP="0079763C">
      <w:pPr>
        <w:spacing w:line="360" w:lineRule="auto"/>
        <w:ind w:right="51"/>
        <w:jc w:val="both"/>
        <w:rPr>
          <w:rFonts w:ascii="Georgia" w:hAnsi="Georgia" w:cs="Arial"/>
          <w:sz w:val="28"/>
          <w:lang w:val="es-CO"/>
        </w:rPr>
      </w:pPr>
    </w:p>
    <w:p w:rsidR="00E06BFF" w:rsidRPr="003A6159" w:rsidRDefault="00E06BFF" w:rsidP="005A55B4">
      <w:pPr>
        <w:pStyle w:val="Prrafodelista"/>
        <w:numPr>
          <w:ilvl w:val="0"/>
          <w:numId w:val="32"/>
        </w:numPr>
        <w:spacing w:line="360" w:lineRule="auto"/>
        <w:ind w:right="51"/>
        <w:jc w:val="both"/>
        <w:rPr>
          <w:rFonts w:ascii="Georgia" w:hAnsi="Georgia"/>
          <w:lang w:val="es-ES_tradnl"/>
        </w:rPr>
      </w:pPr>
      <w:r w:rsidRPr="003A6159">
        <w:rPr>
          <w:rFonts w:ascii="Georgia" w:hAnsi="Georgia"/>
        </w:rPr>
        <w:t>EL</w:t>
      </w:r>
      <w:r w:rsidRPr="003A6159">
        <w:rPr>
          <w:rFonts w:ascii="Georgia" w:hAnsi="Georgia"/>
          <w:lang w:val="es-ES_tradnl"/>
        </w:rPr>
        <w:t xml:space="preserve"> ANÁLISIS DEL CASO EN CONCRETO</w:t>
      </w:r>
    </w:p>
    <w:p w:rsidR="00E06BFF" w:rsidRPr="003A6159" w:rsidRDefault="00E06BFF" w:rsidP="00E06BFF">
      <w:pPr>
        <w:spacing w:line="360" w:lineRule="auto"/>
        <w:ind w:right="51"/>
        <w:jc w:val="both"/>
        <w:rPr>
          <w:rFonts w:ascii="Georgia" w:hAnsi="Georgia"/>
          <w:sz w:val="20"/>
          <w:lang w:val="es-ES_tradnl"/>
        </w:rPr>
      </w:pPr>
    </w:p>
    <w:p w:rsidR="00227D0F" w:rsidRDefault="004C41B4" w:rsidP="004C41B4">
      <w:pPr>
        <w:spacing w:line="360" w:lineRule="auto"/>
        <w:ind w:right="51"/>
        <w:jc w:val="both"/>
        <w:rPr>
          <w:rFonts w:ascii="Georgia" w:hAnsi="Georgia"/>
          <w:szCs w:val="22"/>
          <w:lang w:val="es-ES_tradnl"/>
        </w:rPr>
      </w:pPr>
      <w:r w:rsidRPr="003A6159">
        <w:rPr>
          <w:rFonts w:ascii="Georgia" w:hAnsi="Georgia"/>
          <w:szCs w:val="22"/>
          <w:lang w:val="es-ES_tradnl"/>
        </w:rPr>
        <w:t xml:space="preserve">Cuestiona </w:t>
      </w:r>
      <w:r w:rsidR="001C403C" w:rsidRPr="003A6159">
        <w:rPr>
          <w:rFonts w:ascii="Georgia" w:hAnsi="Georgia"/>
          <w:szCs w:val="22"/>
          <w:lang w:val="es-ES_tradnl"/>
        </w:rPr>
        <w:t xml:space="preserve">el actor </w:t>
      </w:r>
      <w:r w:rsidR="00547A17">
        <w:rPr>
          <w:rFonts w:ascii="Georgia" w:hAnsi="Georgia"/>
          <w:szCs w:val="22"/>
          <w:lang w:val="es-ES_tradnl"/>
        </w:rPr>
        <w:t xml:space="preserve">el acto administrativo que confirmó la calificación obtenida en el proceso de evaluación de carácter </w:t>
      </w:r>
      <w:r w:rsidR="006B527A">
        <w:rPr>
          <w:rFonts w:ascii="Georgia" w:hAnsi="Georgia"/>
          <w:szCs w:val="22"/>
          <w:lang w:val="es-ES_tradnl"/>
        </w:rPr>
        <w:t>diagnó</w:t>
      </w:r>
      <w:r w:rsidR="00547A17">
        <w:rPr>
          <w:rFonts w:ascii="Georgia" w:hAnsi="Georgia"/>
          <w:szCs w:val="22"/>
          <w:lang w:val="es-ES_tradnl"/>
        </w:rPr>
        <w:t>stico formativo</w:t>
      </w:r>
      <w:r w:rsidR="00227D0F">
        <w:rPr>
          <w:rFonts w:ascii="Georgia" w:hAnsi="Georgia"/>
          <w:szCs w:val="22"/>
          <w:lang w:val="es-ES_tradnl"/>
        </w:rPr>
        <w:t xml:space="preserve">, </w:t>
      </w:r>
      <w:r w:rsidR="00481EE9" w:rsidRPr="003A6159">
        <w:rPr>
          <w:rFonts w:ascii="Georgia" w:hAnsi="Georgia"/>
          <w:szCs w:val="22"/>
          <w:lang w:val="es-ES_tradnl"/>
        </w:rPr>
        <w:t xml:space="preserve">pues considera que </w:t>
      </w:r>
      <w:r w:rsidR="00547A17">
        <w:rPr>
          <w:rFonts w:ascii="Georgia" w:hAnsi="Georgia"/>
          <w:szCs w:val="22"/>
          <w:lang w:val="es-ES_tradnl"/>
        </w:rPr>
        <w:t>no se valoraron de forma objetiva todos los instrumentos aportados;</w:t>
      </w:r>
      <w:r w:rsidR="00DC72ED">
        <w:rPr>
          <w:rFonts w:ascii="Georgia" w:hAnsi="Georgia"/>
          <w:szCs w:val="22"/>
          <w:lang w:val="es-ES_tradnl"/>
        </w:rPr>
        <w:t xml:space="preserve"> además,</w:t>
      </w:r>
      <w:r w:rsidR="00547A17">
        <w:rPr>
          <w:rFonts w:ascii="Georgia" w:hAnsi="Georgia"/>
          <w:szCs w:val="22"/>
          <w:lang w:val="es-ES_tradnl"/>
        </w:rPr>
        <w:t xml:space="preserve"> se debió excluir la encuesta, tal como se dispuso con los profesores que se encontraban en paro, porque se hizo durante una semana que no había jornada estudiantil</w:t>
      </w:r>
      <w:r w:rsidR="00227D0F">
        <w:rPr>
          <w:rFonts w:ascii="Georgia" w:hAnsi="Georgia"/>
          <w:szCs w:val="22"/>
          <w:lang w:val="es-ES_tradnl"/>
        </w:rPr>
        <w:t>.</w:t>
      </w:r>
    </w:p>
    <w:p w:rsidR="00227D0F" w:rsidRPr="001D1780" w:rsidRDefault="00227D0F" w:rsidP="004C41B4">
      <w:pPr>
        <w:spacing w:line="360" w:lineRule="auto"/>
        <w:ind w:right="51"/>
        <w:jc w:val="both"/>
        <w:rPr>
          <w:rFonts w:ascii="Georgia" w:hAnsi="Georgia"/>
          <w:sz w:val="20"/>
          <w:szCs w:val="22"/>
          <w:lang w:val="es-ES_tradnl"/>
        </w:rPr>
      </w:pPr>
    </w:p>
    <w:p w:rsidR="00DA23F2" w:rsidRDefault="00DA23F2" w:rsidP="00DA23F2">
      <w:pPr>
        <w:spacing w:line="360" w:lineRule="auto"/>
        <w:ind w:right="51"/>
        <w:jc w:val="both"/>
        <w:rPr>
          <w:rFonts w:ascii="Georgia" w:hAnsi="Georgia"/>
        </w:rPr>
      </w:pPr>
      <w:r w:rsidRPr="003A6159">
        <w:rPr>
          <w:rFonts w:ascii="Georgia" w:hAnsi="Georgia"/>
          <w:szCs w:val="22"/>
          <w:lang w:val="es-ES_tradnl"/>
        </w:rPr>
        <w:t xml:space="preserve">Para </w:t>
      </w:r>
      <w:r>
        <w:rPr>
          <w:rFonts w:ascii="Georgia" w:hAnsi="Georgia"/>
          <w:szCs w:val="22"/>
          <w:lang w:val="es-ES_tradnl"/>
        </w:rPr>
        <w:t xml:space="preserve">esta </w:t>
      </w:r>
      <w:r w:rsidRPr="003A6159">
        <w:rPr>
          <w:rFonts w:ascii="Georgia" w:hAnsi="Georgia"/>
          <w:szCs w:val="22"/>
          <w:lang w:val="es-ES_tradnl"/>
        </w:rPr>
        <w:t xml:space="preserve">Sala </w:t>
      </w:r>
      <w:r>
        <w:rPr>
          <w:rFonts w:ascii="Georgia" w:hAnsi="Georgia"/>
          <w:szCs w:val="22"/>
          <w:lang w:val="es-ES_tradnl"/>
        </w:rPr>
        <w:t xml:space="preserve">los argumentos de la impugnación son infundados, y por lo tanto, deberá confirmarse la decisión de primera instancia, toda vez que se avino a los postulados jurisprudenciales previamente referenciados; en efecto, el </w:t>
      </w:r>
      <w:r>
        <w:rPr>
          <w:rFonts w:ascii="Georgia" w:hAnsi="Georgia"/>
        </w:rPr>
        <w:t>accionante cuenta con mecanismos judiciales diferentes a esta acción para la defensa de sus derechos, en consideración a que el acto administrativo de carácter particular reprochado, es susceptible de control judicial ante la jurisdicción administrativa.</w:t>
      </w:r>
    </w:p>
    <w:p w:rsidR="00DB0EC3" w:rsidRPr="006B085D" w:rsidRDefault="00DB0EC3" w:rsidP="007E56EF">
      <w:pPr>
        <w:spacing w:line="360" w:lineRule="auto"/>
        <w:ind w:right="51"/>
        <w:jc w:val="both"/>
        <w:rPr>
          <w:rFonts w:ascii="Georgia" w:hAnsi="Georgia"/>
          <w:sz w:val="20"/>
        </w:rPr>
      </w:pPr>
    </w:p>
    <w:p w:rsidR="00DB0EC3" w:rsidRDefault="007E56EF" w:rsidP="00DB0EC3">
      <w:pPr>
        <w:spacing w:line="360" w:lineRule="auto"/>
        <w:ind w:right="51"/>
        <w:jc w:val="both"/>
        <w:rPr>
          <w:rFonts w:ascii="Georgia" w:hAnsi="Georgia"/>
          <w:lang w:val="es-ES_tradnl"/>
        </w:rPr>
      </w:pPr>
      <w:r w:rsidRPr="003A6159">
        <w:rPr>
          <w:rFonts w:ascii="Georgia" w:hAnsi="Georgia" w:cs="Arial"/>
          <w:bCs/>
          <w:color w:val="000000"/>
          <w:lang w:val="es-CO"/>
        </w:rPr>
        <w:t>Nuestro sistema jurídico</w:t>
      </w:r>
      <w:r w:rsidRPr="003A6159">
        <w:rPr>
          <w:rFonts w:ascii="Georgia" w:hAnsi="Georgia"/>
          <w:szCs w:val="22"/>
          <w:lang w:val="es-ES_tradnl"/>
        </w:rPr>
        <w:t xml:space="preserve">, tiene </w:t>
      </w:r>
      <w:r w:rsidRPr="003A6159">
        <w:rPr>
          <w:rFonts w:ascii="Georgia" w:hAnsi="Georgia" w:cs="Arial"/>
          <w:bCs/>
          <w:color w:val="000000"/>
          <w:lang w:val="es-CO"/>
        </w:rPr>
        <w:t xml:space="preserve">previstos </w:t>
      </w:r>
      <w:r w:rsidR="004C41B4" w:rsidRPr="003A6159">
        <w:rPr>
          <w:rFonts w:ascii="Georgia" w:hAnsi="Georgia" w:cs="Arial"/>
          <w:color w:val="000000"/>
          <w:lang w:val="es-CO"/>
        </w:rPr>
        <w:t>los medios de control de nulidad y restablecimiento del derecho y de simple nulidad (</w:t>
      </w:r>
      <w:r w:rsidR="00DA23F2">
        <w:rPr>
          <w:rFonts w:ascii="Georgia" w:hAnsi="Georgia" w:cs="Arial"/>
          <w:color w:val="000000"/>
          <w:lang w:val="es-CO"/>
        </w:rPr>
        <w:t xml:space="preserve">Artículos </w:t>
      </w:r>
      <w:r w:rsidR="004C41B4" w:rsidRPr="003A6159">
        <w:rPr>
          <w:rFonts w:ascii="Georgia" w:hAnsi="Georgia" w:cs="Arial"/>
        </w:rPr>
        <w:t>137 y 138</w:t>
      </w:r>
      <w:r w:rsidR="008029DB" w:rsidRPr="003A6159">
        <w:rPr>
          <w:rFonts w:ascii="Georgia" w:hAnsi="Georgia" w:cs="Arial"/>
        </w:rPr>
        <w:t>-2</w:t>
      </w:r>
      <w:r w:rsidR="004C41B4" w:rsidRPr="003A6159">
        <w:rPr>
          <w:rFonts w:ascii="Georgia" w:hAnsi="Georgia" w:cs="Arial"/>
        </w:rPr>
        <w:t xml:space="preserve"> del CPACA) </w:t>
      </w:r>
      <w:r w:rsidR="00327E05" w:rsidRPr="003A6159">
        <w:rPr>
          <w:rFonts w:ascii="Georgia" w:hAnsi="Georgia" w:cs="Arial"/>
          <w:color w:val="000000"/>
          <w:lang w:val="es-CO"/>
        </w:rPr>
        <w:t xml:space="preserve">a través de </w:t>
      </w:r>
      <w:r w:rsidR="004C41B4" w:rsidRPr="003A6159">
        <w:rPr>
          <w:rFonts w:ascii="Georgia" w:hAnsi="Georgia" w:cs="Arial"/>
          <w:color w:val="000000"/>
          <w:lang w:val="es-CO"/>
        </w:rPr>
        <w:t xml:space="preserve">los cuales </w:t>
      </w:r>
      <w:r w:rsidR="00DB0EC3">
        <w:rPr>
          <w:rFonts w:ascii="Georgia" w:hAnsi="Georgia" w:cs="Arial"/>
          <w:color w:val="000000"/>
          <w:lang w:val="es-CO"/>
        </w:rPr>
        <w:t xml:space="preserve">se </w:t>
      </w:r>
      <w:r w:rsidR="004C41B4" w:rsidRPr="003A6159">
        <w:rPr>
          <w:rFonts w:ascii="Georgia" w:hAnsi="Georgia" w:cs="Arial"/>
          <w:color w:val="000000"/>
          <w:lang w:val="es-CO"/>
        </w:rPr>
        <w:t xml:space="preserve">puede demandar </w:t>
      </w:r>
      <w:r w:rsidR="00E55A5E" w:rsidRPr="003A6159">
        <w:rPr>
          <w:rFonts w:ascii="Georgia" w:hAnsi="Georgia" w:cs="Arial"/>
          <w:color w:val="000000"/>
          <w:lang w:val="es-CO"/>
        </w:rPr>
        <w:t xml:space="preserve">y </w:t>
      </w:r>
      <w:r w:rsidR="004C41B4" w:rsidRPr="003A6159">
        <w:rPr>
          <w:rFonts w:ascii="Georgia" w:hAnsi="Georgia" w:cs="Arial"/>
          <w:color w:val="000000"/>
          <w:lang w:val="es-CO"/>
        </w:rPr>
        <w:t>solicitar</w:t>
      </w:r>
      <w:r w:rsidR="007D2C3D">
        <w:rPr>
          <w:rFonts w:ascii="Georgia" w:hAnsi="Georgia" w:cs="Arial"/>
          <w:color w:val="000000"/>
          <w:lang w:val="es-CO"/>
        </w:rPr>
        <w:t>, entre otras,</w:t>
      </w:r>
      <w:r w:rsidR="004C41B4" w:rsidRPr="003A6159">
        <w:rPr>
          <w:rFonts w:ascii="Georgia" w:hAnsi="Georgia" w:cs="Arial"/>
          <w:color w:val="000000"/>
          <w:lang w:val="es-CO"/>
        </w:rPr>
        <w:t xml:space="preserve"> la medida cautelar de suspensión provisional</w:t>
      </w:r>
      <w:r w:rsidR="00471116">
        <w:rPr>
          <w:rFonts w:ascii="Georgia" w:hAnsi="Georgia" w:cs="Arial"/>
          <w:color w:val="000000"/>
          <w:lang w:val="es-CO"/>
        </w:rPr>
        <w:t xml:space="preserve"> de los efectos del actor administrativo</w:t>
      </w:r>
      <w:r w:rsidR="004C41B4" w:rsidRPr="003A6159">
        <w:rPr>
          <w:rFonts w:ascii="Georgia" w:hAnsi="Georgia" w:cs="Arial"/>
          <w:color w:val="000000"/>
          <w:lang w:val="es-CO"/>
        </w:rPr>
        <w:t xml:space="preserve"> (Artículo 230</w:t>
      </w:r>
      <w:r w:rsidR="00471116">
        <w:rPr>
          <w:rFonts w:ascii="Georgia" w:hAnsi="Georgia" w:cs="Arial"/>
          <w:color w:val="000000"/>
          <w:lang w:val="es-CO"/>
        </w:rPr>
        <w:t>-3º</w:t>
      </w:r>
      <w:r w:rsidR="004C41B4" w:rsidRPr="003A6159">
        <w:rPr>
          <w:rFonts w:ascii="Georgia" w:hAnsi="Georgia" w:cs="Arial"/>
          <w:color w:val="000000"/>
          <w:lang w:val="es-CO"/>
        </w:rPr>
        <w:t>, CPACA)</w:t>
      </w:r>
      <w:r w:rsidR="00471116">
        <w:rPr>
          <w:rFonts w:ascii="Georgia" w:hAnsi="Georgia" w:cs="Arial"/>
          <w:color w:val="000000"/>
          <w:lang w:val="es-CO"/>
        </w:rPr>
        <w:t xml:space="preserve">, </w:t>
      </w:r>
      <w:r w:rsidR="007D2C3D">
        <w:rPr>
          <w:rFonts w:ascii="Georgia" w:hAnsi="Georgia" w:cs="Arial"/>
          <w:color w:val="000000"/>
          <w:lang w:val="es-CO"/>
        </w:rPr>
        <w:t xml:space="preserve">que no requiere de </w:t>
      </w:r>
      <w:r w:rsidR="00471116">
        <w:rPr>
          <w:rFonts w:ascii="Georgia" w:hAnsi="Georgia" w:cs="Arial"/>
          <w:color w:val="000000"/>
          <w:lang w:val="es-CO"/>
        </w:rPr>
        <w:t>caución (Artículo 232, inciso 3º, CPACA)</w:t>
      </w:r>
      <w:r w:rsidR="007D2C3D">
        <w:rPr>
          <w:rFonts w:ascii="Georgia" w:hAnsi="Georgia" w:cs="Arial"/>
          <w:color w:val="000000"/>
          <w:lang w:val="es-CO"/>
        </w:rPr>
        <w:t xml:space="preserve"> y </w:t>
      </w:r>
      <w:r w:rsidR="00DE6BF8">
        <w:rPr>
          <w:rFonts w:ascii="Georgia" w:hAnsi="Georgia" w:cs="Arial"/>
          <w:color w:val="000000"/>
          <w:lang w:val="es-CO"/>
        </w:rPr>
        <w:t xml:space="preserve">que </w:t>
      </w:r>
      <w:r w:rsidR="00DE6BF8">
        <w:rPr>
          <w:rFonts w:ascii="Georgia" w:hAnsi="Georgia"/>
        </w:rPr>
        <w:t>de ser decretada</w:t>
      </w:r>
      <w:r w:rsidR="007D2C3D">
        <w:rPr>
          <w:rFonts w:ascii="Georgia" w:hAnsi="Georgia"/>
        </w:rPr>
        <w:t>,</w:t>
      </w:r>
      <w:r w:rsidR="00DE6BF8">
        <w:rPr>
          <w:rFonts w:ascii="Georgia" w:hAnsi="Georgia"/>
        </w:rPr>
        <w:t xml:space="preserve"> </w:t>
      </w:r>
      <w:r w:rsidR="00DE6BF8">
        <w:rPr>
          <w:rFonts w:ascii="Georgia" w:hAnsi="Georgia" w:cs="Arial"/>
          <w:color w:val="000000"/>
          <w:lang w:val="es-CO"/>
        </w:rPr>
        <w:t>perduraría hasta el día en que se imparta la decisión definitiva por el juez ordinario</w:t>
      </w:r>
      <w:r w:rsidR="007D2C3D">
        <w:rPr>
          <w:rFonts w:ascii="Georgia" w:hAnsi="Georgia" w:cs="Arial"/>
          <w:color w:val="000000"/>
          <w:lang w:val="es-CO"/>
        </w:rPr>
        <w:t xml:space="preserve">, </w:t>
      </w:r>
      <w:r w:rsidR="00471116">
        <w:rPr>
          <w:rFonts w:ascii="Georgia" w:hAnsi="Georgia" w:cs="Arial"/>
          <w:color w:val="000000"/>
          <w:lang w:val="es-CO"/>
        </w:rPr>
        <w:t>lo que plano descarta la posible configuración de un agravio irreversible al acci0nante</w:t>
      </w:r>
      <w:r w:rsidR="004C41B4" w:rsidRPr="003A6159">
        <w:rPr>
          <w:rFonts w:ascii="Georgia" w:hAnsi="Georgia"/>
          <w:lang w:val="es-ES_tradnl"/>
        </w:rPr>
        <w:t>.</w:t>
      </w:r>
      <w:r w:rsidR="00DB0EC3">
        <w:rPr>
          <w:rFonts w:ascii="Georgia" w:hAnsi="Georgia"/>
          <w:lang w:val="es-ES_tradnl"/>
        </w:rPr>
        <w:t xml:space="preserve"> </w:t>
      </w:r>
    </w:p>
    <w:p w:rsidR="00DB0EC3" w:rsidRPr="006B085D" w:rsidRDefault="00DB0EC3" w:rsidP="00DB0EC3">
      <w:pPr>
        <w:spacing w:line="360" w:lineRule="auto"/>
        <w:ind w:right="51"/>
        <w:jc w:val="both"/>
        <w:rPr>
          <w:rFonts w:ascii="Georgia" w:hAnsi="Georgia"/>
          <w:sz w:val="20"/>
          <w:lang w:val="es-ES_tradnl"/>
        </w:rPr>
      </w:pPr>
    </w:p>
    <w:p w:rsidR="00DC72ED" w:rsidRDefault="00471116" w:rsidP="00DC72ED">
      <w:pPr>
        <w:spacing w:line="360" w:lineRule="auto"/>
        <w:ind w:right="51"/>
        <w:jc w:val="both"/>
        <w:rPr>
          <w:rFonts w:ascii="Georgia" w:hAnsi="Georgia"/>
        </w:rPr>
      </w:pPr>
      <w:r>
        <w:rPr>
          <w:rFonts w:ascii="Georgia" w:hAnsi="Georgia"/>
          <w:lang w:val="es-ES_tradnl"/>
        </w:rPr>
        <w:t xml:space="preserve">Recuérdese que los </w:t>
      </w:r>
      <w:r w:rsidR="00DB0EC3">
        <w:rPr>
          <w:rFonts w:ascii="Georgia" w:hAnsi="Georgia" w:cs="Arial"/>
        </w:rPr>
        <w:t xml:space="preserve">actos administrativos </w:t>
      </w:r>
      <w:r>
        <w:rPr>
          <w:rFonts w:ascii="Georgia" w:hAnsi="Georgia" w:cs="Arial"/>
        </w:rPr>
        <w:t xml:space="preserve">están </w:t>
      </w:r>
      <w:r w:rsidR="00DB0EC3">
        <w:rPr>
          <w:rFonts w:ascii="Georgia" w:hAnsi="Georgia" w:cs="Arial"/>
        </w:rPr>
        <w:t>amparados por la presunción de legalidad, de tal suerte, que el examen del juez constitucional es excepcional</w:t>
      </w:r>
      <w:r>
        <w:rPr>
          <w:rFonts w:ascii="Georgia" w:hAnsi="Georgia" w:cs="Arial"/>
        </w:rPr>
        <w:t xml:space="preserve"> y</w:t>
      </w:r>
      <w:r w:rsidR="00DB0EC3">
        <w:rPr>
          <w:rFonts w:ascii="Georgia" w:hAnsi="Georgia" w:cs="Arial"/>
        </w:rPr>
        <w:t xml:space="preserve"> solo procede, cuando se demuestre un perjuicio irremediable</w:t>
      </w:r>
      <w:r w:rsidR="00C86DE2" w:rsidRPr="0049720F">
        <w:rPr>
          <w:rStyle w:val="Refdenotaalpie"/>
          <w:rFonts w:ascii="Georgia" w:hAnsi="Georgia"/>
        </w:rPr>
        <w:footnoteReference w:id="20"/>
      </w:r>
      <w:r w:rsidR="004C41B4" w:rsidRPr="003A6159">
        <w:rPr>
          <w:rFonts w:ascii="Georgia" w:hAnsi="Georgia"/>
        </w:rPr>
        <w:t xml:space="preserve">, que aquí </w:t>
      </w:r>
      <w:r w:rsidR="00DA23F2">
        <w:rPr>
          <w:rFonts w:ascii="Georgia" w:hAnsi="Georgia"/>
        </w:rPr>
        <w:t>no se probó</w:t>
      </w:r>
      <w:r>
        <w:rPr>
          <w:rFonts w:ascii="Georgia" w:hAnsi="Georgia"/>
        </w:rPr>
        <w:t xml:space="preserve">. </w:t>
      </w:r>
    </w:p>
    <w:p w:rsidR="00DC72ED" w:rsidRPr="006B085D" w:rsidRDefault="00DC72ED" w:rsidP="00DC72ED">
      <w:pPr>
        <w:spacing w:line="360" w:lineRule="auto"/>
        <w:ind w:right="51"/>
        <w:jc w:val="both"/>
        <w:rPr>
          <w:rFonts w:ascii="Georgia" w:hAnsi="Georgia"/>
          <w:sz w:val="20"/>
        </w:rPr>
      </w:pPr>
    </w:p>
    <w:p w:rsidR="007D2C3D" w:rsidRDefault="00DA23F2" w:rsidP="00DC72ED">
      <w:pPr>
        <w:spacing w:line="360" w:lineRule="auto"/>
        <w:ind w:right="51"/>
        <w:jc w:val="both"/>
        <w:rPr>
          <w:rFonts w:ascii="Georgia" w:hAnsi="Georgia"/>
        </w:rPr>
      </w:pPr>
      <w:r>
        <w:rPr>
          <w:rFonts w:ascii="Georgia" w:hAnsi="Georgia"/>
        </w:rPr>
        <w:t>Para esta Magistratura la imposibilidad de acceder a un aumento salarial</w:t>
      </w:r>
      <w:r w:rsidR="00DC72ED">
        <w:rPr>
          <w:rFonts w:ascii="Georgia" w:hAnsi="Georgia"/>
        </w:rPr>
        <w:t>,</w:t>
      </w:r>
      <w:r>
        <w:rPr>
          <w:rFonts w:ascii="Georgia" w:hAnsi="Georgia"/>
        </w:rPr>
        <w:t xml:space="preserve"> con ocasión de la decisión rebatida</w:t>
      </w:r>
      <w:r w:rsidR="00DC72ED">
        <w:rPr>
          <w:rFonts w:ascii="Georgia" w:hAnsi="Georgia"/>
        </w:rPr>
        <w:t>,</w:t>
      </w:r>
      <w:r>
        <w:rPr>
          <w:rFonts w:ascii="Georgia" w:hAnsi="Georgia"/>
        </w:rPr>
        <w:t xml:space="preserve"> </w:t>
      </w:r>
      <w:r w:rsidR="00DC72ED">
        <w:rPr>
          <w:rFonts w:ascii="Georgia" w:hAnsi="Georgia"/>
        </w:rPr>
        <w:t xml:space="preserve">por sí misma, </w:t>
      </w:r>
      <w:r>
        <w:rPr>
          <w:rFonts w:ascii="Georgia" w:hAnsi="Georgia"/>
        </w:rPr>
        <w:t xml:space="preserve">es insuficiente para advertir la urgencia </w:t>
      </w:r>
      <w:r w:rsidR="00EE1564">
        <w:rPr>
          <w:rFonts w:ascii="Georgia" w:hAnsi="Georgia"/>
        </w:rPr>
        <w:t xml:space="preserve">e </w:t>
      </w:r>
      <w:proofErr w:type="spellStart"/>
      <w:r>
        <w:rPr>
          <w:rFonts w:ascii="Georgia" w:hAnsi="Georgia"/>
        </w:rPr>
        <w:t>impostergabilidad</w:t>
      </w:r>
      <w:proofErr w:type="spellEnd"/>
      <w:r>
        <w:rPr>
          <w:rFonts w:ascii="Georgia" w:hAnsi="Georgia"/>
        </w:rPr>
        <w:t xml:space="preserve"> del amparo constitucional</w:t>
      </w:r>
      <w:r w:rsidR="00DC72ED">
        <w:rPr>
          <w:rFonts w:ascii="Georgia" w:hAnsi="Georgia"/>
        </w:rPr>
        <w:t>;</w:t>
      </w:r>
      <w:r w:rsidR="006B085D">
        <w:rPr>
          <w:rFonts w:ascii="Georgia" w:hAnsi="Georgia"/>
        </w:rPr>
        <w:t xml:space="preserve"> en manera alguna se alegó y probó la afectación al mínimo vital; </w:t>
      </w:r>
      <w:r w:rsidR="00DC72ED">
        <w:rPr>
          <w:rFonts w:ascii="Georgia" w:hAnsi="Georgia"/>
        </w:rPr>
        <w:t xml:space="preserve">el actor </w:t>
      </w:r>
      <w:r w:rsidR="00EE1564">
        <w:rPr>
          <w:rFonts w:ascii="Georgia" w:hAnsi="Georgia"/>
        </w:rPr>
        <w:t xml:space="preserve">no </w:t>
      </w:r>
      <w:r w:rsidR="00DC72ED">
        <w:rPr>
          <w:rFonts w:ascii="Georgia" w:hAnsi="Georgia"/>
        </w:rPr>
        <w:t xml:space="preserve">es </w:t>
      </w:r>
      <w:r w:rsidR="00EE1564">
        <w:rPr>
          <w:rFonts w:ascii="Georgia" w:hAnsi="Georgia"/>
        </w:rPr>
        <w:t xml:space="preserve">una persona de especial protección </w:t>
      </w:r>
      <w:r w:rsidR="00EE1564">
        <w:rPr>
          <w:rFonts w:ascii="Georgia" w:hAnsi="Georgia"/>
        </w:rPr>
        <w:lastRenderedPageBreak/>
        <w:t>constitucional ni se encuentra en estado de debilidad manifiesta; por manera que el amparo también es improcedente como mecanismo transitorio</w:t>
      </w:r>
      <w:r w:rsidR="00DC72ED">
        <w:rPr>
          <w:rFonts w:ascii="Georgia" w:hAnsi="Georgia"/>
        </w:rPr>
        <w:t>;</w:t>
      </w:r>
      <w:r w:rsidR="00EE1564">
        <w:rPr>
          <w:rFonts w:ascii="Georgia" w:hAnsi="Georgia"/>
        </w:rPr>
        <w:t xml:space="preserve"> puede </w:t>
      </w:r>
      <w:r w:rsidR="007D2C3D">
        <w:rPr>
          <w:rFonts w:ascii="Georgia" w:hAnsi="Georgia"/>
        </w:rPr>
        <w:t xml:space="preserve">ejercitar </w:t>
      </w:r>
      <w:r w:rsidR="00CE7A2C">
        <w:rPr>
          <w:rFonts w:ascii="Georgia" w:hAnsi="Georgia"/>
        </w:rPr>
        <w:t xml:space="preserve">los </w:t>
      </w:r>
      <w:r w:rsidR="007D2C3D">
        <w:rPr>
          <w:rFonts w:ascii="Georgia" w:hAnsi="Georgia"/>
        </w:rPr>
        <w:t xml:space="preserve">mentados </w:t>
      </w:r>
      <w:r w:rsidR="00CE7A2C">
        <w:rPr>
          <w:rFonts w:ascii="Georgia" w:hAnsi="Georgia"/>
        </w:rPr>
        <w:t xml:space="preserve">medios de control </w:t>
      </w:r>
      <w:r w:rsidR="004C41B4" w:rsidRPr="003A6159">
        <w:rPr>
          <w:rFonts w:ascii="Georgia" w:hAnsi="Georgia"/>
        </w:rPr>
        <w:t>administrativo</w:t>
      </w:r>
      <w:r w:rsidR="00515154">
        <w:rPr>
          <w:rFonts w:ascii="Georgia" w:hAnsi="Georgia"/>
        </w:rPr>
        <w:t>,</w:t>
      </w:r>
      <w:r w:rsidR="007D2C3D">
        <w:rPr>
          <w:rFonts w:ascii="Georgia" w:hAnsi="Georgia"/>
        </w:rPr>
        <w:t xml:space="preserve"> </w:t>
      </w:r>
      <w:r w:rsidR="00DE6BF8">
        <w:rPr>
          <w:rFonts w:ascii="Georgia" w:hAnsi="Georgia"/>
        </w:rPr>
        <w:t xml:space="preserve">idóneos y eficaces </w:t>
      </w:r>
      <w:r w:rsidR="004C41B4" w:rsidRPr="003A6159">
        <w:rPr>
          <w:rFonts w:ascii="Georgia" w:hAnsi="Georgia"/>
        </w:rPr>
        <w:t>para resolver la cuestión litigiosa.</w:t>
      </w:r>
    </w:p>
    <w:p w:rsidR="00BE531E" w:rsidRPr="001D1780" w:rsidRDefault="00BE531E" w:rsidP="00DC72ED">
      <w:pPr>
        <w:spacing w:line="360" w:lineRule="auto"/>
        <w:ind w:right="51"/>
        <w:jc w:val="both"/>
        <w:rPr>
          <w:rFonts w:ascii="Georgia" w:hAnsi="Georgia"/>
          <w:sz w:val="20"/>
        </w:rPr>
      </w:pPr>
    </w:p>
    <w:p w:rsidR="00BE531E" w:rsidRDefault="00BE531E" w:rsidP="00DC72ED">
      <w:pPr>
        <w:spacing w:line="360" w:lineRule="auto"/>
        <w:ind w:right="51"/>
        <w:jc w:val="both"/>
        <w:rPr>
          <w:rFonts w:ascii="Georgia" w:hAnsi="Georgia"/>
          <w:bCs/>
        </w:rPr>
      </w:pPr>
      <w:r>
        <w:rPr>
          <w:rFonts w:ascii="Georgia" w:hAnsi="Georgia"/>
        </w:rPr>
        <w:t xml:space="preserve">Por último, es inexistente la vulneración del derecho a la igualdad invocado; se carece de prueba que acredite </w:t>
      </w:r>
      <w:r w:rsidRPr="00BE531E">
        <w:rPr>
          <w:rFonts w:ascii="Georgia" w:hAnsi="Georgia"/>
          <w:bCs/>
        </w:rPr>
        <w:t xml:space="preserve">que la parte accionada </w:t>
      </w:r>
      <w:r>
        <w:rPr>
          <w:rFonts w:ascii="Georgia" w:hAnsi="Georgia"/>
          <w:bCs/>
        </w:rPr>
        <w:t>dio un trato diferente a personas que se encontraban en la misma situación del actor</w:t>
      </w:r>
      <w:r w:rsidR="00706BDC">
        <w:rPr>
          <w:rFonts w:ascii="Georgia" w:hAnsi="Georgia"/>
          <w:bCs/>
        </w:rPr>
        <w:t>;</w:t>
      </w:r>
      <w:r w:rsidR="00DF7EF1">
        <w:rPr>
          <w:rFonts w:ascii="Georgia" w:hAnsi="Georgia"/>
          <w:bCs/>
        </w:rPr>
        <w:t xml:space="preserve"> y</w:t>
      </w:r>
      <w:r w:rsidR="00706BDC">
        <w:rPr>
          <w:rFonts w:ascii="Georgia" w:hAnsi="Georgia"/>
          <w:bCs/>
        </w:rPr>
        <w:t>,</w:t>
      </w:r>
      <w:r>
        <w:rPr>
          <w:rFonts w:ascii="Georgia" w:hAnsi="Georgia"/>
          <w:bCs/>
        </w:rPr>
        <w:t xml:space="preserve"> </w:t>
      </w:r>
      <w:r w:rsidR="006B527A">
        <w:rPr>
          <w:rFonts w:ascii="Georgia" w:hAnsi="Georgia"/>
          <w:bCs/>
        </w:rPr>
        <w:t xml:space="preserve">tampoco </w:t>
      </w:r>
      <w:r w:rsidR="00DF7EF1">
        <w:rPr>
          <w:rFonts w:ascii="Georgia" w:hAnsi="Georgia"/>
          <w:bCs/>
        </w:rPr>
        <w:t xml:space="preserve">que </w:t>
      </w:r>
      <w:r>
        <w:rPr>
          <w:rFonts w:ascii="Georgia" w:hAnsi="Georgia"/>
          <w:bCs/>
        </w:rPr>
        <w:t>con base en criterios dudosos</w:t>
      </w:r>
      <w:r>
        <w:rPr>
          <w:rStyle w:val="Refdenotaalpie"/>
          <w:rFonts w:ascii="Georgia" w:hAnsi="Georgia"/>
          <w:bCs/>
        </w:rPr>
        <w:footnoteReference w:id="21"/>
      </w:r>
      <w:r w:rsidR="00DF7EF1">
        <w:rPr>
          <w:rFonts w:ascii="Georgia" w:hAnsi="Georgia"/>
          <w:bCs/>
          <w:vertAlign w:val="superscript"/>
        </w:rPr>
        <w:t>-</w:t>
      </w:r>
      <w:r w:rsidR="00DF7EF1">
        <w:rPr>
          <w:rStyle w:val="Refdenotaalpie"/>
          <w:rFonts w:ascii="Georgia" w:hAnsi="Georgia"/>
          <w:bCs/>
        </w:rPr>
        <w:footnoteReference w:id="22"/>
      </w:r>
      <w:r>
        <w:rPr>
          <w:rFonts w:ascii="Georgia" w:hAnsi="Georgia"/>
          <w:bCs/>
        </w:rPr>
        <w:t xml:space="preserve"> haya decidido excluir el requisito de la encuesta estudiantil en la evaluación de los profesores que se encontr</w:t>
      </w:r>
      <w:r w:rsidR="007F309D">
        <w:rPr>
          <w:rFonts w:ascii="Georgia" w:hAnsi="Georgia"/>
          <w:bCs/>
        </w:rPr>
        <w:t>aban en paro que, en todo caso, es una circunstancia diferente a la del interesado, quien sí continuó con sus labores docentes</w:t>
      </w:r>
      <w:r>
        <w:rPr>
          <w:rFonts w:ascii="Georgia" w:hAnsi="Georgia"/>
          <w:bCs/>
        </w:rPr>
        <w:t xml:space="preserve">. </w:t>
      </w:r>
    </w:p>
    <w:p w:rsidR="00BE531E" w:rsidRPr="001D1780" w:rsidRDefault="00BE531E" w:rsidP="00DC72ED">
      <w:pPr>
        <w:spacing w:line="360" w:lineRule="auto"/>
        <w:ind w:right="51"/>
        <w:jc w:val="both"/>
        <w:rPr>
          <w:rFonts w:ascii="Georgia" w:hAnsi="Georgia"/>
          <w:bCs/>
          <w:sz w:val="20"/>
        </w:rPr>
      </w:pPr>
    </w:p>
    <w:p w:rsidR="00E06BFF" w:rsidRDefault="00E06BFF" w:rsidP="005A55B4">
      <w:pPr>
        <w:pStyle w:val="Textoindependiente"/>
        <w:numPr>
          <w:ilvl w:val="0"/>
          <w:numId w:val="32"/>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3A6159">
        <w:rPr>
          <w:rFonts w:ascii="Georgia" w:hAnsi="Georgia" w:cs="Arial"/>
          <w:szCs w:val="24"/>
        </w:rPr>
        <w:t xml:space="preserve">LAS CONCLUSIONES </w:t>
      </w:r>
    </w:p>
    <w:p w:rsidR="00515154" w:rsidRPr="001D1780" w:rsidRDefault="00515154" w:rsidP="0051515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Georgia" w:hAnsi="Georgia" w:cs="Arial"/>
          <w:sz w:val="20"/>
          <w:szCs w:val="24"/>
        </w:rPr>
      </w:pPr>
    </w:p>
    <w:p w:rsidR="00E06BFF" w:rsidRPr="003A6159"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3A6159">
        <w:rPr>
          <w:rFonts w:ascii="Georgia" w:hAnsi="Georgia" w:cs="Arial"/>
          <w:szCs w:val="24"/>
        </w:rPr>
        <w:t>En armonía con las premisas expuestas en los acápites anteriores</w:t>
      </w:r>
      <w:r w:rsidR="00DF7EF1">
        <w:rPr>
          <w:rFonts w:ascii="Georgia" w:hAnsi="Georgia" w:cs="Arial"/>
          <w:szCs w:val="24"/>
        </w:rPr>
        <w:t>: (i)</w:t>
      </w:r>
      <w:r w:rsidRPr="003A6159">
        <w:rPr>
          <w:rFonts w:ascii="Georgia" w:hAnsi="Georgia" w:cs="Arial"/>
          <w:szCs w:val="24"/>
        </w:rPr>
        <w:t xml:space="preserve"> </w:t>
      </w:r>
      <w:r w:rsidR="00DF7EF1">
        <w:rPr>
          <w:rFonts w:ascii="Georgia" w:hAnsi="Georgia" w:cs="Arial"/>
          <w:szCs w:val="24"/>
        </w:rPr>
        <w:t>S</w:t>
      </w:r>
      <w:r w:rsidRPr="003A6159">
        <w:rPr>
          <w:rFonts w:ascii="Georgia" w:hAnsi="Georgia" w:cs="Arial"/>
          <w:szCs w:val="24"/>
        </w:rPr>
        <w:t xml:space="preserve">e </w:t>
      </w:r>
      <w:r w:rsidR="00515154">
        <w:rPr>
          <w:rFonts w:ascii="Georgia" w:hAnsi="Georgia" w:cs="Arial"/>
          <w:szCs w:val="24"/>
        </w:rPr>
        <w:t>confirmará el fallo de primera sede</w:t>
      </w:r>
      <w:r w:rsidRPr="003A6159">
        <w:rPr>
          <w:rFonts w:ascii="Georgia" w:hAnsi="Georgia" w:cs="Arial"/>
          <w:szCs w:val="24"/>
        </w:rPr>
        <w:t xml:space="preserve">, pues </w:t>
      </w:r>
      <w:r w:rsidR="00C07D7A" w:rsidRPr="003A6159">
        <w:rPr>
          <w:rFonts w:ascii="Georgia" w:hAnsi="Georgia" w:cs="Arial"/>
          <w:szCs w:val="24"/>
        </w:rPr>
        <w:t xml:space="preserve">el actor </w:t>
      </w:r>
      <w:r w:rsidRPr="003A6159">
        <w:rPr>
          <w:rFonts w:ascii="Georgia" w:hAnsi="Georgia" w:cs="Arial"/>
          <w:szCs w:val="24"/>
        </w:rPr>
        <w:t xml:space="preserve">cuenta </w:t>
      </w:r>
      <w:r w:rsidR="00DF7EF1">
        <w:rPr>
          <w:rFonts w:ascii="Georgia" w:hAnsi="Georgia" w:cs="Arial"/>
          <w:szCs w:val="24"/>
        </w:rPr>
        <w:t xml:space="preserve">con un mecanismo </w:t>
      </w:r>
      <w:r w:rsidRPr="003A6159">
        <w:rPr>
          <w:rFonts w:ascii="Georgia" w:hAnsi="Georgia" w:cs="Arial"/>
          <w:szCs w:val="24"/>
        </w:rPr>
        <w:t xml:space="preserve">eficaz </w:t>
      </w:r>
      <w:r w:rsidR="00DF7EF1">
        <w:rPr>
          <w:rFonts w:ascii="Georgia" w:hAnsi="Georgia" w:cs="Arial"/>
          <w:szCs w:val="24"/>
        </w:rPr>
        <w:t xml:space="preserve">para salvaguardar los </w:t>
      </w:r>
      <w:r w:rsidRPr="003A6159">
        <w:rPr>
          <w:rFonts w:ascii="Georgia" w:hAnsi="Georgia" w:cs="Arial"/>
          <w:szCs w:val="24"/>
        </w:rPr>
        <w:t xml:space="preserve">derechos </w:t>
      </w:r>
      <w:r w:rsidR="0099718B" w:rsidRPr="003A6159">
        <w:rPr>
          <w:rFonts w:ascii="Georgia" w:hAnsi="Georgia" w:cs="Arial"/>
          <w:szCs w:val="24"/>
        </w:rPr>
        <w:t>alegados</w:t>
      </w:r>
      <w:r w:rsidR="008C6364" w:rsidRPr="003A6159">
        <w:rPr>
          <w:rFonts w:ascii="Georgia" w:hAnsi="Georgia" w:cs="Arial"/>
          <w:szCs w:val="24"/>
        </w:rPr>
        <w:t xml:space="preserve"> y no demostró un daño irreparable para hacer viable el amparo</w:t>
      </w:r>
      <w:r w:rsidR="00DF7EF1">
        <w:rPr>
          <w:rFonts w:ascii="Georgia" w:hAnsi="Georgia" w:cs="Arial"/>
          <w:szCs w:val="24"/>
        </w:rPr>
        <w:t>; y, (ii) Se adicionará para negar el amparo del derecho a la igualdad, por inexistencia de vulneración o amenaza</w:t>
      </w:r>
      <w:r w:rsidR="0099718B" w:rsidRPr="003A6159">
        <w:rPr>
          <w:rFonts w:ascii="Georgia" w:hAnsi="Georgia" w:cs="Arial"/>
          <w:szCs w:val="24"/>
        </w:rPr>
        <w:t>.</w:t>
      </w:r>
      <w:r w:rsidR="00706BDC">
        <w:rPr>
          <w:rFonts w:ascii="Georgia" w:hAnsi="Georgia" w:cs="Arial"/>
          <w:szCs w:val="24"/>
        </w:rPr>
        <w:t xml:space="preserve"> </w:t>
      </w:r>
    </w:p>
    <w:p w:rsidR="00635E64" w:rsidRPr="001D1780" w:rsidRDefault="00635E64"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rPr>
      </w:pPr>
    </w:p>
    <w:p w:rsidR="00154551" w:rsidRDefault="00154551" w:rsidP="00154551">
      <w:pPr>
        <w:tabs>
          <w:tab w:val="left" w:pos="-720"/>
        </w:tabs>
        <w:suppressAutoHyphens/>
        <w:spacing w:line="360" w:lineRule="auto"/>
        <w:jc w:val="both"/>
        <w:rPr>
          <w:rFonts w:ascii="Georgia" w:hAnsi="Georgia" w:cs="Arial"/>
        </w:rPr>
      </w:pPr>
      <w:r w:rsidRPr="00BB0F20">
        <w:rPr>
          <w:rFonts w:ascii="Georgia" w:hAnsi="Georgia" w:cs="Arial"/>
        </w:rPr>
        <w:t xml:space="preserve">En mérito de los razonamientos jurídicos hechos, el </w:t>
      </w:r>
      <w:r w:rsidRPr="00BB0F20">
        <w:rPr>
          <w:rFonts w:ascii="Georgia" w:hAnsi="Georgia" w:cs="Arial"/>
          <w:bCs/>
          <w:smallCaps/>
        </w:rPr>
        <w:t>Tribunal Superior del Distrito Judicial de Pereira, en Sala decisión Civil - Familia</w:t>
      </w:r>
      <w:r w:rsidRPr="00BB0F20">
        <w:rPr>
          <w:rFonts w:ascii="Georgia" w:hAnsi="Georgia" w:cs="Arial"/>
        </w:rPr>
        <w:t>, administrando Justicia, en nombre de la República y por autoridad de la Ley,</w:t>
      </w:r>
    </w:p>
    <w:p w:rsidR="001D1780" w:rsidRDefault="001D1780" w:rsidP="00515154">
      <w:pPr>
        <w:pStyle w:val="Textoindependiente"/>
        <w:spacing w:line="360" w:lineRule="auto"/>
        <w:jc w:val="center"/>
        <w:rPr>
          <w:rFonts w:ascii="Georgia" w:hAnsi="Georgia" w:cs="Arial"/>
          <w:bCs/>
          <w:smallCaps/>
          <w:sz w:val="28"/>
          <w:szCs w:val="22"/>
        </w:rPr>
      </w:pPr>
    </w:p>
    <w:p w:rsidR="00E06BFF" w:rsidRPr="003A6159" w:rsidRDefault="00515154" w:rsidP="00515154">
      <w:pPr>
        <w:pStyle w:val="Textoindependiente"/>
        <w:spacing w:line="360" w:lineRule="auto"/>
        <w:jc w:val="center"/>
        <w:rPr>
          <w:rFonts w:ascii="Georgia" w:hAnsi="Georgia" w:cs="Arial"/>
          <w:bCs/>
          <w:smallCaps/>
          <w:sz w:val="28"/>
          <w:szCs w:val="22"/>
        </w:rPr>
      </w:pPr>
      <w:r w:rsidRPr="003A6159">
        <w:rPr>
          <w:rFonts w:ascii="Georgia" w:hAnsi="Georgia" w:cs="Arial"/>
          <w:bCs/>
          <w:smallCaps/>
          <w:sz w:val="28"/>
          <w:szCs w:val="22"/>
        </w:rPr>
        <w:t xml:space="preserve"> </w:t>
      </w:r>
      <w:r w:rsidR="00E06BFF" w:rsidRPr="003A6159">
        <w:rPr>
          <w:rFonts w:ascii="Georgia" w:hAnsi="Georgia" w:cs="Arial"/>
          <w:bCs/>
          <w:smallCaps/>
          <w:sz w:val="28"/>
          <w:szCs w:val="22"/>
        </w:rPr>
        <w:t xml:space="preserve">F </w:t>
      </w:r>
      <w:r w:rsidR="00E06BFF" w:rsidRPr="003A6159">
        <w:rPr>
          <w:rFonts w:ascii="Georgia" w:hAnsi="Georgia" w:cs="Arial"/>
          <w:bCs/>
          <w:smallCaps/>
          <w:szCs w:val="22"/>
        </w:rPr>
        <w:t xml:space="preserve">A L </w:t>
      </w:r>
      <w:proofErr w:type="spellStart"/>
      <w:r w:rsidR="00E06BFF" w:rsidRPr="003A6159">
        <w:rPr>
          <w:rFonts w:ascii="Georgia" w:hAnsi="Georgia" w:cs="Arial"/>
          <w:bCs/>
          <w:smallCaps/>
          <w:szCs w:val="22"/>
        </w:rPr>
        <w:t>L</w:t>
      </w:r>
      <w:proofErr w:type="spellEnd"/>
      <w:r w:rsidR="00E06BFF" w:rsidRPr="003A6159">
        <w:rPr>
          <w:rFonts w:ascii="Georgia" w:hAnsi="Georgia" w:cs="Arial"/>
          <w:bCs/>
          <w:smallCaps/>
          <w:szCs w:val="22"/>
        </w:rPr>
        <w:t xml:space="preserve"> A</w:t>
      </w:r>
      <w:r w:rsidR="00E06BFF" w:rsidRPr="003A6159">
        <w:rPr>
          <w:rFonts w:ascii="Georgia" w:hAnsi="Georgia" w:cs="Arial"/>
          <w:bCs/>
          <w:smallCaps/>
          <w:sz w:val="28"/>
          <w:szCs w:val="22"/>
        </w:rPr>
        <w:t>,</w:t>
      </w:r>
    </w:p>
    <w:p w:rsidR="00E06BFF" w:rsidRPr="006B085D" w:rsidRDefault="00E06BFF" w:rsidP="00E06BFF">
      <w:pPr>
        <w:pStyle w:val="Textoindependiente"/>
        <w:spacing w:line="360" w:lineRule="auto"/>
        <w:jc w:val="center"/>
        <w:rPr>
          <w:rFonts w:ascii="Georgia" w:hAnsi="Georgia" w:cs="Arial"/>
          <w:bCs/>
          <w:smallCaps/>
          <w:sz w:val="16"/>
          <w:szCs w:val="24"/>
        </w:rPr>
      </w:pPr>
    </w:p>
    <w:p w:rsidR="00515154" w:rsidRDefault="00515154" w:rsidP="0031480E">
      <w:pPr>
        <w:pStyle w:val="Textoindependiente"/>
        <w:numPr>
          <w:ilvl w:val="0"/>
          <w:numId w:val="6"/>
        </w:numPr>
        <w:tabs>
          <w:tab w:val="clear" w:pos="720"/>
          <w:tab w:val="num" w:pos="360"/>
        </w:tabs>
        <w:spacing w:line="360" w:lineRule="auto"/>
        <w:textAlignment w:val="auto"/>
        <w:rPr>
          <w:rFonts w:ascii="Georgia" w:hAnsi="Georgia"/>
          <w:szCs w:val="24"/>
        </w:rPr>
      </w:pPr>
      <w:r w:rsidRPr="00515154">
        <w:rPr>
          <w:rFonts w:ascii="Georgia" w:hAnsi="Georgia"/>
          <w:szCs w:val="24"/>
        </w:rPr>
        <w:t>CONFIRMAR</w:t>
      </w:r>
      <w:r w:rsidR="00E06BFF" w:rsidRPr="00515154">
        <w:rPr>
          <w:rFonts w:ascii="Georgia" w:hAnsi="Georgia"/>
          <w:szCs w:val="24"/>
        </w:rPr>
        <w:t xml:space="preserve"> </w:t>
      </w:r>
      <w:r w:rsidRPr="00515154">
        <w:rPr>
          <w:rFonts w:ascii="Georgia" w:hAnsi="Georgia"/>
          <w:szCs w:val="24"/>
        </w:rPr>
        <w:t xml:space="preserve">la sentencia dictada el 15-03-2018 por el </w:t>
      </w:r>
      <w:r w:rsidRPr="00515154">
        <w:rPr>
          <w:rFonts w:ascii="Georgia" w:hAnsi="Georgia"/>
          <w:lang w:val="es-CO"/>
        </w:rPr>
        <w:t xml:space="preserve">Juzgado </w:t>
      </w:r>
      <w:r w:rsidR="00154551">
        <w:rPr>
          <w:rFonts w:ascii="Georgia" w:hAnsi="Georgia"/>
          <w:lang w:val="es-CO"/>
        </w:rPr>
        <w:t>Primero de Familia de Pereira</w:t>
      </w:r>
      <w:r w:rsidR="00E06BFF" w:rsidRPr="00515154">
        <w:rPr>
          <w:rFonts w:ascii="Georgia" w:hAnsi="Georgia"/>
          <w:szCs w:val="24"/>
        </w:rPr>
        <w:t>.</w:t>
      </w:r>
    </w:p>
    <w:p w:rsidR="00DF7EF1" w:rsidRDefault="00DF7EF1" w:rsidP="00DF7EF1">
      <w:pPr>
        <w:pStyle w:val="Textoindependiente"/>
        <w:tabs>
          <w:tab w:val="clear" w:pos="708"/>
        </w:tabs>
        <w:spacing w:line="360" w:lineRule="auto"/>
        <w:ind w:left="720"/>
        <w:textAlignment w:val="auto"/>
        <w:rPr>
          <w:rFonts w:ascii="Georgia" w:hAnsi="Georgia"/>
          <w:szCs w:val="24"/>
        </w:rPr>
      </w:pPr>
    </w:p>
    <w:p w:rsidR="00DF7EF1" w:rsidRDefault="00DF7EF1" w:rsidP="0031480E">
      <w:pPr>
        <w:pStyle w:val="Textoindependiente"/>
        <w:numPr>
          <w:ilvl w:val="0"/>
          <w:numId w:val="6"/>
        </w:numPr>
        <w:tabs>
          <w:tab w:val="clear" w:pos="720"/>
          <w:tab w:val="num" w:pos="360"/>
        </w:tabs>
        <w:spacing w:line="360" w:lineRule="auto"/>
        <w:textAlignment w:val="auto"/>
        <w:rPr>
          <w:rFonts w:ascii="Georgia" w:hAnsi="Georgia"/>
          <w:szCs w:val="24"/>
        </w:rPr>
      </w:pPr>
      <w:r>
        <w:rPr>
          <w:rFonts w:ascii="Georgia" w:hAnsi="Georgia"/>
          <w:szCs w:val="24"/>
        </w:rPr>
        <w:t>ADICIONAR un numeral para NEGAR la tutela respecto del derecho a la igualdad, por la ausencia de vulneración o amenaza.</w:t>
      </w:r>
    </w:p>
    <w:p w:rsidR="00DF7EF1" w:rsidRDefault="00DF7EF1" w:rsidP="00DF7EF1">
      <w:pPr>
        <w:pStyle w:val="Textoindependiente"/>
        <w:tabs>
          <w:tab w:val="clear" w:pos="708"/>
        </w:tabs>
        <w:spacing w:line="360" w:lineRule="auto"/>
        <w:ind w:left="720"/>
        <w:textAlignment w:val="auto"/>
        <w:rPr>
          <w:rFonts w:ascii="Georgia" w:hAnsi="Georgia"/>
          <w:szCs w:val="24"/>
        </w:rPr>
      </w:pPr>
    </w:p>
    <w:p w:rsidR="00515154" w:rsidRPr="00515154" w:rsidRDefault="00515154" w:rsidP="0031480E">
      <w:pPr>
        <w:pStyle w:val="Textoindependiente"/>
        <w:numPr>
          <w:ilvl w:val="0"/>
          <w:numId w:val="6"/>
        </w:numPr>
        <w:tabs>
          <w:tab w:val="clear" w:pos="720"/>
          <w:tab w:val="num" w:pos="360"/>
        </w:tabs>
        <w:spacing w:line="360" w:lineRule="auto"/>
        <w:textAlignment w:val="auto"/>
        <w:rPr>
          <w:rFonts w:ascii="Georgia" w:hAnsi="Georgia"/>
          <w:szCs w:val="24"/>
        </w:rPr>
      </w:pPr>
      <w:r w:rsidRPr="00515154">
        <w:rPr>
          <w:rFonts w:ascii="Georgia" w:hAnsi="Georgia"/>
          <w:szCs w:val="24"/>
        </w:rPr>
        <w:t>NOTIFICAR esta decisión a todas las partes, por el medio más expedito y eficaz.</w:t>
      </w:r>
    </w:p>
    <w:p w:rsidR="00515154" w:rsidRDefault="00515154" w:rsidP="00515154">
      <w:pPr>
        <w:pStyle w:val="Textoindependiente"/>
        <w:tabs>
          <w:tab w:val="clear" w:pos="708"/>
          <w:tab w:val="clear" w:pos="1416"/>
          <w:tab w:val="left" w:pos="426"/>
        </w:tabs>
        <w:spacing w:line="360" w:lineRule="auto"/>
        <w:ind w:left="425"/>
        <w:rPr>
          <w:rFonts w:ascii="Georgia" w:hAnsi="Georgia"/>
          <w:szCs w:val="24"/>
        </w:rPr>
      </w:pPr>
    </w:p>
    <w:p w:rsidR="00515154" w:rsidRDefault="00515154" w:rsidP="00515154">
      <w:pPr>
        <w:pStyle w:val="Textoindependiente"/>
        <w:numPr>
          <w:ilvl w:val="0"/>
          <w:numId w:val="6"/>
        </w:numPr>
        <w:tabs>
          <w:tab w:val="clear" w:pos="1416"/>
          <w:tab w:val="left" w:pos="426"/>
        </w:tabs>
        <w:spacing w:line="360" w:lineRule="auto"/>
        <w:textAlignment w:val="auto"/>
        <w:rPr>
          <w:rFonts w:ascii="Georgia" w:hAnsi="Georgia"/>
          <w:szCs w:val="24"/>
        </w:rPr>
      </w:pPr>
      <w:r>
        <w:rPr>
          <w:rFonts w:ascii="Georgia" w:hAnsi="Georgia"/>
          <w:szCs w:val="24"/>
        </w:rPr>
        <w:t>REMITIR este expediente, a la CC para su eventual revisión.</w:t>
      </w:r>
    </w:p>
    <w:p w:rsidR="00626C89" w:rsidRPr="00515154" w:rsidRDefault="00626C89" w:rsidP="00FF5B57">
      <w:pPr>
        <w:pStyle w:val="Prrafodelista"/>
        <w:widowControl/>
        <w:autoSpaceDE/>
        <w:autoSpaceDN/>
        <w:adjustRightInd/>
        <w:spacing w:line="360" w:lineRule="auto"/>
        <w:ind w:left="360" w:right="51"/>
        <w:contextualSpacing/>
        <w:jc w:val="both"/>
        <w:rPr>
          <w:rFonts w:ascii="Georgia" w:hAnsi="Georgia"/>
          <w:sz w:val="20"/>
        </w:rPr>
      </w:pPr>
    </w:p>
    <w:p w:rsidR="00126266" w:rsidRPr="003A6159" w:rsidRDefault="00126266" w:rsidP="00126266">
      <w:pPr>
        <w:pStyle w:val="Textoindependiente"/>
        <w:spacing w:line="360" w:lineRule="auto"/>
        <w:jc w:val="center"/>
        <w:rPr>
          <w:rFonts w:ascii="Georgia" w:hAnsi="Georgia"/>
          <w:smallCaps/>
          <w:sz w:val="28"/>
          <w:szCs w:val="24"/>
          <w:lang w:val="en-US"/>
        </w:rPr>
      </w:pPr>
      <w:proofErr w:type="spellStart"/>
      <w:r w:rsidRPr="003A6159">
        <w:rPr>
          <w:rFonts w:ascii="Georgia" w:hAnsi="Georgia"/>
          <w:smallCaps/>
          <w:sz w:val="28"/>
          <w:szCs w:val="24"/>
          <w:lang w:val="en-US"/>
        </w:rPr>
        <w:t>Notifíquese</w:t>
      </w:r>
      <w:proofErr w:type="spellEnd"/>
      <w:r w:rsidRPr="003A6159">
        <w:rPr>
          <w:rFonts w:ascii="Georgia" w:hAnsi="Georgia"/>
          <w:smallCaps/>
          <w:sz w:val="28"/>
          <w:szCs w:val="24"/>
          <w:lang w:val="en-US"/>
        </w:rPr>
        <w:t>,</w:t>
      </w:r>
    </w:p>
    <w:p w:rsidR="00DA569C" w:rsidRPr="003A6159" w:rsidRDefault="00DA569C" w:rsidP="00417DA5">
      <w:pPr>
        <w:pStyle w:val="Textoindependiente"/>
        <w:spacing w:line="360" w:lineRule="auto"/>
        <w:jc w:val="center"/>
        <w:rPr>
          <w:rFonts w:ascii="Georgia" w:hAnsi="Georgia"/>
          <w:sz w:val="22"/>
          <w:szCs w:val="24"/>
          <w:lang w:val="en-US"/>
        </w:rPr>
      </w:pPr>
    </w:p>
    <w:p w:rsidR="003E66CE" w:rsidRPr="00154551" w:rsidRDefault="003E66CE" w:rsidP="00417DA5">
      <w:pPr>
        <w:pStyle w:val="Textoindependiente"/>
        <w:spacing w:line="360" w:lineRule="auto"/>
        <w:jc w:val="center"/>
        <w:rPr>
          <w:rFonts w:ascii="Georgia" w:hAnsi="Georgia"/>
          <w:szCs w:val="24"/>
          <w:lang w:val="en-US"/>
        </w:rPr>
      </w:pPr>
    </w:p>
    <w:p w:rsidR="00B30152" w:rsidRPr="003A6159" w:rsidRDefault="00B30152" w:rsidP="00417DA5">
      <w:pPr>
        <w:pStyle w:val="Textoindependiente"/>
        <w:spacing w:line="360" w:lineRule="auto"/>
        <w:jc w:val="center"/>
        <w:rPr>
          <w:rFonts w:ascii="Georgia" w:hAnsi="Georgia"/>
          <w:sz w:val="18"/>
          <w:szCs w:val="24"/>
          <w:lang w:val="en-US"/>
        </w:rPr>
      </w:pPr>
    </w:p>
    <w:p w:rsidR="00154551" w:rsidRPr="00BB0F20" w:rsidRDefault="00154551" w:rsidP="001545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BB0F20">
        <w:rPr>
          <w:rFonts w:ascii="Georgia" w:hAnsi="Georgia" w:cs="Arial"/>
          <w:spacing w:val="-3"/>
          <w:w w:val="150"/>
          <w:sz w:val="28"/>
          <w:lang w:val="en-US"/>
        </w:rPr>
        <w:t>D</w:t>
      </w:r>
      <w:r w:rsidRPr="00BB0F20">
        <w:rPr>
          <w:rFonts w:ascii="Georgia" w:hAnsi="Georgia" w:cs="Arial"/>
          <w:spacing w:val="-3"/>
          <w:w w:val="150"/>
          <w:sz w:val="18"/>
          <w:szCs w:val="16"/>
          <w:lang w:val="en-US"/>
        </w:rPr>
        <w:t xml:space="preserve">UBERNEY </w:t>
      </w:r>
      <w:r w:rsidRPr="00BB0F20">
        <w:rPr>
          <w:rFonts w:ascii="Georgia" w:hAnsi="Georgia" w:cs="Arial"/>
          <w:spacing w:val="-3"/>
          <w:w w:val="150"/>
          <w:sz w:val="28"/>
          <w:lang w:val="en-US"/>
        </w:rPr>
        <w:t>G</w:t>
      </w:r>
      <w:r w:rsidRPr="00BB0F20">
        <w:rPr>
          <w:rFonts w:ascii="Georgia" w:hAnsi="Georgia" w:cs="Arial"/>
          <w:spacing w:val="-3"/>
          <w:w w:val="150"/>
          <w:sz w:val="18"/>
          <w:szCs w:val="16"/>
          <w:lang w:val="en-US"/>
        </w:rPr>
        <w:t xml:space="preserve">RISALES </w:t>
      </w:r>
      <w:r w:rsidRPr="00BB0F20">
        <w:rPr>
          <w:rFonts w:ascii="Georgia" w:hAnsi="Georgia" w:cs="Arial"/>
          <w:spacing w:val="-3"/>
          <w:w w:val="150"/>
          <w:sz w:val="28"/>
          <w:lang w:val="en-US"/>
        </w:rPr>
        <w:t>H</w:t>
      </w:r>
      <w:r w:rsidRPr="00BB0F20">
        <w:rPr>
          <w:rFonts w:ascii="Georgia" w:hAnsi="Georgia" w:cs="Arial"/>
          <w:spacing w:val="-3"/>
          <w:w w:val="150"/>
          <w:sz w:val="18"/>
          <w:szCs w:val="16"/>
          <w:lang w:val="en-US"/>
        </w:rPr>
        <w:t>ERRERA</w:t>
      </w:r>
    </w:p>
    <w:p w:rsidR="00154551" w:rsidRPr="00BB0F20" w:rsidRDefault="00154551" w:rsidP="001545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20"/>
          <w:lang w:val="en-US"/>
        </w:rPr>
      </w:pPr>
      <w:r w:rsidRPr="00BB0F20">
        <w:rPr>
          <w:rFonts w:ascii="Georgia" w:hAnsi="Georgia" w:cs="Arial"/>
          <w:spacing w:val="-3"/>
          <w:w w:val="150"/>
          <w:sz w:val="28"/>
          <w:lang w:val="en-US"/>
        </w:rPr>
        <w:t>M</w:t>
      </w:r>
      <w:r w:rsidRPr="00BB0F20">
        <w:rPr>
          <w:rFonts w:ascii="Georgia" w:hAnsi="Georgia" w:cs="Arial"/>
          <w:spacing w:val="-3"/>
          <w:w w:val="150"/>
          <w:lang w:val="en-US"/>
        </w:rPr>
        <w:t xml:space="preserve"> </w:t>
      </w:r>
      <w:r w:rsidRPr="00BB0F20">
        <w:rPr>
          <w:rFonts w:ascii="Georgia" w:hAnsi="Georgia" w:cs="Arial"/>
          <w:spacing w:val="-3"/>
          <w:w w:val="150"/>
          <w:sz w:val="18"/>
          <w:szCs w:val="20"/>
          <w:lang w:val="en-US"/>
        </w:rPr>
        <w:t>A G I S T R A D O</w:t>
      </w:r>
    </w:p>
    <w:p w:rsidR="00154551" w:rsidRPr="00E046F1" w:rsidRDefault="00154551" w:rsidP="00154551">
      <w:pPr>
        <w:pStyle w:val="Textoindependiente"/>
        <w:spacing w:line="360" w:lineRule="auto"/>
        <w:jc w:val="center"/>
        <w:rPr>
          <w:rFonts w:ascii="Georgia" w:hAnsi="Georgia"/>
          <w:smallCaps/>
          <w:sz w:val="20"/>
          <w:szCs w:val="24"/>
          <w:lang w:val="en-US"/>
        </w:rPr>
      </w:pPr>
    </w:p>
    <w:p w:rsidR="00154551" w:rsidRPr="00154551" w:rsidRDefault="00154551" w:rsidP="00154551">
      <w:pPr>
        <w:pStyle w:val="Textoindependiente"/>
        <w:spacing w:line="360" w:lineRule="auto"/>
        <w:jc w:val="center"/>
        <w:rPr>
          <w:rFonts w:ascii="Georgia" w:hAnsi="Georgia"/>
          <w:smallCaps/>
          <w:sz w:val="44"/>
          <w:szCs w:val="24"/>
          <w:lang w:val="en-US"/>
        </w:rPr>
      </w:pPr>
    </w:p>
    <w:p w:rsidR="00154551" w:rsidRPr="00BB0F20" w:rsidRDefault="00154551" w:rsidP="001545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BB0F20">
        <w:rPr>
          <w:rFonts w:ascii="Georgia" w:hAnsi="Georgia"/>
          <w:w w:val="150"/>
          <w:sz w:val="28"/>
          <w:szCs w:val="18"/>
          <w:lang w:val="en-US"/>
        </w:rPr>
        <w:t>E</w:t>
      </w:r>
      <w:r w:rsidRPr="00BB0F20">
        <w:rPr>
          <w:rFonts w:ascii="Georgia" w:hAnsi="Georgia"/>
          <w:w w:val="150"/>
          <w:sz w:val="18"/>
          <w:szCs w:val="18"/>
          <w:lang w:val="en-US"/>
        </w:rPr>
        <w:t>DDER</w:t>
      </w:r>
      <w:r w:rsidRPr="00BB0F20">
        <w:rPr>
          <w:rFonts w:ascii="Georgia" w:hAnsi="Georgia"/>
          <w:w w:val="150"/>
          <w:sz w:val="18"/>
          <w:lang w:val="en-US"/>
        </w:rPr>
        <w:t xml:space="preserve"> </w:t>
      </w:r>
      <w:r w:rsidRPr="00BB0F20">
        <w:rPr>
          <w:rFonts w:ascii="Georgia" w:hAnsi="Georgia"/>
          <w:w w:val="150"/>
          <w:sz w:val="28"/>
          <w:lang w:val="en-US"/>
        </w:rPr>
        <w:t>J</w:t>
      </w:r>
      <w:r w:rsidRPr="00BB0F20">
        <w:rPr>
          <w:rFonts w:ascii="Georgia" w:hAnsi="Georgia"/>
          <w:w w:val="150"/>
          <w:sz w:val="18"/>
          <w:szCs w:val="18"/>
          <w:lang w:val="en-US"/>
        </w:rPr>
        <w:t xml:space="preserve">IMMY </w:t>
      </w:r>
      <w:r w:rsidRPr="00BB0F20">
        <w:rPr>
          <w:rFonts w:ascii="Georgia" w:hAnsi="Georgia"/>
          <w:w w:val="150"/>
          <w:sz w:val="28"/>
          <w:lang w:val="en-US"/>
        </w:rPr>
        <w:t>S</w:t>
      </w:r>
      <w:r w:rsidRPr="00BB0F20">
        <w:rPr>
          <w:rFonts w:ascii="Georgia" w:hAnsi="Georgia"/>
          <w:w w:val="150"/>
          <w:sz w:val="18"/>
          <w:szCs w:val="18"/>
          <w:lang w:val="en-US"/>
        </w:rPr>
        <w:t xml:space="preserve">ÁNCHEZ </w:t>
      </w:r>
      <w:r w:rsidRPr="00BB0F20">
        <w:rPr>
          <w:rFonts w:ascii="Georgia" w:hAnsi="Georgia"/>
          <w:w w:val="150"/>
          <w:sz w:val="28"/>
          <w:szCs w:val="18"/>
          <w:lang w:val="en-US"/>
        </w:rPr>
        <w:t>C.</w:t>
      </w:r>
      <w:r w:rsidRPr="00BB0F20">
        <w:rPr>
          <w:rFonts w:ascii="Georgia" w:hAnsi="Georgia"/>
          <w:w w:val="150"/>
          <w:sz w:val="28"/>
          <w:szCs w:val="18"/>
          <w:lang w:val="en-US"/>
        </w:rPr>
        <w:tab/>
      </w:r>
      <w:r w:rsidRPr="00BB0F20">
        <w:rPr>
          <w:rFonts w:ascii="Georgia" w:hAnsi="Georgia"/>
          <w:w w:val="150"/>
          <w:sz w:val="28"/>
          <w:szCs w:val="18"/>
          <w:lang w:val="en-US"/>
        </w:rPr>
        <w:tab/>
      </w:r>
      <w:r w:rsidRPr="00BB0F20">
        <w:rPr>
          <w:rFonts w:ascii="Georgia" w:hAnsi="Georgia" w:cs="Arial"/>
          <w:spacing w:val="-3"/>
          <w:w w:val="150"/>
          <w:sz w:val="28"/>
          <w:szCs w:val="18"/>
          <w:lang w:val="en-US"/>
        </w:rPr>
        <w:t>J</w:t>
      </w:r>
      <w:r w:rsidRPr="00BB0F20">
        <w:rPr>
          <w:rFonts w:ascii="Georgia" w:hAnsi="Georgia" w:cs="Arial"/>
          <w:spacing w:val="-3"/>
          <w:w w:val="150"/>
          <w:sz w:val="18"/>
          <w:szCs w:val="18"/>
          <w:lang w:val="en-US"/>
        </w:rPr>
        <w:t xml:space="preserve">AIME </w:t>
      </w:r>
      <w:r w:rsidRPr="00BB0F20">
        <w:rPr>
          <w:rFonts w:ascii="Georgia" w:hAnsi="Georgia" w:cs="Arial"/>
          <w:spacing w:val="-3"/>
          <w:w w:val="150"/>
          <w:sz w:val="28"/>
          <w:szCs w:val="18"/>
          <w:lang w:val="en-US"/>
        </w:rPr>
        <w:t>A</w:t>
      </w:r>
      <w:r w:rsidRPr="00BB0F20">
        <w:rPr>
          <w:rFonts w:ascii="Georgia" w:hAnsi="Georgia"/>
          <w:w w:val="150"/>
          <w:sz w:val="18"/>
          <w:szCs w:val="18"/>
          <w:lang w:val="en-US"/>
        </w:rPr>
        <w:t xml:space="preserve">LBERTO </w:t>
      </w:r>
      <w:r w:rsidRPr="00BB0F20">
        <w:rPr>
          <w:rFonts w:ascii="Georgia" w:hAnsi="Georgia" w:cs="Arial"/>
          <w:spacing w:val="-3"/>
          <w:w w:val="150"/>
          <w:sz w:val="28"/>
          <w:szCs w:val="18"/>
          <w:lang w:val="en-US"/>
        </w:rPr>
        <w:t>S</w:t>
      </w:r>
      <w:r w:rsidRPr="00BB0F20">
        <w:rPr>
          <w:rFonts w:ascii="Georgia" w:hAnsi="Georgia" w:cs="Arial"/>
          <w:spacing w:val="-3"/>
          <w:w w:val="150"/>
          <w:sz w:val="18"/>
          <w:szCs w:val="16"/>
          <w:lang w:val="en-US"/>
        </w:rPr>
        <w:t xml:space="preserve">ARAZA </w:t>
      </w:r>
      <w:r w:rsidRPr="00BB0F20">
        <w:rPr>
          <w:rFonts w:ascii="Georgia" w:hAnsi="Georgia" w:cs="Arial"/>
          <w:spacing w:val="-3"/>
          <w:w w:val="150"/>
          <w:sz w:val="28"/>
          <w:szCs w:val="18"/>
          <w:lang w:val="en-US"/>
        </w:rPr>
        <w:t>N.</w:t>
      </w:r>
    </w:p>
    <w:p w:rsidR="00154551" w:rsidRPr="00BB0F20" w:rsidRDefault="00154551" w:rsidP="001545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8"/>
          <w:szCs w:val="12"/>
          <w:lang w:val="es-CO"/>
        </w:rPr>
      </w:pPr>
      <w:r w:rsidRPr="00BB0F20">
        <w:rPr>
          <w:rFonts w:ascii="Georgia" w:hAnsi="Georgia" w:cs="Arial"/>
          <w:w w:val="150"/>
          <w:sz w:val="28"/>
          <w:lang w:val="en-US"/>
        </w:rPr>
        <w:tab/>
      </w:r>
      <w:r w:rsidRPr="00BB0F20">
        <w:rPr>
          <w:rFonts w:ascii="Georgia" w:hAnsi="Georgia" w:cs="Arial"/>
          <w:w w:val="150"/>
          <w:sz w:val="28"/>
          <w:lang w:val="en-GB"/>
        </w:rPr>
        <w:t>M</w:t>
      </w:r>
      <w:r w:rsidRPr="00BB0F20">
        <w:rPr>
          <w:rFonts w:ascii="Georgia" w:hAnsi="Georgia" w:cs="Arial"/>
          <w:w w:val="150"/>
          <w:sz w:val="18"/>
          <w:lang w:val="en-GB"/>
        </w:rPr>
        <w:t xml:space="preserve"> A G I S T R A D O </w:t>
      </w:r>
      <w:r w:rsidRPr="00BB0F20">
        <w:rPr>
          <w:rFonts w:ascii="Georgia" w:hAnsi="Georgia" w:cs="Arial"/>
          <w:w w:val="150"/>
          <w:sz w:val="18"/>
          <w:lang w:val="en-GB"/>
        </w:rPr>
        <w:tab/>
      </w:r>
      <w:r w:rsidRPr="00BB0F20">
        <w:rPr>
          <w:rFonts w:ascii="Georgia" w:hAnsi="Georgia" w:cs="Arial"/>
          <w:w w:val="150"/>
          <w:sz w:val="18"/>
          <w:lang w:val="en-GB"/>
        </w:rPr>
        <w:tab/>
      </w:r>
      <w:r w:rsidRPr="00BB0F20">
        <w:rPr>
          <w:rFonts w:ascii="Georgia" w:hAnsi="Georgia" w:cs="Arial"/>
          <w:w w:val="150"/>
          <w:sz w:val="18"/>
          <w:lang w:val="en-GB"/>
        </w:rPr>
        <w:tab/>
      </w:r>
      <w:r w:rsidRPr="00BB0F20">
        <w:rPr>
          <w:rFonts w:ascii="Georgia" w:hAnsi="Georgia" w:cs="Arial"/>
          <w:w w:val="150"/>
          <w:sz w:val="18"/>
          <w:lang w:val="en-GB"/>
        </w:rPr>
        <w:tab/>
      </w:r>
      <w:r w:rsidRPr="00BB0F20">
        <w:rPr>
          <w:rFonts w:ascii="Georgia" w:hAnsi="Georgia" w:cs="Arial"/>
          <w:w w:val="150"/>
          <w:sz w:val="28"/>
          <w:lang w:val="en-GB"/>
        </w:rPr>
        <w:t>M</w:t>
      </w:r>
      <w:r w:rsidRPr="00BB0F20">
        <w:rPr>
          <w:rFonts w:ascii="Georgia" w:hAnsi="Georgia" w:cs="Arial"/>
          <w:w w:val="150"/>
          <w:sz w:val="18"/>
          <w:lang w:val="en-GB"/>
        </w:rPr>
        <w:t xml:space="preserve"> A G I S T R A D O</w:t>
      </w:r>
    </w:p>
    <w:p w:rsidR="00E606C4" w:rsidRPr="00515154" w:rsidRDefault="00445605" w:rsidP="00515154">
      <w:pPr>
        <w:pStyle w:val="Textoindependiente"/>
        <w:spacing w:line="360" w:lineRule="auto"/>
        <w:jc w:val="right"/>
        <w:rPr>
          <w:rFonts w:ascii="Georgia" w:hAnsi="Georgia"/>
          <w:i/>
          <w:w w:val="150"/>
          <w:sz w:val="18"/>
          <w:szCs w:val="18"/>
          <w:lang w:val="en-US"/>
        </w:rPr>
      </w:pPr>
      <w:r w:rsidRPr="003A6159">
        <w:rPr>
          <w:rFonts w:ascii="Georgia" w:hAnsi="Georgia"/>
          <w:w w:val="150"/>
          <w:sz w:val="8"/>
          <w:szCs w:val="10"/>
          <w:lang w:val="en-US"/>
        </w:rPr>
        <w:t>D</w:t>
      </w:r>
      <w:r w:rsidR="00E606C4" w:rsidRPr="003A6159">
        <w:rPr>
          <w:rFonts w:ascii="Georgia" w:hAnsi="Georgia"/>
          <w:w w:val="150"/>
          <w:sz w:val="8"/>
          <w:szCs w:val="10"/>
          <w:lang w:val="en-US"/>
        </w:rPr>
        <w:t>GH/</w:t>
      </w:r>
      <w:r w:rsidR="00845E28" w:rsidRPr="003A6159">
        <w:rPr>
          <w:rFonts w:ascii="Georgia" w:hAnsi="Georgia"/>
          <w:w w:val="150"/>
          <w:sz w:val="8"/>
          <w:szCs w:val="10"/>
          <w:lang w:val="en-US"/>
        </w:rPr>
        <w:t>ODCD</w:t>
      </w:r>
      <w:r w:rsidR="005C4C0F" w:rsidRPr="003A6159">
        <w:rPr>
          <w:rFonts w:ascii="Georgia" w:hAnsi="Georgia"/>
          <w:w w:val="150"/>
          <w:sz w:val="8"/>
          <w:szCs w:val="10"/>
          <w:lang w:val="en-US"/>
        </w:rPr>
        <w:t>/</w:t>
      </w:r>
      <w:r w:rsidR="00515154">
        <w:rPr>
          <w:rFonts w:ascii="Georgia" w:hAnsi="Georgia"/>
          <w:w w:val="150"/>
          <w:sz w:val="8"/>
          <w:szCs w:val="10"/>
          <w:lang w:val="en-US"/>
        </w:rPr>
        <w:t>2018</w:t>
      </w:r>
    </w:p>
    <w:p w:rsidR="00C87D22" w:rsidRPr="003A6159" w:rsidRDefault="00C87D22">
      <w:pPr>
        <w:widowControl/>
        <w:autoSpaceDE/>
        <w:autoSpaceDN/>
        <w:adjustRightInd/>
        <w:rPr>
          <w:rFonts w:ascii="Georgia" w:hAnsi="Georgia" w:cs="Times New Roman"/>
          <w:spacing w:val="-3"/>
          <w:w w:val="150"/>
          <w:sz w:val="8"/>
          <w:szCs w:val="10"/>
          <w:lang w:val="en-US"/>
        </w:rPr>
      </w:pPr>
    </w:p>
    <w:sectPr w:rsidR="00C87D22" w:rsidRPr="003A6159" w:rsidSect="003D724B">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02" w:rsidRDefault="00B73F02" w:rsidP="0099045D">
      <w:r>
        <w:separator/>
      </w:r>
    </w:p>
  </w:endnote>
  <w:endnote w:type="continuationSeparator" w:id="0">
    <w:p w:rsidR="00B73F02" w:rsidRDefault="00B73F0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DF7EF1" w:rsidRDefault="003B0490" w:rsidP="0013771A">
    <w:pPr>
      <w:pStyle w:val="Piedepgina"/>
      <w:pBdr>
        <w:bottom w:val="double" w:sz="6" w:space="1" w:color="auto"/>
      </w:pBdr>
      <w:spacing w:line="360" w:lineRule="auto"/>
      <w:jc w:val="right"/>
      <w:rPr>
        <w:rFonts w:ascii="Georgia" w:hAnsi="Georgia" w:cs="Arial"/>
        <w:spacing w:val="20"/>
        <w:w w:val="200"/>
        <w:sz w:val="6"/>
        <w:szCs w:val="10"/>
        <w:lang w:val="es-CO"/>
      </w:rPr>
    </w:pPr>
  </w:p>
  <w:p w:rsidR="003B0490" w:rsidRPr="003A6159" w:rsidRDefault="003B0490" w:rsidP="0013771A">
    <w:pPr>
      <w:pStyle w:val="Piedepgina"/>
      <w:spacing w:line="360" w:lineRule="auto"/>
      <w:jc w:val="right"/>
      <w:rPr>
        <w:rFonts w:ascii="Georgia" w:hAnsi="Georgia" w:cs="Arial"/>
        <w:spacing w:val="20"/>
        <w:w w:val="200"/>
        <w:sz w:val="14"/>
        <w:szCs w:val="10"/>
        <w:lang w:val="es-CO"/>
      </w:rPr>
    </w:pPr>
  </w:p>
  <w:p w:rsidR="003B0490" w:rsidRPr="003A6159" w:rsidRDefault="003B0490" w:rsidP="0013771A">
    <w:pPr>
      <w:pStyle w:val="Piedepgina"/>
      <w:spacing w:line="360" w:lineRule="auto"/>
      <w:jc w:val="right"/>
      <w:rPr>
        <w:rFonts w:ascii="Georgia" w:hAnsi="Georgia" w:cs="Arial"/>
        <w:spacing w:val="20"/>
        <w:w w:val="200"/>
        <w:sz w:val="10"/>
        <w:szCs w:val="10"/>
        <w:lang w:val="es-CO"/>
      </w:rPr>
    </w:pPr>
    <w:r w:rsidRPr="003A6159">
      <w:rPr>
        <w:rFonts w:ascii="Georgia" w:hAnsi="Georgia" w:cs="Arial"/>
        <w:spacing w:val="20"/>
        <w:w w:val="200"/>
        <w:sz w:val="14"/>
        <w:szCs w:val="10"/>
        <w:lang w:val="es-CO"/>
      </w:rPr>
      <w:t>T</w:t>
    </w:r>
    <w:r w:rsidRPr="003A6159">
      <w:rPr>
        <w:rFonts w:ascii="Georgia" w:hAnsi="Georgia" w:cs="Arial"/>
        <w:spacing w:val="20"/>
        <w:w w:val="200"/>
        <w:sz w:val="10"/>
        <w:szCs w:val="10"/>
        <w:lang w:val="es-CO"/>
      </w:rPr>
      <w:t xml:space="preserve">RIBUNAL </w:t>
    </w:r>
    <w:r w:rsidRPr="003A6159">
      <w:rPr>
        <w:rFonts w:ascii="Georgia" w:hAnsi="Georgia" w:cs="Arial"/>
        <w:spacing w:val="20"/>
        <w:w w:val="200"/>
        <w:sz w:val="14"/>
        <w:szCs w:val="10"/>
        <w:lang w:val="es-CO"/>
      </w:rPr>
      <w:t>S</w:t>
    </w:r>
    <w:r w:rsidRPr="003A6159">
      <w:rPr>
        <w:rFonts w:ascii="Georgia" w:hAnsi="Georgia" w:cs="Arial"/>
        <w:spacing w:val="20"/>
        <w:w w:val="200"/>
        <w:sz w:val="10"/>
        <w:szCs w:val="10"/>
        <w:lang w:val="es-CO"/>
      </w:rPr>
      <w:t xml:space="preserve">UPERIOR DE </w:t>
    </w:r>
    <w:r w:rsidRPr="003A6159">
      <w:rPr>
        <w:rFonts w:ascii="Georgia" w:hAnsi="Georgia" w:cs="Arial"/>
        <w:spacing w:val="20"/>
        <w:w w:val="200"/>
        <w:sz w:val="14"/>
        <w:szCs w:val="10"/>
        <w:lang w:val="es-CO"/>
      </w:rPr>
      <w:t>P</w:t>
    </w:r>
    <w:r w:rsidRPr="003A6159">
      <w:rPr>
        <w:rFonts w:ascii="Georgia" w:hAnsi="Georgia" w:cs="Arial"/>
        <w:spacing w:val="20"/>
        <w:w w:val="200"/>
        <w:sz w:val="10"/>
        <w:szCs w:val="10"/>
        <w:lang w:val="es-CO"/>
      </w:rPr>
      <w:t>EREIRA</w:t>
    </w:r>
  </w:p>
  <w:p w:rsidR="003B0490" w:rsidRPr="003A6159" w:rsidRDefault="003B0490" w:rsidP="0013771A">
    <w:pPr>
      <w:pStyle w:val="Piedepgina"/>
      <w:jc w:val="right"/>
      <w:rPr>
        <w:rFonts w:ascii="Georgia" w:hAnsi="Georgia"/>
        <w:lang w:val="es-CO"/>
      </w:rPr>
    </w:pPr>
    <w:r w:rsidRPr="003A6159">
      <w:rPr>
        <w:rFonts w:ascii="Georgia" w:hAnsi="Georgia" w:cs="Arial"/>
        <w:spacing w:val="20"/>
        <w:w w:val="200"/>
        <w:sz w:val="10"/>
        <w:szCs w:val="10"/>
        <w:lang w:val="es-CO"/>
      </w:rPr>
      <w:t xml:space="preserve">MP </w:t>
    </w:r>
    <w:r w:rsidRPr="003A6159">
      <w:rPr>
        <w:rFonts w:ascii="Georgia" w:hAnsi="Georgia" w:cs="Arial"/>
        <w:spacing w:val="20"/>
        <w:w w:val="200"/>
        <w:sz w:val="12"/>
        <w:szCs w:val="10"/>
        <w:lang w:val="es-CO"/>
      </w:rPr>
      <w:t>D</w:t>
    </w:r>
    <w:r w:rsidRPr="003A6159">
      <w:rPr>
        <w:rFonts w:ascii="Georgia" w:hAnsi="Georgia" w:cs="Arial"/>
        <w:spacing w:val="20"/>
        <w:w w:val="200"/>
        <w:sz w:val="8"/>
        <w:szCs w:val="10"/>
        <w:lang w:val="es-CO"/>
      </w:rPr>
      <w:t>UBERNEY</w:t>
    </w:r>
    <w:r w:rsidRPr="003A6159">
      <w:rPr>
        <w:rFonts w:ascii="Georgia" w:hAnsi="Georgia" w:cs="Arial"/>
        <w:spacing w:val="20"/>
        <w:w w:val="200"/>
        <w:sz w:val="10"/>
        <w:szCs w:val="10"/>
        <w:lang w:val="es-CO"/>
      </w:rPr>
      <w:t xml:space="preserve"> </w:t>
    </w:r>
    <w:r w:rsidRPr="003A6159">
      <w:rPr>
        <w:rFonts w:ascii="Georgia" w:hAnsi="Georgia" w:cs="Arial"/>
        <w:spacing w:val="20"/>
        <w:w w:val="200"/>
        <w:sz w:val="12"/>
        <w:szCs w:val="10"/>
        <w:lang w:val="es-CO"/>
      </w:rPr>
      <w:t>G</w:t>
    </w:r>
    <w:r w:rsidRPr="003A6159">
      <w:rPr>
        <w:rFonts w:ascii="Georgia" w:hAnsi="Georgia" w:cs="Arial"/>
        <w:spacing w:val="20"/>
        <w:w w:val="200"/>
        <w:sz w:val="8"/>
        <w:szCs w:val="10"/>
        <w:lang w:val="es-CO"/>
      </w:rPr>
      <w:t>RISALES</w:t>
    </w:r>
    <w:r w:rsidRPr="003A6159">
      <w:rPr>
        <w:rFonts w:ascii="Georgia" w:hAnsi="Georgia" w:cs="Arial"/>
        <w:spacing w:val="20"/>
        <w:w w:val="200"/>
        <w:sz w:val="10"/>
        <w:szCs w:val="10"/>
        <w:lang w:val="es-CO"/>
      </w:rPr>
      <w:t xml:space="preserve"> </w:t>
    </w:r>
    <w:r w:rsidRPr="003A6159">
      <w:rPr>
        <w:rFonts w:ascii="Georgia" w:hAnsi="Georgia" w:cs="Arial"/>
        <w:spacing w:val="20"/>
        <w:w w:val="200"/>
        <w:sz w:val="12"/>
        <w:szCs w:val="10"/>
        <w:lang w:val="es-CO"/>
      </w:rPr>
      <w:t>H</w:t>
    </w:r>
    <w:r w:rsidRPr="003A615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02" w:rsidRDefault="00B73F02" w:rsidP="0099045D">
      <w:r>
        <w:separator/>
      </w:r>
    </w:p>
  </w:footnote>
  <w:footnote w:type="continuationSeparator" w:id="0">
    <w:p w:rsidR="00B73F02" w:rsidRDefault="00B73F02" w:rsidP="0099045D">
      <w:r>
        <w:continuationSeparator/>
      </w:r>
    </w:p>
  </w:footnote>
  <w:footnote w:id="1">
    <w:p w:rsidR="003B0490" w:rsidRPr="0079763C" w:rsidRDefault="003B0490" w:rsidP="00E06BFF">
      <w:pPr>
        <w:pStyle w:val="Textonotapie"/>
        <w:jc w:val="both"/>
      </w:pPr>
      <w:r w:rsidRPr="0079763C">
        <w:rPr>
          <w:rStyle w:val="Refdenotaalpie"/>
        </w:rPr>
        <w:footnoteRef/>
      </w:r>
      <w:r w:rsidRPr="0079763C">
        <w:t xml:space="preserve"> </w:t>
      </w:r>
      <w:r w:rsidRPr="0079763C">
        <w:rPr>
          <w:lang w:val="es-CO"/>
        </w:rPr>
        <w:t>CC. T-324 de 1993.</w:t>
      </w:r>
    </w:p>
  </w:footnote>
  <w:footnote w:id="2">
    <w:p w:rsidR="003B0490" w:rsidRPr="0079763C" w:rsidRDefault="003B0490" w:rsidP="00276D37">
      <w:pPr>
        <w:pStyle w:val="Textonotapie"/>
      </w:pPr>
      <w:r w:rsidRPr="0079763C">
        <w:rPr>
          <w:rStyle w:val="Refdenotaalpie"/>
        </w:rPr>
        <w:footnoteRef/>
      </w:r>
      <w:r w:rsidRPr="0079763C">
        <w:t xml:space="preserve"> CC. </w:t>
      </w:r>
      <w:hyperlink r:id="rId1" w:history="1">
        <w:r w:rsidRPr="0079763C">
          <w:rPr>
            <w:rStyle w:val="Hipervnculo"/>
            <w:color w:val="auto"/>
            <w:u w:val="none"/>
          </w:rPr>
          <w:t>SU-499 de 2016</w:t>
        </w:r>
      </w:hyperlink>
      <w:r w:rsidR="0079763C">
        <w:t xml:space="preserve"> y </w:t>
      </w:r>
      <w:r w:rsidR="0079763C" w:rsidRPr="00C65E25">
        <w:rPr>
          <w:lang w:val="es-CO"/>
        </w:rPr>
        <w:t>y T-137 de 2017</w:t>
      </w:r>
      <w:r w:rsidR="0079763C">
        <w:rPr>
          <w:lang w:val="es-CO"/>
        </w:rPr>
        <w:t>.</w:t>
      </w:r>
    </w:p>
  </w:footnote>
  <w:footnote w:id="3">
    <w:p w:rsidR="00574CE8" w:rsidRPr="00C65E25" w:rsidRDefault="00574CE8" w:rsidP="00574CE8">
      <w:pPr>
        <w:pStyle w:val="Textonotapie"/>
        <w:jc w:val="both"/>
        <w:rPr>
          <w:b/>
          <w:iCs/>
          <w:lang w:val="es-CO"/>
        </w:rPr>
      </w:pPr>
      <w:r w:rsidRPr="00C65E25">
        <w:rPr>
          <w:rStyle w:val="Refdenotaalpie"/>
          <w:lang w:val="es-CO"/>
        </w:rPr>
        <w:footnoteRef/>
      </w:r>
      <w:r w:rsidR="003D724B">
        <w:rPr>
          <w:lang w:val="es-CO"/>
        </w:rPr>
        <w:t xml:space="preserve"> CSJ.</w:t>
      </w:r>
      <w:r w:rsidRPr="00C65E25">
        <w:rPr>
          <w:lang w:val="es-CO"/>
        </w:rPr>
        <w:t xml:space="preserve"> </w:t>
      </w:r>
      <w:r w:rsidRPr="00C65E25">
        <w:rPr>
          <w:iCs/>
        </w:rPr>
        <w:t xml:space="preserve">STC2154-2016 y </w:t>
      </w:r>
      <w:r w:rsidRPr="00C65E25">
        <w:rPr>
          <w:iCs/>
          <w:lang w:val="es-CO"/>
        </w:rPr>
        <w:t>STC10383-2016</w:t>
      </w:r>
      <w:r w:rsidRPr="00C65E25">
        <w:rPr>
          <w:iCs/>
        </w:rPr>
        <w:t>.</w:t>
      </w:r>
    </w:p>
  </w:footnote>
  <w:footnote w:id="4">
    <w:p w:rsidR="0079763C" w:rsidRPr="00C65E25" w:rsidRDefault="0079763C" w:rsidP="0079763C">
      <w:pPr>
        <w:pStyle w:val="Textonotapie"/>
        <w:jc w:val="both"/>
      </w:pPr>
      <w:r w:rsidRPr="00C65E25">
        <w:rPr>
          <w:rStyle w:val="Refdenotaalpie"/>
        </w:rPr>
        <w:footnoteRef/>
      </w:r>
      <w:r w:rsidRPr="00C65E25">
        <w:t xml:space="preserve"> </w:t>
      </w:r>
      <w:r w:rsidRPr="00C65E25">
        <w:rPr>
          <w:lang w:val="es-MX"/>
        </w:rPr>
        <w:t xml:space="preserve">CC. </w:t>
      </w:r>
      <w:r w:rsidR="009D0589">
        <w:rPr>
          <w:lang w:val="es-MX"/>
        </w:rPr>
        <w:t>SU-439 de 2017 y</w:t>
      </w:r>
      <w:r w:rsidRPr="00C65E25">
        <w:rPr>
          <w:lang w:val="es-MX"/>
        </w:rPr>
        <w:t>T-203 de 1993</w:t>
      </w:r>
      <w:r w:rsidR="009D0589">
        <w:rPr>
          <w:lang w:val="es-MX"/>
        </w:rPr>
        <w:t>, entre otras</w:t>
      </w:r>
      <w:proofErr w:type="gramStart"/>
      <w:r w:rsidR="009D0589">
        <w:rPr>
          <w:lang w:val="es-MX"/>
        </w:rPr>
        <w:t>.</w:t>
      </w:r>
      <w:r w:rsidRPr="00C65E25">
        <w:rPr>
          <w:lang w:val="es-MX"/>
        </w:rPr>
        <w:t>.</w:t>
      </w:r>
      <w:proofErr w:type="gramEnd"/>
    </w:p>
  </w:footnote>
  <w:footnote w:id="5">
    <w:p w:rsidR="009C466A" w:rsidRPr="00C65E25" w:rsidRDefault="009C466A" w:rsidP="009C466A">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6">
    <w:p w:rsidR="009C466A" w:rsidRPr="00C65E25" w:rsidRDefault="009C466A" w:rsidP="009C466A">
      <w:pPr>
        <w:pStyle w:val="Textonotapie"/>
        <w:jc w:val="both"/>
      </w:pPr>
      <w:r w:rsidRPr="00C65E25">
        <w:rPr>
          <w:rStyle w:val="Refdenotaalpie"/>
        </w:rPr>
        <w:footnoteRef/>
      </w:r>
      <w:r w:rsidRPr="00C65E25">
        <w:t xml:space="preserve"> </w:t>
      </w:r>
      <w:r w:rsidRPr="00C65E25">
        <w:rPr>
          <w:lang w:val="es-CO"/>
        </w:rPr>
        <w:t xml:space="preserve">CC. </w:t>
      </w:r>
      <w:r w:rsidRPr="00C65E25">
        <w:rPr>
          <w:bCs/>
          <w:lang w:val="es-CO"/>
        </w:rPr>
        <w:t>T-722 de 2014, T-247 de 2015</w:t>
      </w:r>
      <w:r w:rsidRPr="00C65E25">
        <w:t xml:space="preserve"> y </w:t>
      </w:r>
      <w:r w:rsidRPr="00C65E25">
        <w:rPr>
          <w:bCs/>
          <w:lang w:val="es-CO"/>
        </w:rPr>
        <w:t>T-572 de 2015, entre otras.</w:t>
      </w:r>
    </w:p>
  </w:footnote>
  <w:footnote w:id="7">
    <w:p w:rsidR="009D0589" w:rsidRPr="009D0589" w:rsidRDefault="009D0589">
      <w:pPr>
        <w:pStyle w:val="Textonotapie"/>
        <w:rPr>
          <w:lang w:val="es-CO"/>
        </w:rPr>
      </w:pPr>
      <w:r>
        <w:rPr>
          <w:rStyle w:val="Refdenotaalpie"/>
        </w:rPr>
        <w:footnoteRef/>
      </w:r>
      <w:r>
        <w:t xml:space="preserve"> CC. </w:t>
      </w:r>
      <w:hyperlink r:id="rId2" w:history="1">
        <w:r w:rsidRPr="0079763C">
          <w:rPr>
            <w:rStyle w:val="Hipervnculo"/>
            <w:color w:val="auto"/>
            <w:u w:val="none"/>
          </w:rPr>
          <w:t>SU-499 de 2016</w:t>
        </w:r>
      </w:hyperlink>
      <w:r>
        <w:rPr>
          <w:rStyle w:val="Hipervnculo"/>
          <w:color w:val="auto"/>
          <w:u w:val="none"/>
        </w:rPr>
        <w:t>.</w:t>
      </w:r>
    </w:p>
  </w:footnote>
  <w:footnote w:id="8">
    <w:p w:rsidR="0079763C" w:rsidRPr="00C65E25" w:rsidRDefault="0079763C" w:rsidP="0079763C">
      <w:pPr>
        <w:pStyle w:val="Textonotapie"/>
        <w:jc w:val="both"/>
        <w:rPr>
          <w:lang w:val="es-CO"/>
        </w:rPr>
      </w:pPr>
      <w:r w:rsidRPr="009D0589">
        <w:rPr>
          <w:rStyle w:val="Refdenotaalpie"/>
        </w:rPr>
        <w:footnoteRef/>
      </w:r>
      <w:r w:rsidRPr="009D0589">
        <w:t xml:space="preserve"> </w:t>
      </w:r>
      <w:r w:rsidR="009D0589" w:rsidRPr="009D0589">
        <w:rPr>
          <w:lang w:val="es-CO"/>
        </w:rPr>
        <w:t xml:space="preserve">CC. </w:t>
      </w:r>
      <w:r w:rsidR="009D0589" w:rsidRPr="009D0589">
        <w:rPr>
          <w:shd w:val="clear" w:color="auto" w:fill="FFFFFF"/>
        </w:rPr>
        <w:t xml:space="preserve">T-135 de 2015, </w:t>
      </w:r>
      <w:r w:rsidR="009D0589">
        <w:rPr>
          <w:lang w:val="es-CO"/>
        </w:rPr>
        <w:t xml:space="preserve">T-471 de 2015, </w:t>
      </w:r>
      <w:hyperlink r:id="rId3" w:history="1">
        <w:r w:rsidR="009D0589" w:rsidRPr="0079763C">
          <w:rPr>
            <w:rStyle w:val="Hipervnculo"/>
            <w:color w:val="auto"/>
            <w:u w:val="none"/>
          </w:rPr>
          <w:t>SU-499 de 2016</w:t>
        </w:r>
      </w:hyperlink>
      <w:r w:rsidR="009D0589">
        <w:rPr>
          <w:rStyle w:val="Hipervnculo"/>
          <w:color w:val="auto"/>
          <w:u w:val="none"/>
        </w:rPr>
        <w:t xml:space="preserve"> y </w:t>
      </w:r>
      <w:r w:rsidR="008A2F2E">
        <w:rPr>
          <w:lang w:val="es-CO"/>
        </w:rPr>
        <w:t>T-610 de 2017.</w:t>
      </w:r>
    </w:p>
  </w:footnote>
  <w:footnote w:id="9">
    <w:p w:rsidR="0079763C" w:rsidRPr="00C65E25" w:rsidRDefault="0079763C" w:rsidP="0079763C">
      <w:pPr>
        <w:pStyle w:val="Textonotapie"/>
        <w:jc w:val="both"/>
      </w:pPr>
      <w:r w:rsidRPr="00C65E25">
        <w:rPr>
          <w:vertAlign w:val="superscript"/>
        </w:rPr>
        <w:footnoteRef/>
      </w:r>
      <w:r w:rsidRPr="00C65E25">
        <w:rPr>
          <w:lang w:val="es-CO"/>
        </w:rPr>
        <w:t xml:space="preserve"> </w:t>
      </w:r>
      <w:r w:rsidRPr="00C65E25">
        <w:rPr>
          <w:lang w:val="es-MX"/>
        </w:rPr>
        <w:t>CC. T- 572 de 2015</w:t>
      </w:r>
      <w:r w:rsidRPr="00C65E25">
        <w:rPr>
          <w:lang w:val="es-CO"/>
        </w:rPr>
        <w:t xml:space="preserve">. </w:t>
      </w:r>
    </w:p>
  </w:footnote>
  <w:footnote w:id="10">
    <w:p w:rsidR="0079763C" w:rsidRPr="00C65E25" w:rsidRDefault="0079763C" w:rsidP="0079763C">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T-046 de 1995</w:t>
      </w:r>
      <w:r>
        <w:rPr>
          <w:lang w:val="es-CO"/>
        </w:rPr>
        <w:t xml:space="preserve"> referida en las </w:t>
      </w:r>
      <w:r w:rsidRPr="00C65E25">
        <w:rPr>
          <w:bCs/>
          <w:lang w:val="es-CO"/>
        </w:rPr>
        <w:t>T-722 de 2014 y</w:t>
      </w:r>
      <w:r w:rsidRPr="00C65E25">
        <w:rPr>
          <w:b/>
          <w:bCs/>
          <w:lang w:val="es-CO"/>
        </w:rPr>
        <w:t xml:space="preserve"> </w:t>
      </w:r>
      <w:r w:rsidRPr="00C65E25">
        <w:rPr>
          <w:bCs/>
          <w:lang w:val="es-CO"/>
        </w:rPr>
        <w:t>T-572 de 2015, entre otras</w:t>
      </w:r>
      <w:r w:rsidRPr="00C65E25">
        <w:rPr>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1">
    <w:p w:rsidR="0079763C" w:rsidRPr="00C65E25" w:rsidRDefault="0079763C" w:rsidP="0079763C">
      <w:pPr>
        <w:pStyle w:val="Textonotapie"/>
        <w:jc w:val="both"/>
      </w:pPr>
      <w:r w:rsidRPr="00C65E25">
        <w:rPr>
          <w:vertAlign w:val="superscript"/>
        </w:rPr>
        <w:footnoteRef/>
      </w:r>
      <w:r w:rsidRPr="00C65E25">
        <w:rPr>
          <w:lang w:val="es-CO"/>
        </w:rPr>
        <w:t xml:space="preserve"> CC. T-100 de 1994, T-256 de 1995, T-325 de 1995, T-455 de 1996, T-459 de 1996, T-083 de 1997, SU-133 de 1998 y </w:t>
      </w:r>
      <w:r w:rsidRPr="00C65E25">
        <w:rPr>
          <w:bCs/>
          <w:lang w:val="es-CO"/>
        </w:rPr>
        <w:t>T-247 de 2015, entre otras</w:t>
      </w:r>
      <w:r w:rsidRPr="00C65E25">
        <w:rPr>
          <w:lang w:val="es-CO"/>
        </w:rPr>
        <w:t>.</w:t>
      </w:r>
    </w:p>
  </w:footnote>
  <w:footnote w:id="12">
    <w:p w:rsidR="0079763C" w:rsidRPr="00C65E25" w:rsidRDefault="0079763C" w:rsidP="0079763C">
      <w:pPr>
        <w:pStyle w:val="Textonotapie"/>
        <w:jc w:val="both"/>
      </w:pPr>
      <w:r w:rsidRPr="00C65E25">
        <w:rPr>
          <w:vertAlign w:val="superscript"/>
        </w:rPr>
        <w:footnoteRef/>
      </w:r>
      <w:r w:rsidRPr="00C65E25">
        <w:rPr>
          <w:lang w:val="es-CO"/>
        </w:rPr>
        <w:t xml:space="preserve"> CC. </w:t>
      </w:r>
      <w:r w:rsidRPr="00C65E25">
        <w:t>T-225 de 1993</w:t>
      </w:r>
      <w:r>
        <w:t xml:space="preserve">, reiterada en las </w:t>
      </w:r>
      <w:r w:rsidRPr="00C65E25">
        <w:t xml:space="preserve">T-082 de 2016 y </w:t>
      </w:r>
      <w:r w:rsidRPr="00C65E25">
        <w:rPr>
          <w:bCs/>
        </w:rPr>
        <w:t>T-095 de 2016, entre otras</w:t>
      </w:r>
      <w:r w:rsidRPr="00C65E25">
        <w:t xml:space="preserve">: según esta sentencia </w:t>
      </w:r>
      <w:r w:rsidRPr="00C65E25">
        <w:rPr>
          <w:bCs/>
        </w:rPr>
        <w:t>el perjuicio irremediable se caracteriza i</w:t>
      </w:r>
      <w:r w:rsidRPr="00C65E25">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79763C" w:rsidRPr="00C65E25" w:rsidRDefault="0079763C" w:rsidP="0079763C">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14">
    <w:p w:rsidR="0079763C" w:rsidRPr="00C65E25" w:rsidRDefault="0079763C" w:rsidP="0079763C">
      <w:pPr>
        <w:pStyle w:val="Textonotapie"/>
        <w:jc w:val="both"/>
      </w:pPr>
      <w:r w:rsidRPr="00C65E25">
        <w:rPr>
          <w:vertAlign w:val="superscript"/>
        </w:rPr>
        <w:footnoteRef/>
      </w:r>
      <w:r w:rsidRPr="00C65E25">
        <w:t xml:space="preserve"> CC. T-225 de 1993, T-436 de 2007, T-016 de 2008, T-1238 de 2008, T-273 de 2009,  </w:t>
      </w:r>
      <w:hyperlink r:id="rId4" w:tooltip="Haga clic para abrir la Sentencia T-660 de 2010" w:history="1">
        <w:r w:rsidRPr="00C65E25">
          <w:rPr>
            <w:rStyle w:val="Hipervnculo"/>
            <w:color w:val="000000" w:themeColor="text1"/>
            <w:u w:val="none"/>
          </w:rPr>
          <w:t>T-660 de 2010</w:t>
        </w:r>
      </w:hyperlink>
      <w:r w:rsidRPr="00C65E25">
        <w:rPr>
          <w:bCs/>
          <w:color w:val="000000" w:themeColor="text1"/>
        </w:rPr>
        <w:t xml:space="preserve"> y </w:t>
      </w:r>
      <w:r w:rsidRPr="00C65E25">
        <w:rPr>
          <w:bCs/>
        </w:rPr>
        <w:t>T-082 de 2016</w:t>
      </w:r>
      <w:r w:rsidRPr="00C65E25">
        <w:t>, entre otras.</w:t>
      </w:r>
    </w:p>
  </w:footnote>
  <w:footnote w:id="15">
    <w:p w:rsidR="0079763C" w:rsidRPr="00C65E25" w:rsidRDefault="0079763C" w:rsidP="0079763C">
      <w:pPr>
        <w:pStyle w:val="Textonotapie"/>
        <w:jc w:val="both"/>
      </w:pPr>
      <w:r w:rsidRPr="00C65E25">
        <w:rPr>
          <w:rStyle w:val="Refdenotaalpie"/>
        </w:rPr>
        <w:footnoteRef/>
      </w:r>
      <w:r w:rsidRPr="00C65E25">
        <w:t xml:space="preserve"> </w:t>
      </w:r>
      <w:r>
        <w:rPr>
          <w:lang w:val="es-CO"/>
        </w:rPr>
        <w:t xml:space="preserve">CC. </w:t>
      </w:r>
      <w:r w:rsidRPr="00C65E25">
        <w:t>T-1316 de 2001</w:t>
      </w:r>
      <w:r w:rsidRPr="00C65E25">
        <w:rPr>
          <w:bCs/>
          <w:lang w:val="es-CO"/>
        </w:rPr>
        <w:t>.</w:t>
      </w:r>
    </w:p>
  </w:footnote>
  <w:footnote w:id="16">
    <w:p w:rsidR="0079763C" w:rsidRPr="00C65E25" w:rsidRDefault="0079763C" w:rsidP="0079763C">
      <w:pPr>
        <w:pStyle w:val="Textonotapie"/>
        <w:jc w:val="both"/>
        <w:rPr>
          <w:lang w:val="es-CO"/>
        </w:rPr>
      </w:pPr>
      <w:r w:rsidRPr="00C65E25">
        <w:rPr>
          <w:rStyle w:val="Refdenotaalpie"/>
        </w:rPr>
        <w:footnoteRef/>
      </w:r>
      <w:r w:rsidRPr="00C65E25">
        <w:t xml:space="preserve"> CC. </w:t>
      </w:r>
      <w:r w:rsidRPr="00C65E25">
        <w:rPr>
          <w:lang w:val="es-MX"/>
        </w:rPr>
        <w:t>T-972 de 2014</w:t>
      </w:r>
      <w:r w:rsidR="008A2F2E">
        <w:rPr>
          <w:lang w:val="es-MX"/>
        </w:rPr>
        <w:t xml:space="preserve">, </w:t>
      </w:r>
      <w:r w:rsidR="008A2F2E" w:rsidRPr="00C65E25">
        <w:t xml:space="preserve">T-082 de 2016 y </w:t>
      </w:r>
      <w:r w:rsidR="008A2F2E" w:rsidRPr="00C65E25">
        <w:rPr>
          <w:bCs/>
        </w:rPr>
        <w:t>T-095 de 2016</w:t>
      </w:r>
      <w:r w:rsidRPr="00C65E25">
        <w:rPr>
          <w:lang w:val="es-MX"/>
        </w:rPr>
        <w:t>.</w:t>
      </w:r>
    </w:p>
  </w:footnote>
  <w:footnote w:id="17">
    <w:p w:rsidR="0079763C" w:rsidRPr="00C65E25" w:rsidRDefault="0079763C" w:rsidP="0079763C">
      <w:pPr>
        <w:pStyle w:val="Textonotapie"/>
        <w:jc w:val="both"/>
        <w:rPr>
          <w:lang w:val="es-CO"/>
        </w:rPr>
      </w:pPr>
      <w:r w:rsidRPr="00C65E25">
        <w:rPr>
          <w:rStyle w:val="Refdenotaalpie"/>
        </w:rPr>
        <w:footnoteRef/>
      </w:r>
      <w:r w:rsidRPr="00C65E25">
        <w:t xml:space="preserve"> TSP, Sala Civil – Familia. Sentencia del 05-08-2015; MP: Grisales H.,  exp.No.2015-00284-00.</w:t>
      </w:r>
    </w:p>
  </w:footnote>
  <w:footnote w:id="18">
    <w:p w:rsidR="0079763C" w:rsidRPr="00C65E25" w:rsidRDefault="0079763C" w:rsidP="0079763C">
      <w:pPr>
        <w:pStyle w:val="Textonotapie"/>
        <w:jc w:val="both"/>
        <w:rPr>
          <w:b/>
          <w:lang w:val="es-CO"/>
        </w:rPr>
      </w:pPr>
      <w:r w:rsidRPr="00C65E25">
        <w:rPr>
          <w:rStyle w:val="Refdenotaalpie"/>
        </w:rPr>
        <w:footnoteRef/>
      </w:r>
      <w:r w:rsidRPr="00C65E25">
        <w:t xml:space="preserve"> </w:t>
      </w:r>
      <w:r w:rsidRPr="00C65E25">
        <w:rPr>
          <w:lang w:val="es-CO"/>
        </w:rPr>
        <w:t>CSJ.</w:t>
      </w:r>
      <w:r w:rsidR="00227D0F">
        <w:rPr>
          <w:lang w:val="es-CO"/>
        </w:rPr>
        <w:t xml:space="preserve"> STC1390-2018,</w:t>
      </w:r>
      <w:r w:rsidRPr="00C65E25">
        <w:rPr>
          <w:lang w:val="es-CO"/>
        </w:rPr>
        <w:t xml:space="preserve"> STC6880-2016,</w:t>
      </w:r>
      <w:r w:rsidRPr="00C65E25">
        <w:rPr>
          <w:b/>
          <w:lang w:val="es-CO"/>
        </w:rPr>
        <w:t xml:space="preserve"> </w:t>
      </w:r>
      <w:r w:rsidRPr="00C65E25">
        <w:t>STC7686-2016,</w:t>
      </w:r>
      <w:r w:rsidRPr="00C65E25">
        <w:rPr>
          <w:b/>
        </w:rPr>
        <w:t xml:space="preserve"> </w:t>
      </w:r>
      <w:r w:rsidRPr="00C65E25">
        <w:t>STC8200-2016 y</w:t>
      </w:r>
      <w:r w:rsidRPr="00C65E25">
        <w:rPr>
          <w:lang w:val="es-CO"/>
        </w:rPr>
        <w:t xml:space="preserve"> </w:t>
      </w:r>
      <w:r w:rsidRPr="00C65E25">
        <w:t>STC8324-2016, entre otras.</w:t>
      </w:r>
    </w:p>
  </w:footnote>
  <w:footnote w:id="19">
    <w:p w:rsidR="0079763C" w:rsidRPr="00C65E25" w:rsidRDefault="0079763C" w:rsidP="0079763C">
      <w:pPr>
        <w:pStyle w:val="Textonotapie"/>
        <w:jc w:val="both"/>
        <w:rPr>
          <w:lang w:val="es-ES_tradnl"/>
        </w:rPr>
      </w:pPr>
      <w:r w:rsidRPr="00C65E25">
        <w:rPr>
          <w:rStyle w:val="Refdenotaalpie"/>
        </w:rPr>
        <w:footnoteRef/>
      </w:r>
      <w:r w:rsidRPr="00C65E25">
        <w:t xml:space="preserve"> </w:t>
      </w:r>
      <w:r w:rsidRPr="00C65E25">
        <w:rPr>
          <w:lang w:val="es-CO"/>
        </w:rPr>
        <w:t xml:space="preserve">CSJ. </w:t>
      </w:r>
      <w:r w:rsidRPr="00C65E25">
        <w:t>STC8200-2016 y</w:t>
      </w:r>
      <w:r w:rsidRPr="00C65E25">
        <w:rPr>
          <w:lang w:val="es-CO"/>
        </w:rPr>
        <w:t xml:space="preserve"> </w:t>
      </w:r>
      <w:r w:rsidRPr="00C65E25">
        <w:t>STC8324-2016.</w:t>
      </w:r>
    </w:p>
  </w:footnote>
  <w:footnote w:id="20">
    <w:p w:rsidR="00C86DE2" w:rsidRPr="00C65E25" w:rsidRDefault="00C86DE2" w:rsidP="00C86DE2">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21">
    <w:p w:rsidR="00BE531E" w:rsidRPr="00BE531E" w:rsidRDefault="00BE531E">
      <w:pPr>
        <w:pStyle w:val="Textonotapie"/>
        <w:rPr>
          <w:lang w:val="es-CO"/>
        </w:rPr>
      </w:pPr>
      <w:r>
        <w:rPr>
          <w:rStyle w:val="Refdenotaalpie"/>
        </w:rPr>
        <w:footnoteRef/>
      </w:r>
      <w:r>
        <w:t xml:space="preserve"> </w:t>
      </w:r>
      <w:r>
        <w:rPr>
          <w:lang w:val="es-CO"/>
        </w:rPr>
        <w:t>CC. T-030 de 2017.</w:t>
      </w:r>
    </w:p>
  </w:footnote>
  <w:footnote w:id="22">
    <w:p w:rsidR="00DF7EF1" w:rsidRPr="00DF7EF1" w:rsidRDefault="00DF7EF1">
      <w:pPr>
        <w:pStyle w:val="Textonotapie"/>
        <w:rPr>
          <w:lang w:val="es-CO"/>
        </w:rPr>
      </w:pPr>
      <w:r>
        <w:rPr>
          <w:rStyle w:val="Refdenotaalpie"/>
        </w:rPr>
        <w:footnoteRef/>
      </w:r>
      <w:r>
        <w:t xml:space="preserve"> </w:t>
      </w:r>
      <w:r>
        <w:rPr>
          <w:lang w:val="es-CO"/>
        </w:rPr>
        <w:t>TSP, Sala Civil – Familia. Sentencia del 17-04-2018, MP: Sánchez C., Exp.2018-00090-01.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3A6159" w:rsidRDefault="003B0490">
    <w:pPr>
      <w:pStyle w:val="Encabezado"/>
      <w:pBdr>
        <w:bottom w:val="single" w:sz="4" w:space="1" w:color="D9D9D9"/>
      </w:pBdr>
      <w:jc w:val="right"/>
      <w:rPr>
        <w:rFonts w:ascii="Georgia" w:hAnsi="Georgia" w:cs="Calibri"/>
        <w:i/>
        <w:sz w:val="20"/>
      </w:rPr>
    </w:pPr>
    <w:r w:rsidRPr="003A6159">
      <w:rPr>
        <w:rFonts w:ascii="Georgia" w:hAnsi="Georgia" w:cs="Calibri"/>
        <w:i/>
        <w:color w:val="7F7F7F"/>
        <w:spacing w:val="60"/>
        <w:sz w:val="20"/>
      </w:rPr>
      <w:t>Página</w:t>
    </w:r>
    <w:r w:rsidRPr="003A6159">
      <w:rPr>
        <w:rFonts w:ascii="Georgia" w:hAnsi="Georgia" w:cs="Calibri"/>
        <w:i/>
        <w:sz w:val="20"/>
      </w:rPr>
      <w:t xml:space="preserve"> | </w:t>
    </w:r>
    <w:r w:rsidRPr="003A6159">
      <w:rPr>
        <w:rFonts w:ascii="Georgia" w:hAnsi="Georgia" w:cs="Calibri"/>
        <w:i/>
        <w:sz w:val="20"/>
      </w:rPr>
      <w:fldChar w:fldCharType="begin"/>
    </w:r>
    <w:r w:rsidRPr="003A6159">
      <w:rPr>
        <w:rFonts w:ascii="Georgia" w:hAnsi="Georgia" w:cs="Calibri"/>
        <w:i/>
        <w:sz w:val="20"/>
      </w:rPr>
      <w:instrText xml:space="preserve"> PAGE   \* MERGEFORMAT </w:instrText>
    </w:r>
    <w:r w:rsidRPr="003A6159">
      <w:rPr>
        <w:rFonts w:ascii="Georgia" w:hAnsi="Georgia" w:cs="Calibri"/>
        <w:i/>
        <w:sz w:val="20"/>
      </w:rPr>
      <w:fldChar w:fldCharType="separate"/>
    </w:r>
    <w:r w:rsidR="00B13B24">
      <w:rPr>
        <w:rFonts w:ascii="Georgia" w:hAnsi="Georgia" w:cs="Calibri"/>
        <w:i/>
        <w:noProof/>
        <w:sz w:val="20"/>
      </w:rPr>
      <w:t>2</w:t>
    </w:r>
    <w:r w:rsidRPr="003A6159">
      <w:rPr>
        <w:rFonts w:ascii="Georgia" w:hAnsi="Georgia" w:cs="Calibri"/>
        <w:i/>
        <w:sz w:val="20"/>
      </w:rPr>
      <w:fldChar w:fldCharType="end"/>
    </w:r>
  </w:p>
  <w:p w:rsidR="003B0490" w:rsidRPr="003A6159" w:rsidRDefault="003B0490" w:rsidP="009C568C">
    <w:pPr>
      <w:pStyle w:val="Encabezado"/>
      <w:ind w:right="360"/>
      <w:jc w:val="both"/>
      <w:rPr>
        <w:rFonts w:ascii="Georgia" w:hAnsi="Georgia" w:cs="Calibri"/>
        <w:i/>
        <w:sz w:val="20"/>
        <w:szCs w:val="22"/>
      </w:rPr>
    </w:pPr>
    <w:r w:rsidRPr="003A6159">
      <w:rPr>
        <w:rFonts w:ascii="Georgia" w:hAnsi="Georgia" w:cs="Calibri"/>
        <w:i/>
        <w:sz w:val="20"/>
        <w:szCs w:val="22"/>
      </w:rPr>
      <w:t>EXPEDIENTE No.</w:t>
    </w:r>
    <w:r w:rsidR="003A6159">
      <w:rPr>
        <w:rFonts w:ascii="Georgia" w:hAnsi="Georgia" w:cs="Calibri"/>
        <w:i/>
        <w:sz w:val="20"/>
        <w:szCs w:val="22"/>
      </w:rPr>
      <w:t>2018-</w:t>
    </w:r>
    <w:r w:rsidR="00BA7E41">
      <w:rPr>
        <w:rFonts w:ascii="Georgia" w:hAnsi="Georgia" w:cs="Calibri"/>
        <w:i/>
        <w:sz w:val="20"/>
        <w:szCs w:val="22"/>
      </w:rPr>
      <w:t>00077</w:t>
    </w:r>
    <w:r w:rsidR="003A6159">
      <w:rPr>
        <w:rFonts w:ascii="Georgia" w:hAnsi="Georgia" w:cs="Calibri"/>
        <w:i/>
        <w:sz w:val="20"/>
        <w:szCs w:val="22"/>
      </w:rPr>
      <w:t>-02</w:t>
    </w:r>
    <w:r w:rsidRPr="003A6159">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5"/>
  </w:num>
  <w:num w:numId="3">
    <w:abstractNumId w:val="13"/>
  </w:num>
  <w:num w:numId="4">
    <w:abstractNumId w:val="3"/>
  </w:num>
  <w:num w:numId="5">
    <w:abstractNumId w:val="25"/>
  </w:num>
  <w:num w:numId="6">
    <w:abstractNumId w:val="1"/>
  </w:num>
  <w:num w:numId="7">
    <w:abstractNumId w:val="20"/>
  </w:num>
  <w:num w:numId="8">
    <w:abstractNumId w:val="2"/>
  </w:num>
  <w:num w:numId="9">
    <w:abstractNumId w:val="26"/>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523"/>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2F7F"/>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3E68"/>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0011"/>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8CC"/>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51"/>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4D6"/>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780"/>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D0F"/>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D35"/>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159"/>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7F"/>
    <w:rsid w:val="003D45B1"/>
    <w:rsid w:val="003D46EB"/>
    <w:rsid w:val="003D475E"/>
    <w:rsid w:val="003D4FD9"/>
    <w:rsid w:val="003D5956"/>
    <w:rsid w:val="003D5FC6"/>
    <w:rsid w:val="003D65B3"/>
    <w:rsid w:val="003D6763"/>
    <w:rsid w:val="003D6BEE"/>
    <w:rsid w:val="003D70D2"/>
    <w:rsid w:val="003D724B"/>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FB9"/>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116"/>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154"/>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A17"/>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061"/>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CE8"/>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5B4"/>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3A4"/>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2742"/>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34C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74B"/>
    <w:rsid w:val="006A5A53"/>
    <w:rsid w:val="006A64CC"/>
    <w:rsid w:val="006A7A1D"/>
    <w:rsid w:val="006A7CCB"/>
    <w:rsid w:val="006B0120"/>
    <w:rsid w:val="006B0770"/>
    <w:rsid w:val="006B085D"/>
    <w:rsid w:val="006B0A6C"/>
    <w:rsid w:val="006B0E46"/>
    <w:rsid w:val="006B1091"/>
    <w:rsid w:val="006B1931"/>
    <w:rsid w:val="006B23BE"/>
    <w:rsid w:val="006B2B98"/>
    <w:rsid w:val="006B3755"/>
    <w:rsid w:val="006B4491"/>
    <w:rsid w:val="006B470D"/>
    <w:rsid w:val="006B4D62"/>
    <w:rsid w:val="006B527A"/>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6BDC"/>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63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2C3D"/>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309D"/>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1ED6"/>
    <w:rsid w:val="00832CC5"/>
    <w:rsid w:val="008335F7"/>
    <w:rsid w:val="0083382D"/>
    <w:rsid w:val="008338A8"/>
    <w:rsid w:val="00833A49"/>
    <w:rsid w:val="00834295"/>
    <w:rsid w:val="00834BB8"/>
    <w:rsid w:val="00834CBE"/>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2F2E"/>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ADD"/>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2766"/>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9F1"/>
    <w:rsid w:val="009C2DCA"/>
    <w:rsid w:val="009C2E56"/>
    <w:rsid w:val="009C3B9F"/>
    <w:rsid w:val="009C466A"/>
    <w:rsid w:val="009C4A9B"/>
    <w:rsid w:val="009C568C"/>
    <w:rsid w:val="009C56B0"/>
    <w:rsid w:val="009C670F"/>
    <w:rsid w:val="009C6852"/>
    <w:rsid w:val="009C6C4A"/>
    <w:rsid w:val="009C7990"/>
    <w:rsid w:val="009C7E68"/>
    <w:rsid w:val="009D00E1"/>
    <w:rsid w:val="009D0139"/>
    <w:rsid w:val="009D058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4E3D"/>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6E5"/>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B24"/>
    <w:rsid w:val="00B13DA9"/>
    <w:rsid w:val="00B13ECA"/>
    <w:rsid w:val="00B14091"/>
    <w:rsid w:val="00B14B9A"/>
    <w:rsid w:val="00B1542F"/>
    <w:rsid w:val="00B15B77"/>
    <w:rsid w:val="00B16CC9"/>
    <w:rsid w:val="00B16DA5"/>
    <w:rsid w:val="00B1736E"/>
    <w:rsid w:val="00B1774F"/>
    <w:rsid w:val="00B203F2"/>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3F02"/>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E41"/>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31E"/>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344"/>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6DE2"/>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2C"/>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23F2"/>
    <w:rsid w:val="00DA37F5"/>
    <w:rsid w:val="00DA3DFC"/>
    <w:rsid w:val="00DA4AEC"/>
    <w:rsid w:val="00DA569C"/>
    <w:rsid w:val="00DA59FF"/>
    <w:rsid w:val="00DA5B56"/>
    <w:rsid w:val="00DA6B15"/>
    <w:rsid w:val="00DA6FAB"/>
    <w:rsid w:val="00DA7AF6"/>
    <w:rsid w:val="00DB02C2"/>
    <w:rsid w:val="00DB0EC3"/>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2ED"/>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6BF8"/>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DF7EF1"/>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564"/>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E16"/>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9CF"/>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66729095">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90807391">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87766390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980615550">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79660666">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70428555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3647658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6/SU499-16.rtf"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 Id="rId4"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5486-6C57-418C-B723-EF1236B7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2925</Words>
  <Characters>16089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2018-05-07T17:57:00Z</cp:lastPrinted>
  <dcterms:created xsi:type="dcterms:W3CDTF">2018-05-07T13:50:00Z</dcterms:created>
  <dcterms:modified xsi:type="dcterms:W3CDTF">2018-06-19T20:16:00Z</dcterms:modified>
</cp:coreProperties>
</file>