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A50" w:rsidRPr="00A703B5" w:rsidRDefault="00E91A50" w:rsidP="00E91A50">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eastAsia="Calibri" w:hAnsi="Arial" w:cs="Arial"/>
          <w:sz w:val="28"/>
          <w:szCs w:val="22"/>
          <w:lang w:val="es-CO" w:eastAsia="fr-FR"/>
        </w:rPr>
      </w:pPr>
      <w:r w:rsidRPr="00A703B5">
        <w:rPr>
          <w:rFonts w:ascii="Arial" w:eastAsia="Calibri" w:hAnsi="Arial" w:cs="Arial"/>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703B5">
        <w:rPr>
          <w:rFonts w:ascii="Arial" w:eastAsia="Calibri" w:hAnsi="Arial" w:cs="Arial"/>
          <w:color w:val="FF0000"/>
          <w:szCs w:val="18"/>
          <w:lang w:val="es-CO" w:eastAsia="fr-FR"/>
        </w:rPr>
        <w:t> </w:t>
      </w:r>
    </w:p>
    <w:p w:rsidR="00E91A50" w:rsidRPr="00A703B5" w:rsidRDefault="00E91A50" w:rsidP="00E91A50">
      <w:pPr>
        <w:shd w:val="clear" w:color="auto" w:fill="FFFFFF"/>
        <w:ind w:left="2124" w:hanging="2124"/>
        <w:jc w:val="both"/>
        <w:rPr>
          <w:rFonts w:ascii="Arial" w:eastAsia="Calibri" w:hAnsi="Arial" w:cs="Arial"/>
          <w:sz w:val="18"/>
          <w:szCs w:val="18"/>
          <w:lang w:val="es-CO" w:eastAsia="fr-FR"/>
        </w:rPr>
      </w:pPr>
      <w:r w:rsidRPr="00A703B5">
        <w:rPr>
          <w:rFonts w:ascii="Arial" w:hAnsi="Arial" w:cs="Arial"/>
          <w:sz w:val="18"/>
          <w:szCs w:val="18"/>
          <w:lang w:val="es-CO" w:eastAsia="fr-FR"/>
        </w:rPr>
        <w:t>Providencia:</w:t>
      </w:r>
      <w:r w:rsidRPr="00A703B5">
        <w:rPr>
          <w:rFonts w:ascii="Arial" w:hAnsi="Arial" w:cs="Arial"/>
          <w:sz w:val="18"/>
          <w:szCs w:val="18"/>
          <w:lang w:val="es-CO" w:eastAsia="fr-FR"/>
        </w:rPr>
        <w:tab/>
        <w:t>Auto  - 2ª Instancia -2</w:t>
      </w:r>
      <w:r w:rsidRPr="00A703B5">
        <w:rPr>
          <w:rFonts w:ascii="Arial" w:hAnsi="Arial" w:cs="Arial"/>
          <w:sz w:val="18"/>
          <w:szCs w:val="18"/>
          <w:lang w:val="es-CO" w:eastAsia="fr-FR"/>
        </w:rPr>
        <w:t>5</w:t>
      </w:r>
      <w:r w:rsidRPr="00A703B5">
        <w:rPr>
          <w:rFonts w:ascii="Arial" w:hAnsi="Arial" w:cs="Arial"/>
          <w:sz w:val="18"/>
          <w:szCs w:val="18"/>
          <w:lang w:val="es-CO" w:eastAsia="fr-FR"/>
        </w:rPr>
        <w:t xml:space="preserve"> de junio de 2018</w:t>
      </w:r>
    </w:p>
    <w:p w:rsidR="00E91A50" w:rsidRPr="00A703B5" w:rsidRDefault="00E91A50" w:rsidP="00E91A50">
      <w:pPr>
        <w:shd w:val="clear" w:color="auto" w:fill="FFFFFF"/>
        <w:tabs>
          <w:tab w:val="left" w:pos="1418"/>
        </w:tabs>
        <w:jc w:val="both"/>
        <w:rPr>
          <w:rFonts w:ascii="Arial" w:eastAsia="Calibri" w:hAnsi="Arial" w:cs="Arial"/>
          <w:sz w:val="18"/>
          <w:szCs w:val="18"/>
          <w:lang w:eastAsia="fr-FR"/>
        </w:rPr>
      </w:pPr>
      <w:r w:rsidRPr="00A703B5">
        <w:rPr>
          <w:rFonts w:ascii="Arial" w:eastAsia="Calibri" w:hAnsi="Arial" w:cs="Arial"/>
          <w:sz w:val="18"/>
          <w:szCs w:val="18"/>
          <w:lang w:val="es-CO" w:eastAsia="fr-FR"/>
        </w:rPr>
        <w:t>Radicación Nro. :</w:t>
      </w:r>
      <w:r w:rsidRPr="00A703B5">
        <w:rPr>
          <w:rFonts w:ascii="Arial" w:eastAsia="Calibri" w:hAnsi="Arial" w:cs="Arial"/>
          <w:sz w:val="18"/>
          <w:szCs w:val="18"/>
          <w:lang w:val="es-CO" w:eastAsia="fr-FR"/>
        </w:rPr>
        <w:tab/>
        <w:t xml:space="preserve">  </w:t>
      </w:r>
      <w:r w:rsidRPr="00A703B5">
        <w:rPr>
          <w:rFonts w:ascii="Arial" w:eastAsia="Calibri" w:hAnsi="Arial" w:cs="Arial"/>
          <w:sz w:val="18"/>
          <w:szCs w:val="18"/>
          <w:lang w:val="es-CO" w:eastAsia="fr-FR"/>
        </w:rPr>
        <w:tab/>
      </w:r>
      <w:r w:rsidRPr="00A703B5">
        <w:rPr>
          <w:rFonts w:ascii="Arial" w:eastAsia="Calibri" w:hAnsi="Arial" w:cs="Arial"/>
          <w:sz w:val="18"/>
          <w:szCs w:val="18"/>
          <w:lang w:eastAsia="fr-FR"/>
        </w:rPr>
        <w:t>2010-00091-03</w:t>
      </w:r>
    </w:p>
    <w:p w:rsidR="00E91A50" w:rsidRPr="00A703B5" w:rsidRDefault="00E91A50" w:rsidP="00E91A50">
      <w:pPr>
        <w:shd w:val="clear" w:color="auto" w:fill="FFFFFF"/>
        <w:tabs>
          <w:tab w:val="left" w:pos="1418"/>
        </w:tabs>
        <w:jc w:val="both"/>
        <w:rPr>
          <w:rFonts w:ascii="Arial" w:eastAsia="Calibri" w:hAnsi="Arial" w:cs="Arial"/>
          <w:bCs/>
          <w:sz w:val="18"/>
          <w:szCs w:val="18"/>
          <w:lang w:eastAsia="fr-FR"/>
        </w:rPr>
      </w:pPr>
      <w:r w:rsidRPr="00A703B5">
        <w:rPr>
          <w:rFonts w:ascii="Arial" w:eastAsia="Calibri" w:hAnsi="Arial" w:cs="Arial"/>
          <w:sz w:val="18"/>
          <w:szCs w:val="18"/>
          <w:lang w:val="es-ES_tradnl" w:eastAsia="fr-FR"/>
        </w:rPr>
        <w:t>Demandante</w:t>
      </w:r>
      <w:r w:rsidRPr="00A703B5">
        <w:rPr>
          <w:rFonts w:ascii="Arial" w:eastAsia="Calibri" w:hAnsi="Arial" w:cs="Arial"/>
          <w:sz w:val="18"/>
          <w:szCs w:val="18"/>
          <w:lang w:val="es-CO" w:eastAsia="fr-FR"/>
        </w:rPr>
        <w:t>:</w:t>
      </w:r>
      <w:r w:rsidRPr="00A703B5">
        <w:rPr>
          <w:rFonts w:ascii="Arial" w:eastAsia="Calibri" w:hAnsi="Arial" w:cs="Arial"/>
          <w:sz w:val="18"/>
          <w:szCs w:val="18"/>
          <w:lang w:val="es-CO" w:eastAsia="fr-FR"/>
        </w:rPr>
        <w:tab/>
      </w:r>
      <w:r w:rsidRPr="00A703B5">
        <w:rPr>
          <w:rFonts w:ascii="Arial" w:eastAsia="Calibri" w:hAnsi="Arial" w:cs="Arial"/>
          <w:sz w:val="18"/>
          <w:szCs w:val="18"/>
          <w:lang w:val="es-CO" w:eastAsia="fr-FR"/>
        </w:rPr>
        <w:tab/>
      </w:r>
      <w:r w:rsidRPr="00A703B5">
        <w:rPr>
          <w:rFonts w:ascii="Arial" w:eastAsia="Calibri" w:hAnsi="Arial" w:cs="Arial"/>
          <w:bCs/>
          <w:sz w:val="18"/>
          <w:szCs w:val="18"/>
          <w:lang w:val="es-CO" w:eastAsia="fr-FR"/>
        </w:rPr>
        <w:t>Jesús Antonio Ortiz Arcila</w:t>
      </w:r>
    </w:p>
    <w:p w:rsidR="00E91A50" w:rsidRPr="00A703B5" w:rsidRDefault="00E91A50" w:rsidP="00E91A50">
      <w:pPr>
        <w:shd w:val="clear" w:color="auto" w:fill="FFFFFF"/>
        <w:tabs>
          <w:tab w:val="left" w:pos="1418"/>
        </w:tabs>
        <w:jc w:val="both"/>
        <w:rPr>
          <w:rFonts w:ascii="Arial" w:eastAsia="Calibri" w:hAnsi="Arial" w:cs="Arial"/>
          <w:bCs/>
          <w:sz w:val="18"/>
          <w:szCs w:val="18"/>
          <w:lang w:eastAsia="fr-FR"/>
        </w:rPr>
      </w:pPr>
      <w:r w:rsidRPr="00A703B5">
        <w:rPr>
          <w:rFonts w:ascii="Arial" w:eastAsia="Calibri" w:hAnsi="Arial" w:cs="Arial"/>
          <w:bCs/>
          <w:sz w:val="18"/>
          <w:szCs w:val="18"/>
          <w:lang w:eastAsia="fr-FR"/>
        </w:rPr>
        <w:t xml:space="preserve">Demandado: </w:t>
      </w:r>
      <w:r w:rsidRPr="00A703B5">
        <w:rPr>
          <w:rFonts w:ascii="Arial" w:eastAsia="Calibri" w:hAnsi="Arial" w:cs="Arial"/>
          <w:bCs/>
          <w:sz w:val="18"/>
          <w:szCs w:val="18"/>
          <w:lang w:eastAsia="fr-FR"/>
        </w:rPr>
        <w:tab/>
      </w:r>
      <w:r w:rsidRPr="00A703B5">
        <w:rPr>
          <w:rFonts w:ascii="Arial" w:eastAsia="Calibri" w:hAnsi="Arial" w:cs="Arial"/>
          <w:bCs/>
          <w:sz w:val="18"/>
          <w:szCs w:val="18"/>
          <w:lang w:eastAsia="fr-FR"/>
        </w:rPr>
        <w:tab/>
      </w:r>
      <w:r w:rsidRPr="00A703B5">
        <w:rPr>
          <w:rFonts w:ascii="Arial" w:eastAsia="Calibri" w:hAnsi="Arial" w:cs="Arial"/>
          <w:bCs/>
          <w:sz w:val="18"/>
          <w:szCs w:val="18"/>
          <w:lang w:val="es-CO" w:eastAsia="fr-FR"/>
        </w:rPr>
        <w:t xml:space="preserve">Seguros de vida suramericana </w:t>
      </w:r>
      <w:proofErr w:type="spellStart"/>
      <w:r w:rsidRPr="00A703B5">
        <w:rPr>
          <w:rFonts w:ascii="Arial" w:eastAsia="Calibri" w:hAnsi="Arial" w:cs="Arial"/>
          <w:bCs/>
          <w:sz w:val="18"/>
          <w:szCs w:val="18"/>
          <w:lang w:val="es-CO" w:eastAsia="fr-FR"/>
        </w:rPr>
        <w:t>SA</w:t>
      </w:r>
      <w:proofErr w:type="spellEnd"/>
    </w:p>
    <w:p w:rsidR="00E91A50" w:rsidRPr="00A703B5" w:rsidRDefault="00E91A50" w:rsidP="00E91A50">
      <w:pPr>
        <w:shd w:val="clear" w:color="auto" w:fill="FFFFFF"/>
        <w:tabs>
          <w:tab w:val="left" w:pos="1418"/>
        </w:tabs>
        <w:ind w:left="2124" w:hanging="2124"/>
        <w:jc w:val="both"/>
        <w:rPr>
          <w:rFonts w:ascii="Arial" w:eastAsia="Calibri" w:hAnsi="Arial" w:cs="Arial"/>
          <w:sz w:val="18"/>
          <w:szCs w:val="18"/>
          <w:lang w:val="es-CO" w:eastAsia="fr-FR"/>
        </w:rPr>
      </w:pPr>
      <w:r w:rsidRPr="00A703B5">
        <w:rPr>
          <w:rFonts w:ascii="Arial" w:eastAsia="Calibri" w:hAnsi="Arial" w:cs="Arial"/>
          <w:sz w:val="18"/>
          <w:szCs w:val="18"/>
          <w:lang w:val="es-CO" w:eastAsia="fr-FR"/>
        </w:rPr>
        <w:t>Proceso:                </w:t>
      </w:r>
      <w:r w:rsidRPr="00A703B5">
        <w:rPr>
          <w:rFonts w:ascii="Arial" w:eastAsia="Calibri" w:hAnsi="Arial" w:cs="Arial"/>
          <w:sz w:val="18"/>
          <w:szCs w:val="18"/>
          <w:lang w:val="es-CO" w:eastAsia="fr-FR"/>
        </w:rPr>
        <w:tab/>
      </w:r>
      <w:r w:rsidRPr="00A703B5">
        <w:rPr>
          <w:rFonts w:ascii="Arial" w:eastAsia="Calibri" w:hAnsi="Arial" w:cs="Arial"/>
          <w:sz w:val="18"/>
          <w:szCs w:val="18"/>
          <w:lang w:val="es-CO" w:eastAsia="fr-FR"/>
        </w:rPr>
        <w:t>Ordinario – Responsabilidad contractual</w:t>
      </w:r>
    </w:p>
    <w:p w:rsidR="00E91A50" w:rsidRPr="00A703B5" w:rsidRDefault="00E91A50" w:rsidP="00E91A50">
      <w:pPr>
        <w:shd w:val="clear" w:color="auto" w:fill="FFFFFF"/>
        <w:tabs>
          <w:tab w:val="left" w:pos="1416"/>
        </w:tabs>
        <w:jc w:val="both"/>
        <w:rPr>
          <w:rFonts w:ascii="Arial" w:eastAsia="Calibri" w:hAnsi="Arial" w:cs="Arial"/>
          <w:sz w:val="18"/>
          <w:szCs w:val="18"/>
          <w:lang w:val="es-CO" w:eastAsia="fr-FR"/>
        </w:rPr>
      </w:pPr>
      <w:r w:rsidRPr="00A703B5">
        <w:rPr>
          <w:rFonts w:ascii="Arial" w:eastAsia="Calibri" w:hAnsi="Arial" w:cs="Arial"/>
          <w:sz w:val="18"/>
          <w:szCs w:val="18"/>
          <w:lang w:val="es-CO" w:eastAsia="fr-FR"/>
        </w:rPr>
        <w:t>Magistrado Ponente: </w:t>
      </w:r>
      <w:r w:rsidRPr="00A703B5">
        <w:rPr>
          <w:rFonts w:ascii="Arial" w:eastAsia="Calibri" w:hAnsi="Arial" w:cs="Arial"/>
          <w:sz w:val="18"/>
          <w:szCs w:val="18"/>
          <w:lang w:val="es-CO" w:eastAsia="fr-FR"/>
        </w:rPr>
        <w:tab/>
      </w:r>
      <w:proofErr w:type="spellStart"/>
      <w:r w:rsidRPr="00A703B5">
        <w:rPr>
          <w:rFonts w:ascii="Arial" w:eastAsia="Calibri" w:hAnsi="Arial" w:cs="Arial"/>
          <w:sz w:val="18"/>
          <w:szCs w:val="18"/>
          <w:lang w:val="es-CO" w:eastAsia="fr-FR"/>
        </w:rPr>
        <w:t>DUBERNEY</w:t>
      </w:r>
      <w:proofErr w:type="spellEnd"/>
      <w:r w:rsidRPr="00A703B5">
        <w:rPr>
          <w:rFonts w:ascii="Arial" w:eastAsia="Calibri" w:hAnsi="Arial" w:cs="Arial"/>
          <w:sz w:val="18"/>
          <w:szCs w:val="18"/>
          <w:lang w:val="es-CO" w:eastAsia="fr-FR"/>
        </w:rPr>
        <w:t xml:space="preserve"> GRISALES HERRERA</w:t>
      </w:r>
    </w:p>
    <w:p w:rsidR="00E91A50" w:rsidRPr="00A703B5" w:rsidRDefault="00E91A50" w:rsidP="00E91A50">
      <w:pPr>
        <w:shd w:val="clear" w:color="auto" w:fill="FFFFFF"/>
        <w:tabs>
          <w:tab w:val="left" w:pos="1416"/>
        </w:tabs>
        <w:jc w:val="both"/>
        <w:rPr>
          <w:rFonts w:ascii="Arial" w:eastAsia="Calibri" w:hAnsi="Arial" w:cs="Arial"/>
          <w:bCs/>
          <w:iCs/>
          <w:sz w:val="18"/>
          <w:szCs w:val="18"/>
          <w:lang w:val="es-CO" w:eastAsia="fr-FR"/>
        </w:rPr>
      </w:pPr>
    </w:p>
    <w:p w:rsidR="00E91A50" w:rsidRPr="00A703B5" w:rsidRDefault="00E91A50" w:rsidP="00E91A50">
      <w:pPr>
        <w:shd w:val="clear" w:color="auto" w:fill="FFFFFF"/>
        <w:ind w:left="2124" w:hanging="2124"/>
        <w:jc w:val="both"/>
        <w:rPr>
          <w:rFonts w:ascii="Arial" w:eastAsia="Calibri" w:hAnsi="Arial" w:cs="Arial"/>
          <w:bCs/>
          <w:iCs/>
          <w:sz w:val="10"/>
          <w:szCs w:val="10"/>
          <w:lang w:val="es-CO" w:eastAsia="fr-FR"/>
        </w:rPr>
      </w:pPr>
    </w:p>
    <w:p w:rsidR="00E91A50" w:rsidRPr="00A703B5" w:rsidRDefault="00E91A50" w:rsidP="00E91A50">
      <w:pPr>
        <w:pStyle w:val="Sinespaciado"/>
        <w:jc w:val="both"/>
        <w:rPr>
          <w:rFonts w:ascii="Arial" w:hAnsi="Arial" w:cs="Arial"/>
          <w:sz w:val="18"/>
          <w:szCs w:val="18"/>
          <w:lang w:val="es-CO" w:eastAsia="fr-FR"/>
        </w:rPr>
      </w:pPr>
      <w:r w:rsidRPr="00A703B5">
        <w:rPr>
          <w:rFonts w:ascii="Arial" w:hAnsi="Arial" w:cs="Arial"/>
          <w:b/>
          <w:sz w:val="18"/>
          <w:szCs w:val="18"/>
          <w:lang w:val="es-CO" w:eastAsia="fr-FR"/>
        </w:rPr>
        <w:t xml:space="preserve">Temas: </w:t>
      </w:r>
      <w:r w:rsidRPr="00A703B5">
        <w:rPr>
          <w:rFonts w:ascii="Arial" w:hAnsi="Arial" w:cs="Arial"/>
          <w:b/>
          <w:sz w:val="18"/>
          <w:szCs w:val="18"/>
          <w:lang w:val="es-CO" w:eastAsia="fr-FR"/>
        </w:rPr>
        <w:tab/>
      </w:r>
      <w:r w:rsidRPr="00A703B5">
        <w:rPr>
          <w:rFonts w:ascii="Arial" w:hAnsi="Arial" w:cs="Arial"/>
          <w:b/>
          <w:sz w:val="18"/>
          <w:szCs w:val="18"/>
          <w:lang w:val="es-CO" w:eastAsia="fr-FR"/>
        </w:rPr>
        <w:tab/>
      </w:r>
      <w:r w:rsidRPr="00A703B5">
        <w:rPr>
          <w:rFonts w:ascii="Arial" w:hAnsi="Arial" w:cs="Arial"/>
          <w:b/>
          <w:sz w:val="18"/>
          <w:szCs w:val="18"/>
          <w:lang w:val="es-CO" w:eastAsia="fr-FR"/>
        </w:rPr>
        <w:tab/>
      </w:r>
      <w:r w:rsidR="00D4311D" w:rsidRPr="00A703B5">
        <w:rPr>
          <w:rFonts w:ascii="Arial" w:hAnsi="Arial" w:cs="Arial"/>
          <w:b/>
          <w:sz w:val="18"/>
          <w:szCs w:val="18"/>
          <w:lang w:val="es-CO" w:eastAsia="fr-FR"/>
        </w:rPr>
        <w:t>CONDENA EN COSTAS</w:t>
      </w:r>
      <w:r w:rsidRPr="00A703B5">
        <w:rPr>
          <w:rFonts w:ascii="Arial" w:hAnsi="Arial" w:cs="Arial"/>
          <w:b/>
          <w:sz w:val="18"/>
          <w:szCs w:val="18"/>
          <w:lang w:val="es-CO" w:eastAsia="fr-FR"/>
        </w:rPr>
        <w:t xml:space="preserve"> / </w:t>
      </w:r>
      <w:r w:rsidR="00D4311D" w:rsidRPr="00A703B5">
        <w:rPr>
          <w:rFonts w:ascii="Arial" w:hAnsi="Arial" w:cs="Arial"/>
          <w:b/>
          <w:sz w:val="18"/>
          <w:szCs w:val="18"/>
          <w:lang w:val="es-CO" w:eastAsia="fr-FR"/>
        </w:rPr>
        <w:t xml:space="preserve">JUEZ DE PRIMERA INSTANCIA PROCEDIÓ EN CONTRA DEL SUPERIOR </w:t>
      </w:r>
      <w:r w:rsidRPr="00A703B5">
        <w:rPr>
          <w:rFonts w:ascii="Arial" w:hAnsi="Arial" w:cs="Arial"/>
          <w:b/>
          <w:sz w:val="18"/>
          <w:szCs w:val="18"/>
          <w:lang w:val="es-CO" w:eastAsia="fr-FR"/>
        </w:rPr>
        <w:t xml:space="preserve">/  </w:t>
      </w:r>
      <w:r w:rsidR="00D4311D" w:rsidRPr="00A703B5">
        <w:rPr>
          <w:rFonts w:ascii="Arial" w:hAnsi="Arial" w:cs="Arial"/>
          <w:b/>
          <w:sz w:val="18"/>
          <w:szCs w:val="18"/>
          <w:lang w:val="es-CO" w:eastAsia="fr-FR"/>
        </w:rPr>
        <w:t xml:space="preserve">NULIDAD </w:t>
      </w:r>
      <w:proofErr w:type="spellStart"/>
      <w:r w:rsidR="00D4311D" w:rsidRPr="00A703B5">
        <w:rPr>
          <w:rFonts w:ascii="Arial" w:hAnsi="Arial" w:cs="Arial"/>
          <w:b/>
          <w:sz w:val="18"/>
          <w:szCs w:val="18"/>
          <w:lang w:val="es-CO" w:eastAsia="fr-FR"/>
        </w:rPr>
        <w:t>INSANEABLE</w:t>
      </w:r>
      <w:proofErr w:type="spellEnd"/>
      <w:r w:rsidR="00D4311D" w:rsidRPr="00A703B5">
        <w:rPr>
          <w:rFonts w:ascii="Arial" w:hAnsi="Arial" w:cs="Arial"/>
          <w:b/>
          <w:sz w:val="18"/>
          <w:szCs w:val="18"/>
          <w:lang w:val="es-CO" w:eastAsia="fr-FR"/>
        </w:rPr>
        <w:t xml:space="preserve"> / </w:t>
      </w:r>
      <w:r w:rsidR="00D4311D" w:rsidRPr="00A703B5">
        <w:rPr>
          <w:rFonts w:ascii="Arial" w:hAnsi="Arial" w:cs="Arial"/>
          <w:sz w:val="18"/>
          <w:szCs w:val="18"/>
          <w:lang w:val="es-CO" w:eastAsia="fr-FR"/>
        </w:rPr>
        <w:t xml:space="preserve">El artículo 133-2º, </w:t>
      </w:r>
      <w:proofErr w:type="spellStart"/>
      <w:r w:rsidR="00D4311D" w:rsidRPr="00A703B5">
        <w:rPr>
          <w:rFonts w:ascii="Arial" w:hAnsi="Arial" w:cs="Arial"/>
          <w:sz w:val="18"/>
          <w:szCs w:val="18"/>
          <w:lang w:val="es-CO" w:eastAsia="fr-FR"/>
        </w:rPr>
        <w:t>CGP</w:t>
      </w:r>
      <w:proofErr w:type="spellEnd"/>
      <w:r w:rsidR="00D4311D" w:rsidRPr="00A703B5">
        <w:rPr>
          <w:rFonts w:ascii="Arial" w:hAnsi="Arial" w:cs="Arial"/>
          <w:sz w:val="18"/>
          <w:szCs w:val="18"/>
          <w:lang w:val="es-CO" w:eastAsia="fr-FR"/>
        </w:rPr>
        <w:t xml:space="preserve"> establece que es nulo el proceso cuando el juez procede contra dec</w:t>
      </w:r>
      <w:bookmarkStart w:id="0" w:name="_GoBack"/>
      <w:bookmarkEnd w:id="0"/>
      <w:r w:rsidR="00D4311D" w:rsidRPr="00A703B5">
        <w:rPr>
          <w:rFonts w:ascii="Arial" w:hAnsi="Arial" w:cs="Arial"/>
          <w:sz w:val="18"/>
          <w:szCs w:val="18"/>
          <w:lang w:val="es-CO" w:eastAsia="fr-FR"/>
        </w:rPr>
        <w:t xml:space="preserve">isión en firme del superior, pues aquel debe ineludiblemente acatarla y adoptar las medidas necesarias para su cumplimiento (Artículo 329, </w:t>
      </w:r>
      <w:proofErr w:type="spellStart"/>
      <w:r w:rsidR="00D4311D" w:rsidRPr="00A703B5">
        <w:rPr>
          <w:rFonts w:ascii="Arial" w:hAnsi="Arial" w:cs="Arial"/>
          <w:sz w:val="18"/>
          <w:szCs w:val="18"/>
          <w:lang w:val="es-CO" w:eastAsia="fr-FR"/>
        </w:rPr>
        <w:t>CGP</w:t>
      </w:r>
      <w:proofErr w:type="spellEnd"/>
      <w:r w:rsidR="00D4311D" w:rsidRPr="00A703B5">
        <w:rPr>
          <w:rFonts w:ascii="Arial" w:hAnsi="Arial" w:cs="Arial"/>
          <w:sz w:val="18"/>
          <w:szCs w:val="18"/>
          <w:lang w:val="es-CO" w:eastAsia="fr-FR"/>
        </w:rPr>
        <w:t xml:space="preserve">). Sobre esta causal, la CSJ reiteró recientemente (2017), lo dicho desde tiempo atrás que aunque emitido en vigencia del </w:t>
      </w:r>
      <w:proofErr w:type="spellStart"/>
      <w:r w:rsidR="00D4311D" w:rsidRPr="00A703B5">
        <w:rPr>
          <w:rFonts w:ascii="Arial" w:hAnsi="Arial" w:cs="Arial"/>
          <w:sz w:val="18"/>
          <w:szCs w:val="18"/>
          <w:lang w:val="es-CO" w:eastAsia="fr-FR"/>
        </w:rPr>
        <w:t>CPC</w:t>
      </w:r>
      <w:proofErr w:type="spellEnd"/>
      <w:r w:rsidR="00D4311D" w:rsidRPr="00A703B5">
        <w:rPr>
          <w:rFonts w:ascii="Arial" w:hAnsi="Arial" w:cs="Arial"/>
          <w:sz w:val="18"/>
          <w:szCs w:val="18"/>
          <w:lang w:val="es-CO" w:eastAsia="fr-FR"/>
        </w:rPr>
        <w:t xml:space="preserve">, mantiene su aplicación en vigencia del </w:t>
      </w:r>
      <w:proofErr w:type="spellStart"/>
      <w:r w:rsidR="00D4311D" w:rsidRPr="00A703B5">
        <w:rPr>
          <w:rFonts w:ascii="Arial" w:hAnsi="Arial" w:cs="Arial"/>
          <w:sz w:val="18"/>
          <w:szCs w:val="18"/>
          <w:lang w:val="es-CO" w:eastAsia="fr-FR"/>
        </w:rPr>
        <w:t>CGP</w:t>
      </w:r>
      <w:proofErr w:type="spellEnd"/>
      <w:r w:rsidRPr="00A703B5">
        <w:rPr>
          <w:rFonts w:ascii="Arial" w:hAnsi="Arial" w:cs="Arial"/>
          <w:sz w:val="18"/>
          <w:szCs w:val="18"/>
          <w:lang w:val="es-CO" w:eastAsia="fr-FR"/>
        </w:rPr>
        <w:t xml:space="preserve">. </w:t>
      </w:r>
    </w:p>
    <w:p w:rsidR="00E91A50" w:rsidRPr="00A703B5" w:rsidRDefault="00E91A50" w:rsidP="00E91A50">
      <w:pPr>
        <w:pStyle w:val="Sinespaciado"/>
        <w:jc w:val="both"/>
        <w:rPr>
          <w:rFonts w:ascii="Arial" w:hAnsi="Arial" w:cs="Arial"/>
          <w:sz w:val="18"/>
          <w:szCs w:val="18"/>
          <w:lang w:val="es-CO" w:eastAsia="fr-FR"/>
        </w:rPr>
      </w:pPr>
      <w:r w:rsidRPr="00A703B5">
        <w:rPr>
          <w:rFonts w:ascii="Arial" w:hAnsi="Arial" w:cs="Arial"/>
          <w:sz w:val="18"/>
          <w:szCs w:val="18"/>
          <w:lang w:val="es-CO" w:eastAsia="fr-FR"/>
        </w:rPr>
        <w:t>(…)</w:t>
      </w:r>
    </w:p>
    <w:p w:rsidR="00D4311D" w:rsidRPr="00A703B5" w:rsidRDefault="00D4311D" w:rsidP="00D4311D">
      <w:pPr>
        <w:pStyle w:val="Sinespaciado"/>
        <w:jc w:val="both"/>
        <w:rPr>
          <w:rFonts w:ascii="Arial" w:hAnsi="Arial" w:cs="Arial"/>
          <w:sz w:val="18"/>
          <w:szCs w:val="18"/>
          <w:lang w:val="es-CO" w:eastAsia="fr-FR"/>
        </w:rPr>
      </w:pPr>
      <w:r w:rsidRPr="00A703B5">
        <w:rPr>
          <w:rFonts w:ascii="Arial" w:hAnsi="Arial" w:cs="Arial"/>
          <w:sz w:val="18"/>
          <w:szCs w:val="18"/>
          <w:lang w:val="es-CO" w:eastAsia="fr-FR"/>
        </w:rPr>
        <w:t xml:space="preserve">Tal como se citó, esta Sala profirió sentencia que resolvió la alzada formulada por la parte demandada, dando como resultado la revocatoria integral de la sentencia de primera instancia, emitida por el Juzgado Quinto Civil del Circuito de Pereira el 23-07-2012, pese a ello, el juzgado de conocimiento al realizar la liquidación de las costas tomó como agencias en derecho, para la primera sede, las fijadas por aquel estrado judicial, dejando así de lado lo decidido por esta superioridad jerárquica. </w:t>
      </w:r>
    </w:p>
    <w:p w:rsidR="00E91A50" w:rsidRPr="00A703B5" w:rsidRDefault="00D4311D" w:rsidP="00D4311D">
      <w:pPr>
        <w:pStyle w:val="Sinespaciado"/>
        <w:jc w:val="both"/>
        <w:rPr>
          <w:rFonts w:ascii="Arial" w:hAnsi="Arial" w:cs="Arial"/>
          <w:sz w:val="18"/>
          <w:szCs w:val="18"/>
          <w:lang w:val="es-CO" w:eastAsia="fr-FR"/>
        </w:rPr>
      </w:pPr>
      <w:r w:rsidRPr="00A703B5">
        <w:rPr>
          <w:rFonts w:ascii="Arial" w:hAnsi="Arial" w:cs="Arial"/>
          <w:sz w:val="18"/>
          <w:szCs w:val="18"/>
          <w:lang w:val="es-CO" w:eastAsia="fr-FR"/>
        </w:rPr>
        <w:t xml:space="preserve">Así las cosas, estima esta Sala que el proceder seguido por la jueza de instancia, está viciado de nulidad por proceder contra providencia ejecutoriada del superior (Artículo 133-2º, </w:t>
      </w:r>
      <w:proofErr w:type="spellStart"/>
      <w:r w:rsidRPr="00A703B5">
        <w:rPr>
          <w:rFonts w:ascii="Arial" w:hAnsi="Arial" w:cs="Arial"/>
          <w:sz w:val="18"/>
          <w:szCs w:val="18"/>
          <w:lang w:val="es-CO" w:eastAsia="fr-FR"/>
        </w:rPr>
        <w:t>CGP</w:t>
      </w:r>
      <w:proofErr w:type="spellEnd"/>
      <w:r w:rsidRPr="00A703B5">
        <w:rPr>
          <w:rFonts w:ascii="Arial" w:hAnsi="Arial" w:cs="Arial"/>
          <w:sz w:val="18"/>
          <w:szCs w:val="18"/>
          <w:lang w:val="es-CO" w:eastAsia="fr-FR"/>
        </w:rPr>
        <w:t>).</w:t>
      </w:r>
    </w:p>
    <w:p w:rsidR="00E91A50" w:rsidRPr="00A703B5" w:rsidRDefault="00E91A50" w:rsidP="008B7145">
      <w:pPr>
        <w:pStyle w:val="Sinespaciado"/>
        <w:spacing w:line="360" w:lineRule="auto"/>
        <w:jc w:val="center"/>
        <w:rPr>
          <w:rFonts w:ascii="Georgia" w:hAnsi="Georgia" w:cs="Arial"/>
          <w:w w:val="140"/>
          <w:sz w:val="14"/>
          <w:szCs w:val="14"/>
        </w:rPr>
      </w:pPr>
    </w:p>
    <w:p w:rsidR="00E91A50" w:rsidRPr="00A703B5" w:rsidRDefault="00E91A50" w:rsidP="008B7145">
      <w:pPr>
        <w:pStyle w:val="Sinespaciado"/>
        <w:spacing w:line="360" w:lineRule="auto"/>
        <w:jc w:val="center"/>
        <w:rPr>
          <w:rFonts w:ascii="Georgia" w:hAnsi="Georgia" w:cs="Arial"/>
          <w:w w:val="140"/>
          <w:sz w:val="14"/>
          <w:szCs w:val="14"/>
        </w:rPr>
      </w:pPr>
    </w:p>
    <w:p w:rsidR="00E91A50" w:rsidRPr="00A703B5" w:rsidRDefault="00E91A50" w:rsidP="008B7145">
      <w:pPr>
        <w:pStyle w:val="Sinespaciado"/>
        <w:spacing w:line="360" w:lineRule="auto"/>
        <w:jc w:val="center"/>
        <w:rPr>
          <w:rFonts w:ascii="Georgia" w:hAnsi="Georgia" w:cs="Arial"/>
          <w:w w:val="140"/>
          <w:sz w:val="14"/>
          <w:szCs w:val="14"/>
        </w:rPr>
      </w:pPr>
    </w:p>
    <w:p w:rsidR="008B7145" w:rsidRPr="00A703B5" w:rsidRDefault="00CD2257" w:rsidP="008B7145">
      <w:pPr>
        <w:pStyle w:val="Sinespaciado"/>
        <w:spacing w:line="360" w:lineRule="auto"/>
        <w:jc w:val="center"/>
        <w:rPr>
          <w:rFonts w:ascii="Georgia" w:hAnsi="Georgia" w:cs="Arial"/>
          <w:w w:val="140"/>
          <w:sz w:val="14"/>
          <w:szCs w:val="14"/>
        </w:rPr>
      </w:pPr>
      <w:r w:rsidRPr="00A703B5">
        <w:rPr>
          <w:rFonts w:ascii="Georgia" w:hAnsi="Georgia"/>
          <w:noProof/>
        </w:rPr>
        <w:drawing>
          <wp:anchor distT="0" distB="0" distL="114300" distR="114300" simplePos="0" relativeHeight="251658240" behindDoc="0" locked="0" layoutInCell="1" allowOverlap="1" wp14:anchorId="72C5FE1F" wp14:editId="30B2D4FD">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45" w:rsidRPr="00A703B5" w:rsidRDefault="008B7145" w:rsidP="008B7145">
      <w:pPr>
        <w:pStyle w:val="Sinespaciado"/>
        <w:spacing w:line="360" w:lineRule="auto"/>
        <w:jc w:val="center"/>
        <w:rPr>
          <w:rFonts w:ascii="Georgia" w:hAnsi="Georgia" w:cs="Arial"/>
          <w:w w:val="140"/>
          <w:sz w:val="14"/>
          <w:szCs w:val="14"/>
        </w:rPr>
      </w:pPr>
    </w:p>
    <w:p w:rsidR="008B7145" w:rsidRPr="00A703B5" w:rsidRDefault="008B7145" w:rsidP="008B7145">
      <w:pPr>
        <w:pStyle w:val="Sinespaciado"/>
        <w:spacing w:line="360" w:lineRule="auto"/>
        <w:jc w:val="center"/>
        <w:rPr>
          <w:rFonts w:ascii="Georgia" w:hAnsi="Georgia" w:cs="Arial"/>
          <w:w w:val="140"/>
          <w:sz w:val="14"/>
          <w:szCs w:val="14"/>
        </w:rPr>
      </w:pPr>
      <w:r w:rsidRPr="00A703B5">
        <w:rPr>
          <w:rFonts w:ascii="Georgia" w:hAnsi="Georgia" w:cs="Arial"/>
          <w:w w:val="140"/>
          <w:sz w:val="14"/>
          <w:szCs w:val="14"/>
        </w:rPr>
        <w:t>REPUBLICA DE COLOMBIA</w:t>
      </w:r>
    </w:p>
    <w:p w:rsidR="008B7145" w:rsidRPr="00A703B5" w:rsidRDefault="008B7145" w:rsidP="008B7145">
      <w:pPr>
        <w:pStyle w:val="Sinespaciado"/>
        <w:tabs>
          <w:tab w:val="center" w:pos="4987"/>
          <w:tab w:val="left" w:pos="8449"/>
        </w:tabs>
        <w:spacing w:line="360" w:lineRule="auto"/>
        <w:jc w:val="center"/>
        <w:rPr>
          <w:rFonts w:ascii="Georgia" w:hAnsi="Georgia" w:cs="Arial"/>
          <w:w w:val="140"/>
        </w:rPr>
      </w:pPr>
      <w:r w:rsidRPr="00A703B5">
        <w:rPr>
          <w:rFonts w:ascii="Georgia" w:hAnsi="Georgia" w:cs="Arial"/>
          <w:w w:val="140"/>
          <w:sz w:val="14"/>
          <w:szCs w:val="14"/>
        </w:rPr>
        <w:t>RAMA JUDICIAL DEL PODER PÚBLICO</w:t>
      </w:r>
    </w:p>
    <w:p w:rsidR="008B7145" w:rsidRPr="00A703B5" w:rsidRDefault="008B7145" w:rsidP="008B7145">
      <w:pPr>
        <w:pStyle w:val="Sinespaciado"/>
        <w:spacing w:line="360" w:lineRule="auto"/>
        <w:jc w:val="center"/>
        <w:rPr>
          <w:rFonts w:ascii="Georgia" w:hAnsi="Georgia" w:cs="Arial"/>
          <w:w w:val="140"/>
          <w:sz w:val="16"/>
          <w:szCs w:val="16"/>
        </w:rPr>
      </w:pPr>
      <w:r w:rsidRPr="00A703B5">
        <w:rPr>
          <w:rFonts w:ascii="Georgia" w:hAnsi="Georgia" w:cs="Arial"/>
          <w:w w:val="140"/>
          <w:sz w:val="18"/>
          <w:szCs w:val="18"/>
        </w:rPr>
        <w:t>T</w:t>
      </w:r>
      <w:r w:rsidRPr="00A703B5">
        <w:rPr>
          <w:rFonts w:ascii="Georgia" w:hAnsi="Georgia" w:cs="Arial"/>
          <w:w w:val="140"/>
          <w:sz w:val="16"/>
          <w:szCs w:val="16"/>
        </w:rPr>
        <w:t>RIBUNAL</w:t>
      </w:r>
      <w:r w:rsidRPr="00A703B5">
        <w:rPr>
          <w:rFonts w:ascii="Georgia" w:hAnsi="Georgia" w:cs="Arial"/>
          <w:w w:val="140"/>
          <w:sz w:val="18"/>
          <w:szCs w:val="18"/>
        </w:rPr>
        <w:t xml:space="preserve"> S</w:t>
      </w:r>
      <w:r w:rsidRPr="00A703B5">
        <w:rPr>
          <w:rFonts w:ascii="Georgia" w:hAnsi="Georgia" w:cs="Arial"/>
          <w:w w:val="140"/>
          <w:sz w:val="16"/>
          <w:szCs w:val="16"/>
        </w:rPr>
        <w:t xml:space="preserve">UPERIOR DEL </w:t>
      </w:r>
      <w:r w:rsidRPr="00A703B5">
        <w:rPr>
          <w:rFonts w:ascii="Georgia" w:hAnsi="Georgia" w:cs="Arial"/>
          <w:w w:val="140"/>
          <w:sz w:val="18"/>
          <w:szCs w:val="18"/>
        </w:rPr>
        <w:t>D</w:t>
      </w:r>
      <w:r w:rsidRPr="00A703B5">
        <w:rPr>
          <w:rFonts w:ascii="Georgia" w:hAnsi="Georgia" w:cs="Arial"/>
          <w:w w:val="140"/>
          <w:sz w:val="16"/>
          <w:szCs w:val="16"/>
        </w:rPr>
        <w:t>ISTRITO</w:t>
      </w:r>
      <w:r w:rsidRPr="00A703B5">
        <w:rPr>
          <w:rFonts w:ascii="Georgia" w:hAnsi="Georgia" w:cs="Arial"/>
          <w:w w:val="140"/>
          <w:sz w:val="18"/>
          <w:szCs w:val="18"/>
        </w:rPr>
        <w:t xml:space="preserve"> J</w:t>
      </w:r>
      <w:r w:rsidRPr="00A703B5">
        <w:rPr>
          <w:rFonts w:ascii="Georgia" w:hAnsi="Georgia" w:cs="Arial"/>
          <w:w w:val="140"/>
          <w:sz w:val="16"/>
          <w:szCs w:val="16"/>
        </w:rPr>
        <w:t xml:space="preserve">UDICIAL </w:t>
      </w:r>
    </w:p>
    <w:p w:rsidR="001E18FB" w:rsidRPr="00A703B5" w:rsidRDefault="001E18FB" w:rsidP="001E18FB">
      <w:pPr>
        <w:pStyle w:val="Sinespaciado"/>
        <w:spacing w:line="360" w:lineRule="auto"/>
        <w:jc w:val="center"/>
        <w:rPr>
          <w:rFonts w:ascii="Georgia" w:hAnsi="Georgia" w:cs="Arial"/>
          <w:w w:val="140"/>
          <w:sz w:val="16"/>
          <w:szCs w:val="16"/>
        </w:rPr>
      </w:pPr>
      <w:r w:rsidRPr="00A703B5">
        <w:rPr>
          <w:rFonts w:ascii="Georgia" w:hAnsi="Georgia" w:cs="Arial"/>
          <w:w w:val="140"/>
          <w:sz w:val="18"/>
          <w:szCs w:val="16"/>
        </w:rPr>
        <w:t>S</w:t>
      </w:r>
      <w:r w:rsidRPr="00A703B5">
        <w:rPr>
          <w:rFonts w:ascii="Georgia" w:hAnsi="Georgia" w:cs="Arial"/>
          <w:w w:val="140"/>
          <w:sz w:val="16"/>
          <w:szCs w:val="14"/>
        </w:rPr>
        <w:t xml:space="preserve">ALA </w:t>
      </w:r>
      <w:r w:rsidRPr="00A703B5">
        <w:rPr>
          <w:rFonts w:ascii="Georgia" w:hAnsi="Georgia" w:cs="Arial"/>
          <w:w w:val="140"/>
          <w:sz w:val="18"/>
          <w:szCs w:val="16"/>
        </w:rPr>
        <w:t>U</w:t>
      </w:r>
      <w:r w:rsidRPr="00A703B5">
        <w:rPr>
          <w:rFonts w:ascii="Georgia" w:hAnsi="Georgia" w:cs="Arial"/>
          <w:w w:val="140"/>
          <w:sz w:val="16"/>
          <w:szCs w:val="16"/>
        </w:rPr>
        <w:t xml:space="preserve">NITARIA </w:t>
      </w:r>
      <w:r w:rsidRPr="00A703B5">
        <w:rPr>
          <w:rFonts w:ascii="Georgia" w:hAnsi="Georgia" w:cs="Arial"/>
          <w:w w:val="140"/>
          <w:sz w:val="18"/>
          <w:szCs w:val="16"/>
        </w:rPr>
        <w:t>C</w:t>
      </w:r>
      <w:r w:rsidRPr="00A703B5">
        <w:rPr>
          <w:rFonts w:ascii="Georgia" w:hAnsi="Georgia" w:cs="Arial"/>
          <w:w w:val="140"/>
          <w:sz w:val="16"/>
          <w:szCs w:val="16"/>
        </w:rPr>
        <w:t>IVIL</w:t>
      </w:r>
      <w:r w:rsidRPr="00A703B5">
        <w:rPr>
          <w:rFonts w:ascii="Georgia" w:hAnsi="Georgia" w:cs="Arial"/>
          <w:w w:val="140"/>
          <w:sz w:val="14"/>
          <w:szCs w:val="14"/>
        </w:rPr>
        <w:t xml:space="preserve">– </w:t>
      </w:r>
      <w:r w:rsidRPr="00A703B5">
        <w:rPr>
          <w:rFonts w:ascii="Georgia" w:hAnsi="Georgia" w:cs="Arial"/>
          <w:w w:val="140"/>
          <w:sz w:val="18"/>
          <w:szCs w:val="16"/>
        </w:rPr>
        <w:t>F</w:t>
      </w:r>
      <w:r w:rsidRPr="00A703B5">
        <w:rPr>
          <w:rFonts w:ascii="Georgia" w:hAnsi="Georgia" w:cs="Arial"/>
          <w:w w:val="140"/>
          <w:sz w:val="16"/>
          <w:szCs w:val="16"/>
        </w:rPr>
        <w:t>AMILIA –</w:t>
      </w:r>
      <w:r w:rsidRPr="00A703B5">
        <w:rPr>
          <w:rFonts w:ascii="Georgia" w:hAnsi="Georgia" w:cs="Arial"/>
          <w:w w:val="140"/>
          <w:sz w:val="18"/>
          <w:szCs w:val="16"/>
        </w:rPr>
        <w:t>D</w:t>
      </w:r>
      <w:r w:rsidRPr="00A703B5">
        <w:rPr>
          <w:rFonts w:ascii="Georgia" w:hAnsi="Georgia" w:cs="Arial"/>
          <w:w w:val="140"/>
          <w:sz w:val="16"/>
          <w:szCs w:val="16"/>
        </w:rPr>
        <w:t xml:space="preserve">ISTRITO DE </w:t>
      </w:r>
      <w:r w:rsidRPr="00A703B5">
        <w:rPr>
          <w:rFonts w:ascii="Georgia" w:hAnsi="Georgia" w:cs="Arial"/>
          <w:w w:val="140"/>
          <w:sz w:val="18"/>
          <w:szCs w:val="16"/>
        </w:rPr>
        <w:t>P</w:t>
      </w:r>
      <w:r w:rsidRPr="00A703B5">
        <w:rPr>
          <w:rFonts w:ascii="Georgia" w:hAnsi="Georgia" w:cs="Arial"/>
          <w:w w:val="140"/>
          <w:sz w:val="16"/>
          <w:szCs w:val="16"/>
        </w:rPr>
        <w:t>EREIRA</w:t>
      </w:r>
    </w:p>
    <w:p w:rsidR="008B7145" w:rsidRPr="00A703B5" w:rsidRDefault="008B7145" w:rsidP="008B7145">
      <w:pPr>
        <w:pStyle w:val="Sinespaciado"/>
        <w:spacing w:line="360" w:lineRule="auto"/>
        <w:jc w:val="center"/>
        <w:rPr>
          <w:rFonts w:ascii="Georgia" w:hAnsi="Georgia" w:cs="Arial"/>
          <w:w w:val="140"/>
          <w:sz w:val="16"/>
          <w:szCs w:val="16"/>
        </w:rPr>
      </w:pPr>
      <w:r w:rsidRPr="00A703B5">
        <w:rPr>
          <w:rFonts w:ascii="Georgia" w:hAnsi="Georgia" w:cs="Arial"/>
          <w:w w:val="140"/>
          <w:sz w:val="18"/>
          <w:szCs w:val="18"/>
        </w:rPr>
        <w:t>D</w:t>
      </w:r>
      <w:r w:rsidRPr="00A703B5">
        <w:rPr>
          <w:rFonts w:ascii="Georgia" w:hAnsi="Georgia" w:cs="Arial"/>
          <w:w w:val="140"/>
          <w:sz w:val="16"/>
          <w:szCs w:val="16"/>
        </w:rPr>
        <w:t xml:space="preserve">EPARTAMENTO </w:t>
      </w:r>
      <w:r w:rsidRPr="00A703B5">
        <w:rPr>
          <w:rFonts w:ascii="Georgia" w:hAnsi="Georgia" w:cs="Arial"/>
          <w:w w:val="140"/>
          <w:sz w:val="18"/>
          <w:szCs w:val="18"/>
        </w:rPr>
        <w:t>D</w:t>
      </w:r>
      <w:r w:rsidRPr="00A703B5">
        <w:rPr>
          <w:rFonts w:ascii="Georgia" w:hAnsi="Georgia" w:cs="Arial"/>
          <w:w w:val="140"/>
          <w:sz w:val="16"/>
          <w:szCs w:val="16"/>
        </w:rPr>
        <w:t xml:space="preserve">EL </w:t>
      </w:r>
      <w:r w:rsidRPr="00A703B5">
        <w:rPr>
          <w:rFonts w:ascii="Georgia" w:hAnsi="Georgia" w:cs="Arial"/>
          <w:w w:val="140"/>
          <w:sz w:val="18"/>
          <w:szCs w:val="18"/>
        </w:rPr>
        <w:t>R</w:t>
      </w:r>
      <w:r w:rsidRPr="00A703B5">
        <w:rPr>
          <w:rFonts w:ascii="Georgia" w:hAnsi="Georgia" w:cs="Arial"/>
          <w:w w:val="140"/>
          <w:sz w:val="16"/>
          <w:szCs w:val="16"/>
        </w:rPr>
        <w:t>ISARALDA</w:t>
      </w:r>
    </w:p>
    <w:p w:rsidR="00045CE3" w:rsidRPr="00A703B5" w:rsidRDefault="00045CE3" w:rsidP="00045CE3">
      <w:pPr>
        <w:spacing w:line="360" w:lineRule="auto"/>
        <w:jc w:val="center"/>
        <w:rPr>
          <w:rFonts w:ascii="Georgia" w:hAnsi="Georgia" w:cs="Arial"/>
          <w:b/>
          <w:bCs/>
          <w:sz w:val="16"/>
          <w:szCs w:val="22"/>
        </w:rPr>
      </w:pPr>
    </w:p>
    <w:p w:rsidR="00455DE9" w:rsidRPr="00A703B5" w:rsidRDefault="005A6C19" w:rsidP="005A6C19">
      <w:pPr>
        <w:pStyle w:val="Textoindependiente"/>
        <w:spacing w:line="360" w:lineRule="auto"/>
        <w:rPr>
          <w:rFonts w:ascii="Georgia" w:hAnsi="Georgia" w:cs="Arial"/>
          <w:sz w:val="22"/>
          <w:szCs w:val="22"/>
        </w:rPr>
      </w:pPr>
      <w:r w:rsidRPr="00A703B5">
        <w:rPr>
          <w:rFonts w:ascii="Georgia" w:hAnsi="Georgia" w:cs="Arial"/>
          <w:sz w:val="22"/>
          <w:szCs w:val="22"/>
        </w:rPr>
        <w:tab/>
      </w:r>
      <w:r w:rsidRPr="00A703B5">
        <w:rPr>
          <w:rFonts w:ascii="Georgia" w:hAnsi="Georgia" w:cs="Arial"/>
          <w:sz w:val="22"/>
          <w:szCs w:val="22"/>
        </w:rPr>
        <w:tab/>
      </w:r>
      <w:r w:rsidR="00455DE9" w:rsidRPr="00A703B5">
        <w:rPr>
          <w:rFonts w:ascii="Georgia" w:hAnsi="Georgia" w:cs="Arial"/>
          <w:sz w:val="22"/>
          <w:szCs w:val="22"/>
        </w:rPr>
        <w:t>Asunto</w:t>
      </w:r>
      <w:r w:rsidR="00455DE9" w:rsidRPr="00A703B5">
        <w:rPr>
          <w:rFonts w:ascii="Georgia" w:hAnsi="Georgia" w:cs="Arial"/>
          <w:sz w:val="22"/>
          <w:szCs w:val="22"/>
        </w:rPr>
        <w:tab/>
      </w:r>
      <w:r w:rsidR="00455DE9" w:rsidRPr="00A703B5">
        <w:rPr>
          <w:rFonts w:ascii="Georgia" w:hAnsi="Georgia" w:cs="Arial"/>
          <w:sz w:val="22"/>
          <w:szCs w:val="22"/>
        </w:rPr>
        <w:tab/>
      </w:r>
      <w:r w:rsidR="00455DE9" w:rsidRPr="00A703B5">
        <w:rPr>
          <w:rFonts w:ascii="Georgia" w:hAnsi="Georgia" w:cs="Arial"/>
          <w:sz w:val="22"/>
          <w:szCs w:val="22"/>
        </w:rPr>
        <w:tab/>
        <w:t>: Decide nulidad procesal</w:t>
      </w:r>
    </w:p>
    <w:p w:rsidR="00371500" w:rsidRPr="00A703B5" w:rsidRDefault="00371500" w:rsidP="00371500">
      <w:pPr>
        <w:pStyle w:val="Textoindependiente"/>
        <w:spacing w:line="360" w:lineRule="auto"/>
        <w:ind w:left="4956" w:hanging="3540"/>
        <w:rPr>
          <w:rFonts w:ascii="Georgia" w:hAnsi="Georgia" w:cs="Arial"/>
          <w:sz w:val="22"/>
          <w:szCs w:val="22"/>
        </w:rPr>
      </w:pPr>
      <w:r w:rsidRPr="00A703B5">
        <w:rPr>
          <w:rFonts w:ascii="Georgia" w:hAnsi="Georgia" w:cs="Arial"/>
          <w:sz w:val="22"/>
          <w:szCs w:val="22"/>
        </w:rPr>
        <w:t>Proceso</w:t>
      </w:r>
      <w:r w:rsidRPr="00A703B5">
        <w:rPr>
          <w:rFonts w:ascii="Georgia" w:hAnsi="Georgia" w:cs="Arial"/>
          <w:sz w:val="22"/>
          <w:szCs w:val="22"/>
        </w:rPr>
        <w:tab/>
      </w:r>
      <w:r w:rsidRPr="00A703B5">
        <w:rPr>
          <w:rFonts w:ascii="Georgia" w:hAnsi="Georgia" w:cs="Arial"/>
          <w:sz w:val="22"/>
          <w:szCs w:val="22"/>
        </w:rPr>
        <w:tab/>
        <w:t>: Ordinario – Responsabilidad contractual</w:t>
      </w:r>
    </w:p>
    <w:p w:rsidR="00371500" w:rsidRPr="00A703B5" w:rsidRDefault="00371500" w:rsidP="00371500">
      <w:pPr>
        <w:pStyle w:val="Textoindependiente"/>
        <w:spacing w:line="360" w:lineRule="auto"/>
        <w:ind w:left="4956" w:hanging="3540"/>
        <w:rPr>
          <w:rFonts w:ascii="Georgia" w:hAnsi="Georgia" w:cs="Arial"/>
          <w:sz w:val="22"/>
          <w:szCs w:val="22"/>
        </w:rPr>
      </w:pPr>
      <w:r w:rsidRPr="00A703B5">
        <w:rPr>
          <w:rFonts w:ascii="Georgia" w:hAnsi="Georgia" w:cs="Arial"/>
          <w:sz w:val="22"/>
          <w:szCs w:val="22"/>
        </w:rPr>
        <w:t>Demandante</w:t>
      </w:r>
      <w:r w:rsidRPr="00A703B5">
        <w:rPr>
          <w:rFonts w:ascii="Georgia" w:hAnsi="Georgia" w:cs="Arial"/>
          <w:sz w:val="22"/>
          <w:szCs w:val="22"/>
        </w:rPr>
        <w:tab/>
      </w:r>
      <w:r w:rsidRPr="00A703B5">
        <w:rPr>
          <w:rFonts w:ascii="Georgia" w:hAnsi="Georgia" w:cs="Arial"/>
          <w:sz w:val="22"/>
          <w:szCs w:val="22"/>
        </w:rPr>
        <w:tab/>
        <w:t>: Jesús Antonio Ortiz Arcila</w:t>
      </w:r>
    </w:p>
    <w:p w:rsidR="00371500" w:rsidRPr="00A703B5" w:rsidRDefault="00371500" w:rsidP="00371500">
      <w:pPr>
        <w:pStyle w:val="Textoindependiente"/>
        <w:spacing w:line="360" w:lineRule="auto"/>
        <w:ind w:left="4956" w:hanging="3540"/>
        <w:rPr>
          <w:rFonts w:ascii="Georgia" w:hAnsi="Georgia" w:cs="Arial"/>
          <w:sz w:val="22"/>
          <w:szCs w:val="22"/>
        </w:rPr>
      </w:pPr>
      <w:r w:rsidRPr="00A703B5">
        <w:rPr>
          <w:rFonts w:ascii="Georgia" w:hAnsi="Georgia" w:cs="Arial"/>
          <w:sz w:val="22"/>
          <w:szCs w:val="22"/>
        </w:rPr>
        <w:t>Demandada</w:t>
      </w:r>
      <w:r w:rsidRPr="00A703B5">
        <w:rPr>
          <w:rFonts w:ascii="Georgia" w:hAnsi="Georgia" w:cs="Arial"/>
          <w:sz w:val="22"/>
          <w:szCs w:val="22"/>
        </w:rPr>
        <w:tab/>
      </w:r>
      <w:r w:rsidRPr="00A703B5">
        <w:rPr>
          <w:rFonts w:ascii="Georgia" w:hAnsi="Georgia" w:cs="Arial"/>
          <w:sz w:val="22"/>
          <w:szCs w:val="22"/>
        </w:rPr>
        <w:tab/>
        <w:t>: Seguros de vida suramericana SA</w:t>
      </w:r>
    </w:p>
    <w:p w:rsidR="00371500" w:rsidRPr="00A703B5" w:rsidRDefault="00371500" w:rsidP="00371500">
      <w:pPr>
        <w:pStyle w:val="Textoindependiente"/>
        <w:spacing w:line="360" w:lineRule="auto"/>
        <w:rPr>
          <w:rFonts w:ascii="Georgia" w:hAnsi="Georgia" w:cs="Arial"/>
          <w:sz w:val="22"/>
          <w:szCs w:val="22"/>
        </w:rPr>
      </w:pPr>
      <w:r w:rsidRPr="00A703B5">
        <w:rPr>
          <w:rFonts w:ascii="Georgia" w:hAnsi="Georgia" w:cs="Arial"/>
          <w:sz w:val="22"/>
          <w:szCs w:val="22"/>
        </w:rPr>
        <w:tab/>
      </w:r>
      <w:r w:rsidRPr="00A703B5">
        <w:rPr>
          <w:rFonts w:ascii="Georgia" w:hAnsi="Georgia" w:cs="Arial"/>
          <w:sz w:val="22"/>
          <w:szCs w:val="22"/>
        </w:rPr>
        <w:tab/>
        <w:t>Radicación</w:t>
      </w:r>
      <w:r w:rsidRPr="00A703B5">
        <w:rPr>
          <w:rFonts w:ascii="Georgia" w:hAnsi="Georgia" w:cs="Arial"/>
          <w:sz w:val="22"/>
          <w:szCs w:val="22"/>
        </w:rPr>
        <w:tab/>
      </w:r>
      <w:r w:rsidRPr="00A703B5">
        <w:rPr>
          <w:rFonts w:ascii="Georgia" w:hAnsi="Georgia" w:cs="Arial"/>
          <w:sz w:val="22"/>
          <w:szCs w:val="22"/>
        </w:rPr>
        <w:tab/>
        <w:t>: 2010-00091-03</w:t>
      </w:r>
    </w:p>
    <w:p w:rsidR="00DD1DAA" w:rsidRPr="00A703B5" w:rsidRDefault="00DD1DAA" w:rsidP="00371500">
      <w:pPr>
        <w:pStyle w:val="Textoindependiente"/>
        <w:spacing w:line="360" w:lineRule="auto"/>
        <w:rPr>
          <w:rFonts w:ascii="Georgia" w:hAnsi="Georgia"/>
          <w:sz w:val="22"/>
          <w:szCs w:val="22"/>
        </w:rPr>
      </w:pPr>
      <w:r w:rsidRPr="00A703B5">
        <w:rPr>
          <w:rFonts w:ascii="Georgia" w:hAnsi="Georgia"/>
          <w:sz w:val="22"/>
          <w:szCs w:val="22"/>
        </w:rPr>
        <w:tab/>
      </w:r>
      <w:r w:rsidRPr="00A703B5">
        <w:rPr>
          <w:rFonts w:ascii="Georgia" w:hAnsi="Georgia"/>
          <w:sz w:val="22"/>
          <w:szCs w:val="22"/>
        </w:rPr>
        <w:tab/>
        <w:t>Despacho de origen</w:t>
      </w:r>
      <w:r w:rsidRPr="00A703B5">
        <w:rPr>
          <w:rFonts w:ascii="Georgia" w:hAnsi="Georgia"/>
          <w:sz w:val="22"/>
          <w:szCs w:val="22"/>
        </w:rPr>
        <w:tab/>
        <w:t xml:space="preserve">: Juzgado </w:t>
      </w:r>
      <w:r w:rsidR="00371500" w:rsidRPr="00A703B5">
        <w:rPr>
          <w:rFonts w:ascii="Georgia" w:hAnsi="Georgia"/>
          <w:sz w:val="22"/>
          <w:szCs w:val="22"/>
        </w:rPr>
        <w:t xml:space="preserve">Primero </w:t>
      </w:r>
      <w:r w:rsidRPr="00A703B5">
        <w:rPr>
          <w:rFonts w:ascii="Georgia" w:hAnsi="Georgia"/>
          <w:sz w:val="22"/>
          <w:szCs w:val="22"/>
        </w:rPr>
        <w:t>Civil del Circuito de Pereira</w:t>
      </w:r>
    </w:p>
    <w:p w:rsidR="00DD1DAA" w:rsidRPr="00A703B5" w:rsidRDefault="00DD1DAA" w:rsidP="00DD1DAA">
      <w:pPr>
        <w:pStyle w:val="Textoindependiente"/>
        <w:spacing w:line="360" w:lineRule="auto"/>
        <w:ind w:left="1416"/>
        <w:rPr>
          <w:rFonts w:ascii="Georgia" w:hAnsi="Georgia" w:cs="Arial"/>
          <w:sz w:val="22"/>
          <w:szCs w:val="22"/>
          <w:lang w:val="es-CO"/>
        </w:rPr>
      </w:pPr>
      <w:proofErr w:type="spellStart"/>
      <w:r w:rsidRPr="00A703B5">
        <w:rPr>
          <w:rFonts w:ascii="Georgia" w:hAnsi="Georgia" w:cs="Arial"/>
          <w:sz w:val="22"/>
          <w:szCs w:val="22"/>
          <w:lang w:val="es-CO"/>
        </w:rPr>
        <w:t>Mag</w:t>
      </w:r>
      <w:proofErr w:type="spellEnd"/>
      <w:r w:rsidRPr="00A703B5">
        <w:rPr>
          <w:rFonts w:ascii="Georgia" w:hAnsi="Georgia" w:cs="Arial"/>
          <w:sz w:val="22"/>
          <w:szCs w:val="22"/>
          <w:lang w:val="es-CO"/>
        </w:rPr>
        <w:t>.</w:t>
      </w:r>
      <w:r w:rsidR="00371500" w:rsidRPr="00A703B5">
        <w:rPr>
          <w:rFonts w:ascii="Georgia" w:hAnsi="Georgia" w:cs="Arial"/>
          <w:sz w:val="22"/>
          <w:szCs w:val="22"/>
          <w:lang w:val="es-CO"/>
        </w:rPr>
        <w:t xml:space="preserve"> </w:t>
      </w:r>
      <w:r w:rsidRPr="00A703B5">
        <w:rPr>
          <w:rFonts w:ascii="Georgia" w:hAnsi="Georgia" w:cs="Arial"/>
          <w:sz w:val="22"/>
          <w:szCs w:val="22"/>
          <w:lang w:val="es-CO"/>
        </w:rPr>
        <w:t>Sustanciador</w:t>
      </w:r>
      <w:r w:rsidRPr="00A703B5">
        <w:rPr>
          <w:rFonts w:ascii="Georgia" w:hAnsi="Georgia" w:cs="Arial"/>
          <w:sz w:val="22"/>
          <w:szCs w:val="22"/>
          <w:lang w:val="es-CO"/>
        </w:rPr>
        <w:tab/>
        <w:t xml:space="preserve">: </w:t>
      </w:r>
      <w:proofErr w:type="spellStart"/>
      <w:r w:rsidRPr="00A703B5">
        <w:rPr>
          <w:rFonts w:ascii="Georgia" w:hAnsi="Georgia" w:cs="Arial"/>
          <w:smallCaps/>
          <w:sz w:val="22"/>
          <w:szCs w:val="22"/>
          <w:lang w:val="es-CO"/>
        </w:rPr>
        <w:t>Duberney</w:t>
      </w:r>
      <w:proofErr w:type="spellEnd"/>
      <w:r w:rsidRPr="00A703B5">
        <w:rPr>
          <w:rFonts w:ascii="Georgia" w:hAnsi="Georgia" w:cs="Arial"/>
          <w:smallCaps/>
          <w:sz w:val="22"/>
          <w:szCs w:val="22"/>
          <w:lang w:val="es-CO"/>
        </w:rPr>
        <w:t xml:space="preserve"> Grisales Herrera</w:t>
      </w:r>
    </w:p>
    <w:p w:rsidR="00045CE3" w:rsidRPr="00A703B5" w:rsidRDefault="00045CE3" w:rsidP="007326D4">
      <w:pPr>
        <w:pBdr>
          <w:bottom w:val="double" w:sz="6" w:space="1" w:color="auto"/>
        </w:pBdr>
        <w:spacing w:line="360" w:lineRule="auto"/>
        <w:rPr>
          <w:rFonts w:ascii="Georgia" w:hAnsi="Georgia" w:cs="Arial"/>
          <w:b/>
          <w:bCs/>
          <w:sz w:val="10"/>
          <w:szCs w:val="26"/>
        </w:rPr>
      </w:pPr>
    </w:p>
    <w:p w:rsidR="00045CE3" w:rsidRPr="00A703B5" w:rsidRDefault="00045CE3" w:rsidP="00D1698E">
      <w:pPr>
        <w:spacing w:line="360" w:lineRule="auto"/>
        <w:jc w:val="center"/>
        <w:rPr>
          <w:rFonts w:ascii="Georgia" w:hAnsi="Georgia" w:cs="Arial"/>
          <w:b/>
          <w:bCs/>
          <w:szCs w:val="26"/>
        </w:rPr>
      </w:pPr>
    </w:p>
    <w:p w:rsidR="00DD1DAA" w:rsidRPr="00A703B5" w:rsidRDefault="00DD1DAA" w:rsidP="00DD1DAA">
      <w:pPr>
        <w:spacing w:line="360" w:lineRule="auto"/>
        <w:jc w:val="center"/>
        <w:rPr>
          <w:rFonts w:ascii="Georgia" w:hAnsi="Georgia" w:cs="Arial"/>
          <w:bCs/>
          <w:sz w:val="24"/>
          <w:szCs w:val="24"/>
          <w:lang w:val="es-CO"/>
        </w:rPr>
      </w:pPr>
      <w:r w:rsidRPr="00A703B5">
        <w:rPr>
          <w:rFonts w:ascii="Georgia" w:hAnsi="Georgia" w:cs="Arial"/>
          <w:bCs/>
          <w:smallCaps/>
          <w:sz w:val="24"/>
          <w:szCs w:val="24"/>
          <w:lang w:val="es-CO"/>
        </w:rPr>
        <w:t xml:space="preserve">Pereira, R., </w:t>
      </w:r>
      <w:r w:rsidR="005466EB" w:rsidRPr="00A703B5">
        <w:rPr>
          <w:rFonts w:ascii="Georgia" w:hAnsi="Georgia" w:cs="Arial"/>
          <w:bCs/>
          <w:smallCaps/>
          <w:sz w:val="24"/>
          <w:szCs w:val="24"/>
          <w:lang w:val="es-CO"/>
        </w:rPr>
        <w:t xml:space="preserve">veinticinco </w:t>
      </w:r>
      <w:r w:rsidRPr="00A703B5">
        <w:rPr>
          <w:rFonts w:ascii="Georgia" w:hAnsi="Georgia" w:cs="Arial"/>
          <w:bCs/>
          <w:smallCaps/>
          <w:sz w:val="24"/>
          <w:szCs w:val="24"/>
          <w:lang w:val="es-CO"/>
        </w:rPr>
        <w:t>(</w:t>
      </w:r>
      <w:r w:rsidR="005466EB" w:rsidRPr="00A703B5">
        <w:rPr>
          <w:rFonts w:ascii="Georgia" w:hAnsi="Georgia" w:cs="Arial"/>
          <w:bCs/>
          <w:smallCaps/>
          <w:sz w:val="24"/>
          <w:szCs w:val="24"/>
          <w:lang w:val="es-CO"/>
        </w:rPr>
        <w:t>25</w:t>
      </w:r>
      <w:r w:rsidRPr="00A703B5">
        <w:rPr>
          <w:rFonts w:ascii="Georgia" w:hAnsi="Georgia" w:cs="Arial"/>
          <w:bCs/>
          <w:smallCaps/>
          <w:sz w:val="24"/>
          <w:szCs w:val="24"/>
          <w:lang w:val="es-CO"/>
        </w:rPr>
        <w:t xml:space="preserve">) de </w:t>
      </w:r>
      <w:r w:rsidR="00371500" w:rsidRPr="00A703B5">
        <w:rPr>
          <w:rFonts w:ascii="Georgia" w:hAnsi="Georgia" w:cs="Arial"/>
          <w:bCs/>
          <w:smallCaps/>
          <w:sz w:val="24"/>
          <w:szCs w:val="24"/>
          <w:lang w:val="es-CO"/>
        </w:rPr>
        <w:t xml:space="preserve">junio </w:t>
      </w:r>
      <w:r w:rsidRPr="00A703B5">
        <w:rPr>
          <w:rFonts w:ascii="Georgia" w:hAnsi="Georgia" w:cs="Arial"/>
          <w:bCs/>
          <w:smallCaps/>
          <w:sz w:val="24"/>
          <w:szCs w:val="24"/>
          <w:lang w:val="es-CO"/>
        </w:rPr>
        <w:t>de dos mil dieci</w:t>
      </w:r>
      <w:r w:rsidR="00371500" w:rsidRPr="00A703B5">
        <w:rPr>
          <w:rFonts w:ascii="Georgia" w:hAnsi="Georgia" w:cs="Arial"/>
          <w:bCs/>
          <w:smallCaps/>
          <w:sz w:val="24"/>
          <w:szCs w:val="24"/>
          <w:lang w:val="es-CO"/>
        </w:rPr>
        <w:t xml:space="preserve">ocho </w:t>
      </w:r>
      <w:r w:rsidRPr="00A703B5">
        <w:rPr>
          <w:rFonts w:ascii="Georgia" w:hAnsi="Georgia" w:cs="Arial"/>
          <w:bCs/>
          <w:smallCaps/>
          <w:sz w:val="24"/>
          <w:szCs w:val="24"/>
          <w:lang w:val="es-CO"/>
        </w:rPr>
        <w:t>(201</w:t>
      </w:r>
      <w:r w:rsidR="00371500" w:rsidRPr="00A703B5">
        <w:rPr>
          <w:rFonts w:ascii="Georgia" w:hAnsi="Georgia" w:cs="Arial"/>
          <w:bCs/>
          <w:smallCaps/>
          <w:sz w:val="24"/>
          <w:szCs w:val="24"/>
          <w:lang w:val="es-CO"/>
        </w:rPr>
        <w:t>8</w:t>
      </w:r>
      <w:r w:rsidRPr="00A703B5">
        <w:rPr>
          <w:rFonts w:ascii="Georgia" w:hAnsi="Georgia" w:cs="Arial"/>
          <w:bCs/>
          <w:smallCaps/>
          <w:sz w:val="24"/>
          <w:szCs w:val="24"/>
          <w:lang w:val="es-CO"/>
        </w:rPr>
        <w:t>)</w:t>
      </w:r>
      <w:r w:rsidRPr="00A703B5">
        <w:rPr>
          <w:rFonts w:ascii="Georgia" w:hAnsi="Georgia" w:cs="Arial"/>
          <w:bCs/>
          <w:sz w:val="24"/>
          <w:szCs w:val="24"/>
          <w:lang w:val="es-CO"/>
        </w:rPr>
        <w:t>.</w:t>
      </w:r>
    </w:p>
    <w:p w:rsidR="00AC7745" w:rsidRPr="00A703B5" w:rsidRDefault="00AC7745" w:rsidP="008B7145">
      <w:pPr>
        <w:pStyle w:val="Puesto"/>
        <w:spacing w:line="360" w:lineRule="auto"/>
        <w:rPr>
          <w:rFonts w:ascii="Georgia" w:hAnsi="Georgia" w:cs="Arial"/>
          <w:b w:val="0"/>
          <w:i w:val="0"/>
          <w:spacing w:val="-3"/>
          <w:szCs w:val="22"/>
        </w:rPr>
      </w:pPr>
    </w:p>
    <w:p w:rsidR="008872A2" w:rsidRPr="00A703B5" w:rsidRDefault="004B155A" w:rsidP="008872A2">
      <w:pPr>
        <w:pStyle w:val="Puesto"/>
        <w:numPr>
          <w:ilvl w:val="0"/>
          <w:numId w:val="1"/>
        </w:numPr>
        <w:spacing w:line="360" w:lineRule="auto"/>
        <w:jc w:val="left"/>
        <w:rPr>
          <w:rFonts w:ascii="Georgia" w:hAnsi="Georgia" w:cs="Arial"/>
          <w:b w:val="0"/>
          <w:i w:val="0"/>
          <w:smallCaps/>
          <w:spacing w:val="-3"/>
          <w:sz w:val="26"/>
          <w:szCs w:val="26"/>
          <w:lang w:val="es-ES_tradnl"/>
        </w:rPr>
      </w:pPr>
      <w:r w:rsidRPr="00A703B5">
        <w:rPr>
          <w:rFonts w:ascii="Georgia" w:hAnsi="Georgia" w:cs="Arial"/>
          <w:b w:val="0"/>
          <w:i w:val="0"/>
          <w:smallCaps/>
          <w:sz w:val="32"/>
          <w:szCs w:val="26"/>
        </w:rPr>
        <w:t>e</w:t>
      </w:r>
      <w:r w:rsidRPr="00A703B5">
        <w:rPr>
          <w:rFonts w:ascii="Georgia" w:hAnsi="Georgia" w:cs="Arial"/>
          <w:b w:val="0"/>
          <w:i w:val="0"/>
          <w:smallCaps/>
          <w:sz w:val="26"/>
          <w:szCs w:val="26"/>
        </w:rPr>
        <w:t>l asunto por decidir</w:t>
      </w:r>
    </w:p>
    <w:p w:rsidR="008872A2" w:rsidRPr="00A703B5" w:rsidRDefault="008872A2" w:rsidP="008872A2">
      <w:pPr>
        <w:pStyle w:val="Puesto"/>
        <w:spacing w:line="360" w:lineRule="auto"/>
        <w:jc w:val="left"/>
        <w:rPr>
          <w:rFonts w:ascii="Georgia" w:hAnsi="Georgia" w:cs="Arial"/>
          <w:b w:val="0"/>
          <w:i w:val="0"/>
          <w:spacing w:val="-3"/>
          <w:szCs w:val="24"/>
          <w:lang w:val="es-ES_tradnl"/>
        </w:rPr>
      </w:pPr>
    </w:p>
    <w:p w:rsidR="008872A2" w:rsidRPr="00A703B5" w:rsidRDefault="00737026" w:rsidP="008872A2">
      <w:pPr>
        <w:spacing w:line="360" w:lineRule="auto"/>
        <w:jc w:val="both"/>
        <w:rPr>
          <w:rFonts w:ascii="Georgia" w:hAnsi="Georgia" w:cs="Arial"/>
          <w:sz w:val="24"/>
          <w:szCs w:val="24"/>
        </w:rPr>
      </w:pPr>
      <w:r w:rsidRPr="00A703B5">
        <w:rPr>
          <w:rFonts w:ascii="Georgia" w:hAnsi="Georgia" w:cs="Arial"/>
          <w:spacing w:val="-3"/>
          <w:sz w:val="24"/>
          <w:szCs w:val="24"/>
        </w:rPr>
        <w:t xml:space="preserve">Previo a la decisión de fondo, debe resolver sobre la </w:t>
      </w:r>
      <w:r w:rsidR="00C903AF" w:rsidRPr="00A703B5">
        <w:rPr>
          <w:rFonts w:ascii="Georgia" w:hAnsi="Georgia" w:cs="Arial"/>
          <w:spacing w:val="-3"/>
          <w:sz w:val="24"/>
          <w:szCs w:val="24"/>
        </w:rPr>
        <w:t xml:space="preserve">nulidad </w:t>
      </w:r>
      <w:r w:rsidR="003458B9" w:rsidRPr="00A703B5">
        <w:rPr>
          <w:rFonts w:ascii="Georgia" w:hAnsi="Georgia" w:cs="Arial"/>
          <w:spacing w:val="-3"/>
          <w:sz w:val="24"/>
          <w:szCs w:val="24"/>
        </w:rPr>
        <w:t xml:space="preserve">que advierte </w:t>
      </w:r>
      <w:r w:rsidR="008872A2" w:rsidRPr="00A703B5">
        <w:rPr>
          <w:rFonts w:ascii="Georgia" w:hAnsi="Georgia" w:cs="Arial"/>
          <w:spacing w:val="-3"/>
          <w:sz w:val="24"/>
          <w:szCs w:val="24"/>
        </w:rPr>
        <w:t xml:space="preserve">esta </w:t>
      </w:r>
      <w:r w:rsidR="00BB67AD" w:rsidRPr="00A703B5">
        <w:rPr>
          <w:rFonts w:ascii="Georgia" w:hAnsi="Georgia" w:cs="Arial"/>
          <w:spacing w:val="-3"/>
          <w:sz w:val="24"/>
          <w:szCs w:val="24"/>
        </w:rPr>
        <w:t>Sala</w:t>
      </w:r>
      <w:r w:rsidR="003458B9" w:rsidRPr="00A703B5">
        <w:rPr>
          <w:rFonts w:ascii="Georgia" w:hAnsi="Georgia" w:cs="Arial"/>
          <w:spacing w:val="-3"/>
          <w:sz w:val="24"/>
          <w:szCs w:val="24"/>
        </w:rPr>
        <w:t>,</w:t>
      </w:r>
      <w:r w:rsidR="008872A2" w:rsidRPr="00A703B5">
        <w:rPr>
          <w:rFonts w:ascii="Georgia" w:hAnsi="Georgia" w:cs="Arial"/>
          <w:spacing w:val="-3"/>
          <w:sz w:val="24"/>
          <w:szCs w:val="24"/>
        </w:rPr>
        <w:t xml:space="preserve"> </w:t>
      </w:r>
      <w:r w:rsidRPr="00A703B5">
        <w:rPr>
          <w:rFonts w:ascii="Georgia" w:hAnsi="Georgia" w:cs="Arial"/>
          <w:spacing w:val="-3"/>
          <w:sz w:val="24"/>
          <w:szCs w:val="24"/>
        </w:rPr>
        <w:t xml:space="preserve">en el </w:t>
      </w:r>
      <w:r w:rsidR="000D1C67" w:rsidRPr="00A703B5">
        <w:rPr>
          <w:rFonts w:ascii="Georgia" w:hAnsi="Georgia" w:cs="Arial"/>
          <w:spacing w:val="-3"/>
          <w:sz w:val="24"/>
          <w:szCs w:val="24"/>
        </w:rPr>
        <w:t xml:space="preserve">curso del </w:t>
      </w:r>
      <w:r w:rsidR="000F1B66" w:rsidRPr="00A703B5">
        <w:rPr>
          <w:rFonts w:ascii="Georgia" w:hAnsi="Georgia" w:cs="Arial"/>
          <w:spacing w:val="-3"/>
          <w:sz w:val="24"/>
          <w:szCs w:val="24"/>
        </w:rPr>
        <w:t>proceso</w:t>
      </w:r>
      <w:r w:rsidR="000D1C67" w:rsidRPr="00A703B5">
        <w:rPr>
          <w:rFonts w:ascii="Georgia" w:hAnsi="Georgia" w:cs="Arial"/>
          <w:spacing w:val="-3"/>
          <w:sz w:val="24"/>
          <w:szCs w:val="24"/>
        </w:rPr>
        <w:t xml:space="preserve"> de la referencia</w:t>
      </w:r>
      <w:r w:rsidR="008872A2" w:rsidRPr="00A703B5">
        <w:rPr>
          <w:rFonts w:ascii="Georgia" w:hAnsi="Georgia" w:cs="Arial"/>
          <w:spacing w:val="-3"/>
          <w:sz w:val="24"/>
          <w:szCs w:val="24"/>
        </w:rPr>
        <w:t>, al tenor de las consideraciones que siguen.</w:t>
      </w:r>
    </w:p>
    <w:p w:rsidR="00AC7745" w:rsidRPr="00A703B5" w:rsidRDefault="00AC7745" w:rsidP="008872A2">
      <w:pPr>
        <w:spacing w:line="360" w:lineRule="auto"/>
        <w:jc w:val="both"/>
        <w:rPr>
          <w:rFonts w:ascii="Georgia" w:hAnsi="Georgia" w:cs="Arial"/>
          <w:sz w:val="24"/>
          <w:szCs w:val="22"/>
        </w:rPr>
      </w:pPr>
    </w:p>
    <w:p w:rsidR="008872A2" w:rsidRPr="00A703B5" w:rsidRDefault="004B155A" w:rsidP="008872A2">
      <w:pPr>
        <w:numPr>
          <w:ilvl w:val="0"/>
          <w:numId w:val="1"/>
        </w:numPr>
        <w:spacing w:line="360" w:lineRule="auto"/>
        <w:jc w:val="both"/>
        <w:rPr>
          <w:rFonts w:ascii="Georgia" w:hAnsi="Georgia" w:cs="Arial"/>
          <w:smallCaps/>
          <w:sz w:val="26"/>
          <w:szCs w:val="24"/>
        </w:rPr>
      </w:pPr>
      <w:r w:rsidRPr="00A703B5">
        <w:rPr>
          <w:rFonts w:ascii="Georgia" w:hAnsi="Georgia" w:cs="Arial"/>
          <w:smallCaps/>
          <w:sz w:val="32"/>
          <w:szCs w:val="24"/>
        </w:rPr>
        <w:t>l</w:t>
      </w:r>
      <w:r w:rsidRPr="00A703B5">
        <w:rPr>
          <w:rFonts w:ascii="Georgia" w:hAnsi="Georgia" w:cs="Arial"/>
          <w:smallCaps/>
          <w:sz w:val="26"/>
          <w:szCs w:val="24"/>
        </w:rPr>
        <w:t>a síntesis de la crónica procesal</w:t>
      </w:r>
    </w:p>
    <w:p w:rsidR="00607310" w:rsidRPr="00A703B5" w:rsidRDefault="00607310" w:rsidP="00607310">
      <w:pPr>
        <w:spacing w:line="360" w:lineRule="auto"/>
        <w:jc w:val="both"/>
        <w:rPr>
          <w:rFonts w:ascii="Georgia" w:hAnsi="Georgia" w:cs="Arial"/>
          <w:sz w:val="24"/>
          <w:szCs w:val="24"/>
        </w:rPr>
      </w:pPr>
    </w:p>
    <w:p w:rsidR="008913C5" w:rsidRPr="00A703B5" w:rsidRDefault="00CE0350" w:rsidP="00CE0350">
      <w:pPr>
        <w:spacing w:line="360" w:lineRule="auto"/>
        <w:jc w:val="both"/>
        <w:rPr>
          <w:rFonts w:ascii="Georgia" w:hAnsi="Georgia" w:cs="Arial"/>
          <w:sz w:val="24"/>
          <w:szCs w:val="24"/>
          <w:lang w:val="es-CO"/>
        </w:rPr>
      </w:pPr>
      <w:r w:rsidRPr="00A703B5">
        <w:rPr>
          <w:rFonts w:ascii="Georgia" w:hAnsi="Georgia" w:cs="Arial"/>
          <w:sz w:val="24"/>
          <w:szCs w:val="24"/>
          <w:lang w:val="es-CO"/>
        </w:rPr>
        <w:t xml:space="preserve">El día </w:t>
      </w:r>
      <w:r w:rsidR="008913C5" w:rsidRPr="00A703B5">
        <w:rPr>
          <w:rFonts w:ascii="Georgia" w:hAnsi="Georgia" w:cs="Arial"/>
          <w:sz w:val="24"/>
          <w:szCs w:val="24"/>
          <w:lang w:val="es-CO"/>
        </w:rPr>
        <w:t>2</w:t>
      </w:r>
      <w:r w:rsidR="00371500" w:rsidRPr="00A703B5">
        <w:rPr>
          <w:rFonts w:ascii="Georgia" w:hAnsi="Georgia" w:cs="Arial"/>
          <w:sz w:val="24"/>
          <w:szCs w:val="24"/>
          <w:lang w:val="es-CO"/>
        </w:rPr>
        <w:t>3</w:t>
      </w:r>
      <w:r w:rsidR="008913C5" w:rsidRPr="00A703B5">
        <w:rPr>
          <w:rFonts w:ascii="Georgia" w:hAnsi="Georgia" w:cs="Arial"/>
          <w:sz w:val="24"/>
          <w:szCs w:val="24"/>
          <w:lang w:val="es-CO"/>
        </w:rPr>
        <w:t>-</w:t>
      </w:r>
      <w:r w:rsidR="00371500" w:rsidRPr="00A703B5">
        <w:rPr>
          <w:rFonts w:ascii="Georgia" w:hAnsi="Georgia" w:cs="Arial"/>
          <w:sz w:val="24"/>
          <w:szCs w:val="24"/>
          <w:lang w:val="es-CO"/>
        </w:rPr>
        <w:t>07</w:t>
      </w:r>
      <w:r w:rsidR="008913C5" w:rsidRPr="00A703B5">
        <w:rPr>
          <w:rFonts w:ascii="Georgia" w:hAnsi="Georgia" w:cs="Arial"/>
          <w:sz w:val="24"/>
          <w:szCs w:val="24"/>
          <w:lang w:val="es-CO"/>
        </w:rPr>
        <w:t>-201</w:t>
      </w:r>
      <w:r w:rsidR="00371500" w:rsidRPr="00A703B5">
        <w:rPr>
          <w:rFonts w:ascii="Georgia" w:hAnsi="Georgia" w:cs="Arial"/>
          <w:sz w:val="24"/>
          <w:szCs w:val="24"/>
          <w:lang w:val="es-CO"/>
        </w:rPr>
        <w:t>2</w:t>
      </w:r>
      <w:r w:rsidRPr="00A703B5">
        <w:rPr>
          <w:rFonts w:ascii="Georgia" w:hAnsi="Georgia" w:cs="Arial"/>
          <w:sz w:val="24"/>
          <w:szCs w:val="24"/>
          <w:lang w:val="es-CO"/>
        </w:rPr>
        <w:t xml:space="preserve"> el Juzgado </w:t>
      </w:r>
      <w:r w:rsidR="00371500" w:rsidRPr="00A703B5">
        <w:rPr>
          <w:rFonts w:ascii="Georgia" w:hAnsi="Georgia" w:cs="Arial"/>
          <w:sz w:val="24"/>
          <w:szCs w:val="24"/>
          <w:lang w:val="es-CO"/>
        </w:rPr>
        <w:t xml:space="preserve">Quinto Civil del Circuito </w:t>
      </w:r>
      <w:r w:rsidR="008913C5" w:rsidRPr="00A703B5">
        <w:rPr>
          <w:rFonts w:ascii="Georgia" w:hAnsi="Georgia" w:cs="Arial"/>
          <w:sz w:val="24"/>
          <w:szCs w:val="24"/>
          <w:lang w:val="es-CO"/>
        </w:rPr>
        <w:t>de Pereira</w:t>
      </w:r>
      <w:r w:rsidRPr="00A703B5">
        <w:rPr>
          <w:rFonts w:ascii="Georgia" w:hAnsi="Georgia" w:cs="Arial"/>
          <w:sz w:val="24"/>
          <w:szCs w:val="24"/>
          <w:lang w:val="es-CO"/>
        </w:rPr>
        <w:t xml:space="preserve"> </w:t>
      </w:r>
      <w:r w:rsidR="00371500" w:rsidRPr="00A703B5">
        <w:rPr>
          <w:rFonts w:ascii="Georgia" w:hAnsi="Georgia" w:cs="Arial"/>
          <w:sz w:val="24"/>
          <w:szCs w:val="24"/>
          <w:lang w:val="es-CO"/>
        </w:rPr>
        <w:t>profirió sentencia estimatoria de las pretensiones</w:t>
      </w:r>
      <w:r w:rsidR="00933623" w:rsidRPr="00A703B5">
        <w:rPr>
          <w:rFonts w:ascii="Georgia" w:hAnsi="Georgia" w:cs="Arial"/>
          <w:sz w:val="24"/>
          <w:szCs w:val="24"/>
          <w:lang w:val="es-CO"/>
        </w:rPr>
        <w:t>,</w:t>
      </w:r>
      <w:r w:rsidR="00371500" w:rsidRPr="00A703B5">
        <w:rPr>
          <w:rFonts w:ascii="Georgia" w:hAnsi="Georgia" w:cs="Arial"/>
          <w:sz w:val="24"/>
          <w:szCs w:val="24"/>
          <w:lang w:val="es-CO"/>
        </w:rPr>
        <w:t xml:space="preserve"> por </w:t>
      </w:r>
      <w:r w:rsidR="00B32B6D" w:rsidRPr="00A703B5">
        <w:rPr>
          <w:rFonts w:ascii="Georgia" w:hAnsi="Georgia" w:cs="Arial"/>
          <w:sz w:val="24"/>
          <w:szCs w:val="24"/>
          <w:lang w:val="es-CO"/>
        </w:rPr>
        <w:t xml:space="preserve">ello </w:t>
      </w:r>
      <w:r w:rsidR="00371500" w:rsidRPr="00A703B5">
        <w:rPr>
          <w:rFonts w:ascii="Georgia" w:hAnsi="Georgia" w:cs="Arial"/>
          <w:sz w:val="24"/>
          <w:szCs w:val="24"/>
          <w:lang w:val="es-CO"/>
        </w:rPr>
        <w:t xml:space="preserve">condenó en costas a la parte demandada y fijó </w:t>
      </w:r>
      <w:r w:rsidR="00371500" w:rsidRPr="00A703B5">
        <w:rPr>
          <w:rFonts w:ascii="Georgia" w:hAnsi="Georgia" w:cs="Arial"/>
          <w:sz w:val="24"/>
          <w:szCs w:val="24"/>
          <w:lang w:val="es-CO"/>
        </w:rPr>
        <w:lastRenderedPageBreak/>
        <w:t>como agencias en derecho la suma de $15.000.000</w:t>
      </w:r>
      <w:r w:rsidR="00BB67AD" w:rsidRPr="00A703B5">
        <w:rPr>
          <w:rFonts w:ascii="Georgia" w:hAnsi="Georgia" w:cs="Arial"/>
          <w:sz w:val="24"/>
          <w:szCs w:val="24"/>
          <w:lang w:val="es-CO"/>
        </w:rPr>
        <w:t xml:space="preserve"> </w:t>
      </w:r>
      <w:r w:rsidRPr="00A703B5">
        <w:rPr>
          <w:rFonts w:ascii="Georgia" w:hAnsi="Georgia" w:cs="Arial"/>
          <w:sz w:val="24"/>
          <w:szCs w:val="24"/>
          <w:lang w:val="es-CO"/>
        </w:rPr>
        <w:t>(</w:t>
      </w:r>
      <w:r w:rsidRPr="00A703B5">
        <w:rPr>
          <w:rFonts w:ascii="Georgia" w:hAnsi="Georgia" w:cs="Arial"/>
          <w:sz w:val="22"/>
          <w:szCs w:val="24"/>
          <w:lang w:val="es-CO"/>
        </w:rPr>
        <w:t xml:space="preserve">Folios </w:t>
      </w:r>
      <w:r w:rsidR="00371500" w:rsidRPr="00A703B5">
        <w:rPr>
          <w:rFonts w:ascii="Georgia" w:hAnsi="Georgia" w:cs="Arial"/>
          <w:sz w:val="22"/>
          <w:szCs w:val="24"/>
          <w:lang w:val="es-CO"/>
        </w:rPr>
        <w:t>363</w:t>
      </w:r>
      <w:r w:rsidR="008913C5" w:rsidRPr="00A703B5">
        <w:rPr>
          <w:rFonts w:ascii="Georgia" w:hAnsi="Georgia" w:cs="Arial"/>
          <w:sz w:val="22"/>
          <w:szCs w:val="24"/>
          <w:lang w:val="es-CO"/>
        </w:rPr>
        <w:t xml:space="preserve"> a </w:t>
      </w:r>
      <w:r w:rsidR="00371500" w:rsidRPr="00A703B5">
        <w:rPr>
          <w:rFonts w:ascii="Georgia" w:hAnsi="Georgia" w:cs="Arial"/>
          <w:sz w:val="22"/>
          <w:szCs w:val="24"/>
          <w:lang w:val="es-CO"/>
        </w:rPr>
        <w:t>401</w:t>
      </w:r>
      <w:r w:rsidRPr="00A703B5">
        <w:rPr>
          <w:rFonts w:ascii="Georgia" w:hAnsi="Georgia" w:cs="Arial"/>
          <w:sz w:val="22"/>
          <w:szCs w:val="24"/>
          <w:lang w:val="es-CO"/>
        </w:rPr>
        <w:t xml:space="preserve">, cuaderno </w:t>
      </w:r>
      <w:r w:rsidR="008913C5" w:rsidRPr="00A703B5">
        <w:rPr>
          <w:rFonts w:ascii="Georgia" w:hAnsi="Georgia" w:cs="Arial"/>
          <w:sz w:val="22"/>
          <w:szCs w:val="24"/>
          <w:lang w:val="es-CO"/>
        </w:rPr>
        <w:t>principal</w:t>
      </w:r>
      <w:r w:rsidR="00371500" w:rsidRPr="00A703B5">
        <w:rPr>
          <w:rFonts w:ascii="Georgia" w:hAnsi="Georgia" w:cs="Arial"/>
          <w:sz w:val="22"/>
          <w:szCs w:val="24"/>
          <w:lang w:val="es-CO"/>
        </w:rPr>
        <w:t>, tomo II</w:t>
      </w:r>
      <w:r w:rsidRPr="00A703B5">
        <w:rPr>
          <w:rFonts w:ascii="Georgia" w:hAnsi="Georgia" w:cs="Arial"/>
          <w:sz w:val="24"/>
          <w:szCs w:val="24"/>
          <w:lang w:val="es-CO"/>
        </w:rPr>
        <w:t>)</w:t>
      </w:r>
      <w:r w:rsidR="00933623" w:rsidRPr="00A703B5">
        <w:rPr>
          <w:rFonts w:ascii="Georgia" w:hAnsi="Georgia" w:cs="Arial"/>
          <w:sz w:val="24"/>
          <w:szCs w:val="24"/>
          <w:lang w:val="es-CO"/>
        </w:rPr>
        <w:t xml:space="preserve">; </w:t>
      </w:r>
      <w:r w:rsidR="00B32B6D" w:rsidRPr="00A703B5">
        <w:rPr>
          <w:rFonts w:ascii="Georgia" w:hAnsi="Georgia" w:cs="Arial"/>
          <w:sz w:val="24"/>
          <w:szCs w:val="24"/>
          <w:lang w:val="es-CO"/>
        </w:rPr>
        <w:t xml:space="preserve">esa </w:t>
      </w:r>
      <w:r w:rsidR="00933623" w:rsidRPr="00A703B5">
        <w:rPr>
          <w:rFonts w:ascii="Georgia" w:hAnsi="Georgia" w:cs="Arial"/>
          <w:sz w:val="24"/>
          <w:szCs w:val="24"/>
          <w:lang w:val="es-CO"/>
        </w:rPr>
        <w:t>d</w:t>
      </w:r>
      <w:r w:rsidR="008913C5" w:rsidRPr="00A703B5">
        <w:rPr>
          <w:rFonts w:ascii="Georgia" w:hAnsi="Georgia" w:cs="Arial"/>
          <w:sz w:val="24"/>
          <w:szCs w:val="24"/>
          <w:lang w:val="es-CO"/>
        </w:rPr>
        <w:t xml:space="preserve">ecisión </w:t>
      </w:r>
      <w:r w:rsidR="00933623" w:rsidRPr="00A703B5">
        <w:rPr>
          <w:rFonts w:ascii="Georgia" w:hAnsi="Georgia" w:cs="Arial"/>
          <w:sz w:val="24"/>
          <w:szCs w:val="24"/>
          <w:lang w:val="es-CO"/>
        </w:rPr>
        <w:t>fue apelada por la parte vencida y provocó la remisión a esta Corporación</w:t>
      </w:r>
      <w:r w:rsidR="008913C5" w:rsidRPr="00A703B5">
        <w:rPr>
          <w:rFonts w:ascii="Georgia" w:hAnsi="Georgia" w:cs="Arial"/>
          <w:sz w:val="24"/>
          <w:szCs w:val="24"/>
          <w:lang w:val="es-CO"/>
        </w:rPr>
        <w:t xml:space="preserve"> (</w:t>
      </w:r>
      <w:r w:rsidR="008913C5" w:rsidRPr="00A703B5">
        <w:rPr>
          <w:rFonts w:ascii="Georgia" w:hAnsi="Georgia" w:cs="Arial"/>
          <w:sz w:val="22"/>
          <w:szCs w:val="22"/>
          <w:lang w:val="es-CO"/>
        </w:rPr>
        <w:t xml:space="preserve">Folio </w:t>
      </w:r>
      <w:r w:rsidR="00933623" w:rsidRPr="00A703B5">
        <w:rPr>
          <w:rFonts w:ascii="Georgia" w:hAnsi="Georgia" w:cs="Arial"/>
          <w:sz w:val="22"/>
          <w:szCs w:val="22"/>
          <w:lang w:val="es-CO"/>
        </w:rPr>
        <w:t>539</w:t>
      </w:r>
      <w:r w:rsidR="008913C5" w:rsidRPr="00A703B5">
        <w:rPr>
          <w:rFonts w:ascii="Georgia" w:hAnsi="Georgia" w:cs="Arial"/>
          <w:sz w:val="22"/>
          <w:szCs w:val="22"/>
          <w:lang w:val="es-CO"/>
        </w:rPr>
        <w:t xml:space="preserve">, cuaderno </w:t>
      </w:r>
      <w:r w:rsidR="00933623" w:rsidRPr="00A703B5">
        <w:rPr>
          <w:rFonts w:ascii="Georgia" w:hAnsi="Georgia" w:cs="Arial"/>
          <w:sz w:val="22"/>
          <w:szCs w:val="22"/>
          <w:lang w:val="es-CO"/>
        </w:rPr>
        <w:t>principal, tomo II</w:t>
      </w:r>
      <w:r w:rsidR="008913C5" w:rsidRPr="00A703B5">
        <w:rPr>
          <w:rFonts w:ascii="Georgia" w:hAnsi="Georgia" w:cs="Arial"/>
          <w:sz w:val="24"/>
          <w:szCs w:val="24"/>
          <w:lang w:val="es-CO"/>
        </w:rPr>
        <w:t>)</w:t>
      </w:r>
      <w:r w:rsidRPr="00A703B5">
        <w:rPr>
          <w:rFonts w:ascii="Georgia" w:hAnsi="Georgia" w:cs="Arial"/>
          <w:sz w:val="24"/>
          <w:szCs w:val="24"/>
          <w:lang w:val="es-CO"/>
        </w:rPr>
        <w:t xml:space="preserve">. </w:t>
      </w:r>
    </w:p>
    <w:p w:rsidR="008913C5" w:rsidRPr="00A703B5" w:rsidRDefault="008913C5" w:rsidP="00CE0350">
      <w:pPr>
        <w:spacing w:line="360" w:lineRule="auto"/>
        <w:jc w:val="both"/>
        <w:rPr>
          <w:rFonts w:ascii="Georgia" w:hAnsi="Georgia" w:cs="Arial"/>
          <w:sz w:val="24"/>
          <w:szCs w:val="24"/>
          <w:lang w:val="es-CO"/>
        </w:rPr>
      </w:pPr>
    </w:p>
    <w:p w:rsidR="00CE0350" w:rsidRPr="00A703B5" w:rsidRDefault="00933623" w:rsidP="00CE0350">
      <w:pPr>
        <w:spacing w:line="360" w:lineRule="auto"/>
        <w:jc w:val="both"/>
        <w:rPr>
          <w:rFonts w:ascii="Georgia" w:hAnsi="Georgia" w:cs="Arial"/>
          <w:sz w:val="24"/>
          <w:szCs w:val="24"/>
          <w:lang w:val="es-CO"/>
        </w:rPr>
      </w:pPr>
      <w:r w:rsidRPr="00A703B5">
        <w:rPr>
          <w:rFonts w:ascii="Georgia" w:hAnsi="Georgia" w:cs="Arial"/>
          <w:sz w:val="24"/>
          <w:szCs w:val="24"/>
          <w:lang w:val="es-CO"/>
        </w:rPr>
        <w:t xml:space="preserve">Esta Sala, a </w:t>
      </w:r>
      <w:r w:rsidR="008913C5" w:rsidRPr="00A703B5">
        <w:rPr>
          <w:rFonts w:ascii="Georgia" w:hAnsi="Georgia" w:cs="Arial"/>
          <w:sz w:val="24"/>
          <w:szCs w:val="24"/>
          <w:lang w:val="es-CO"/>
        </w:rPr>
        <w:t xml:space="preserve">su turno, </w:t>
      </w:r>
      <w:r w:rsidRPr="00A703B5">
        <w:rPr>
          <w:rFonts w:ascii="Georgia" w:hAnsi="Georgia" w:cs="Arial"/>
          <w:sz w:val="24"/>
          <w:szCs w:val="24"/>
          <w:lang w:val="es-CO"/>
        </w:rPr>
        <w:t xml:space="preserve">emitió fallo de segunda instancia el 08-03-2017 que revocó </w:t>
      </w:r>
      <w:r w:rsidRPr="00A703B5">
        <w:rPr>
          <w:rFonts w:ascii="Georgia" w:hAnsi="Georgia" w:cs="Arial"/>
          <w:sz w:val="24"/>
          <w:szCs w:val="24"/>
          <w:u w:val="single"/>
          <w:lang w:val="es-CO"/>
        </w:rPr>
        <w:t>integralmente</w:t>
      </w:r>
      <w:r w:rsidRPr="00A703B5">
        <w:rPr>
          <w:rFonts w:ascii="Georgia" w:hAnsi="Georgia" w:cs="Arial"/>
          <w:sz w:val="24"/>
          <w:szCs w:val="24"/>
          <w:lang w:val="es-CO"/>
        </w:rPr>
        <w:t xml:space="preserve"> </w:t>
      </w:r>
      <w:r w:rsidR="000D6F7A" w:rsidRPr="00A703B5">
        <w:rPr>
          <w:rFonts w:ascii="Georgia" w:hAnsi="Georgia" w:cs="Arial"/>
          <w:sz w:val="24"/>
          <w:szCs w:val="24"/>
          <w:lang w:val="es-CO"/>
        </w:rPr>
        <w:t>el proveído de primera instancia, desestimó las súplicas y condenó en costas a la parte actora, en ambas</w:t>
      </w:r>
      <w:r w:rsidRPr="00A703B5">
        <w:rPr>
          <w:rFonts w:ascii="Georgia" w:hAnsi="Georgia" w:cs="Arial"/>
          <w:sz w:val="24"/>
          <w:szCs w:val="24"/>
          <w:lang w:val="es-CO"/>
        </w:rPr>
        <w:t xml:space="preserve"> </w:t>
      </w:r>
      <w:r w:rsidR="000D6F7A" w:rsidRPr="00A703B5">
        <w:rPr>
          <w:rFonts w:ascii="Georgia" w:hAnsi="Georgia" w:cs="Arial"/>
          <w:sz w:val="24"/>
          <w:szCs w:val="24"/>
          <w:lang w:val="es-CO"/>
        </w:rPr>
        <w:t>instancias</w:t>
      </w:r>
      <w:r w:rsidR="008913C5" w:rsidRPr="00A703B5">
        <w:rPr>
          <w:rFonts w:ascii="Georgia" w:hAnsi="Georgia" w:cs="Arial"/>
          <w:sz w:val="24"/>
          <w:szCs w:val="24"/>
          <w:lang w:val="es-CO"/>
        </w:rPr>
        <w:t xml:space="preserve"> </w:t>
      </w:r>
      <w:r w:rsidR="00CE0350" w:rsidRPr="00A703B5">
        <w:rPr>
          <w:rFonts w:ascii="Georgia" w:hAnsi="Georgia" w:cs="Arial"/>
          <w:sz w:val="24"/>
          <w:szCs w:val="24"/>
          <w:lang w:val="es-CO"/>
        </w:rPr>
        <w:t>(</w:t>
      </w:r>
      <w:r w:rsidR="00CE0350" w:rsidRPr="00A703B5">
        <w:rPr>
          <w:rFonts w:ascii="Georgia" w:hAnsi="Georgia" w:cs="Arial"/>
          <w:sz w:val="22"/>
          <w:szCs w:val="24"/>
          <w:lang w:val="es-CO"/>
        </w:rPr>
        <w:t xml:space="preserve">Folios </w:t>
      </w:r>
      <w:r w:rsidR="000D6F7A" w:rsidRPr="00A703B5">
        <w:rPr>
          <w:rFonts w:ascii="Georgia" w:hAnsi="Georgia" w:cs="Arial"/>
          <w:sz w:val="22"/>
          <w:szCs w:val="24"/>
          <w:lang w:val="es-CO"/>
        </w:rPr>
        <w:t>116</w:t>
      </w:r>
      <w:r w:rsidR="00CE0350" w:rsidRPr="00A703B5">
        <w:rPr>
          <w:rFonts w:ascii="Georgia" w:hAnsi="Georgia" w:cs="Arial"/>
          <w:sz w:val="22"/>
          <w:szCs w:val="24"/>
          <w:lang w:val="es-CO"/>
        </w:rPr>
        <w:t xml:space="preserve"> </w:t>
      </w:r>
      <w:r w:rsidR="008913C5" w:rsidRPr="00A703B5">
        <w:rPr>
          <w:rFonts w:ascii="Georgia" w:hAnsi="Georgia" w:cs="Arial"/>
          <w:sz w:val="22"/>
          <w:szCs w:val="24"/>
          <w:lang w:val="es-CO"/>
        </w:rPr>
        <w:t>a</w:t>
      </w:r>
      <w:r w:rsidR="00CE0350" w:rsidRPr="00A703B5">
        <w:rPr>
          <w:rFonts w:ascii="Georgia" w:hAnsi="Georgia" w:cs="Arial"/>
          <w:sz w:val="22"/>
          <w:szCs w:val="24"/>
          <w:lang w:val="es-CO"/>
        </w:rPr>
        <w:t xml:space="preserve"> </w:t>
      </w:r>
      <w:r w:rsidR="000D6F7A" w:rsidRPr="00A703B5">
        <w:rPr>
          <w:rFonts w:ascii="Georgia" w:hAnsi="Georgia" w:cs="Arial"/>
          <w:sz w:val="22"/>
          <w:szCs w:val="24"/>
          <w:lang w:val="es-CO"/>
        </w:rPr>
        <w:t>123</w:t>
      </w:r>
      <w:r w:rsidR="00CE0350" w:rsidRPr="00A703B5">
        <w:rPr>
          <w:rFonts w:ascii="Georgia" w:hAnsi="Georgia" w:cs="Arial"/>
          <w:sz w:val="22"/>
          <w:szCs w:val="24"/>
          <w:lang w:val="es-CO"/>
        </w:rPr>
        <w:t xml:space="preserve">, cuaderno </w:t>
      </w:r>
      <w:r w:rsidR="000D6F7A" w:rsidRPr="00A703B5">
        <w:rPr>
          <w:rFonts w:ascii="Georgia" w:hAnsi="Georgia" w:cs="Arial"/>
          <w:sz w:val="22"/>
          <w:szCs w:val="24"/>
          <w:lang w:val="es-CO"/>
        </w:rPr>
        <w:t>11</w:t>
      </w:r>
      <w:r w:rsidR="000D6F7A" w:rsidRPr="00A703B5">
        <w:rPr>
          <w:rFonts w:ascii="Georgia" w:hAnsi="Georgia" w:cs="Arial"/>
          <w:sz w:val="24"/>
          <w:szCs w:val="24"/>
          <w:lang w:val="es-CO"/>
        </w:rPr>
        <w:t>). Posteriormente, como el recurso extraordinario de casación formulado por la parte actora, fue declarado inadmisible por la CSJ (Folios 31 a 37, cuaderno 12), la providencia emitida por esta Magistratura quedó en firme</w:t>
      </w:r>
      <w:r w:rsidR="001C63A4" w:rsidRPr="00A703B5">
        <w:rPr>
          <w:rFonts w:ascii="Georgia" w:hAnsi="Georgia" w:cs="Arial"/>
          <w:sz w:val="24"/>
          <w:szCs w:val="24"/>
          <w:lang w:val="es-CO"/>
        </w:rPr>
        <w:t xml:space="preserve"> (</w:t>
      </w:r>
      <w:r w:rsidR="001C63A4" w:rsidRPr="00A703B5">
        <w:rPr>
          <w:rFonts w:ascii="Georgia" w:hAnsi="Georgia" w:cs="Arial"/>
          <w:sz w:val="22"/>
          <w:szCs w:val="24"/>
          <w:lang w:val="es-CO"/>
        </w:rPr>
        <w:t>Folio 133, cuaderno 11</w:t>
      </w:r>
      <w:r w:rsidR="001C63A4" w:rsidRPr="00A703B5">
        <w:rPr>
          <w:rFonts w:ascii="Georgia" w:hAnsi="Georgia" w:cs="Arial"/>
          <w:sz w:val="24"/>
          <w:szCs w:val="24"/>
          <w:lang w:val="es-CO"/>
        </w:rPr>
        <w:t>)</w:t>
      </w:r>
      <w:r w:rsidR="000D6F7A" w:rsidRPr="00A703B5">
        <w:rPr>
          <w:rFonts w:ascii="Georgia" w:hAnsi="Georgia" w:cs="Arial"/>
          <w:sz w:val="24"/>
          <w:szCs w:val="24"/>
          <w:lang w:val="es-CO"/>
        </w:rPr>
        <w:t xml:space="preserve">. </w:t>
      </w:r>
    </w:p>
    <w:p w:rsidR="00CE0350" w:rsidRPr="00A703B5" w:rsidRDefault="00CE0350" w:rsidP="00CE0350">
      <w:pPr>
        <w:spacing w:line="360" w:lineRule="auto"/>
        <w:jc w:val="both"/>
        <w:rPr>
          <w:rFonts w:ascii="Georgia" w:hAnsi="Georgia" w:cs="Arial"/>
          <w:sz w:val="24"/>
          <w:szCs w:val="24"/>
          <w:lang w:val="es-CO"/>
        </w:rPr>
      </w:pPr>
    </w:p>
    <w:p w:rsidR="00976E92" w:rsidRPr="00A703B5" w:rsidRDefault="001C63A4" w:rsidP="00F4659B">
      <w:pPr>
        <w:spacing w:line="360" w:lineRule="auto"/>
        <w:jc w:val="both"/>
        <w:rPr>
          <w:rFonts w:ascii="Georgia" w:hAnsi="Georgia"/>
          <w:szCs w:val="24"/>
        </w:rPr>
      </w:pPr>
      <w:r w:rsidRPr="00A703B5">
        <w:rPr>
          <w:rFonts w:ascii="Georgia" w:hAnsi="Georgia"/>
          <w:sz w:val="24"/>
          <w:szCs w:val="24"/>
        </w:rPr>
        <w:t xml:space="preserve">Allegado el expediente a </w:t>
      </w:r>
      <w:r w:rsidR="00976E92" w:rsidRPr="00A703B5">
        <w:rPr>
          <w:rFonts w:ascii="Georgia" w:hAnsi="Georgia"/>
          <w:sz w:val="24"/>
          <w:szCs w:val="24"/>
        </w:rPr>
        <w:t>l</w:t>
      </w:r>
      <w:r w:rsidR="00BB67AD" w:rsidRPr="00A703B5">
        <w:rPr>
          <w:rFonts w:ascii="Georgia" w:hAnsi="Georgia"/>
          <w:sz w:val="24"/>
          <w:szCs w:val="24"/>
        </w:rPr>
        <w:t xml:space="preserve">a jueza </w:t>
      </w:r>
      <w:r w:rsidR="00976E92" w:rsidRPr="00A703B5">
        <w:rPr>
          <w:rFonts w:ascii="Georgia" w:hAnsi="Georgia"/>
          <w:sz w:val="24"/>
          <w:szCs w:val="24"/>
        </w:rPr>
        <w:t xml:space="preserve">de conocimiento, con auto del </w:t>
      </w:r>
      <w:r w:rsidRPr="00A703B5">
        <w:rPr>
          <w:rFonts w:ascii="Georgia" w:hAnsi="Georgia"/>
          <w:sz w:val="24"/>
          <w:szCs w:val="24"/>
        </w:rPr>
        <w:t>16-01-2018 estuvo a lo resuelto por el superior (</w:t>
      </w:r>
      <w:r w:rsidRPr="00A703B5">
        <w:rPr>
          <w:rFonts w:ascii="Georgia" w:hAnsi="Georgia"/>
          <w:sz w:val="22"/>
          <w:szCs w:val="24"/>
        </w:rPr>
        <w:t>Folio 543, cuaderno principal, tomo III</w:t>
      </w:r>
      <w:r w:rsidRPr="00A703B5">
        <w:rPr>
          <w:rFonts w:ascii="Georgia" w:hAnsi="Georgia"/>
          <w:sz w:val="24"/>
          <w:szCs w:val="24"/>
        </w:rPr>
        <w:t>), después, fijó las agencias de segunda instancia (</w:t>
      </w:r>
      <w:r w:rsidRPr="00A703B5">
        <w:rPr>
          <w:rFonts w:ascii="Georgia" w:hAnsi="Georgia"/>
          <w:sz w:val="22"/>
          <w:szCs w:val="24"/>
        </w:rPr>
        <w:t>Folio 544, cuaderno principal, tomo III</w:t>
      </w:r>
      <w:r w:rsidRPr="00A703B5">
        <w:rPr>
          <w:rFonts w:ascii="Georgia" w:hAnsi="Georgia"/>
          <w:sz w:val="24"/>
          <w:szCs w:val="24"/>
        </w:rPr>
        <w:t>) y finalmente, aprobó la liquidación de costas que hizo la secretaría de ese despacho (</w:t>
      </w:r>
      <w:r w:rsidRPr="00A703B5">
        <w:rPr>
          <w:rFonts w:ascii="Georgia" w:hAnsi="Georgia"/>
          <w:sz w:val="22"/>
          <w:szCs w:val="24"/>
        </w:rPr>
        <w:t>Auto 21-02-2018, folio 545, cuaderno principal, tomo III</w:t>
      </w:r>
      <w:r w:rsidRPr="00A703B5">
        <w:rPr>
          <w:rFonts w:ascii="Georgia" w:hAnsi="Georgia"/>
          <w:sz w:val="24"/>
          <w:szCs w:val="24"/>
        </w:rPr>
        <w:t>), siendo esta la decisión que</w:t>
      </w:r>
      <w:r w:rsidR="00A81F56" w:rsidRPr="00A703B5">
        <w:rPr>
          <w:rFonts w:ascii="Georgia" w:hAnsi="Georgia" w:cs="Arial"/>
          <w:sz w:val="24"/>
          <w:szCs w:val="24"/>
          <w:lang w:val="es-CO"/>
        </w:rPr>
        <w:t xml:space="preserve"> dio lugar a </w:t>
      </w:r>
      <w:r w:rsidR="00BB67AD" w:rsidRPr="00A703B5">
        <w:rPr>
          <w:rFonts w:ascii="Georgia" w:hAnsi="Georgia" w:cs="Arial"/>
          <w:sz w:val="24"/>
          <w:szCs w:val="24"/>
          <w:lang w:val="es-CO"/>
        </w:rPr>
        <w:t xml:space="preserve">esta </w:t>
      </w:r>
      <w:r w:rsidR="00A81F56" w:rsidRPr="00A703B5">
        <w:rPr>
          <w:rFonts w:ascii="Georgia" w:hAnsi="Georgia" w:cs="Arial"/>
          <w:sz w:val="24"/>
          <w:szCs w:val="24"/>
          <w:lang w:val="es-CO"/>
        </w:rPr>
        <w:t>instancia (</w:t>
      </w:r>
      <w:r w:rsidR="00F4659B" w:rsidRPr="00A703B5">
        <w:rPr>
          <w:rFonts w:ascii="Georgia" w:hAnsi="Georgia" w:cs="Arial"/>
          <w:sz w:val="22"/>
          <w:szCs w:val="24"/>
          <w:lang w:val="es-CO"/>
        </w:rPr>
        <w:t>Folio</w:t>
      </w:r>
      <w:r w:rsidRPr="00A703B5">
        <w:rPr>
          <w:rFonts w:ascii="Georgia" w:hAnsi="Georgia" w:cs="Arial"/>
          <w:sz w:val="22"/>
          <w:szCs w:val="24"/>
          <w:lang w:val="es-CO"/>
        </w:rPr>
        <w:t>s</w:t>
      </w:r>
      <w:r w:rsidR="00F4659B" w:rsidRPr="00A703B5">
        <w:rPr>
          <w:rFonts w:ascii="Georgia" w:hAnsi="Georgia" w:cs="Arial"/>
          <w:sz w:val="22"/>
          <w:szCs w:val="24"/>
          <w:lang w:val="es-CO"/>
        </w:rPr>
        <w:t xml:space="preserve"> </w:t>
      </w:r>
      <w:r w:rsidRPr="00A703B5">
        <w:rPr>
          <w:rFonts w:ascii="Georgia" w:hAnsi="Georgia" w:cs="Arial"/>
          <w:sz w:val="22"/>
          <w:szCs w:val="24"/>
          <w:lang w:val="es-CO"/>
        </w:rPr>
        <w:t>594 y 595</w:t>
      </w:r>
      <w:r w:rsidR="00A81F56" w:rsidRPr="00A703B5">
        <w:rPr>
          <w:rFonts w:ascii="Georgia" w:hAnsi="Georgia" w:cs="Arial"/>
          <w:sz w:val="22"/>
          <w:szCs w:val="24"/>
          <w:lang w:val="es-CO"/>
        </w:rPr>
        <w:t>, ídem</w:t>
      </w:r>
      <w:r w:rsidR="00A81F56" w:rsidRPr="00A703B5">
        <w:rPr>
          <w:rFonts w:ascii="Georgia" w:hAnsi="Georgia" w:cs="Arial"/>
          <w:sz w:val="24"/>
          <w:szCs w:val="24"/>
          <w:lang w:val="es-CO"/>
        </w:rPr>
        <w:t>)</w:t>
      </w:r>
      <w:r w:rsidR="00976E92" w:rsidRPr="00A703B5">
        <w:rPr>
          <w:rFonts w:ascii="Georgia" w:hAnsi="Georgia"/>
          <w:sz w:val="24"/>
          <w:szCs w:val="24"/>
        </w:rPr>
        <w:t>.</w:t>
      </w:r>
    </w:p>
    <w:p w:rsidR="001C421F" w:rsidRPr="00A703B5" w:rsidRDefault="001C421F" w:rsidP="00CE0350">
      <w:pPr>
        <w:spacing w:line="360" w:lineRule="auto"/>
        <w:jc w:val="both"/>
        <w:rPr>
          <w:rFonts w:ascii="Georgia" w:hAnsi="Georgia" w:cs="Arial"/>
          <w:sz w:val="24"/>
          <w:szCs w:val="24"/>
          <w:lang w:val="es-CO"/>
        </w:rPr>
      </w:pPr>
    </w:p>
    <w:p w:rsidR="00E316D9" w:rsidRPr="00A703B5" w:rsidRDefault="004B155A" w:rsidP="00D02CB4">
      <w:pPr>
        <w:pStyle w:val="Prrafodelista"/>
        <w:numPr>
          <w:ilvl w:val="0"/>
          <w:numId w:val="1"/>
        </w:numPr>
        <w:tabs>
          <w:tab w:val="left" w:pos="-720"/>
        </w:tabs>
        <w:suppressAutoHyphens/>
        <w:spacing w:line="360" w:lineRule="auto"/>
        <w:jc w:val="both"/>
        <w:rPr>
          <w:rFonts w:ascii="Georgia" w:hAnsi="Georgia" w:cs="Arial"/>
          <w:smallCaps/>
          <w:spacing w:val="-3"/>
          <w:sz w:val="24"/>
          <w:szCs w:val="24"/>
        </w:rPr>
      </w:pPr>
      <w:r w:rsidRPr="00A703B5">
        <w:rPr>
          <w:rFonts w:ascii="Georgia" w:hAnsi="Georgia" w:cs="Arial"/>
          <w:smallCaps/>
          <w:spacing w:val="-3"/>
          <w:sz w:val="32"/>
          <w:szCs w:val="24"/>
        </w:rPr>
        <w:t>l</w:t>
      </w:r>
      <w:r w:rsidRPr="00A703B5">
        <w:rPr>
          <w:rFonts w:ascii="Georgia" w:hAnsi="Georgia" w:cs="Arial"/>
          <w:smallCaps/>
          <w:spacing w:val="-3"/>
          <w:sz w:val="24"/>
          <w:szCs w:val="24"/>
        </w:rPr>
        <w:t>as estimaciones jurídicas para decidir</w:t>
      </w:r>
    </w:p>
    <w:p w:rsidR="00E316D9" w:rsidRPr="00A703B5" w:rsidRDefault="00E316D9" w:rsidP="00E316D9">
      <w:pPr>
        <w:tabs>
          <w:tab w:val="left" w:pos="-720"/>
        </w:tabs>
        <w:suppressAutoHyphens/>
        <w:spacing w:line="360" w:lineRule="auto"/>
        <w:jc w:val="both"/>
        <w:rPr>
          <w:rFonts w:ascii="Georgia" w:hAnsi="Georgia" w:cs="Arial"/>
          <w:spacing w:val="-3"/>
          <w:sz w:val="22"/>
          <w:szCs w:val="22"/>
        </w:rPr>
      </w:pPr>
    </w:p>
    <w:p w:rsidR="00582F12" w:rsidRPr="00A703B5" w:rsidRDefault="00582F12" w:rsidP="002E20D6">
      <w:pPr>
        <w:pStyle w:val="Sinespaciado"/>
        <w:widowControl/>
        <w:numPr>
          <w:ilvl w:val="1"/>
          <w:numId w:val="1"/>
        </w:numPr>
        <w:autoSpaceDE/>
        <w:autoSpaceDN/>
        <w:adjustRightInd/>
        <w:spacing w:line="360" w:lineRule="auto"/>
        <w:jc w:val="both"/>
        <w:rPr>
          <w:rFonts w:ascii="Georgia" w:hAnsi="Georgia" w:cs="Arial"/>
          <w:smallCaps/>
        </w:rPr>
      </w:pPr>
      <w:r w:rsidRPr="00A703B5">
        <w:rPr>
          <w:rFonts w:ascii="Georgia" w:hAnsi="Georgia" w:cs="Arial"/>
          <w:smallCaps/>
        </w:rPr>
        <w:t>El régimen de las nulidades procesales</w:t>
      </w:r>
    </w:p>
    <w:p w:rsidR="002825A8" w:rsidRPr="00A703B5" w:rsidRDefault="002825A8" w:rsidP="002825A8">
      <w:pPr>
        <w:pStyle w:val="Sinespaciado"/>
        <w:widowControl/>
        <w:autoSpaceDE/>
        <w:autoSpaceDN/>
        <w:adjustRightInd/>
        <w:spacing w:line="360" w:lineRule="auto"/>
        <w:jc w:val="both"/>
        <w:rPr>
          <w:rFonts w:ascii="Georgia" w:hAnsi="Georgia" w:cs="Arial"/>
        </w:rPr>
      </w:pPr>
    </w:p>
    <w:p w:rsidR="00406D15" w:rsidRPr="00A703B5" w:rsidRDefault="00406D15" w:rsidP="00406D15">
      <w:pPr>
        <w:tabs>
          <w:tab w:val="left" w:pos="-720"/>
        </w:tabs>
        <w:suppressAutoHyphens/>
        <w:spacing w:line="360" w:lineRule="auto"/>
        <w:jc w:val="both"/>
        <w:rPr>
          <w:rFonts w:ascii="Georgia" w:hAnsi="Georgia" w:cs="Arial"/>
          <w:sz w:val="24"/>
          <w:szCs w:val="22"/>
        </w:rPr>
      </w:pPr>
      <w:r w:rsidRPr="00A703B5">
        <w:rPr>
          <w:rFonts w:ascii="Georgia" w:hAnsi="Georgia" w:cs="Arial"/>
          <w:sz w:val="24"/>
        </w:rPr>
        <w:t>El ordenamiento legal, vigente en nuestro país, consagra como regla que l</w:t>
      </w:r>
      <w:r w:rsidRPr="00A703B5">
        <w:rPr>
          <w:rFonts w:ascii="Georgia" w:hAnsi="Georgia" w:cs="Arial"/>
          <w:sz w:val="24"/>
          <w:szCs w:val="22"/>
        </w:rPr>
        <w:t>a institución de las nulidades de tipo procedimental está estatuida con el propósito de salvaguardar el derecho constitucional del “debido proceso” y su derivado natural, el derecho de defensa (Artículo 29, CP).</w:t>
      </w:r>
    </w:p>
    <w:p w:rsidR="00406D15" w:rsidRPr="00A703B5" w:rsidRDefault="00406D15" w:rsidP="00406D15">
      <w:pPr>
        <w:spacing w:line="360" w:lineRule="auto"/>
        <w:jc w:val="both"/>
        <w:rPr>
          <w:rFonts w:ascii="Georgia" w:hAnsi="Georgia" w:cs="Arial"/>
          <w:sz w:val="26"/>
          <w:szCs w:val="26"/>
          <w:lang w:val="es-CO"/>
        </w:rPr>
      </w:pPr>
    </w:p>
    <w:p w:rsidR="00406D15" w:rsidRPr="00A703B5" w:rsidRDefault="00406D15" w:rsidP="00406D15">
      <w:pPr>
        <w:spacing w:line="360" w:lineRule="auto"/>
        <w:jc w:val="both"/>
        <w:rPr>
          <w:rFonts w:ascii="Georgia" w:hAnsi="Georgia" w:cs="Arial"/>
          <w:i/>
          <w:sz w:val="24"/>
          <w:szCs w:val="22"/>
        </w:rPr>
      </w:pPr>
      <w:r w:rsidRPr="00A703B5">
        <w:rPr>
          <w:rFonts w:ascii="Georgia" w:hAnsi="Georgia"/>
          <w:sz w:val="24"/>
          <w:szCs w:val="24"/>
        </w:rPr>
        <w:t>Es preciso advertir que la figura de la nulidad, reglamentada en el artículo 133 del CGP, no tuvo cambios sustanciales respecto a lo regulado en el CPC (Artículos 140 y 141), salvo que desapareció la causal del artículo 141-1º y se erigieron otras especiales (Artículos 14, 36, 38, 107, 164 y 121, CGP). De tal suerte que la jurisprudencia y doctrina que se han encargado de estudiar el tema con arreglo al CPC</w:t>
      </w:r>
      <w:r w:rsidRPr="00A703B5">
        <w:rPr>
          <w:rFonts w:ascii="Georgia" w:hAnsi="Georgia" w:cs="Arial"/>
          <w:sz w:val="24"/>
          <w:szCs w:val="22"/>
        </w:rPr>
        <w:t>, es aplicable para el nuevo estatuto.</w:t>
      </w:r>
    </w:p>
    <w:p w:rsidR="00406D15" w:rsidRPr="00A703B5" w:rsidRDefault="00406D15" w:rsidP="00406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sz w:val="22"/>
          <w:szCs w:val="22"/>
        </w:rPr>
      </w:pPr>
    </w:p>
    <w:p w:rsidR="00406D15" w:rsidRPr="00A703B5" w:rsidRDefault="00406D15" w:rsidP="00406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sz w:val="24"/>
          <w:szCs w:val="22"/>
        </w:rPr>
      </w:pPr>
      <w:r w:rsidRPr="00A703B5">
        <w:rPr>
          <w:rFonts w:ascii="Georgia" w:hAnsi="Georgia" w:cs="Arial"/>
          <w:sz w:val="24"/>
          <w:szCs w:val="22"/>
        </w:rPr>
        <w:t xml:space="preserve">El régimen de esta figura, está informado por el principio de la </w:t>
      </w:r>
      <w:proofErr w:type="spellStart"/>
      <w:r w:rsidRPr="00A703B5">
        <w:rPr>
          <w:rFonts w:ascii="Georgia" w:hAnsi="Georgia" w:cs="Arial"/>
          <w:sz w:val="24"/>
          <w:szCs w:val="22"/>
        </w:rPr>
        <w:t>taxatividad</w:t>
      </w:r>
      <w:proofErr w:type="spellEnd"/>
      <w:r w:rsidRPr="00A703B5">
        <w:rPr>
          <w:rFonts w:ascii="Georgia" w:hAnsi="Georgia" w:cs="Arial"/>
          <w:sz w:val="24"/>
          <w:szCs w:val="22"/>
        </w:rPr>
        <w:t xml:space="preserve"> o especificidad, que puede </w:t>
      </w:r>
      <w:r w:rsidRPr="00A703B5">
        <w:rPr>
          <w:rFonts w:ascii="Georgia" w:hAnsi="Georgia" w:cs="Arial"/>
          <w:sz w:val="24"/>
          <w:szCs w:val="24"/>
        </w:rPr>
        <w:t>consultarse en la doctrina, pacífica, de los profesores Canosa T.</w:t>
      </w:r>
      <w:r w:rsidRPr="00A703B5">
        <w:rPr>
          <w:rStyle w:val="Refdenotaalpie"/>
          <w:rFonts w:ascii="Georgia" w:hAnsi="Georgia" w:cs="Arial"/>
          <w:sz w:val="24"/>
          <w:szCs w:val="24"/>
        </w:rPr>
        <w:footnoteReference w:id="1"/>
      </w:r>
      <w:r w:rsidRPr="00A703B5">
        <w:rPr>
          <w:rFonts w:ascii="Georgia" w:hAnsi="Georgia" w:cs="Arial"/>
          <w:sz w:val="24"/>
          <w:szCs w:val="24"/>
        </w:rPr>
        <w:t>, López B.</w:t>
      </w:r>
      <w:r w:rsidRPr="00A703B5">
        <w:rPr>
          <w:rStyle w:val="Refdenotaalpie"/>
          <w:rFonts w:ascii="Georgia" w:hAnsi="Georgia" w:cs="Arial"/>
          <w:sz w:val="24"/>
          <w:szCs w:val="24"/>
        </w:rPr>
        <w:footnoteReference w:id="2"/>
      </w:r>
      <w:r w:rsidRPr="00A703B5">
        <w:rPr>
          <w:rFonts w:ascii="Georgia" w:hAnsi="Georgia" w:cs="Arial"/>
          <w:sz w:val="24"/>
          <w:szCs w:val="24"/>
        </w:rPr>
        <w:t xml:space="preserve">, </w:t>
      </w:r>
      <w:r w:rsidRPr="00A703B5">
        <w:rPr>
          <w:rFonts w:ascii="Georgia" w:hAnsi="Georgia" w:cs="Arial"/>
          <w:sz w:val="24"/>
          <w:szCs w:val="24"/>
        </w:rPr>
        <w:lastRenderedPageBreak/>
        <w:t>Azula C.</w:t>
      </w:r>
      <w:r w:rsidRPr="00A703B5">
        <w:rPr>
          <w:rStyle w:val="Refdenotaalpie"/>
          <w:rFonts w:ascii="Georgia" w:hAnsi="Georgia" w:cs="Arial"/>
          <w:sz w:val="24"/>
          <w:szCs w:val="24"/>
        </w:rPr>
        <w:footnoteReference w:id="3"/>
      </w:r>
      <w:r w:rsidRPr="00A703B5">
        <w:rPr>
          <w:rFonts w:ascii="Georgia" w:hAnsi="Georgia" w:cs="Arial"/>
          <w:sz w:val="24"/>
          <w:szCs w:val="24"/>
        </w:rPr>
        <w:t xml:space="preserve"> y Rojas G.</w:t>
      </w:r>
      <w:r w:rsidRPr="00A703B5">
        <w:rPr>
          <w:rStyle w:val="Refdenotaalpie"/>
          <w:rFonts w:ascii="Georgia" w:hAnsi="Georgia" w:cs="Arial"/>
          <w:sz w:val="24"/>
          <w:szCs w:val="24"/>
        </w:rPr>
        <w:footnoteReference w:id="4"/>
      </w:r>
      <w:r w:rsidRPr="00A703B5">
        <w:rPr>
          <w:rFonts w:ascii="Georgia" w:hAnsi="Georgia" w:cs="Arial"/>
          <w:sz w:val="24"/>
          <w:szCs w:val="24"/>
        </w:rPr>
        <w:t xml:space="preserve"> </w:t>
      </w:r>
      <w:r w:rsidRPr="00A703B5">
        <w:rPr>
          <w:rFonts w:ascii="Georgia" w:hAnsi="Georgia" w:cs="Arial"/>
          <w:sz w:val="24"/>
          <w:szCs w:val="22"/>
        </w:rPr>
        <w:t>y Sanabria S</w:t>
      </w:r>
      <w:r w:rsidRPr="00A703B5">
        <w:rPr>
          <w:rStyle w:val="Refdenotaalpie"/>
          <w:rFonts w:ascii="Georgia" w:hAnsi="Georgia"/>
          <w:sz w:val="24"/>
          <w:szCs w:val="22"/>
        </w:rPr>
        <w:footnoteReference w:id="5"/>
      </w:r>
      <w:r w:rsidRPr="00A703B5">
        <w:rPr>
          <w:rFonts w:ascii="Georgia" w:hAnsi="Georgia" w:cs="Arial"/>
          <w:sz w:val="24"/>
          <w:szCs w:val="22"/>
        </w:rPr>
        <w:t>. Otros principios de igual entidad que permean la figura en comento, son el de preclusión, protección, convalidación, trascendencia y legitimación para invocarla, así lo reconoce la CSJ</w:t>
      </w:r>
      <w:r w:rsidRPr="00A703B5">
        <w:rPr>
          <w:rStyle w:val="Refdenotaalpie"/>
          <w:rFonts w:ascii="Georgia" w:hAnsi="Georgia"/>
          <w:sz w:val="24"/>
          <w:szCs w:val="22"/>
        </w:rPr>
        <w:footnoteReference w:id="6"/>
      </w:r>
      <w:r w:rsidRPr="00A703B5">
        <w:rPr>
          <w:rFonts w:ascii="Georgia" w:hAnsi="Georgia" w:cs="Arial"/>
          <w:sz w:val="24"/>
          <w:szCs w:val="22"/>
        </w:rPr>
        <w:t xml:space="preserve">. </w:t>
      </w:r>
    </w:p>
    <w:p w:rsidR="00406D15" w:rsidRPr="00A703B5" w:rsidRDefault="00406D15" w:rsidP="00406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sz w:val="22"/>
          <w:szCs w:val="22"/>
        </w:rPr>
      </w:pPr>
    </w:p>
    <w:p w:rsidR="00406D15" w:rsidRPr="00A703B5" w:rsidRDefault="00406D15" w:rsidP="00406D15">
      <w:pPr>
        <w:tabs>
          <w:tab w:val="left" w:pos="-720"/>
        </w:tabs>
        <w:suppressAutoHyphens/>
        <w:spacing w:line="360" w:lineRule="auto"/>
        <w:jc w:val="both"/>
        <w:rPr>
          <w:rFonts w:ascii="Georgia" w:hAnsi="Georgia" w:cs="Arial"/>
          <w:sz w:val="24"/>
          <w:szCs w:val="24"/>
        </w:rPr>
      </w:pPr>
      <w:r w:rsidRPr="00A703B5">
        <w:rPr>
          <w:rFonts w:ascii="Georgia" w:hAnsi="Georgia" w:cs="Arial"/>
          <w:sz w:val="24"/>
        </w:rPr>
        <w:t>Las sentencias C-491 de 1995 y C-217 de 1996 de la Corte Constitucional, agregó otra causal, en los siguientes términos:</w:t>
      </w:r>
      <w:r w:rsidRPr="00A703B5">
        <w:rPr>
          <w:rFonts w:ascii="Georgia" w:hAnsi="Georgia" w:cs="Arial"/>
        </w:rPr>
        <w:t xml:space="preserve"> </w:t>
      </w:r>
      <w:r w:rsidRPr="00A703B5">
        <w:rPr>
          <w:rFonts w:ascii="Georgia" w:hAnsi="Georgia" w:cs="Arial"/>
          <w:i/>
          <w:sz w:val="22"/>
        </w:rPr>
        <w:t xml:space="preserve">“Además de dichas causales legales de nulidad es viable y puede ser invocada la consagrada en el artículo 29 de la Constitución, según el cual es nula, de pleno derecho, la prueba obtenida con violación del debido proceso, (...)”; </w:t>
      </w:r>
      <w:r w:rsidRPr="00A703B5">
        <w:rPr>
          <w:rFonts w:ascii="Georgia" w:hAnsi="Georgia" w:cs="Arial"/>
          <w:sz w:val="24"/>
          <w:szCs w:val="24"/>
        </w:rPr>
        <w:t>diferente de la prevista en el artículo 133-5º y con vigencia para el CGP, pues se revalidó recientemente en la C-537 de 2016, que declaró exequible, entre otros, al mentado artículo 133.</w:t>
      </w:r>
    </w:p>
    <w:p w:rsidR="001C421F" w:rsidRPr="00A703B5" w:rsidRDefault="001C421F" w:rsidP="00AB6D90">
      <w:pPr>
        <w:tabs>
          <w:tab w:val="left" w:pos="-720"/>
        </w:tabs>
        <w:suppressAutoHyphens/>
        <w:spacing w:line="360" w:lineRule="auto"/>
        <w:jc w:val="both"/>
        <w:rPr>
          <w:rFonts w:ascii="Georgia" w:hAnsi="Georgia" w:cs="Arial"/>
          <w:sz w:val="24"/>
          <w:szCs w:val="24"/>
        </w:rPr>
      </w:pPr>
    </w:p>
    <w:p w:rsidR="00646320" w:rsidRPr="00A703B5" w:rsidRDefault="00646320" w:rsidP="00646320">
      <w:pPr>
        <w:pStyle w:val="Sinespaciado"/>
        <w:widowControl/>
        <w:numPr>
          <w:ilvl w:val="1"/>
          <w:numId w:val="1"/>
        </w:numPr>
        <w:autoSpaceDE/>
        <w:autoSpaceDN/>
        <w:adjustRightInd/>
        <w:spacing w:line="360" w:lineRule="auto"/>
        <w:jc w:val="both"/>
        <w:rPr>
          <w:rFonts w:ascii="Georgia" w:hAnsi="Georgia" w:cs="Arial"/>
          <w:smallCaps/>
        </w:rPr>
      </w:pPr>
      <w:r w:rsidRPr="00A703B5">
        <w:rPr>
          <w:rFonts w:ascii="Georgia" w:hAnsi="Georgia" w:cs="Arial"/>
          <w:smallCaps/>
        </w:rPr>
        <w:t>Los presupuestos de las nulidades procesales</w:t>
      </w:r>
    </w:p>
    <w:p w:rsidR="00646320" w:rsidRPr="00A703B5" w:rsidRDefault="00646320" w:rsidP="00646320">
      <w:pPr>
        <w:pStyle w:val="Sinespaciado"/>
        <w:spacing w:line="360" w:lineRule="auto"/>
        <w:jc w:val="both"/>
        <w:rPr>
          <w:rFonts w:ascii="Georgia" w:hAnsi="Georgia" w:cs="Arial"/>
        </w:rPr>
      </w:pPr>
    </w:p>
    <w:p w:rsidR="006F2FA8" w:rsidRPr="00A703B5" w:rsidRDefault="006F2FA8" w:rsidP="006F2FA8">
      <w:pPr>
        <w:tabs>
          <w:tab w:val="left" w:pos="-720"/>
        </w:tabs>
        <w:suppressAutoHyphens/>
        <w:spacing w:line="360" w:lineRule="auto"/>
        <w:jc w:val="both"/>
        <w:rPr>
          <w:rFonts w:ascii="Georgia" w:hAnsi="Georgia" w:cs="Arial"/>
          <w:sz w:val="24"/>
          <w:szCs w:val="24"/>
          <w:lang w:val="es-MX"/>
        </w:rPr>
      </w:pPr>
      <w:r w:rsidRPr="00A703B5">
        <w:rPr>
          <w:rFonts w:ascii="Georgia" w:hAnsi="Georgia" w:cs="Arial"/>
          <w:sz w:val="24"/>
        </w:rPr>
        <w:t xml:space="preserve">Consisten en la concurrencia de legitimación, falta de saneamiento y oportunidad para proponerlas (Artículos 134, 135 y 136 del CGP); verificado el cumplimiento de tales requisitos se abre paso el análisis de la respectiva causal.  En este caso, se hace el pronunciamiento de oficio, conforme autoriza el artículo 137 </w:t>
      </w:r>
      <w:r w:rsidRPr="00A703B5">
        <w:rPr>
          <w:rFonts w:ascii="Georgia" w:hAnsi="Georgia" w:cs="Arial"/>
          <w:i/>
          <w:sz w:val="22"/>
        </w:rPr>
        <w:t>ibídem</w:t>
      </w:r>
      <w:r w:rsidRPr="00A703B5">
        <w:rPr>
          <w:rFonts w:ascii="Georgia" w:hAnsi="Georgia" w:cs="Arial"/>
          <w:sz w:val="24"/>
        </w:rPr>
        <w:t xml:space="preserve">, por ello hay habilitación legal para declararla, amén de que es tempestivo hacerlo. </w:t>
      </w:r>
    </w:p>
    <w:p w:rsidR="006F2FA8" w:rsidRPr="00A703B5" w:rsidRDefault="006F2FA8" w:rsidP="00646320">
      <w:pPr>
        <w:pStyle w:val="Sinespaciado"/>
        <w:spacing w:line="360" w:lineRule="auto"/>
        <w:jc w:val="both"/>
        <w:rPr>
          <w:rFonts w:ascii="Georgia" w:hAnsi="Georgia" w:cs="Arial"/>
        </w:rPr>
      </w:pPr>
    </w:p>
    <w:p w:rsidR="006F2FA8" w:rsidRPr="00A703B5" w:rsidRDefault="00420F88" w:rsidP="006F2FA8">
      <w:pPr>
        <w:pStyle w:val="Sinespaciado"/>
        <w:widowControl/>
        <w:numPr>
          <w:ilvl w:val="1"/>
          <w:numId w:val="1"/>
        </w:numPr>
        <w:autoSpaceDE/>
        <w:autoSpaceDN/>
        <w:adjustRightInd/>
        <w:spacing w:line="360" w:lineRule="auto"/>
        <w:jc w:val="both"/>
        <w:rPr>
          <w:rFonts w:ascii="Georgia" w:hAnsi="Georgia" w:cs="Arial"/>
          <w:smallCaps/>
        </w:rPr>
      </w:pPr>
      <w:r w:rsidRPr="00A703B5">
        <w:rPr>
          <w:rFonts w:ascii="Georgia" w:hAnsi="Georgia" w:cs="Arial"/>
          <w:smallCaps/>
        </w:rPr>
        <w:t>Proceder contra providencia ejecutoriada del superior</w:t>
      </w:r>
    </w:p>
    <w:p w:rsidR="006F2FA8" w:rsidRPr="00A703B5" w:rsidRDefault="006F2FA8" w:rsidP="00646320">
      <w:pPr>
        <w:pStyle w:val="Sinespaciado"/>
        <w:spacing w:line="360" w:lineRule="auto"/>
        <w:jc w:val="both"/>
        <w:rPr>
          <w:rFonts w:ascii="Georgia" w:hAnsi="Georgia" w:cs="Arial"/>
        </w:rPr>
      </w:pPr>
    </w:p>
    <w:p w:rsidR="005A5451" w:rsidRPr="00A703B5" w:rsidRDefault="006F2FA8" w:rsidP="006F2FA8">
      <w:pPr>
        <w:tabs>
          <w:tab w:val="left" w:pos="-720"/>
        </w:tabs>
        <w:suppressAutoHyphens/>
        <w:spacing w:line="360" w:lineRule="auto"/>
        <w:jc w:val="both"/>
        <w:rPr>
          <w:rFonts w:ascii="Georgia" w:hAnsi="Georgia" w:cs="Arial"/>
          <w:spacing w:val="-3"/>
          <w:sz w:val="24"/>
          <w:szCs w:val="24"/>
        </w:rPr>
      </w:pPr>
      <w:r w:rsidRPr="00A703B5">
        <w:rPr>
          <w:rFonts w:ascii="Georgia" w:hAnsi="Georgia" w:cs="Arial"/>
          <w:spacing w:val="-3"/>
          <w:sz w:val="24"/>
          <w:szCs w:val="24"/>
        </w:rPr>
        <w:t xml:space="preserve">El artículo 133-2º, CGP establece que es nulo el proceso cuando el juez procede contra </w:t>
      </w:r>
      <w:r w:rsidR="00420F88" w:rsidRPr="00A703B5">
        <w:rPr>
          <w:rFonts w:ascii="Georgia" w:hAnsi="Georgia" w:cs="Arial"/>
          <w:spacing w:val="-3"/>
          <w:sz w:val="24"/>
          <w:szCs w:val="24"/>
        </w:rPr>
        <w:t xml:space="preserve">decisión en firme </w:t>
      </w:r>
      <w:r w:rsidRPr="00A703B5">
        <w:rPr>
          <w:rFonts w:ascii="Georgia" w:hAnsi="Georgia" w:cs="Arial"/>
          <w:spacing w:val="-3"/>
          <w:sz w:val="24"/>
          <w:szCs w:val="24"/>
        </w:rPr>
        <w:t xml:space="preserve">del superior, </w:t>
      </w:r>
      <w:r w:rsidR="00E85C1E" w:rsidRPr="00A703B5">
        <w:rPr>
          <w:rFonts w:ascii="Georgia" w:hAnsi="Georgia" w:cs="Arial"/>
          <w:spacing w:val="-3"/>
          <w:sz w:val="24"/>
          <w:szCs w:val="24"/>
        </w:rPr>
        <w:t>pues aquel debe ineludiblemente acatarla y adoptar las medidas necesarias para su c</w:t>
      </w:r>
      <w:r w:rsidR="00B32B6D" w:rsidRPr="00A703B5">
        <w:rPr>
          <w:rFonts w:ascii="Georgia" w:hAnsi="Georgia" w:cs="Arial"/>
          <w:spacing w:val="-3"/>
          <w:sz w:val="24"/>
          <w:szCs w:val="24"/>
        </w:rPr>
        <w:t>umplimiento</w:t>
      </w:r>
      <w:r w:rsidR="00E85C1E" w:rsidRPr="00A703B5">
        <w:rPr>
          <w:rFonts w:ascii="Georgia" w:hAnsi="Georgia" w:cs="Arial"/>
          <w:spacing w:val="-3"/>
          <w:sz w:val="24"/>
          <w:szCs w:val="24"/>
        </w:rPr>
        <w:t xml:space="preserve"> (Artículo 329, CGP)</w:t>
      </w:r>
      <w:r w:rsidR="005A5451" w:rsidRPr="00A703B5">
        <w:rPr>
          <w:rFonts w:ascii="Georgia" w:hAnsi="Georgia" w:cs="Arial"/>
          <w:spacing w:val="-3"/>
          <w:sz w:val="24"/>
          <w:szCs w:val="24"/>
        </w:rPr>
        <w:t>. Sobre esta causal, la CSJ reiteró recientemente (2017)</w:t>
      </w:r>
      <w:r w:rsidR="002E575F" w:rsidRPr="00A703B5">
        <w:rPr>
          <w:rStyle w:val="Refdenotaalpie"/>
          <w:rFonts w:ascii="Georgia" w:hAnsi="Georgia"/>
          <w:spacing w:val="-3"/>
          <w:sz w:val="24"/>
          <w:szCs w:val="24"/>
        </w:rPr>
        <w:footnoteReference w:id="7"/>
      </w:r>
      <w:r w:rsidR="005A5451" w:rsidRPr="00A703B5">
        <w:rPr>
          <w:rFonts w:ascii="Georgia" w:hAnsi="Georgia" w:cs="Arial"/>
          <w:spacing w:val="-3"/>
          <w:sz w:val="24"/>
          <w:szCs w:val="24"/>
        </w:rPr>
        <w:t xml:space="preserve">, lo dicho desde tiempo atrás que aunque emitido en vigencia del CPC, mantiene su aplicación en </w:t>
      </w:r>
      <w:r w:rsidR="002E575F" w:rsidRPr="00A703B5">
        <w:rPr>
          <w:rFonts w:ascii="Georgia" w:hAnsi="Georgia" w:cs="Arial"/>
          <w:spacing w:val="-3"/>
          <w:sz w:val="24"/>
          <w:szCs w:val="24"/>
        </w:rPr>
        <w:t>vigencia del CGP</w:t>
      </w:r>
      <w:r w:rsidR="005A5451" w:rsidRPr="00A703B5">
        <w:rPr>
          <w:rFonts w:ascii="Georgia" w:hAnsi="Georgia" w:cs="Arial"/>
          <w:spacing w:val="-3"/>
          <w:sz w:val="24"/>
          <w:szCs w:val="24"/>
        </w:rPr>
        <w:t xml:space="preserve">: </w:t>
      </w:r>
    </w:p>
    <w:p w:rsidR="005A5451" w:rsidRPr="00A703B5" w:rsidRDefault="005A5451" w:rsidP="006F2FA8">
      <w:pPr>
        <w:tabs>
          <w:tab w:val="left" w:pos="-720"/>
        </w:tabs>
        <w:suppressAutoHyphens/>
        <w:spacing w:line="360" w:lineRule="auto"/>
        <w:jc w:val="both"/>
        <w:rPr>
          <w:rFonts w:ascii="Georgia" w:hAnsi="Georgia" w:cs="Arial"/>
          <w:spacing w:val="-3"/>
          <w:sz w:val="24"/>
          <w:szCs w:val="24"/>
        </w:rPr>
      </w:pPr>
    </w:p>
    <w:p w:rsidR="005A5451" w:rsidRPr="00A703B5" w:rsidRDefault="005A5451" w:rsidP="005A5451">
      <w:pPr>
        <w:ind w:left="567" w:right="567"/>
        <w:jc w:val="both"/>
        <w:rPr>
          <w:rFonts w:ascii="Georgia" w:hAnsi="Georgia" w:cs="Arial"/>
          <w:sz w:val="24"/>
          <w:szCs w:val="24"/>
        </w:rPr>
      </w:pPr>
      <w:r w:rsidRPr="00A703B5">
        <w:rPr>
          <w:rFonts w:ascii="Georgia" w:hAnsi="Georgia" w:cs="Arial"/>
          <w:sz w:val="24"/>
          <w:szCs w:val="24"/>
        </w:rPr>
        <w:t xml:space="preserve">2. Aquella se cimienta en la obligación que implica para el funcionario de inferior jerarquía, acatar los dictados del superior; así lo dispone el canon 362 del CPC, al señalar que en el auto de obedecimiento a lo resuelto por el </w:t>
      </w:r>
      <w:r w:rsidRPr="00A703B5">
        <w:rPr>
          <w:rFonts w:ascii="Georgia" w:hAnsi="Georgia" w:cs="Arial"/>
          <w:i/>
          <w:sz w:val="24"/>
          <w:szCs w:val="24"/>
        </w:rPr>
        <w:t xml:space="preserve">ad </w:t>
      </w:r>
      <w:proofErr w:type="spellStart"/>
      <w:r w:rsidRPr="00A703B5">
        <w:rPr>
          <w:rFonts w:ascii="Georgia" w:hAnsi="Georgia" w:cs="Arial"/>
          <w:i/>
          <w:sz w:val="24"/>
          <w:szCs w:val="24"/>
        </w:rPr>
        <w:t>quem</w:t>
      </w:r>
      <w:proofErr w:type="spellEnd"/>
      <w:r w:rsidRPr="00A703B5">
        <w:rPr>
          <w:rFonts w:ascii="Georgia" w:hAnsi="Georgia" w:cs="Arial"/>
          <w:sz w:val="24"/>
          <w:szCs w:val="24"/>
        </w:rPr>
        <w:t>, el juez debe disponer todo lo necesario para el cumplimiento del mandato proferido por aquél.</w:t>
      </w:r>
    </w:p>
    <w:p w:rsidR="005A5451" w:rsidRPr="00A703B5" w:rsidRDefault="005A5451" w:rsidP="005A5451">
      <w:pPr>
        <w:ind w:left="567" w:right="567" w:firstLine="708"/>
        <w:jc w:val="both"/>
        <w:rPr>
          <w:rFonts w:ascii="Georgia" w:hAnsi="Georgia" w:cs="Arial"/>
          <w:sz w:val="24"/>
          <w:szCs w:val="24"/>
        </w:rPr>
      </w:pPr>
    </w:p>
    <w:p w:rsidR="005A5451" w:rsidRPr="00A703B5" w:rsidRDefault="005A5451" w:rsidP="005A5451">
      <w:pPr>
        <w:ind w:right="567" w:firstLine="567"/>
        <w:jc w:val="both"/>
        <w:rPr>
          <w:rFonts w:ascii="Georgia" w:hAnsi="Georgia" w:cs="Arial"/>
          <w:sz w:val="24"/>
          <w:szCs w:val="24"/>
        </w:rPr>
      </w:pPr>
      <w:r w:rsidRPr="00A703B5">
        <w:rPr>
          <w:rFonts w:ascii="Georgia" w:hAnsi="Georgia" w:cs="Arial"/>
          <w:sz w:val="24"/>
          <w:szCs w:val="24"/>
        </w:rPr>
        <w:t>Al respecto, se ha considerado:</w:t>
      </w:r>
    </w:p>
    <w:p w:rsidR="005A5451" w:rsidRPr="00A703B5" w:rsidRDefault="005A5451" w:rsidP="005A5451">
      <w:pPr>
        <w:ind w:left="567" w:right="567" w:firstLine="708"/>
        <w:jc w:val="both"/>
        <w:rPr>
          <w:rFonts w:ascii="Georgia" w:hAnsi="Georgia" w:cs="Arial"/>
          <w:sz w:val="24"/>
          <w:szCs w:val="24"/>
        </w:rPr>
      </w:pPr>
    </w:p>
    <w:p w:rsidR="005A5451" w:rsidRPr="00A703B5" w:rsidRDefault="005A5451" w:rsidP="005A5451">
      <w:pPr>
        <w:ind w:left="567" w:right="567"/>
        <w:jc w:val="both"/>
        <w:rPr>
          <w:rFonts w:ascii="Georgia" w:hAnsi="Georgia" w:cs="Arial"/>
          <w:i/>
          <w:sz w:val="24"/>
          <w:szCs w:val="24"/>
        </w:rPr>
      </w:pPr>
      <w:r w:rsidRPr="00A703B5">
        <w:rPr>
          <w:rFonts w:ascii="Georgia" w:hAnsi="Georgia" w:cs="Arial"/>
          <w:i/>
          <w:sz w:val="24"/>
          <w:szCs w:val="24"/>
        </w:rPr>
        <w:t xml:space="preserve">“La causal de nulidad que se produce (…) está destinada a preservar el orden de los procesos y el acatamiento de las decisiones judiciales por parte de los </w:t>
      </w:r>
      <w:r w:rsidRPr="00A703B5">
        <w:rPr>
          <w:rFonts w:ascii="Georgia" w:hAnsi="Georgia" w:cs="Arial"/>
          <w:i/>
          <w:sz w:val="24"/>
          <w:szCs w:val="24"/>
        </w:rPr>
        <w:lastRenderedPageBreak/>
        <w:t>jueces que, siendo de grado inferior dentro de la competencia funcional que se ejerce en relación con un proceso determinado, deben cumplir con las decisiones que profieran los jueces de grado superior, cuando éstos resuelvan los recursos de queja, súplica, apelación, casación y revisión, o en su caso la consulta”.</w:t>
      </w:r>
    </w:p>
    <w:p w:rsidR="005A5451" w:rsidRPr="00A703B5" w:rsidRDefault="005A5451" w:rsidP="006F2FA8">
      <w:pPr>
        <w:tabs>
          <w:tab w:val="left" w:pos="-720"/>
        </w:tabs>
        <w:suppressAutoHyphens/>
        <w:spacing w:line="360" w:lineRule="auto"/>
        <w:jc w:val="both"/>
        <w:rPr>
          <w:rFonts w:ascii="Georgia" w:hAnsi="Georgia" w:cs="Arial"/>
          <w:spacing w:val="-3"/>
          <w:sz w:val="24"/>
          <w:szCs w:val="24"/>
        </w:rPr>
      </w:pPr>
    </w:p>
    <w:p w:rsidR="006F2FA8" w:rsidRPr="00A703B5" w:rsidRDefault="005A5451" w:rsidP="006F2FA8">
      <w:pPr>
        <w:tabs>
          <w:tab w:val="left" w:pos="-720"/>
        </w:tabs>
        <w:suppressAutoHyphens/>
        <w:spacing w:line="360" w:lineRule="auto"/>
        <w:jc w:val="both"/>
        <w:rPr>
          <w:rFonts w:ascii="Georgia" w:hAnsi="Georgia" w:cs="Arial"/>
          <w:spacing w:val="-3"/>
          <w:sz w:val="24"/>
          <w:szCs w:val="24"/>
        </w:rPr>
      </w:pPr>
      <w:r w:rsidRPr="00A703B5">
        <w:rPr>
          <w:rFonts w:ascii="Georgia" w:hAnsi="Georgia" w:cs="Arial"/>
          <w:spacing w:val="-3"/>
          <w:sz w:val="24"/>
          <w:szCs w:val="24"/>
        </w:rPr>
        <w:t>Este</w:t>
      </w:r>
      <w:r w:rsidR="00E85C1E" w:rsidRPr="00A703B5">
        <w:rPr>
          <w:rFonts w:ascii="Georgia" w:hAnsi="Georgia" w:cs="Arial"/>
          <w:spacing w:val="-3"/>
          <w:sz w:val="24"/>
          <w:szCs w:val="24"/>
        </w:rPr>
        <w:t xml:space="preserve"> </w:t>
      </w:r>
      <w:r w:rsidR="006F2FA8" w:rsidRPr="00A703B5">
        <w:rPr>
          <w:rFonts w:ascii="Georgia" w:hAnsi="Georgia" w:cs="Arial"/>
          <w:spacing w:val="-3"/>
          <w:sz w:val="24"/>
          <w:szCs w:val="24"/>
        </w:rPr>
        <w:t xml:space="preserve">defecto es </w:t>
      </w:r>
      <w:proofErr w:type="spellStart"/>
      <w:r w:rsidR="006F2FA8" w:rsidRPr="00A703B5">
        <w:rPr>
          <w:rFonts w:ascii="Georgia" w:hAnsi="Georgia" w:cs="Arial"/>
          <w:spacing w:val="-3"/>
          <w:sz w:val="24"/>
          <w:szCs w:val="24"/>
        </w:rPr>
        <w:t>insaneable</w:t>
      </w:r>
      <w:proofErr w:type="spellEnd"/>
      <w:r w:rsidR="006F2FA8" w:rsidRPr="00A703B5">
        <w:rPr>
          <w:rFonts w:ascii="Georgia" w:hAnsi="Georgia" w:cs="Arial"/>
          <w:spacing w:val="-3"/>
          <w:sz w:val="24"/>
          <w:szCs w:val="24"/>
        </w:rPr>
        <w:t xml:space="preserve"> conforme lo prescribe el </w:t>
      </w:r>
      <w:r w:rsidR="002E575F" w:rsidRPr="00A703B5">
        <w:rPr>
          <w:rFonts w:ascii="Georgia" w:hAnsi="Georgia" w:cs="Arial"/>
          <w:spacing w:val="-3"/>
          <w:sz w:val="24"/>
          <w:szCs w:val="24"/>
        </w:rPr>
        <w:t xml:space="preserve">parágrafo del </w:t>
      </w:r>
      <w:r w:rsidR="006F2FA8" w:rsidRPr="00A703B5">
        <w:rPr>
          <w:rFonts w:ascii="Georgia" w:hAnsi="Georgia" w:cs="Arial"/>
          <w:spacing w:val="-3"/>
          <w:sz w:val="24"/>
          <w:szCs w:val="24"/>
        </w:rPr>
        <w:t>artículo 1</w:t>
      </w:r>
      <w:r w:rsidR="002E575F" w:rsidRPr="00A703B5">
        <w:rPr>
          <w:rFonts w:ascii="Georgia" w:hAnsi="Georgia" w:cs="Arial"/>
          <w:spacing w:val="-3"/>
          <w:sz w:val="24"/>
          <w:szCs w:val="24"/>
        </w:rPr>
        <w:t>36</w:t>
      </w:r>
      <w:r w:rsidR="006F2FA8" w:rsidRPr="00A703B5">
        <w:rPr>
          <w:rFonts w:ascii="Georgia" w:hAnsi="Georgia" w:cs="Arial"/>
          <w:spacing w:val="-3"/>
          <w:sz w:val="24"/>
          <w:szCs w:val="24"/>
        </w:rPr>
        <w:t xml:space="preserve"> del mismo ordenamiento.</w:t>
      </w:r>
    </w:p>
    <w:p w:rsidR="006F2FA8" w:rsidRPr="00A703B5" w:rsidRDefault="006F2FA8" w:rsidP="00646320">
      <w:pPr>
        <w:pStyle w:val="Sinespaciado"/>
        <w:spacing w:line="360" w:lineRule="auto"/>
        <w:jc w:val="both"/>
        <w:rPr>
          <w:rFonts w:ascii="Georgia" w:hAnsi="Georgia" w:cs="Arial"/>
        </w:rPr>
      </w:pPr>
    </w:p>
    <w:p w:rsidR="00E316D9" w:rsidRPr="00A703B5" w:rsidRDefault="002E20D6" w:rsidP="002E20D6">
      <w:pPr>
        <w:pStyle w:val="Prrafodelista"/>
        <w:numPr>
          <w:ilvl w:val="1"/>
          <w:numId w:val="1"/>
        </w:numPr>
        <w:tabs>
          <w:tab w:val="left" w:pos="-720"/>
        </w:tabs>
        <w:suppressAutoHyphens/>
        <w:spacing w:line="360" w:lineRule="auto"/>
        <w:jc w:val="both"/>
        <w:rPr>
          <w:rFonts w:ascii="Georgia" w:hAnsi="Georgia" w:cs="Arial"/>
          <w:smallCaps/>
          <w:spacing w:val="-3"/>
          <w:sz w:val="24"/>
          <w:szCs w:val="24"/>
        </w:rPr>
      </w:pPr>
      <w:r w:rsidRPr="00A703B5">
        <w:rPr>
          <w:rFonts w:ascii="Georgia" w:hAnsi="Georgia" w:cs="Arial"/>
          <w:smallCaps/>
          <w:spacing w:val="-3"/>
          <w:sz w:val="24"/>
          <w:szCs w:val="24"/>
        </w:rPr>
        <w:t>El caso concreto que se analiza</w:t>
      </w:r>
    </w:p>
    <w:p w:rsidR="00A81263" w:rsidRPr="00A703B5" w:rsidRDefault="00A81263" w:rsidP="00E316D9">
      <w:pPr>
        <w:tabs>
          <w:tab w:val="left" w:pos="-720"/>
        </w:tabs>
        <w:suppressAutoHyphens/>
        <w:spacing w:line="360" w:lineRule="auto"/>
        <w:jc w:val="both"/>
        <w:rPr>
          <w:rFonts w:ascii="Georgia" w:hAnsi="Georgia" w:cs="Arial"/>
          <w:spacing w:val="-3"/>
          <w:sz w:val="22"/>
          <w:szCs w:val="22"/>
        </w:rPr>
      </w:pPr>
    </w:p>
    <w:p w:rsidR="00C3330C" w:rsidRPr="00A703B5" w:rsidRDefault="002B0EA0" w:rsidP="004B6BF7">
      <w:pPr>
        <w:spacing w:line="360" w:lineRule="auto"/>
        <w:jc w:val="both"/>
        <w:rPr>
          <w:rFonts w:ascii="Georgia" w:hAnsi="Georgia" w:cs="Arial"/>
          <w:sz w:val="24"/>
          <w:szCs w:val="24"/>
        </w:rPr>
      </w:pPr>
      <w:r w:rsidRPr="00A703B5">
        <w:rPr>
          <w:rFonts w:ascii="Georgia" w:hAnsi="Georgia" w:cs="Arial"/>
          <w:sz w:val="24"/>
          <w:szCs w:val="24"/>
        </w:rPr>
        <w:t xml:space="preserve">Tal como se citó, </w:t>
      </w:r>
      <w:r w:rsidR="002E575F" w:rsidRPr="00A703B5">
        <w:rPr>
          <w:rFonts w:ascii="Georgia" w:hAnsi="Georgia" w:cs="Arial"/>
          <w:sz w:val="24"/>
          <w:szCs w:val="24"/>
        </w:rPr>
        <w:t xml:space="preserve">esta </w:t>
      </w:r>
      <w:r w:rsidR="00AA2E58" w:rsidRPr="00A703B5">
        <w:rPr>
          <w:rFonts w:ascii="Georgia" w:hAnsi="Georgia" w:cs="Arial"/>
          <w:sz w:val="24"/>
          <w:szCs w:val="24"/>
          <w:lang w:val="es-CO"/>
        </w:rPr>
        <w:t>Sala</w:t>
      </w:r>
      <w:r w:rsidR="002E575F" w:rsidRPr="00A703B5">
        <w:rPr>
          <w:rFonts w:ascii="Georgia" w:hAnsi="Georgia" w:cs="Arial"/>
          <w:sz w:val="24"/>
          <w:szCs w:val="24"/>
          <w:lang w:val="es-CO"/>
        </w:rPr>
        <w:t xml:space="preserve"> profirió sentencia que </w:t>
      </w:r>
      <w:r w:rsidR="00F13480" w:rsidRPr="00A703B5">
        <w:rPr>
          <w:rFonts w:ascii="Georgia" w:hAnsi="Georgia" w:cs="Arial"/>
          <w:sz w:val="24"/>
          <w:szCs w:val="24"/>
          <w:lang w:val="es-CO"/>
        </w:rPr>
        <w:t xml:space="preserve">resolvió </w:t>
      </w:r>
      <w:r w:rsidR="002E575F" w:rsidRPr="00A703B5">
        <w:rPr>
          <w:rFonts w:ascii="Georgia" w:hAnsi="Georgia" w:cs="Arial"/>
          <w:sz w:val="24"/>
          <w:szCs w:val="24"/>
          <w:lang w:val="es-CO"/>
        </w:rPr>
        <w:t>la alzada formulada por la parte demandada</w:t>
      </w:r>
      <w:r w:rsidR="00943870" w:rsidRPr="00A703B5">
        <w:rPr>
          <w:rFonts w:ascii="Georgia" w:hAnsi="Georgia" w:cs="Arial"/>
          <w:sz w:val="24"/>
          <w:szCs w:val="24"/>
          <w:lang w:val="es-CO"/>
        </w:rPr>
        <w:t xml:space="preserve">, </w:t>
      </w:r>
      <w:r w:rsidR="00367E70" w:rsidRPr="00A703B5">
        <w:rPr>
          <w:rFonts w:ascii="Georgia" w:hAnsi="Georgia" w:cs="Arial"/>
          <w:sz w:val="24"/>
          <w:szCs w:val="24"/>
          <w:lang w:val="es-CO"/>
        </w:rPr>
        <w:t xml:space="preserve">dando como </w:t>
      </w:r>
      <w:r w:rsidR="00943870" w:rsidRPr="00A703B5">
        <w:rPr>
          <w:rFonts w:ascii="Georgia" w:hAnsi="Georgia" w:cs="Arial"/>
          <w:sz w:val="24"/>
          <w:szCs w:val="24"/>
          <w:lang w:val="es-CO"/>
        </w:rPr>
        <w:t>result</w:t>
      </w:r>
      <w:r w:rsidR="00367E70" w:rsidRPr="00A703B5">
        <w:rPr>
          <w:rFonts w:ascii="Georgia" w:hAnsi="Georgia" w:cs="Arial"/>
          <w:sz w:val="24"/>
          <w:szCs w:val="24"/>
          <w:lang w:val="es-CO"/>
        </w:rPr>
        <w:t xml:space="preserve">ado </w:t>
      </w:r>
      <w:r w:rsidR="00F13480" w:rsidRPr="00A703B5">
        <w:rPr>
          <w:rFonts w:ascii="Georgia" w:hAnsi="Georgia" w:cs="Arial"/>
          <w:sz w:val="24"/>
          <w:szCs w:val="24"/>
          <w:lang w:val="es-CO"/>
        </w:rPr>
        <w:t xml:space="preserve">la revocatoria </w:t>
      </w:r>
      <w:r w:rsidR="00F13480" w:rsidRPr="00A703B5">
        <w:rPr>
          <w:rFonts w:ascii="Georgia" w:hAnsi="Georgia" w:cs="Arial"/>
          <w:sz w:val="24"/>
          <w:szCs w:val="24"/>
          <w:u w:val="single"/>
          <w:lang w:val="es-CO"/>
        </w:rPr>
        <w:t>integral</w:t>
      </w:r>
      <w:r w:rsidR="00F13480" w:rsidRPr="00A703B5">
        <w:rPr>
          <w:rFonts w:ascii="Georgia" w:hAnsi="Georgia" w:cs="Arial"/>
          <w:sz w:val="24"/>
          <w:szCs w:val="24"/>
          <w:lang w:val="es-CO"/>
        </w:rPr>
        <w:t xml:space="preserve"> de la sentencia de primera instancia, emitid</w:t>
      </w:r>
      <w:r w:rsidR="00943870" w:rsidRPr="00A703B5">
        <w:rPr>
          <w:rFonts w:ascii="Georgia" w:hAnsi="Georgia" w:cs="Arial"/>
          <w:sz w:val="24"/>
          <w:szCs w:val="24"/>
          <w:lang w:val="es-CO"/>
        </w:rPr>
        <w:t>a</w:t>
      </w:r>
      <w:r w:rsidR="00F13480" w:rsidRPr="00A703B5">
        <w:rPr>
          <w:rFonts w:ascii="Georgia" w:hAnsi="Georgia" w:cs="Arial"/>
          <w:sz w:val="24"/>
          <w:szCs w:val="24"/>
          <w:lang w:val="es-CO"/>
        </w:rPr>
        <w:t xml:space="preserve"> </w:t>
      </w:r>
      <w:r w:rsidR="00943870" w:rsidRPr="00A703B5">
        <w:rPr>
          <w:rFonts w:ascii="Georgia" w:hAnsi="Georgia" w:cs="Arial"/>
          <w:sz w:val="24"/>
          <w:szCs w:val="24"/>
          <w:lang w:val="es-CO"/>
        </w:rPr>
        <w:t xml:space="preserve">por </w:t>
      </w:r>
      <w:r w:rsidR="00F13480" w:rsidRPr="00A703B5">
        <w:rPr>
          <w:rFonts w:ascii="Georgia" w:hAnsi="Georgia" w:cs="Arial"/>
          <w:sz w:val="24"/>
          <w:szCs w:val="24"/>
          <w:lang w:val="es-CO"/>
        </w:rPr>
        <w:t>el Juzgado Quinto Civil del Circuito de Pereira el 23-07-2012</w:t>
      </w:r>
      <w:r w:rsidR="00AA2E58" w:rsidRPr="00A703B5">
        <w:rPr>
          <w:rFonts w:ascii="Georgia" w:hAnsi="Georgia" w:cs="Arial"/>
          <w:sz w:val="24"/>
          <w:szCs w:val="24"/>
        </w:rPr>
        <w:t xml:space="preserve">, </w:t>
      </w:r>
      <w:r w:rsidR="00F13480" w:rsidRPr="00A703B5">
        <w:rPr>
          <w:rFonts w:ascii="Georgia" w:hAnsi="Georgia" w:cs="Arial"/>
          <w:sz w:val="24"/>
          <w:szCs w:val="24"/>
        </w:rPr>
        <w:t>pese a ello, el juzgado de conocimiento al realizar la liquidación de las costas tomó como agencias en derecho</w:t>
      </w:r>
      <w:r w:rsidR="00B32B6D" w:rsidRPr="00A703B5">
        <w:rPr>
          <w:rFonts w:ascii="Georgia" w:hAnsi="Georgia" w:cs="Arial"/>
          <w:sz w:val="24"/>
          <w:szCs w:val="24"/>
        </w:rPr>
        <w:t>,</w:t>
      </w:r>
      <w:r w:rsidR="00F13480" w:rsidRPr="00A703B5">
        <w:rPr>
          <w:rFonts w:ascii="Georgia" w:hAnsi="Georgia" w:cs="Arial"/>
          <w:sz w:val="24"/>
          <w:szCs w:val="24"/>
        </w:rPr>
        <w:t xml:space="preserve"> </w:t>
      </w:r>
      <w:r w:rsidR="004B5148" w:rsidRPr="00A703B5">
        <w:rPr>
          <w:rFonts w:ascii="Georgia" w:hAnsi="Georgia" w:cs="Arial"/>
          <w:sz w:val="24"/>
          <w:szCs w:val="24"/>
        </w:rPr>
        <w:t xml:space="preserve">para la </w:t>
      </w:r>
      <w:r w:rsidR="00F13480" w:rsidRPr="00A703B5">
        <w:rPr>
          <w:rFonts w:ascii="Georgia" w:hAnsi="Georgia" w:cs="Arial"/>
          <w:sz w:val="24"/>
          <w:szCs w:val="24"/>
        </w:rPr>
        <w:t>primera sede</w:t>
      </w:r>
      <w:r w:rsidR="00B32B6D" w:rsidRPr="00A703B5">
        <w:rPr>
          <w:rFonts w:ascii="Georgia" w:hAnsi="Georgia" w:cs="Arial"/>
          <w:sz w:val="24"/>
          <w:szCs w:val="24"/>
        </w:rPr>
        <w:t>,</w:t>
      </w:r>
      <w:r w:rsidR="00F13480" w:rsidRPr="00A703B5">
        <w:rPr>
          <w:rFonts w:ascii="Georgia" w:hAnsi="Georgia" w:cs="Arial"/>
          <w:sz w:val="24"/>
          <w:szCs w:val="24"/>
        </w:rPr>
        <w:t xml:space="preserve"> las fijadas por </w:t>
      </w:r>
      <w:r w:rsidR="00943870" w:rsidRPr="00A703B5">
        <w:rPr>
          <w:rFonts w:ascii="Georgia" w:hAnsi="Georgia" w:cs="Arial"/>
          <w:sz w:val="24"/>
          <w:szCs w:val="24"/>
        </w:rPr>
        <w:t>aquel estrado judicial</w:t>
      </w:r>
      <w:r w:rsidR="00F13480" w:rsidRPr="00A703B5">
        <w:rPr>
          <w:rFonts w:ascii="Georgia" w:hAnsi="Georgia" w:cs="Arial"/>
          <w:sz w:val="24"/>
          <w:szCs w:val="24"/>
        </w:rPr>
        <w:t xml:space="preserve">, </w:t>
      </w:r>
      <w:r w:rsidR="00BB67AD" w:rsidRPr="00A703B5">
        <w:rPr>
          <w:rFonts w:ascii="Georgia" w:hAnsi="Georgia" w:cs="Arial"/>
          <w:sz w:val="24"/>
          <w:szCs w:val="24"/>
        </w:rPr>
        <w:t>dejando</w:t>
      </w:r>
      <w:r w:rsidR="00367E70" w:rsidRPr="00A703B5">
        <w:rPr>
          <w:rFonts w:ascii="Georgia" w:hAnsi="Georgia" w:cs="Arial"/>
          <w:sz w:val="24"/>
          <w:szCs w:val="24"/>
        </w:rPr>
        <w:t xml:space="preserve"> así </w:t>
      </w:r>
      <w:r w:rsidR="00BB67AD" w:rsidRPr="00A703B5">
        <w:rPr>
          <w:rFonts w:ascii="Georgia" w:hAnsi="Georgia" w:cs="Arial"/>
          <w:sz w:val="24"/>
          <w:szCs w:val="24"/>
        </w:rPr>
        <w:t xml:space="preserve">de lado </w:t>
      </w:r>
      <w:r w:rsidR="00235F2C" w:rsidRPr="00A703B5">
        <w:rPr>
          <w:rFonts w:ascii="Georgia" w:hAnsi="Georgia" w:cs="Arial"/>
          <w:sz w:val="24"/>
          <w:szCs w:val="24"/>
        </w:rPr>
        <w:t xml:space="preserve">lo decidido por </w:t>
      </w:r>
      <w:r w:rsidR="00367E70" w:rsidRPr="00A703B5">
        <w:rPr>
          <w:rFonts w:ascii="Georgia" w:hAnsi="Georgia" w:cs="Arial"/>
          <w:sz w:val="24"/>
          <w:szCs w:val="24"/>
        </w:rPr>
        <w:t xml:space="preserve">esta </w:t>
      </w:r>
      <w:r w:rsidR="00235F2C" w:rsidRPr="00A703B5">
        <w:rPr>
          <w:rFonts w:ascii="Georgia" w:hAnsi="Georgia" w:cs="Arial"/>
          <w:sz w:val="24"/>
          <w:szCs w:val="24"/>
        </w:rPr>
        <w:t>superior</w:t>
      </w:r>
      <w:r w:rsidR="005466EB" w:rsidRPr="00A703B5">
        <w:rPr>
          <w:rFonts w:ascii="Georgia" w:hAnsi="Georgia" w:cs="Arial"/>
          <w:sz w:val="24"/>
          <w:szCs w:val="24"/>
        </w:rPr>
        <w:t xml:space="preserve">idad </w:t>
      </w:r>
      <w:r w:rsidR="00235F2C" w:rsidRPr="00A703B5">
        <w:rPr>
          <w:rFonts w:ascii="Georgia" w:hAnsi="Georgia" w:cs="Arial"/>
          <w:sz w:val="24"/>
          <w:szCs w:val="24"/>
        </w:rPr>
        <w:t>jerárquic</w:t>
      </w:r>
      <w:r w:rsidR="00943870" w:rsidRPr="00A703B5">
        <w:rPr>
          <w:rFonts w:ascii="Georgia" w:hAnsi="Georgia" w:cs="Arial"/>
          <w:sz w:val="24"/>
          <w:szCs w:val="24"/>
        </w:rPr>
        <w:t>a</w:t>
      </w:r>
      <w:r w:rsidR="004B5148" w:rsidRPr="00A703B5">
        <w:rPr>
          <w:rFonts w:ascii="Georgia" w:hAnsi="Georgia" w:cs="Arial"/>
          <w:sz w:val="24"/>
          <w:szCs w:val="24"/>
        </w:rPr>
        <w:t xml:space="preserve">. </w:t>
      </w:r>
    </w:p>
    <w:p w:rsidR="00C3330C" w:rsidRPr="00A703B5" w:rsidRDefault="00C3330C" w:rsidP="004B6BF7">
      <w:pPr>
        <w:spacing w:line="360" w:lineRule="auto"/>
        <w:jc w:val="both"/>
        <w:rPr>
          <w:rFonts w:ascii="Georgia" w:hAnsi="Georgia" w:cs="Arial"/>
          <w:sz w:val="24"/>
          <w:szCs w:val="24"/>
        </w:rPr>
      </w:pPr>
    </w:p>
    <w:p w:rsidR="003C77D5" w:rsidRPr="00A703B5" w:rsidRDefault="004B5148" w:rsidP="003C77D5">
      <w:pPr>
        <w:spacing w:line="360" w:lineRule="auto"/>
        <w:jc w:val="both"/>
        <w:rPr>
          <w:rFonts w:ascii="Georgia" w:hAnsi="Georgia" w:cs="Arial"/>
          <w:sz w:val="24"/>
          <w:szCs w:val="24"/>
        </w:rPr>
      </w:pPr>
      <w:r w:rsidRPr="00A703B5">
        <w:rPr>
          <w:rFonts w:ascii="Georgia" w:hAnsi="Georgia" w:cs="Arial"/>
          <w:sz w:val="24"/>
          <w:szCs w:val="24"/>
        </w:rPr>
        <w:t>Así las cosas</w:t>
      </w:r>
      <w:r w:rsidR="0057434A" w:rsidRPr="00A703B5">
        <w:rPr>
          <w:rFonts w:ascii="Georgia" w:hAnsi="Georgia" w:cs="Arial"/>
          <w:sz w:val="24"/>
          <w:szCs w:val="24"/>
        </w:rPr>
        <w:t>, estima esta Sala que el proceder seguido por l</w:t>
      </w:r>
      <w:r w:rsidR="00C3330C" w:rsidRPr="00A703B5">
        <w:rPr>
          <w:rFonts w:ascii="Georgia" w:hAnsi="Georgia" w:cs="Arial"/>
          <w:sz w:val="24"/>
          <w:szCs w:val="24"/>
        </w:rPr>
        <w:t>a</w:t>
      </w:r>
      <w:r w:rsidR="0057434A" w:rsidRPr="00A703B5">
        <w:rPr>
          <w:rFonts w:ascii="Georgia" w:hAnsi="Georgia" w:cs="Arial"/>
          <w:sz w:val="24"/>
          <w:szCs w:val="24"/>
        </w:rPr>
        <w:t xml:space="preserve"> juez</w:t>
      </w:r>
      <w:r w:rsidR="00C3330C" w:rsidRPr="00A703B5">
        <w:rPr>
          <w:rFonts w:ascii="Georgia" w:hAnsi="Georgia" w:cs="Arial"/>
          <w:sz w:val="24"/>
          <w:szCs w:val="24"/>
        </w:rPr>
        <w:t>a</w:t>
      </w:r>
      <w:r w:rsidR="0057434A" w:rsidRPr="00A703B5">
        <w:rPr>
          <w:rFonts w:ascii="Georgia" w:hAnsi="Georgia" w:cs="Arial"/>
          <w:sz w:val="24"/>
          <w:szCs w:val="24"/>
        </w:rPr>
        <w:t xml:space="preserve"> de instancia, </w:t>
      </w:r>
      <w:r w:rsidR="00F52814" w:rsidRPr="00A703B5">
        <w:rPr>
          <w:rFonts w:ascii="Georgia" w:hAnsi="Georgia" w:cs="Arial"/>
          <w:sz w:val="24"/>
          <w:szCs w:val="24"/>
        </w:rPr>
        <w:t>está</w:t>
      </w:r>
      <w:r w:rsidR="0057434A" w:rsidRPr="00A703B5">
        <w:rPr>
          <w:rFonts w:ascii="Georgia" w:hAnsi="Georgia" w:cs="Arial"/>
          <w:sz w:val="24"/>
          <w:szCs w:val="24"/>
        </w:rPr>
        <w:t xml:space="preserve"> viciado de nulidad </w:t>
      </w:r>
      <w:r w:rsidR="00F52814" w:rsidRPr="00A703B5">
        <w:rPr>
          <w:rFonts w:ascii="Georgia" w:hAnsi="Georgia" w:cs="Arial"/>
          <w:sz w:val="24"/>
          <w:szCs w:val="24"/>
        </w:rPr>
        <w:t xml:space="preserve">por </w:t>
      </w:r>
      <w:r w:rsidR="00F52814" w:rsidRPr="00A703B5">
        <w:rPr>
          <w:rFonts w:ascii="Georgia" w:hAnsi="Georgia" w:cs="Arial"/>
          <w:spacing w:val="-3"/>
          <w:sz w:val="24"/>
          <w:szCs w:val="24"/>
        </w:rPr>
        <w:t>proceder contra providencia ejecutoriada del superior (</w:t>
      </w:r>
      <w:r w:rsidR="00F52814" w:rsidRPr="00A703B5">
        <w:rPr>
          <w:rFonts w:ascii="Georgia" w:hAnsi="Georgia" w:cs="Arial"/>
          <w:sz w:val="24"/>
          <w:szCs w:val="24"/>
        </w:rPr>
        <w:t xml:space="preserve">Artículo </w:t>
      </w:r>
      <w:r w:rsidR="004B6BF7" w:rsidRPr="00A703B5">
        <w:rPr>
          <w:rFonts w:ascii="Georgia" w:hAnsi="Georgia" w:cs="Arial"/>
          <w:sz w:val="24"/>
          <w:szCs w:val="24"/>
        </w:rPr>
        <w:t>1</w:t>
      </w:r>
      <w:r w:rsidR="00367E70" w:rsidRPr="00A703B5">
        <w:rPr>
          <w:rFonts w:ascii="Georgia" w:hAnsi="Georgia" w:cs="Arial"/>
          <w:sz w:val="24"/>
          <w:szCs w:val="24"/>
        </w:rPr>
        <w:t>33</w:t>
      </w:r>
      <w:r w:rsidR="004B6BF7" w:rsidRPr="00A703B5">
        <w:rPr>
          <w:rFonts w:ascii="Georgia" w:hAnsi="Georgia" w:cs="Arial"/>
          <w:sz w:val="24"/>
          <w:szCs w:val="24"/>
        </w:rPr>
        <w:t>-</w:t>
      </w:r>
      <w:r w:rsidR="00367E70" w:rsidRPr="00A703B5">
        <w:rPr>
          <w:rFonts w:ascii="Georgia" w:hAnsi="Georgia" w:cs="Arial"/>
          <w:sz w:val="24"/>
          <w:szCs w:val="24"/>
        </w:rPr>
        <w:t>2</w:t>
      </w:r>
      <w:r w:rsidR="00F52814" w:rsidRPr="00A703B5">
        <w:rPr>
          <w:rFonts w:ascii="Georgia" w:hAnsi="Georgia" w:cs="Arial"/>
          <w:sz w:val="24"/>
          <w:szCs w:val="24"/>
        </w:rPr>
        <w:t>º,</w:t>
      </w:r>
      <w:r w:rsidR="004B6BF7" w:rsidRPr="00A703B5">
        <w:rPr>
          <w:rFonts w:ascii="Georgia" w:hAnsi="Georgia" w:cs="Arial"/>
          <w:sz w:val="24"/>
          <w:szCs w:val="24"/>
        </w:rPr>
        <w:t xml:space="preserve"> C</w:t>
      </w:r>
      <w:r w:rsidR="00367E70" w:rsidRPr="00A703B5">
        <w:rPr>
          <w:rFonts w:ascii="Georgia" w:hAnsi="Georgia" w:cs="Arial"/>
          <w:sz w:val="24"/>
          <w:szCs w:val="24"/>
        </w:rPr>
        <w:t>GP</w:t>
      </w:r>
      <w:r w:rsidR="00F52814" w:rsidRPr="00A703B5">
        <w:rPr>
          <w:rFonts w:ascii="Georgia" w:hAnsi="Georgia" w:cs="Arial"/>
          <w:sz w:val="24"/>
          <w:szCs w:val="24"/>
        </w:rPr>
        <w:t>)</w:t>
      </w:r>
      <w:r w:rsidR="004701A5" w:rsidRPr="00A703B5">
        <w:rPr>
          <w:rFonts w:ascii="Georgia" w:hAnsi="Georgia" w:cs="Arial"/>
          <w:sz w:val="24"/>
          <w:szCs w:val="24"/>
        </w:rPr>
        <w:t>.</w:t>
      </w:r>
    </w:p>
    <w:p w:rsidR="007D102F" w:rsidRPr="00A703B5" w:rsidRDefault="007D102F" w:rsidP="003C77D5">
      <w:pPr>
        <w:spacing w:line="360" w:lineRule="auto"/>
        <w:jc w:val="both"/>
        <w:rPr>
          <w:rFonts w:ascii="Georgia" w:hAnsi="Georgia" w:cs="Arial"/>
          <w:sz w:val="24"/>
          <w:szCs w:val="24"/>
        </w:rPr>
      </w:pPr>
    </w:p>
    <w:p w:rsidR="003C5098" w:rsidRPr="00A703B5" w:rsidRDefault="003C5098" w:rsidP="003C5098">
      <w:pPr>
        <w:pStyle w:val="Textopredeterminado"/>
        <w:numPr>
          <w:ilvl w:val="0"/>
          <w:numId w:val="1"/>
        </w:numPr>
        <w:spacing w:line="360" w:lineRule="auto"/>
        <w:jc w:val="both"/>
        <w:textAlignment w:val="baseline"/>
        <w:rPr>
          <w:rFonts w:ascii="Georgia" w:hAnsi="Georgia" w:cs="Arial"/>
          <w:color w:val="auto"/>
        </w:rPr>
      </w:pPr>
      <w:r w:rsidRPr="00A703B5">
        <w:rPr>
          <w:rFonts w:ascii="Georgia" w:hAnsi="Georgia" w:cs="Arial"/>
          <w:color w:val="auto"/>
        </w:rPr>
        <w:t>LAS DECISIONES FINALES</w:t>
      </w:r>
    </w:p>
    <w:p w:rsidR="003E1A30" w:rsidRPr="00A703B5" w:rsidRDefault="003E1A30" w:rsidP="003E1A30">
      <w:pPr>
        <w:pStyle w:val="Textopredeterminado"/>
        <w:spacing w:line="360" w:lineRule="auto"/>
        <w:ind w:left="360"/>
        <w:jc w:val="both"/>
        <w:textAlignment w:val="baseline"/>
        <w:rPr>
          <w:rFonts w:ascii="Georgia" w:hAnsi="Georgia" w:cs="Arial"/>
          <w:color w:val="auto"/>
        </w:rPr>
      </w:pPr>
    </w:p>
    <w:p w:rsidR="002E20D6" w:rsidRPr="00A703B5" w:rsidRDefault="003C5098" w:rsidP="003C5098">
      <w:pPr>
        <w:spacing w:line="360" w:lineRule="auto"/>
        <w:ind w:right="51"/>
        <w:jc w:val="both"/>
        <w:rPr>
          <w:rFonts w:ascii="Georgia" w:hAnsi="Georgia" w:cs="Arial"/>
          <w:sz w:val="24"/>
          <w:szCs w:val="24"/>
          <w:lang w:val="es-MX"/>
        </w:rPr>
      </w:pPr>
      <w:r w:rsidRPr="00A703B5">
        <w:rPr>
          <w:rFonts w:ascii="Georgia" w:hAnsi="Georgia" w:cs="Arial"/>
          <w:sz w:val="24"/>
          <w:szCs w:val="24"/>
          <w:lang w:val="es-CO"/>
        </w:rPr>
        <w:t xml:space="preserve">En armonía con las premisas expuestas, </w:t>
      </w:r>
      <w:r w:rsidRPr="00A703B5">
        <w:rPr>
          <w:rFonts w:ascii="Georgia" w:hAnsi="Georgia" w:cs="Arial"/>
          <w:sz w:val="24"/>
          <w:szCs w:val="24"/>
        </w:rPr>
        <w:t xml:space="preserve">se declarará la nulidad de </w:t>
      </w:r>
      <w:r w:rsidR="00D37547" w:rsidRPr="00A703B5">
        <w:rPr>
          <w:rFonts w:ascii="Georgia" w:hAnsi="Georgia" w:cs="Arial"/>
          <w:sz w:val="24"/>
          <w:szCs w:val="24"/>
        </w:rPr>
        <w:t xml:space="preserve">toda </w:t>
      </w:r>
      <w:r w:rsidR="00F52814" w:rsidRPr="00A703B5">
        <w:rPr>
          <w:rFonts w:ascii="Georgia" w:hAnsi="Georgia" w:cs="Arial"/>
          <w:sz w:val="24"/>
          <w:szCs w:val="24"/>
        </w:rPr>
        <w:t xml:space="preserve">la actuación </w:t>
      </w:r>
      <w:r w:rsidR="00274865" w:rsidRPr="00A703B5">
        <w:rPr>
          <w:rFonts w:ascii="Georgia" w:hAnsi="Georgia" w:cs="Arial"/>
          <w:sz w:val="24"/>
          <w:szCs w:val="24"/>
        </w:rPr>
        <w:t xml:space="preserve">desde </w:t>
      </w:r>
      <w:r w:rsidR="00F55EE4" w:rsidRPr="00A703B5">
        <w:rPr>
          <w:rFonts w:ascii="Georgia" w:hAnsi="Georgia" w:cs="Arial"/>
          <w:sz w:val="24"/>
          <w:szCs w:val="24"/>
        </w:rPr>
        <w:t xml:space="preserve">la </w:t>
      </w:r>
      <w:r w:rsidR="00274865" w:rsidRPr="00A703B5">
        <w:rPr>
          <w:rFonts w:ascii="Georgia" w:hAnsi="Georgia" w:cs="Arial"/>
          <w:sz w:val="24"/>
          <w:szCs w:val="24"/>
        </w:rPr>
        <w:t>liquidación de costas fechada</w:t>
      </w:r>
      <w:r w:rsidR="008851BC" w:rsidRPr="00A703B5">
        <w:rPr>
          <w:rFonts w:ascii="Georgia" w:hAnsi="Georgia" w:cs="Arial"/>
          <w:sz w:val="24"/>
          <w:szCs w:val="24"/>
        </w:rPr>
        <w:t xml:space="preserve"> </w:t>
      </w:r>
      <w:r w:rsidR="00274865" w:rsidRPr="00A703B5">
        <w:rPr>
          <w:rFonts w:ascii="Georgia" w:hAnsi="Georgia" w:cs="Arial"/>
          <w:sz w:val="24"/>
          <w:szCs w:val="24"/>
        </w:rPr>
        <w:t>20-02</w:t>
      </w:r>
      <w:r w:rsidR="00F52814" w:rsidRPr="00A703B5">
        <w:rPr>
          <w:rFonts w:ascii="Georgia" w:hAnsi="Georgia" w:cs="Arial"/>
          <w:sz w:val="24"/>
          <w:szCs w:val="24"/>
        </w:rPr>
        <w:t>-201</w:t>
      </w:r>
      <w:r w:rsidR="00F55EE4" w:rsidRPr="00A703B5">
        <w:rPr>
          <w:rFonts w:ascii="Georgia" w:hAnsi="Georgia" w:cs="Arial"/>
          <w:sz w:val="24"/>
          <w:szCs w:val="24"/>
        </w:rPr>
        <w:t>8</w:t>
      </w:r>
      <w:r w:rsidR="00274865" w:rsidRPr="00A703B5">
        <w:rPr>
          <w:rFonts w:ascii="Georgia" w:hAnsi="Georgia" w:cs="Arial"/>
          <w:sz w:val="24"/>
          <w:szCs w:val="24"/>
        </w:rPr>
        <w:t xml:space="preserve"> inclusive</w:t>
      </w:r>
      <w:r w:rsidR="00D37547" w:rsidRPr="00A703B5">
        <w:rPr>
          <w:rFonts w:ascii="Georgia" w:hAnsi="Georgia" w:cs="Arial"/>
          <w:sz w:val="24"/>
          <w:szCs w:val="24"/>
        </w:rPr>
        <w:t>,</w:t>
      </w:r>
      <w:r w:rsidR="008851BC" w:rsidRPr="00A703B5">
        <w:rPr>
          <w:rFonts w:ascii="Georgia" w:hAnsi="Georgia" w:cs="Arial"/>
          <w:sz w:val="24"/>
          <w:szCs w:val="24"/>
        </w:rPr>
        <w:t xml:space="preserve"> </w:t>
      </w:r>
      <w:r w:rsidRPr="00A703B5">
        <w:rPr>
          <w:rFonts w:ascii="Georgia" w:hAnsi="Georgia" w:cs="Arial"/>
          <w:sz w:val="24"/>
          <w:szCs w:val="24"/>
          <w:lang w:val="es-MX"/>
        </w:rPr>
        <w:t xml:space="preserve">a fin de que </w:t>
      </w:r>
      <w:r w:rsidR="008851BC" w:rsidRPr="00A703B5">
        <w:rPr>
          <w:rFonts w:ascii="Georgia" w:hAnsi="Georgia" w:cs="Arial"/>
          <w:sz w:val="24"/>
          <w:szCs w:val="24"/>
          <w:lang w:val="es-MX"/>
        </w:rPr>
        <w:t xml:space="preserve">en primera instancia, se rehaga la actuación </w:t>
      </w:r>
      <w:r w:rsidR="00F52814" w:rsidRPr="00A703B5">
        <w:rPr>
          <w:rFonts w:ascii="Georgia" w:hAnsi="Georgia" w:cs="Arial"/>
          <w:sz w:val="24"/>
          <w:szCs w:val="24"/>
          <w:lang w:val="es-MX"/>
        </w:rPr>
        <w:t xml:space="preserve">en acatamiento de lo decidido por </w:t>
      </w:r>
      <w:r w:rsidR="00F55EE4" w:rsidRPr="00A703B5">
        <w:rPr>
          <w:rFonts w:ascii="Georgia" w:hAnsi="Georgia" w:cs="Arial"/>
          <w:sz w:val="24"/>
          <w:szCs w:val="24"/>
          <w:lang w:val="es-MX"/>
        </w:rPr>
        <w:t>esta superioridad</w:t>
      </w:r>
      <w:r w:rsidR="00380DEB" w:rsidRPr="00A703B5">
        <w:rPr>
          <w:rFonts w:ascii="Georgia" w:hAnsi="Georgia" w:cs="Arial"/>
          <w:sz w:val="24"/>
          <w:szCs w:val="24"/>
          <w:lang w:val="es-CO"/>
        </w:rPr>
        <w:t>,</w:t>
      </w:r>
      <w:r w:rsidR="00380DEB" w:rsidRPr="00A703B5">
        <w:rPr>
          <w:rFonts w:ascii="Georgia" w:hAnsi="Georgia" w:cs="Arial"/>
          <w:sz w:val="24"/>
          <w:szCs w:val="24"/>
          <w:lang w:val="es-MX"/>
        </w:rPr>
        <w:t xml:space="preserve"> </w:t>
      </w:r>
      <w:r w:rsidR="00F52814" w:rsidRPr="00A703B5">
        <w:rPr>
          <w:rFonts w:ascii="Georgia" w:hAnsi="Georgia" w:cs="Arial"/>
          <w:sz w:val="24"/>
          <w:szCs w:val="24"/>
          <w:lang w:val="es-MX"/>
        </w:rPr>
        <w:t xml:space="preserve">al </w:t>
      </w:r>
      <w:r w:rsidR="00F55EE4" w:rsidRPr="00A703B5">
        <w:rPr>
          <w:rFonts w:ascii="Georgia" w:hAnsi="Georgia" w:cs="Arial"/>
          <w:sz w:val="24"/>
          <w:szCs w:val="24"/>
          <w:lang w:val="es-MX"/>
        </w:rPr>
        <w:t>resolver la apelación</w:t>
      </w:r>
      <w:r w:rsidRPr="00A703B5">
        <w:rPr>
          <w:rFonts w:ascii="Georgia" w:hAnsi="Georgia" w:cs="Arial"/>
          <w:sz w:val="24"/>
          <w:szCs w:val="24"/>
          <w:lang w:val="es-MX"/>
        </w:rPr>
        <w:t>.</w:t>
      </w:r>
      <w:r w:rsidR="002E20D6" w:rsidRPr="00A703B5">
        <w:rPr>
          <w:rFonts w:ascii="Georgia" w:hAnsi="Georgia" w:cs="Arial"/>
          <w:sz w:val="24"/>
          <w:szCs w:val="24"/>
          <w:lang w:val="es-MX"/>
        </w:rPr>
        <w:t xml:space="preserve"> </w:t>
      </w:r>
    </w:p>
    <w:p w:rsidR="0057434A" w:rsidRPr="00A703B5" w:rsidRDefault="0057434A" w:rsidP="003C5098">
      <w:pPr>
        <w:spacing w:line="360" w:lineRule="auto"/>
        <w:ind w:right="51"/>
        <w:jc w:val="both"/>
        <w:rPr>
          <w:rFonts w:ascii="Georgia" w:hAnsi="Georgia" w:cs="Arial"/>
          <w:sz w:val="24"/>
          <w:szCs w:val="24"/>
          <w:lang w:val="es-MX"/>
        </w:rPr>
      </w:pPr>
    </w:p>
    <w:p w:rsidR="00DB2868" w:rsidRPr="00A703B5" w:rsidRDefault="003C5098" w:rsidP="00DB2868">
      <w:pPr>
        <w:tabs>
          <w:tab w:val="left" w:pos="-720"/>
        </w:tabs>
        <w:suppressAutoHyphens/>
        <w:spacing w:line="360" w:lineRule="auto"/>
        <w:jc w:val="both"/>
        <w:rPr>
          <w:rFonts w:ascii="Georgia" w:hAnsi="Georgia" w:cs="Arial"/>
          <w:spacing w:val="-3"/>
          <w:sz w:val="24"/>
          <w:szCs w:val="24"/>
        </w:rPr>
      </w:pPr>
      <w:r w:rsidRPr="00A703B5">
        <w:rPr>
          <w:rFonts w:ascii="Georgia" w:hAnsi="Georgia" w:cs="Arial"/>
          <w:sz w:val="24"/>
          <w:szCs w:val="24"/>
        </w:rPr>
        <w:t>Considerando suficientes los argumentos expuestos</w:t>
      </w:r>
      <w:r w:rsidR="00DB2868" w:rsidRPr="00A703B5">
        <w:rPr>
          <w:rFonts w:ascii="Georgia" w:hAnsi="Georgia" w:cs="Arial"/>
          <w:sz w:val="24"/>
          <w:szCs w:val="24"/>
        </w:rPr>
        <w:t xml:space="preserve">, el </w:t>
      </w:r>
      <w:r w:rsidR="00DB2868" w:rsidRPr="00A703B5">
        <w:rPr>
          <w:rFonts w:ascii="Georgia" w:hAnsi="Georgia" w:cs="Arial"/>
          <w:smallCaps/>
          <w:sz w:val="24"/>
          <w:szCs w:val="24"/>
        </w:rPr>
        <w:t>Tribunal Superior del Distrito Judicial de Pereira, Sala Unitaria</w:t>
      </w:r>
      <w:r w:rsidR="00DB2868" w:rsidRPr="00A703B5">
        <w:rPr>
          <w:rFonts w:ascii="Georgia" w:hAnsi="Georgia" w:cs="Arial"/>
          <w:sz w:val="24"/>
          <w:szCs w:val="24"/>
        </w:rPr>
        <w:t>,</w:t>
      </w:r>
    </w:p>
    <w:p w:rsidR="00DB2868" w:rsidRPr="00A703B5" w:rsidRDefault="00DB2868" w:rsidP="00DB2868">
      <w:pPr>
        <w:tabs>
          <w:tab w:val="left" w:pos="-720"/>
        </w:tabs>
        <w:suppressAutoHyphens/>
        <w:spacing w:line="360" w:lineRule="auto"/>
        <w:jc w:val="center"/>
        <w:rPr>
          <w:rFonts w:ascii="Georgia" w:hAnsi="Georgia" w:cs="Arial"/>
          <w:smallCaps/>
          <w:sz w:val="18"/>
          <w:szCs w:val="24"/>
        </w:rPr>
      </w:pPr>
    </w:p>
    <w:p w:rsidR="00DB2868" w:rsidRPr="00A703B5" w:rsidRDefault="00DB2868" w:rsidP="00DB2868">
      <w:pPr>
        <w:tabs>
          <w:tab w:val="left" w:pos="-720"/>
        </w:tabs>
        <w:suppressAutoHyphens/>
        <w:spacing w:line="360" w:lineRule="auto"/>
        <w:jc w:val="center"/>
        <w:rPr>
          <w:rFonts w:ascii="Georgia" w:hAnsi="Georgia" w:cs="Arial"/>
          <w:smallCaps/>
          <w:sz w:val="24"/>
          <w:szCs w:val="24"/>
        </w:rPr>
      </w:pPr>
      <w:r w:rsidRPr="00A703B5">
        <w:rPr>
          <w:rFonts w:ascii="Georgia" w:hAnsi="Georgia" w:cs="Arial"/>
          <w:smallCaps/>
          <w:sz w:val="24"/>
          <w:szCs w:val="24"/>
        </w:rPr>
        <w:t>R e s u e l v e,</w:t>
      </w:r>
    </w:p>
    <w:p w:rsidR="00DB2868" w:rsidRPr="00A703B5" w:rsidRDefault="00DB2868" w:rsidP="00DB2868">
      <w:pPr>
        <w:tabs>
          <w:tab w:val="left" w:pos="-720"/>
        </w:tabs>
        <w:suppressAutoHyphens/>
        <w:spacing w:line="360" w:lineRule="auto"/>
        <w:jc w:val="center"/>
        <w:rPr>
          <w:rFonts w:ascii="Georgia" w:hAnsi="Georgia" w:cs="Arial"/>
          <w:smallCaps/>
          <w:sz w:val="24"/>
          <w:szCs w:val="24"/>
        </w:rPr>
      </w:pPr>
    </w:p>
    <w:p w:rsidR="003C5098" w:rsidRPr="00A703B5" w:rsidRDefault="00DB2868" w:rsidP="003C5098">
      <w:pPr>
        <w:pStyle w:val="Textopredeterminado"/>
        <w:numPr>
          <w:ilvl w:val="0"/>
          <w:numId w:val="9"/>
        </w:numPr>
        <w:spacing w:line="360" w:lineRule="auto"/>
        <w:jc w:val="both"/>
        <w:textAlignment w:val="baseline"/>
        <w:rPr>
          <w:rFonts w:ascii="Georgia" w:hAnsi="Georgia" w:cs="Arial"/>
          <w:color w:val="auto"/>
          <w:szCs w:val="24"/>
        </w:rPr>
      </w:pPr>
      <w:r w:rsidRPr="00A703B5">
        <w:rPr>
          <w:rFonts w:ascii="Georgia" w:hAnsi="Georgia" w:cs="Arial"/>
          <w:color w:val="auto"/>
          <w:spacing w:val="-3"/>
          <w:szCs w:val="24"/>
        </w:rPr>
        <w:t xml:space="preserve">DECLARAR </w:t>
      </w:r>
      <w:r w:rsidR="003C5098" w:rsidRPr="00A703B5">
        <w:rPr>
          <w:rFonts w:ascii="Georgia" w:hAnsi="Georgia" w:cs="Arial"/>
          <w:color w:val="auto"/>
          <w:szCs w:val="24"/>
        </w:rPr>
        <w:t>la nulidad de lo actuado en este proceso</w:t>
      </w:r>
      <w:r w:rsidR="008B63E0" w:rsidRPr="00A703B5">
        <w:rPr>
          <w:rFonts w:ascii="Georgia" w:hAnsi="Georgia" w:cs="Arial"/>
          <w:color w:val="auto"/>
          <w:szCs w:val="24"/>
        </w:rPr>
        <w:t xml:space="preserve">, </w:t>
      </w:r>
      <w:r w:rsidR="00E953FC" w:rsidRPr="00A703B5">
        <w:rPr>
          <w:rFonts w:ascii="Georgia" w:hAnsi="Georgia" w:cs="Arial"/>
          <w:color w:val="auto"/>
          <w:szCs w:val="24"/>
        </w:rPr>
        <w:t xml:space="preserve">a partir </w:t>
      </w:r>
      <w:r w:rsidR="00274865" w:rsidRPr="00A703B5">
        <w:rPr>
          <w:rFonts w:ascii="Georgia" w:hAnsi="Georgia" w:cs="Arial"/>
          <w:color w:val="auto"/>
          <w:szCs w:val="24"/>
        </w:rPr>
        <w:t>la liquidación de costas fechada 20-02-2018 inclusive</w:t>
      </w:r>
      <w:r w:rsidR="003C5098" w:rsidRPr="00A703B5">
        <w:rPr>
          <w:rFonts w:ascii="Georgia" w:hAnsi="Georgia" w:cs="Arial"/>
          <w:color w:val="auto"/>
          <w:szCs w:val="24"/>
        </w:rPr>
        <w:t>.</w:t>
      </w:r>
    </w:p>
    <w:p w:rsidR="002E20D6" w:rsidRPr="00A703B5" w:rsidRDefault="002E20D6" w:rsidP="002E20D6">
      <w:pPr>
        <w:pStyle w:val="Textopredeterminado"/>
        <w:spacing w:line="360" w:lineRule="auto"/>
        <w:ind w:left="360"/>
        <w:jc w:val="both"/>
        <w:textAlignment w:val="baseline"/>
        <w:rPr>
          <w:rFonts w:ascii="Georgia" w:hAnsi="Georgia" w:cs="Arial"/>
          <w:color w:val="auto"/>
          <w:szCs w:val="24"/>
        </w:rPr>
      </w:pPr>
    </w:p>
    <w:p w:rsidR="00DB2868" w:rsidRPr="00A703B5" w:rsidRDefault="003C5098" w:rsidP="003C5098">
      <w:pPr>
        <w:pStyle w:val="Prrafodelista"/>
        <w:numPr>
          <w:ilvl w:val="0"/>
          <w:numId w:val="9"/>
        </w:numPr>
        <w:tabs>
          <w:tab w:val="left" w:pos="-720"/>
        </w:tabs>
        <w:suppressAutoHyphens/>
        <w:spacing w:line="360" w:lineRule="auto"/>
        <w:jc w:val="both"/>
        <w:rPr>
          <w:rFonts w:ascii="Georgia" w:hAnsi="Georgia" w:cs="Arial"/>
          <w:sz w:val="24"/>
          <w:szCs w:val="24"/>
        </w:rPr>
      </w:pPr>
      <w:r w:rsidRPr="00A703B5">
        <w:rPr>
          <w:rFonts w:ascii="Georgia" w:hAnsi="Georgia" w:cs="Arial"/>
          <w:sz w:val="24"/>
          <w:szCs w:val="24"/>
        </w:rPr>
        <w:t xml:space="preserve">DEVOLVER el expediente al Juzgado </w:t>
      </w:r>
      <w:r w:rsidR="00F55EE4" w:rsidRPr="00A703B5">
        <w:rPr>
          <w:rFonts w:ascii="Georgia" w:hAnsi="Georgia" w:cs="Arial"/>
          <w:sz w:val="24"/>
          <w:szCs w:val="24"/>
        </w:rPr>
        <w:t xml:space="preserve">Primero </w:t>
      </w:r>
      <w:r w:rsidR="00111F9C" w:rsidRPr="00A703B5">
        <w:rPr>
          <w:rFonts w:ascii="Georgia" w:hAnsi="Georgia" w:cs="Arial"/>
          <w:sz w:val="24"/>
          <w:szCs w:val="24"/>
        </w:rPr>
        <w:t>C</w:t>
      </w:r>
      <w:r w:rsidRPr="00A703B5">
        <w:rPr>
          <w:rFonts w:ascii="Georgia" w:hAnsi="Georgia" w:cs="Arial"/>
          <w:sz w:val="24"/>
          <w:szCs w:val="24"/>
        </w:rPr>
        <w:t xml:space="preserve">ivil del Circuito de </w:t>
      </w:r>
      <w:r w:rsidR="00D37547" w:rsidRPr="00A703B5">
        <w:rPr>
          <w:rFonts w:ascii="Georgia" w:hAnsi="Georgia" w:cs="Arial"/>
          <w:sz w:val="24"/>
          <w:szCs w:val="24"/>
        </w:rPr>
        <w:t>Pereira</w:t>
      </w:r>
      <w:r w:rsidR="00DB2868" w:rsidRPr="00A703B5">
        <w:rPr>
          <w:rFonts w:ascii="Georgia" w:hAnsi="Georgia" w:cs="Arial"/>
          <w:spacing w:val="-3"/>
          <w:sz w:val="24"/>
          <w:szCs w:val="24"/>
        </w:rPr>
        <w:t>, para que se rehaga la actuación viciada, con estricto acatamiento de los términos anotados en esta providencia.</w:t>
      </w:r>
    </w:p>
    <w:p w:rsidR="00DB2868" w:rsidRPr="00A703B5" w:rsidRDefault="00DB2868" w:rsidP="00DB2868">
      <w:pPr>
        <w:suppressAutoHyphens/>
        <w:spacing w:line="360" w:lineRule="auto"/>
        <w:jc w:val="center"/>
        <w:rPr>
          <w:rFonts w:ascii="Georgia" w:hAnsi="Georgia" w:cs="Arial"/>
          <w:smallCaps/>
          <w:lang w:val="en-GB"/>
        </w:rPr>
      </w:pPr>
      <w:proofErr w:type="spellStart"/>
      <w:r w:rsidRPr="00A703B5">
        <w:rPr>
          <w:rFonts w:ascii="Georgia" w:hAnsi="Georgia" w:cs="Arial"/>
          <w:smallCaps/>
          <w:sz w:val="24"/>
          <w:szCs w:val="24"/>
          <w:lang w:val="en-GB"/>
        </w:rPr>
        <w:lastRenderedPageBreak/>
        <w:t>Notifíquese</w:t>
      </w:r>
      <w:proofErr w:type="spellEnd"/>
      <w:r w:rsidRPr="00A703B5">
        <w:rPr>
          <w:rFonts w:ascii="Georgia" w:hAnsi="Georgia" w:cs="Arial"/>
          <w:smallCaps/>
          <w:lang w:val="en-GB"/>
        </w:rPr>
        <w:t>,</w:t>
      </w:r>
    </w:p>
    <w:p w:rsidR="00DB2868" w:rsidRPr="00A703B5" w:rsidRDefault="00DB2868" w:rsidP="00DB2868">
      <w:pPr>
        <w:pStyle w:val="Textoindependiente"/>
        <w:spacing w:line="360" w:lineRule="auto"/>
        <w:jc w:val="center"/>
        <w:rPr>
          <w:rFonts w:ascii="Georgia" w:hAnsi="Georgia"/>
          <w:spacing w:val="20"/>
          <w:w w:val="150"/>
          <w:sz w:val="22"/>
          <w:szCs w:val="22"/>
          <w:lang w:val="en-GB"/>
        </w:rPr>
      </w:pPr>
    </w:p>
    <w:p w:rsidR="004B719A" w:rsidRPr="00A703B5" w:rsidRDefault="004B719A" w:rsidP="00DB2868">
      <w:pPr>
        <w:pStyle w:val="Textoindependiente"/>
        <w:spacing w:line="360" w:lineRule="auto"/>
        <w:jc w:val="center"/>
        <w:rPr>
          <w:rFonts w:ascii="Georgia" w:hAnsi="Georgia"/>
          <w:spacing w:val="20"/>
          <w:w w:val="150"/>
          <w:sz w:val="22"/>
          <w:szCs w:val="22"/>
          <w:lang w:val="en-GB"/>
        </w:rPr>
      </w:pPr>
    </w:p>
    <w:p w:rsidR="004701A5" w:rsidRPr="00A703B5" w:rsidRDefault="004701A5" w:rsidP="00DB2868">
      <w:pPr>
        <w:pStyle w:val="Textoindependiente"/>
        <w:spacing w:line="360" w:lineRule="auto"/>
        <w:jc w:val="center"/>
        <w:rPr>
          <w:rFonts w:ascii="Georgia" w:hAnsi="Georgia"/>
          <w:spacing w:val="20"/>
          <w:w w:val="150"/>
          <w:sz w:val="22"/>
          <w:szCs w:val="22"/>
          <w:lang w:val="en-GB"/>
        </w:rPr>
      </w:pPr>
    </w:p>
    <w:p w:rsidR="00111F9C" w:rsidRPr="00A703B5" w:rsidRDefault="00111F9C" w:rsidP="00111F9C">
      <w:pPr>
        <w:pStyle w:val="Textopredeterminado"/>
        <w:spacing w:line="360" w:lineRule="auto"/>
        <w:jc w:val="center"/>
        <w:rPr>
          <w:rFonts w:ascii="Georgia" w:hAnsi="Georgia" w:cs="Arial"/>
          <w:caps/>
          <w:color w:val="auto"/>
          <w:spacing w:val="20"/>
          <w:w w:val="150"/>
          <w:lang w:val="es-MX"/>
        </w:rPr>
      </w:pPr>
      <w:r w:rsidRPr="00A703B5">
        <w:rPr>
          <w:rFonts w:ascii="Georgia" w:hAnsi="Georgia" w:cs="Arial"/>
          <w:caps/>
          <w:color w:val="auto"/>
          <w:spacing w:val="20"/>
          <w:w w:val="150"/>
          <w:sz w:val="28"/>
          <w:lang w:val="es-MX"/>
        </w:rPr>
        <w:t>D</w:t>
      </w:r>
      <w:r w:rsidRPr="00A703B5">
        <w:rPr>
          <w:rFonts w:ascii="Georgia" w:hAnsi="Georgia" w:cs="Arial"/>
          <w:caps/>
          <w:color w:val="auto"/>
          <w:spacing w:val="20"/>
          <w:w w:val="150"/>
          <w:sz w:val="18"/>
          <w:lang w:val="es-MX"/>
        </w:rPr>
        <w:t>UBERNEY</w:t>
      </w:r>
      <w:r w:rsidRPr="00A703B5">
        <w:rPr>
          <w:rFonts w:ascii="Georgia" w:hAnsi="Georgia" w:cs="Arial"/>
          <w:caps/>
          <w:color w:val="auto"/>
          <w:spacing w:val="20"/>
          <w:w w:val="150"/>
          <w:sz w:val="22"/>
          <w:lang w:val="es-MX"/>
        </w:rPr>
        <w:t xml:space="preserve"> </w:t>
      </w:r>
      <w:r w:rsidRPr="00A703B5">
        <w:rPr>
          <w:rFonts w:ascii="Georgia" w:hAnsi="Georgia" w:cs="Arial"/>
          <w:caps/>
          <w:color w:val="auto"/>
          <w:spacing w:val="20"/>
          <w:w w:val="150"/>
          <w:sz w:val="28"/>
          <w:lang w:val="es-MX"/>
        </w:rPr>
        <w:t>G</w:t>
      </w:r>
      <w:r w:rsidRPr="00A703B5">
        <w:rPr>
          <w:rFonts w:ascii="Georgia" w:hAnsi="Georgia" w:cs="Arial"/>
          <w:caps/>
          <w:color w:val="auto"/>
          <w:spacing w:val="20"/>
          <w:w w:val="150"/>
          <w:sz w:val="18"/>
          <w:lang w:val="es-MX"/>
        </w:rPr>
        <w:t>RISALES</w:t>
      </w:r>
      <w:r w:rsidRPr="00A703B5">
        <w:rPr>
          <w:rFonts w:ascii="Georgia" w:hAnsi="Georgia" w:cs="Arial"/>
          <w:caps/>
          <w:color w:val="auto"/>
          <w:spacing w:val="20"/>
          <w:w w:val="150"/>
          <w:sz w:val="22"/>
          <w:lang w:val="es-MX"/>
        </w:rPr>
        <w:t xml:space="preserve"> </w:t>
      </w:r>
      <w:r w:rsidRPr="00A703B5">
        <w:rPr>
          <w:rFonts w:ascii="Georgia" w:hAnsi="Georgia" w:cs="Arial"/>
          <w:caps/>
          <w:color w:val="auto"/>
          <w:spacing w:val="20"/>
          <w:w w:val="150"/>
          <w:sz w:val="28"/>
          <w:lang w:val="es-MX"/>
        </w:rPr>
        <w:t>H</w:t>
      </w:r>
      <w:r w:rsidRPr="00A703B5">
        <w:rPr>
          <w:rFonts w:ascii="Georgia" w:hAnsi="Georgia" w:cs="Arial"/>
          <w:caps/>
          <w:color w:val="auto"/>
          <w:spacing w:val="20"/>
          <w:w w:val="150"/>
          <w:sz w:val="18"/>
          <w:lang w:val="es-MX"/>
        </w:rPr>
        <w:t>ERRERA</w:t>
      </w:r>
    </w:p>
    <w:p w:rsidR="00111F9C" w:rsidRPr="00A703B5" w:rsidRDefault="00111F9C" w:rsidP="00111F9C">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right="55"/>
        <w:jc w:val="center"/>
        <w:rPr>
          <w:rFonts w:ascii="Georgia" w:hAnsi="Georgia" w:cs="Arial"/>
          <w:spacing w:val="20"/>
          <w:w w:val="150"/>
          <w:sz w:val="18"/>
          <w:szCs w:val="22"/>
          <w:lang w:val="en-US"/>
        </w:rPr>
      </w:pPr>
      <w:r w:rsidRPr="00A703B5">
        <w:rPr>
          <w:rFonts w:ascii="Georgia" w:hAnsi="Georgia" w:cs="Arial"/>
          <w:caps/>
          <w:spacing w:val="20"/>
          <w:w w:val="150"/>
          <w:sz w:val="28"/>
          <w:szCs w:val="24"/>
        </w:rPr>
        <w:t>M</w:t>
      </w:r>
      <w:r w:rsidRPr="00A703B5">
        <w:rPr>
          <w:rFonts w:ascii="Georgia" w:hAnsi="Georgia" w:cs="Arial"/>
          <w:caps/>
          <w:spacing w:val="20"/>
          <w:w w:val="150"/>
          <w:sz w:val="18"/>
        </w:rPr>
        <w:t>agistrado</w:t>
      </w:r>
      <w:r w:rsidRPr="00A703B5">
        <w:rPr>
          <w:rFonts w:ascii="Georgia" w:hAnsi="Georgia" w:cs="Arial"/>
          <w:spacing w:val="20"/>
          <w:w w:val="150"/>
          <w:sz w:val="18"/>
          <w:szCs w:val="22"/>
          <w:lang w:val="en-US"/>
        </w:rPr>
        <w:t xml:space="preserve"> </w:t>
      </w:r>
    </w:p>
    <w:p w:rsidR="00D94D58" w:rsidRPr="00A703B5" w:rsidRDefault="00F55EE4" w:rsidP="00A11F60">
      <w:pPr>
        <w:pStyle w:val="Textoindependiente"/>
        <w:spacing w:line="360" w:lineRule="auto"/>
        <w:jc w:val="right"/>
        <w:rPr>
          <w:rFonts w:ascii="Georgia" w:hAnsi="Georgia"/>
          <w:i/>
          <w:caps/>
          <w:spacing w:val="20"/>
          <w:w w:val="150"/>
          <w:sz w:val="8"/>
          <w:szCs w:val="12"/>
          <w:lang w:val="en-US"/>
        </w:rPr>
      </w:pPr>
      <w:r w:rsidRPr="00A703B5">
        <w:rPr>
          <w:rFonts w:ascii="Georgia" w:hAnsi="Georgia"/>
          <w:noProof/>
          <w:spacing w:val="0"/>
          <w:sz w:val="20"/>
          <w:lang w:val="es-ES"/>
        </w:rPr>
        <mc:AlternateContent>
          <mc:Choice Requires="wps">
            <w:drawing>
              <wp:anchor distT="0" distB="0" distL="114300" distR="114300" simplePos="0" relativeHeight="251660288" behindDoc="0" locked="0" layoutInCell="1" allowOverlap="1" wp14:anchorId="57A1ACC6" wp14:editId="706E10FA">
                <wp:simplePos x="0" y="0"/>
                <wp:positionH relativeFrom="margin">
                  <wp:posOffset>1720850</wp:posOffset>
                </wp:positionH>
                <wp:positionV relativeFrom="paragraph">
                  <wp:posOffset>24130</wp:posOffset>
                </wp:positionV>
                <wp:extent cx="2521744" cy="1257300"/>
                <wp:effectExtent l="19050" t="19050" r="120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744" cy="1257300"/>
                        </a:xfrm>
                        <a:prstGeom prst="rect">
                          <a:avLst/>
                        </a:prstGeom>
                        <a:solidFill>
                          <a:srgbClr val="FFFFFF"/>
                        </a:solidFill>
                        <a:ln w="28575" cmpd="thickThin">
                          <a:solidFill>
                            <a:srgbClr val="000000"/>
                          </a:solidFill>
                          <a:miter lim="800000"/>
                          <a:headEnd/>
                          <a:tailEnd/>
                        </a:ln>
                      </wps:spPr>
                      <wps:txbx>
                        <w:txbxContent>
                          <w:p w:rsidR="00E953FC" w:rsidRPr="0069377F" w:rsidRDefault="00E953FC" w:rsidP="00E953FC">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E953FC" w:rsidRDefault="00E953FC" w:rsidP="00E953FC">
                            <w:pPr>
                              <w:pStyle w:val="Sinespaciado"/>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E953FC" w:rsidRPr="0069377F" w:rsidRDefault="00E953FC" w:rsidP="00E953FC">
                            <w:pPr>
                              <w:jc w:val="center"/>
                              <w:rPr>
                                <w:rFonts w:ascii="Kalinga" w:hAnsi="Kalinga" w:cs="Kalinga"/>
                                <w:color w:val="000000"/>
                                <w:sz w:val="18"/>
                                <w:szCs w:val="22"/>
                              </w:rPr>
                            </w:pPr>
                          </w:p>
                          <w:p w:rsidR="00E953FC" w:rsidRPr="0069377F" w:rsidRDefault="00E953FC" w:rsidP="00E953FC">
                            <w:pPr>
                              <w:jc w:val="center"/>
                              <w:rPr>
                                <w:rFonts w:ascii="Kalinga" w:hAnsi="Kalinga" w:cs="Kalinga"/>
                                <w:color w:val="000000"/>
                                <w:sz w:val="18"/>
                                <w:szCs w:val="22"/>
                              </w:rPr>
                            </w:pPr>
                          </w:p>
                          <w:p w:rsidR="00E953FC" w:rsidRPr="00AC087B" w:rsidRDefault="00E953FC" w:rsidP="00E953FC">
                            <w:pPr>
                              <w:jc w:val="center"/>
                              <w:rPr>
                                <w:rFonts w:ascii="Kalinga" w:hAnsi="Kalinga" w:cs="Kalinga"/>
                                <w:color w:val="000000"/>
                                <w:sz w:val="22"/>
                                <w:szCs w:val="22"/>
                              </w:rPr>
                            </w:pPr>
                            <w:r w:rsidRPr="0069377F">
                              <w:rPr>
                                <w:rFonts w:ascii="Kalinga" w:hAnsi="Kalinga" w:cs="Kalinga"/>
                                <w:color w:val="000000"/>
                                <w:szCs w:val="22"/>
                              </w:rPr>
                              <w:t>JAÍR DE JESÚS HENAO MOLINA</w:t>
                            </w:r>
                          </w:p>
                          <w:p w:rsidR="00E953FC" w:rsidRPr="0069377F" w:rsidRDefault="00E953FC" w:rsidP="00E953FC">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E953FC" w:rsidRPr="00AC087B" w:rsidRDefault="00E953FC" w:rsidP="00E953FC">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1ACC6" id="Rectangle 7" o:spid="_x0000_s1026" style="position:absolute;left:0;text-align:left;margin-left:135.5pt;margin-top:1.9pt;width:198.55pt;height: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" strokeweight="2.25pt">
                <v:stroke linestyle="thickThin"/>
                <v:textbox>
                  <w:txbxContent>
                    <w:p w:rsidR="00E953FC" w:rsidRPr="0069377F" w:rsidRDefault="00E953FC" w:rsidP="00E953FC">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E953FC" w:rsidRDefault="00E953FC" w:rsidP="00E953FC">
                      <w:pPr>
                        <w:pStyle w:val="Sinespaciado"/>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E953FC" w:rsidRPr="0069377F" w:rsidRDefault="00E953FC" w:rsidP="00E953FC">
                      <w:pPr>
                        <w:jc w:val="center"/>
                        <w:rPr>
                          <w:rFonts w:ascii="Kalinga" w:hAnsi="Kalinga" w:cs="Kalinga"/>
                          <w:color w:val="000000"/>
                          <w:sz w:val="18"/>
                          <w:szCs w:val="22"/>
                        </w:rPr>
                      </w:pPr>
                    </w:p>
                    <w:p w:rsidR="00E953FC" w:rsidRPr="0069377F" w:rsidRDefault="00E953FC" w:rsidP="00E953FC">
                      <w:pPr>
                        <w:jc w:val="center"/>
                        <w:rPr>
                          <w:rFonts w:ascii="Kalinga" w:hAnsi="Kalinga" w:cs="Kalinga"/>
                          <w:color w:val="000000"/>
                          <w:sz w:val="18"/>
                          <w:szCs w:val="22"/>
                        </w:rPr>
                      </w:pPr>
                    </w:p>
                    <w:p w:rsidR="00E953FC" w:rsidRPr="00AC087B" w:rsidRDefault="00E953FC" w:rsidP="00E953FC">
                      <w:pPr>
                        <w:jc w:val="center"/>
                        <w:rPr>
                          <w:rFonts w:ascii="Kalinga" w:hAnsi="Kalinga" w:cs="Kalinga"/>
                          <w:color w:val="000000"/>
                          <w:sz w:val="22"/>
                          <w:szCs w:val="22"/>
                        </w:rPr>
                      </w:pPr>
                      <w:r w:rsidRPr="0069377F">
                        <w:rPr>
                          <w:rFonts w:ascii="Kalinga" w:hAnsi="Kalinga" w:cs="Kalinga"/>
                          <w:color w:val="000000"/>
                          <w:szCs w:val="22"/>
                        </w:rPr>
                        <w:t>JAÍR DE JESÚS HENAO MOLINA</w:t>
                      </w:r>
                    </w:p>
                    <w:p w:rsidR="00E953FC" w:rsidRPr="0069377F" w:rsidRDefault="00E953FC" w:rsidP="00E953FC">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E953FC" w:rsidRPr="00AC087B" w:rsidRDefault="00E953FC" w:rsidP="00E953FC">
                      <w:pPr>
                        <w:jc w:val="center"/>
                        <w:rPr>
                          <w:rFonts w:ascii="Kalinga" w:hAnsi="Kalinga" w:cs="Kalinga"/>
                          <w:sz w:val="22"/>
                          <w:szCs w:val="22"/>
                        </w:rPr>
                      </w:pPr>
                    </w:p>
                  </w:txbxContent>
                </v:textbox>
                <w10:wrap anchorx="margin"/>
              </v:rect>
            </w:pict>
          </mc:Fallback>
        </mc:AlternateContent>
      </w:r>
      <w:r w:rsidR="00D915F4" w:rsidRPr="00A703B5">
        <w:rPr>
          <w:rFonts w:ascii="Georgia" w:hAnsi="Georgia"/>
          <w:i/>
          <w:caps/>
          <w:spacing w:val="20"/>
          <w:w w:val="150"/>
          <w:sz w:val="8"/>
          <w:szCs w:val="12"/>
          <w:lang w:val="en-US"/>
        </w:rPr>
        <w:t xml:space="preserve">dgh / </w:t>
      </w:r>
      <w:r w:rsidR="00F6458D" w:rsidRPr="00A703B5">
        <w:rPr>
          <w:rFonts w:ascii="Georgia" w:hAnsi="Georgia"/>
          <w:i/>
          <w:caps/>
          <w:spacing w:val="20"/>
          <w:w w:val="150"/>
          <w:sz w:val="8"/>
          <w:szCs w:val="12"/>
          <w:lang w:val="en-US"/>
        </w:rPr>
        <w:t>DGD</w:t>
      </w:r>
      <w:r w:rsidR="00360576" w:rsidRPr="00A703B5">
        <w:rPr>
          <w:rFonts w:ascii="Georgia" w:hAnsi="Georgia"/>
          <w:i/>
          <w:caps/>
          <w:spacing w:val="20"/>
          <w:w w:val="150"/>
          <w:sz w:val="8"/>
          <w:szCs w:val="12"/>
          <w:lang w:val="en-US"/>
        </w:rPr>
        <w:t>/ 201</w:t>
      </w:r>
      <w:r w:rsidRPr="00A703B5">
        <w:rPr>
          <w:rFonts w:ascii="Georgia" w:hAnsi="Georgia"/>
          <w:i/>
          <w:caps/>
          <w:spacing w:val="20"/>
          <w:w w:val="150"/>
          <w:sz w:val="8"/>
          <w:szCs w:val="12"/>
          <w:lang w:val="en-US"/>
        </w:rPr>
        <w:t>8</w:t>
      </w:r>
    </w:p>
    <w:p w:rsidR="00111F9C" w:rsidRPr="00A703B5" w:rsidRDefault="00111F9C" w:rsidP="00A11F60">
      <w:pPr>
        <w:pStyle w:val="Textoindependiente"/>
        <w:spacing w:line="360" w:lineRule="auto"/>
        <w:jc w:val="right"/>
        <w:rPr>
          <w:rFonts w:ascii="Georgia" w:hAnsi="Georgia"/>
          <w:i/>
          <w:caps/>
          <w:spacing w:val="20"/>
          <w:w w:val="150"/>
          <w:sz w:val="8"/>
          <w:szCs w:val="12"/>
          <w:lang w:val="en-US"/>
        </w:rPr>
      </w:pPr>
    </w:p>
    <w:p w:rsidR="00A703B5" w:rsidRPr="00A703B5" w:rsidRDefault="00A703B5">
      <w:pPr>
        <w:pStyle w:val="Textoindependiente"/>
        <w:spacing w:line="360" w:lineRule="auto"/>
        <w:jc w:val="right"/>
        <w:rPr>
          <w:rFonts w:ascii="Georgia" w:hAnsi="Georgia"/>
          <w:i/>
          <w:caps/>
          <w:spacing w:val="20"/>
          <w:w w:val="150"/>
          <w:sz w:val="8"/>
          <w:szCs w:val="12"/>
          <w:lang w:val="en-US"/>
        </w:rPr>
      </w:pPr>
    </w:p>
    <w:sectPr w:rsidR="00A703B5" w:rsidRPr="00A703B5" w:rsidSect="005466EB">
      <w:headerReference w:type="default" r:id="rId9"/>
      <w:footerReference w:type="default" r:id="rId10"/>
      <w:pgSz w:w="12240" w:h="18720"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08F" w:rsidRDefault="005C008F" w:rsidP="009A1240">
      <w:r>
        <w:separator/>
      </w:r>
    </w:p>
  </w:endnote>
  <w:endnote w:type="continuationSeparator" w:id="0">
    <w:p w:rsidR="005C008F" w:rsidRDefault="005C008F"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Cambria">
    <w:altName w:val="Calisto MT"/>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Default="00045CE3" w:rsidP="00045CE3">
    <w:pPr>
      <w:pStyle w:val="Piedepgina"/>
      <w:pBdr>
        <w:bottom w:val="double" w:sz="6" w:space="1" w:color="auto"/>
      </w:pBdr>
      <w:spacing w:line="360" w:lineRule="auto"/>
      <w:jc w:val="right"/>
      <w:rPr>
        <w:rFonts w:ascii="Arial" w:hAnsi="Arial" w:cs="Arial"/>
        <w:spacing w:val="20"/>
        <w:w w:val="200"/>
        <w:sz w:val="14"/>
        <w:szCs w:val="10"/>
        <w:lang w:val="es-CO"/>
      </w:rPr>
    </w:pPr>
  </w:p>
  <w:p w:rsidR="00045CE3" w:rsidRDefault="00045CE3" w:rsidP="00045CE3">
    <w:pPr>
      <w:pStyle w:val="Piedepgina"/>
      <w:spacing w:line="360" w:lineRule="auto"/>
      <w:jc w:val="right"/>
      <w:rPr>
        <w:rFonts w:ascii="Arial" w:hAnsi="Arial" w:cs="Arial"/>
        <w:spacing w:val="20"/>
        <w:w w:val="200"/>
        <w:sz w:val="14"/>
        <w:szCs w:val="10"/>
        <w:lang w:val="es-CO"/>
      </w:rPr>
    </w:pPr>
  </w:p>
  <w:p w:rsidR="003C5098" w:rsidRPr="003E18D8" w:rsidRDefault="003C5098"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045CE3" w:rsidRDefault="00045CE3" w:rsidP="00045CE3">
    <w:pPr>
      <w:pStyle w:val="Piedepgina"/>
      <w:jc w:val="right"/>
    </w:pPr>
    <w:r w:rsidRPr="008E0505">
      <w:rPr>
        <w:rFonts w:ascii="Arial" w:hAnsi="Arial" w:cs="Arial"/>
        <w:spacing w:val="20"/>
        <w:w w:val="200"/>
        <w:sz w:val="10"/>
        <w:szCs w:val="10"/>
        <w:lang w:val="es-CO"/>
      </w:rPr>
      <w:t>M</w:t>
    </w:r>
    <w:r w:rsidR="00D851DA">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08F" w:rsidRDefault="005C008F" w:rsidP="009A1240">
      <w:r>
        <w:separator/>
      </w:r>
    </w:p>
  </w:footnote>
  <w:footnote w:type="continuationSeparator" w:id="0">
    <w:p w:rsidR="005C008F" w:rsidRDefault="005C008F" w:rsidP="009A1240">
      <w:r>
        <w:continuationSeparator/>
      </w:r>
    </w:p>
  </w:footnote>
  <w:footnote w:id="1">
    <w:p w:rsidR="00406D15" w:rsidRPr="004B155A" w:rsidRDefault="00406D15" w:rsidP="00406D15">
      <w:pPr>
        <w:pStyle w:val="Textonotapie"/>
        <w:jc w:val="both"/>
      </w:pPr>
      <w:r w:rsidRPr="004B155A">
        <w:rPr>
          <w:rStyle w:val="Refdenotaalpie"/>
          <w:lang w:val="es-CO"/>
        </w:rPr>
        <w:footnoteRef/>
      </w:r>
      <w:r w:rsidRPr="004B155A">
        <w:rPr>
          <w:lang w:val="es-CO"/>
        </w:rPr>
        <w:t xml:space="preserve"> CANOSA T., Fernando. Las nulidades en el derecho procesal civil, 3ª edición, Ediciones Doctrina y ley, 1998, p.26.</w:t>
      </w:r>
    </w:p>
  </w:footnote>
  <w:footnote w:id="2">
    <w:p w:rsidR="00406D15" w:rsidRPr="004B155A" w:rsidRDefault="00406D15" w:rsidP="00406D15">
      <w:pPr>
        <w:pStyle w:val="Textonotapie"/>
        <w:jc w:val="both"/>
      </w:pPr>
      <w:r w:rsidRPr="004B155A">
        <w:rPr>
          <w:rStyle w:val="Refdenotaalpie"/>
          <w:lang w:val="es-CO"/>
        </w:rPr>
        <w:footnoteRef/>
      </w:r>
      <w:r w:rsidRPr="004B155A">
        <w:rPr>
          <w:lang w:val="es-CO"/>
        </w:rPr>
        <w:t xml:space="preserve"> LÓPEZ B., Hernán F. Código General del Proceso, tomo I, parte general, Bogotá DC, </w:t>
      </w:r>
      <w:proofErr w:type="spellStart"/>
      <w:r w:rsidRPr="004B155A">
        <w:rPr>
          <w:lang w:val="es-CO"/>
        </w:rPr>
        <w:t>Dupré</w:t>
      </w:r>
      <w:proofErr w:type="spellEnd"/>
      <w:r w:rsidRPr="004B155A">
        <w:rPr>
          <w:lang w:val="es-CO"/>
        </w:rPr>
        <w:t xml:space="preserve"> editores, 2016, p.909 ss.</w:t>
      </w:r>
    </w:p>
  </w:footnote>
  <w:footnote w:id="3">
    <w:p w:rsidR="00406D15" w:rsidRPr="004B155A" w:rsidRDefault="00406D15" w:rsidP="00406D15">
      <w:pPr>
        <w:pStyle w:val="Textonotapie"/>
        <w:jc w:val="both"/>
      </w:pPr>
      <w:r w:rsidRPr="004B155A">
        <w:rPr>
          <w:rStyle w:val="Refdenotaalpie"/>
          <w:lang w:val="es-CO"/>
        </w:rPr>
        <w:footnoteRef/>
      </w:r>
      <w:r w:rsidRPr="004B155A">
        <w:rPr>
          <w:lang w:val="es-CO"/>
        </w:rPr>
        <w:t xml:space="preserve"> AZULA C., Jaime. Manual de derecho procesal civil, tomo II, 4ª edición, editorial Temis, Bogotá D.C., 1994, p.303.</w:t>
      </w:r>
    </w:p>
  </w:footnote>
  <w:footnote w:id="4">
    <w:p w:rsidR="00406D15" w:rsidRPr="004B155A" w:rsidRDefault="00406D15" w:rsidP="00406D15">
      <w:pPr>
        <w:pStyle w:val="Textonotapie"/>
        <w:jc w:val="both"/>
      </w:pPr>
      <w:r w:rsidRPr="004B155A">
        <w:rPr>
          <w:rStyle w:val="Refdenotaalpie"/>
          <w:lang w:val="es-CO"/>
        </w:rPr>
        <w:footnoteRef/>
      </w:r>
      <w:r w:rsidRPr="004B155A">
        <w:rPr>
          <w:lang w:val="es-CO"/>
        </w:rPr>
        <w:t xml:space="preserve"> ROJAS G., Miguel E. Lecciones de derecho procesal, tomo II, Procedimiento Civil, 5ª Edición, </w:t>
      </w:r>
      <w:proofErr w:type="spellStart"/>
      <w:r w:rsidRPr="004B155A">
        <w:rPr>
          <w:lang w:val="es-CO"/>
        </w:rPr>
        <w:t>Esaju</w:t>
      </w:r>
      <w:proofErr w:type="spellEnd"/>
      <w:r w:rsidRPr="004B155A">
        <w:rPr>
          <w:lang w:val="es-CO"/>
        </w:rPr>
        <w:t>, 2013, Bogotá DC, p.459 a 462.</w:t>
      </w:r>
    </w:p>
  </w:footnote>
  <w:footnote w:id="5">
    <w:p w:rsidR="00406D15" w:rsidRPr="004B155A" w:rsidRDefault="00406D15" w:rsidP="00406D15">
      <w:pPr>
        <w:pStyle w:val="Textonotapie"/>
        <w:jc w:val="both"/>
        <w:rPr>
          <w:lang w:val="es-CO"/>
        </w:rPr>
      </w:pPr>
      <w:r w:rsidRPr="004B155A">
        <w:rPr>
          <w:rStyle w:val="Refdenotaalpie"/>
        </w:rPr>
        <w:footnoteRef/>
      </w:r>
      <w:r w:rsidRPr="004B155A">
        <w:t xml:space="preserve"> INSTITUTO COLOMBIANO DE DERECHO PROCESAL. Código General del Proceso</w:t>
      </w:r>
      <w:r w:rsidRPr="004B155A">
        <w:rPr>
          <w:lang w:val="es-CO"/>
        </w:rPr>
        <w:t>, Henry Sanabria S., Impresor Panamericana Formas e Impresos SAS, 2014, p.258.</w:t>
      </w:r>
      <w:r w:rsidRPr="004B155A">
        <w:t xml:space="preserve"> </w:t>
      </w:r>
    </w:p>
  </w:footnote>
  <w:footnote w:id="6">
    <w:p w:rsidR="00406D15" w:rsidRPr="004B155A" w:rsidRDefault="00406D15" w:rsidP="00406D15">
      <w:pPr>
        <w:pStyle w:val="Textonotapie"/>
        <w:jc w:val="both"/>
        <w:rPr>
          <w:lang w:val="es-CO"/>
        </w:rPr>
      </w:pPr>
      <w:r w:rsidRPr="004B155A">
        <w:rPr>
          <w:rStyle w:val="Refdenotaalpie"/>
        </w:rPr>
        <w:footnoteRef/>
      </w:r>
      <w:r w:rsidRPr="004B155A">
        <w:t xml:space="preserve"> </w:t>
      </w:r>
      <w:r w:rsidR="004B155A" w:rsidRPr="004B155A">
        <w:rPr>
          <w:lang w:val="es-CO"/>
        </w:rPr>
        <w:t>CSJ. Civil. SC280-2018, SC8210-2016, entre otras</w:t>
      </w:r>
      <w:r w:rsidRPr="004B155A">
        <w:rPr>
          <w:lang w:val="es-CO"/>
        </w:rPr>
        <w:t>.</w:t>
      </w:r>
    </w:p>
  </w:footnote>
  <w:footnote w:id="7">
    <w:p w:rsidR="002E575F" w:rsidRPr="002E575F" w:rsidRDefault="002E575F">
      <w:pPr>
        <w:pStyle w:val="Textonotapie"/>
        <w:rPr>
          <w:lang w:val="es-CO"/>
        </w:rPr>
      </w:pPr>
      <w:r>
        <w:rPr>
          <w:rStyle w:val="Refdenotaalpie"/>
        </w:rPr>
        <w:footnoteRef/>
      </w:r>
      <w:r>
        <w:t xml:space="preserve"> </w:t>
      </w:r>
      <w:r>
        <w:rPr>
          <w:lang w:val="es-CO"/>
        </w:rPr>
        <w:t>CSJ. SC6795-2017 que reitera lo dicho en sentencia del 22-11-1999, MP: Trejos B., No.5296.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Pr="00B62758" w:rsidRDefault="00045CE3" w:rsidP="00045CE3">
    <w:pPr>
      <w:pStyle w:val="Encabezado"/>
      <w:pBdr>
        <w:bottom w:val="single" w:sz="4" w:space="1" w:color="D9D9D9" w:themeColor="background1" w:themeShade="D9"/>
      </w:pBdr>
      <w:jc w:val="right"/>
      <w:rPr>
        <w:rFonts w:asciiTheme="minorHAnsi" w:hAnsiTheme="minorHAnsi" w:cs="Calibri"/>
        <w:bCs/>
      </w:rPr>
    </w:pPr>
    <w:r w:rsidRPr="00B62758">
      <w:rPr>
        <w:rFonts w:asciiTheme="minorHAnsi" w:hAnsiTheme="minorHAnsi" w:cs="Calibri"/>
        <w:color w:val="808080" w:themeColor="background1" w:themeShade="80"/>
        <w:spacing w:val="60"/>
      </w:rPr>
      <w:t>Página</w:t>
    </w:r>
    <w:r w:rsidRPr="00B62758">
      <w:rPr>
        <w:rFonts w:asciiTheme="minorHAnsi" w:hAnsiTheme="minorHAnsi" w:cs="Calibri"/>
      </w:rPr>
      <w:t xml:space="preserve"> | </w:t>
    </w:r>
    <w:r w:rsidRPr="00B62758">
      <w:rPr>
        <w:rFonts w:asciiTheme="minorHAnsi" w:hAnsiTheme="minorHAnsi" w:cs="Calibri"/>
      </w:rPr>
      <w:fldChar w:fldCharType="begin"/>
    </w:r>
    <w:r w:rsidRPr="00B62758">
      <w:rPr>
        <w:rFonts w:asciiTheme="minorHAnsi" w:hAnsiTheme="minorHAnsi" w:cs="Calibri"/>
      </w:rPr>
      <w:instrText>PAGE   \* MERGEFORMAT</w:instrText>
    </w:r>
    <w:r w:rsidRPr="00B62758">
      <w:rPr>
        <w:rFonts w:asciiTheme="minorHAnsi" w:hAnsiTheme="minorHAnsi" w:cs="Calibri"/>
      </w:rPr>
      <w:fldChar w:fldCharType="separate"/>
    </w:r>
    <w:r w:rsidR="00A703B5" w:rsidRPr="00A703B5">
      <w:rPr>
        <w:rFonts w:asciiTheme="minorHAnsi" w:hAnsiTheme="minorHAnsi" w:cs="Calibri"/>
        <w:bCs/>
        <w:noProof/>
      </w:rPr>
      <w:t>5</w:t>
    </w:r>
    <w:r w:rsidRPr="00B62758">
      <w:rPr>
        <w:rFonts w:asciiTheme="minorHAnsi" w:hAnsiTheme="minorHAnsi" w:cs="Calibri"/>
      </w:rPr>
      <w:fldChar w:fldCharType="end"/>
    </w:r>
  </w:p>
  <w:p w:rsidR="00045CE3" w:rsidRPr="00323447" w:rsidRDefault="00045CE3" w:rsidP="00045CE3">
    <w:pPr>
      <w:pStyle w:val="Encabezado"/>
      <w:rPr>
        <w:rFonts w:asciiTheme="majorHAnsi" w:hAnsiTheme="majorHAnsi" w:cs="Iskoola Pota"/>
        <w:i/>
        <w:sz w:val="18"/>
        <w:lang w:val="es-CO"/>
      </w:rPr>
    </w:pPr>
    <w:r w:rsidRPr="00323447">
      <w:rPr>
        <w:rFonts w:asciiTheme="majorHAnsi" w:hAnsiTheme="majorHAnsi" w:cs="Iskoola Pota"/>
        <w:i/>
        <w:lang w:val="es-CO"/>
      </w:rPr>
      <w:t>E</w:t>
    </w:r>
    <w:r w:rsidRPr="00323447">
      <w:rPr>
        <w:rFonts w:asciiTheme="majorHAnsi" w:hAnsiTheme="majorHAnsi" w:cs="Iskoola Pota"/>
        <w:i/>
        <w:sz w:val="16"/>
        <w:lang w:val="es-CO"/>
      </w:rPr>
      <w:t>XPEDIENTE No.20</w:t>
    </w:r>
    <w:r w:rsidR="008B7145">
      <w:rPr>
        <w:rFonts w:asciiTheme="majorHAnsi" w:hAnsiTheme="majorHAnsi" w:cs="Iskoola Pota"/>
        <w:i/>
        <w:sz w:val="16"/>
        <w:lang w:val="es-CO"/>
      </w:rPr>
      <w:t>1</w:t>
    </w:r>
    <w:r w:rsidR="00371500">
      <w:rPr>
        <w:rFonts w:asciiTheme="majorHAnsi" w:hAnsiTheme="majorHAnsi" w:cs="Iskoola Pota"/>
        <w:i/>
        <w:sz w:val="16"/>
        <w:lang w:val="es-CO"/>
      </w:rPr>
      <w:t>0</w:t>
    </w:r>
    <w:r w:rsidRPr="00323447">
      <w:rPr>
        <w:rFonts w:asciiTheme="majorHAnsi" w:hAnsiTheme="majorHAnsi" w:cs="Iskoola Pota"/>
        <w:i/>
        <w:sz w:val="16"/>
        <w:lang w:val="es-CO"/>
      </w:rPr>
      <w:t>-00</w:t>
    </w:r>
    <w:r w:rsidR="00371500">
      <w:rPr>
        <w:rFonts w:asciiTheme="majorHAnsi" w:hAnsiTheme="majorHAnsi" w:cs="Iskoola Pota"/>
        <w:i/>
        <w:sz w:val="16"/>
        <w:lang w:val="es-CO"/>
      </w:rPr>
      <w:t>091</w:t>
    </w:r>
    <w:r w:rsidR="00AC7745">
      <w:rPr>
        <w:rFonts w:asciiTheme="majorHAnsi" w:hAnsiTheme="majorHAnsi" w:cs="Iskoola Pota"/>
        <w:i/>
        <w:sz w:val="16"/>
        <w:lang w:val="es-CO"/>
      </w:rPr>
      <w:t>-</w:t>
    </w:r>
    <w:r w:rsidRPr="00323447">
      <w:rPr>
        <w:rFonts w:asciiTheme="majorHAnsi" w:hAnsiTheme="majorHAnsi" w:cs="Iskoola Pota"/>
        <w:i/>
        <w:sz w:val="16"/>
        <w:lang w:val="es-CO"/>
      </w:rPr>
      <w:t>0</w:t>
    </w:r>
    <w:r w:rsidR="00371500">
      <w:rPr>
        <w:rFonts w:asciiTheme="majorHAnsi" w:hAnsiTheme="majorHAnsi" w:cs="Iskoola Pota"/>
        <w:i/>
        <w:sz w:val="16"/>
        <w:lang w:val="es-CO"/>
      </w:rPr>
      <w:t>3</w:t>
    </w:r>
  </w:p>
  <w:p w:rsidR="008D321B" w:rsidRPr="00045CE3" w:rsidRDefault="008D321B" w:rsidP="00045C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6"/>
  </w:num>
  <w:num w:numId="2">
    <w:abstractNumId w:val="4"/>
  </w:num>
  <w:num w:numId="3">
    <w:abstractNumId w:val="8"/>
  </w:num>
  <w:num w:numId="4">
    <w:abstractNumId w:val="7"/>
  </w:num>
  <w:num w:numId="5">
    <w:abstractNumId w:val="3"/>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A2"/>
    <w:rsid w:val="0000570F"/>
    <w:rsid w:val="000111C6"/>
    <w:rsid w:val="000124CA"/>
    <w:rsid w:val="0002676D"/>
    <w:rsid w:val="00032991"/>
    <w:rsid w:val="00045CE3"/>
    <w:rsid w:val="00050E52"/>
    <w:rsid w:val="000521D3"/>
    <w:rsid w:val="00054BF9"/>
    <w:rsid w:val="00057617"/>
    <w:rsid w:val="00057B5C"/>
    <w:rsid w:val="00060A66"/>
    <w:rsid w:val="00061786"/>
    <w:rsid w:val="00063444"/>
    <w:rsid w:val="00063E12"/>
    <w:rsid w:val="00073E33"/>
    <w:rsid w:val="00081450"/>
    <w:rsid w:val="000979F2"/>
    <w:rsid w:val="000A3198"/>
    <w:rsid w:val="000B2C44"/>
    <w:rsid w:val="000B4877"/>
    <w:rsid w:val="000D03C3"/>
    <w:rsid w:val="000D106C"/>
    <w:rsid w:val="000D1C67"/>
    <w:rsid w:val="000D4106"/>
    <w:rsid w:val="000D51C5"/>
    <w:rsid w:val="000D579D"/>
    <w:rsid w:val="000D6F7A"/>
    <w:rsid w:val="000D70EB"/>
    <w:rsid w:val="000E1102"/>
    <w:rsid w:val="000E4FA0"/>
    <w:rsid w:val="000F08E0"/>
    <w:rsid w:val="000F16E3"/>
    <w:rsid w:val="000F1B66"/>
    <w:rsid w:val="000F3C01"/>
    <w:rsid w:val="000F54BC"/>
    <w:rsid w:val="000F6932"/>
    <w:rsid w:val="00107E1A"/>
    <w:rsid w:val="00111F9C"/>
    <w:rsid w:val="00112D32"/>
    <w:rsid w:val="001130D4"/>
    <w:rsid w:val="00114608"/>
    <w:rsid w:val="00114FEE"/>
    <w:rsid w:val="00117C9A"/>
    <w:rsid w:val="0012018F"/>
    <w:rsid w:val="00121881"/>
    <w:rsid w:val="00122CE4"/>
    <w:rsid w:val="00132BE5"/>
    <w:rsid w:val="001403D4"/>
    <w:rsid w:val="00141432"/>
    <w:rsid w:val="001446B1"/>
    <w:rsid w:val="001452E0"/>
    <w:rsid w:val="00153364"/>
    <w:rsid w:val="001560D9"/>
    <w:rsid w:val="00157865"/>
    <w:rsid w:val="00190036"/>
    <w:rsid w:val="00194478"/>
    <w:rsid w:val="001A46C4"/>
    <w:rsid w:val="001A565D"/>
    <w:rsid w:val="001A688F"/>
    <w:rsid w:val="001B2496"/>
    <w:rsid w:val="001B3230"/>
    <w:rsid w:val="001B4583"/>
    <w:rsid w:val="001B4B9B"/>
    <w:rsid w:val="001C0183"/>
    <w:rsid w:val="001C1D90"/>
    <w:rsid w:val="001C36DF"/>
    <w:rsid w:val="001C3F97"/>
    <w:rsid w:val="001C421F"/>
    <w:rsid w:val="001C51D4"/>
    <w:rsid w:val="001C5578"/>
    <w:rsid w:val="001C5598"/>
    <w:rsid w:val="001C63A4"/>
    <w:rsid w:val="001D0AA3"/>
    <w:rsid w:val="001D60DE"/>
    <w:rsid w:val="001D7953"/>
    <w:rsid w:val="001D7E85"/>
    <w:rsid w:val="001E18FB"/>
    <w:rsid w:val="001E57DE"/>
    <w:rsid w:val="001F53B6"/>
    <w:rsid w:val="001F58A0"/>
    <w:rsid w:val="00201848"/>
    <w:rsid w:val="00207C51"/>
    <w:rsid w:val="0021075B"/>
    <w:rsid w:val="00216AE8"/>
    <w:rsid w:val="002243EA"/>
    <w:rsid w:val="00227FA6"/>
    <w:rsid w:val="00230208"/>
    <w:rsid w:val="00231A7F"/>
    <w:rsid w:val="00235F2C"/>
    <w:rsid w:val="0023681D"/>
    <w:rsid w:val="00236A9B"/>
    <w:rsid w:val="0023704F"/>
    <w:rsid w:val="00237B2C"/>
    <w:rsid w:val="00237BF5"/>
    <w:rsid w:val="002419D4"/>
    <w:rsid w:val="00243379"/>
    <w:rsid w:val="0024455A"/>
    <w:rsid w:val="00257943"/>
    <w:rsid w:val="002579E7"/>
    <w:rsid w:val="00257B1F"/>
    <w:rsid w:val="00266906"/>
    <w:rsid w:val="002711FB"/>
    <w:rsid w:val="00274865"/>
    <w:rsid w:val="0027637D"/>
    <w:rsid w:val="00276737"/>
    <w:rsid w:val="00280589"/>
    <w:rsid w:val="002825A8"/>
    <w:rsid w:val="00284E57"/>
    <w:rsid w:val="002860D6"/>
    <w:rsid w:val="00286E35"/>
    <w:rsid w:val="002873EC"/>
    <w:rsid w:val="002912F2"/>
    <w:rsid w:val="00297096"/>
    <w:rsid w:val="002A0A88"/>
    <w:rsid w:val="002A18D8"/>
    <w:rsid w:val="002B0EA0"/>
    <w:rsid w:val="002B513B"/>
    <w:rsid w:val="002C4195"/>
    <w:rsid w:val="002C7A37"/>
    <w:rsid w:val="002D4917"/>
    <w:rsid w:val="002D605B"/>
    <w:rsid w:val="002E0BA3"/>
    <w:rsid w:val="002E20D6"/>
    <w:rsid w:val="002E21FB"/>
    <w:rsid w:val="002E5263"/>
    <w:rsid w:val="002E562C"/>
    <w:rsid w:val="002E575F"/>
    <w:rsid w:val="002F1712"/>
    <w:rsid w:val="002F4DF5"/>
    <w:rsid w:val="002F7410"/>
    <w:rsid w:val="003013A2"/>
    <w:rsid w:val="00305C99"/>
    <w:rsid w:val="00310EAB"/>
    <w:rsid w:val="00323447"/>
    <w:rsid w:val="003319C7"/>
    <w:rsid w:val="003336C3"/>
    <w:rsid w:val="00342E88"/>
    <w:rsid w:val="003458B9"/>
    <w:rsid w:val="00346DDE"/>
    <w:rsid w:val="00350DA5"/>
    <w:rsid w:val="00352931"/>
    <w:rsid w:val="00360576"/>
    <w:rsid w:val="00363D70"/>
    <w:rsid w:val="00367E70"/>
    <w:rsid w:val="00370D1D"/>
    <w:rsid w:val="00371500"/>
    <w:rsid w:val="00380DEB"/>
    <w:rsid w:val="0038158A"/>
    <w:rsid w:val="00384791"/>
    <w:rsid w:val="00386111"/>
    <w:rsid w:val="00392869"/>
    <w:rsid w:val="00392F07"/>
    <w:rsid w:val="00393DD3"/>
    <w:rsid w:val="00394F12"/>
    <w:rsid w:val="003972DC"/>
    <w:rsid w:val="003A1A5B"/>
    <w:rsid w:val="003B19D8"/>
    <w:rsid w:val="003B445E"/>
    <w:rsid w:val="003C5098"/>
    <w:rsid w:val="003C77D5"/>
    <w:rsid w:val="003D081D"/>
    <w:rsid w:val="003D67D8"/>
    <w:rsid w:val="003D6C3D"/>
    <w:rsid w:val="003E1A30"/>
    <w:rsid w:val="003E236C"/>
    <w:rsid w:val="003E3CF7"/>
    <w:rsid w:val="003E4533"/>
    <w:rsid w:val="003E5ED3"/>
    <w:rsid w:val="003F3AD2"/>
    <w:rsid w:val="00400B90"/>
    <w:rsid w:val="00402132"/>
    <w:rsid w:val="00403F27"/>
    <w:rsid w:val="00406D15"/>
    <w:rsid w:val="00411AC5"/>
    <w:rsid w:val="00414421"/>
    <w:rsid w:val="004155DE"/>
    <w:rsid w:val="00420F88"/>
    <w:rsid w:val="00427BE4"/>
    <w:rsid w:val="004335C7"/>
    <w:rsid w:val="00436669"/>
    <w:rsid w:val="00455DE9"/>
    <w:rsid w:val="004614E4"/>
    <w:rsid w:val="00461F2C"/>
    <w:rsid w:val="00465107"/>
    <w:rsid w:val="004701A5"/>
    <w:rsid w:val="00471F25"/>
    <w:rsid w:val="00482924"/>
    <w:rsid w:val="004848E7"/>
    <w:rsid w:val="0048492D"/>
    <w:rsid w:val="004A7C24"/>
    <w:rsid w:val="004B155A"/>
    <w:rsid w:val="004B5148"/>
    <w:rsid w:val="004B6BF7"/>
    <w:rsid w:val="004B719A"/>
    <w:rsid w:val="004C319B"/>
    <w:rsid w:val="004E1CAC"/>
    <w:rsid w:val="004E1EF9"/>
    <w:rsid w:val="004E2173"/>
    <w:rsid w:val="004E6A80"/>
    <w:rsid w:val="004F229E"/>
    <w:rsid w:val="004F537C"/>
    <w:rsid w:val="004F7160"/>
    <w:rsid w:val="004F7EA9"/>
    <w:rsid w:val="00500A43"/>
    <w:rsid w:val="00500DC5"/>
    <w:rsid w:val="005022A7"/>
    <w:rsid w:val="005035D2"/>
    <w:rsid w:val="00515B6B"/>
    <w:rsid w:val="0052398B"/>
    <w:rsid w:val="0053073B"/>
    <w:rsid w:val="00536844"/>
    <w:rsid w:val="0054427C"/>
    <w:rsid w:val="005466EB"/>
    <w:rsid w:val="0055115B"/>
    <w:rsid w:val="00564C16"/>
    <w:rsid w:val="0056570B"/>
    <w:rsid w:val="00570A9B"/>
    <w:rsid w:val="00570C60"/>
    <w:rsid w:val="005726AF"/>
    <w:rsid w:val="00572804"/>
    <w:rsid w:val="0057434A"/>
    <w:rsid w:val="005768FC"/>
    <w:rsid w:val="0058265D"/>
    <w:rsid w:val="00582F12"/>
    <w:rsid w:val="0058709F"/>
    <w:rsid w:val="0059289E"/>
    <w:rsid w:val="005938D9"/>
    <w:rsid w:val="00597D74"/>
    <w:rsid w:val="005A3571"/>
    <w:rsid w:val="005A5451"/>
    <w:rsid w:val="005A6C19"/>
    <w:rsid w:val="005B781D"/>
    <w:rsid w:val="005C008F"/>
    <w:rsid w:val="005C3D57"/>
    <w:rsid w:val="005C4919"/>
    <w:rsid w:val="005D0B8F"/>
    <w:rsid w:val="005D0C4E"/>
    <w:rsid w:val="005D39F3"/>
    <w:rsid w:val="005D49DF"/>
    <w:rsid w:val="005E03C6"/>
    <w:rsid w:val="005E604E"/>
    <w:rsid w:val="005F1FB2"/>
    <w:rsid w:val="0060427D"/>
    <w:rsid w:val="00607310"/>
    <w:rsid w:val="00611CB0"/>
    <w:rsid w:val="006144B3"/>
    <w:rsid w:val="00617D63"/>
    <w:rsid w:val="00623497"/>
    <w:rsid w:val="006235A9"/>
    <w:rsid w:val="00623A6D"/>
    <w:rsid w:val="00631466"/>
    <w:rsid w:val="00636446"/>
    <w:rsid w:val="00646320"/>
    <w:rsid w:val="00651C7E"/>
    <w:rsid w:val="006527BF"/>
    <w:rsid w:val="00660E7E"/>
    <w:rsid w:val="00663341"/>
    <w:rsid w:val="00672632"/>
    <w:rsid w:val="00674682"/>
    <w:rsid w:val="0067785B"/>
    <w:rsid w:val="00681A45"/>
    <w:rsid w:val="00682BBB"/>
    <w:rsid w:val="006837D2"/>
    <w:rsid w:val="00686B69"/>
    <w:rsid w:val="006940B5"/>
    <w:rsid w:val="006950C1"/>
    <w:rsid w:val="00695536"/>
    <w:rsid w:val="006A11EF"/>
    <w:rsid w:val="006A2993"/>
    <w:rsid w:val="006A30E2"/>
    <w:rsid w:val="006A6085"/>
    <w:rsid w:val="006B2386"/>
    <w:rsid w:val="006B768E"/>
    <w:rsid w:val="006B7EB8"/>
    <w:rsid w:val="006C408D"/>
    <w:rsid w:val="006C572F"/>
    <w:rsid w:val="006D614B"/>
    <w:rsid w:val="006E07AA"/>
    <w:rsid w:val="006E1121"/>
    <w:rsid w:val="006E221E"/>
    <w:rsid w:val="006F2FA8"/>
    <w:rsid w:val="006F310C"/>
    <w:rsid w:val="006F58F9"/>
    <w:rsid w:val="006F61F6"/>
    <w:rsid w:val="007031D1"/>
    <w:rsid w:val="00707F42"/>
    <w:rsid w:val="00715013"/>
    <w:rsid w:val="00725DA4"/>
    <w:rsid w:val="00726D6E"/>
    <w:rsid w:val="00727833"/>
    <w:rsid w:val="007326D4"/>
    <w:rsid w:val="007330E3"/>
    <w:rsid w:val="00734860"/>
    <w:rsid w:val="00737026"/>
    <w:rsid w:val="00740B86"/>
    <w:rsid w:val="0076163D"/>
    <w:rsid w:val="007668A2"/>
    <w:rsid w:val="00774AD2"/>
    <w:rsid w:val="00776C17"/>
    <w:rsid w:val="00780839"/>
    <w:rsid w:val="00781593"/>
    <w:rsid w:val="00781928"/>
    <w:rsid w:val="007841FC"/>
    <w:rsid w:val="007853A8"/>
    <w:rsid w:val="007860C0"/>
    <w:rsid w:val="007A1804"/>
    <w:rsid w:val="007A476E"/>
    <w:rsid w:val="007C03DB"/>
    <w:rsid w:val="007C66B8"/>
    <w:rsid w:val="007D102F"/>
    <w:rsid w:val="007D341B"/>
    <w:rsid w:val="007D7466"/>
    <w:rsid w:val="007F105A"/>
    <w:rsid w:val="007F2975"/>
    <w:rsid w:val="007F3A25"/>
    <w:rsid w:val="00810D50"/>
    <w:rsid w:val="0081363A"/>
    <w:rsid w:val="00817588"/>
    <w:rsid w:val="00820BF6"/>
    <w:rsid w:val="0082292F"/>
    <w:rsid w:val="00827A6D"/>
    <w:rsid w:val="0083050E"/>
    <w:rsid w:val="00832731"/>
    <w:rsid w:val="00834347"/>
    <w:rsid w:val="00834976"/>
    <w:rsid w:val="00842FE8"/>
    <w:rsid w:val="008557A4"/>
    <w:rsid w:val="0086284C"/>
    <w:rsid w:val="00863948"/>
    <w:rsid w:val="00876E0A"/>
    <w:rsid w:val="00884D74"/>
    <w:rsid w:val="008851BC"/>
    <w:rsid w:val="008872A2"/>
    <w:rsid w:val="008913C5"/>
    <w:rsid w:val="008920B4"/>
    <w:rsid w:val="00892A1C"/>
    <w:rsid w:val="008930E1"/>
    <w:rsid w:val="00895B4B"/>
    <w:rsid w:val="008B14AB"/>
    <w:rsid w:val="008B18E2"/>
    <w:rsid w:val="008B3E9A"/>
    <w:rsid w:val="008B500B"/>
    <w:rsid w:val="008B63E0"/>
    <w:rsid w:val="008B7145"/>
    <w:rsid w:val="008D321B"/>
    <w:rsid w:val="008E0505"/>
    <w:rsid w:val="008E0D48"/>
    <w:rsid w:val="008E1174"/>
    <w:rsid w:val="00903782"/>
    <w:rsid w:val="00910B1E"/>
    <w:rsid w:val="00911C83"/>
    <w:rsid w:val="009147CB"/>
    <w:rsid w:val="00921C1B"/>
    <w:rsid w:val="00933623"/>
    <w:rsid w:val="00943870"/>
    <w:rsid w:val="00944538"/>
    <w:rsid w:val="0094614E"/>
    <w:rsid w:val="00952E5E"/>
    <w:rsid w:val="00953227"/>
    <w:rsid w:val="00953B22"/>
    <w:rsid w:val="00956A70"/>
    <w:rsid w:val="0095728D"/>
    <w:rsid w:val="00960B51"/>
    <w:rsid w:val="00963ECB"/>
    <w:rsid w:val="00967D6F"/>
    <w:rsid w:val="0097160C"/>
    <w:rsid w:val="009759B2"/>
    <w:rsid w:val="00976E92"/>
    <w:rsid w:val="00985FD1"/>
    <w:rsid w:val="0099309B"/>
    <w:rsid w:val="009969C3"/>
    <w:rsid w:val="009A1240"/>
    <w:rsid w:val="009A6C1F"/>
    <w:rsid w:val="009A7A02"/>
    <w:rsid w:val="009C1975"/>
    <w:rsid w:val="009C207D"/>
    <w:rsid w:val="009C743A"/>
    <w:rsid w:val="009E1072"/>
    <w:rsid w:val="009E3076"/>
    <w:rsid w:val="009E3110"/>
    <w:rsid w:val="009F0E61"/>
    <w:rsid w:val="009F2506"/>
    <w:rsid w:val="00A03E86"/>
    <w:rsid w:val="00A11F60"/>
    <w:rsid w:val="00A12284"/>
    <w:rsid w:val="00A12E93"/>
    <w:rsid w:val="00A16AC3"/>
    <w:rsid w:val="00A22745"/>
    <w:rsid w:val="00A230D3"/>
    <w:rsid w:val="00A2585D"/>
    <w:rsid w:val="00A3039E"/>
    <w:rsid w:val="00A33DE2"/>
    <w:rsid w:val="00A35365"/>
    <w:rsid w:val="00A51E08"/>
    <w:rsid w:val="00A53402"/>
    <w:rsid w:val="00A5572D"/>
    <w:rsid w:val="00A56277"/>
    <w:rsid w:val="00A57455"/>
    <w:rsid w:val="00A57DB8"/>
    <w:rsid w:val="00A62541"/>
    <w:rsid w:val="00A62787"/>
    <w:rsid w:val="00A644D6"/>
    <w:rsid w:val="00A703B5"/>
    <w:rsid w:val="00A71D99"/>
    <w:rsid w:val="00A7420C"/>
    <w:rsid w:val="00A81263"/>
    <w:rsid w:val="00A81F56"/>
    <w:rsid w:val="00A837CE"/>
    <w:rsid w:val="00A909D6"/>
    <w:rsid w:val="00A96BBB"/>
    <w:rsid w:val="00A97E41"/>
    <w:rsid w:val="00AA0D85"/>
    <w:rsid w:val="00AA2E58"/>
    <w:rsid w:val="00AB2D84"/>
    <w:rsid w:val="00AB6D90"/>
    <w:rsid w:val="00AC0533"/>
    <w:rsid w:val="00AC51E2"/>
    <w:rsid w:val="00AC71B8"/>
    <w:rsid w:val="00AC72E5"/>
    <w:rsid w:val="00AC7745"/>
    <w:rsid w:val="00AD1A3F"/>
    <w:rsid w:val="00AD410B"/>
    <w:rsid w:val="00AE0641"/>
    <w:rsid w:val="00AE38B2"/>
    <w:rsid w:val="00AF09DF"/>
    <w:rsid w:val="00AF4B72"/>
    <w:rsid w:val="00AF7A6F"/>
    <w:rsid w:val="00B01A99"/>
    <w:rsid w:val="00B21163"/>
    <w:rsid w:val="00B214D7"/>
    <w:rsid w:val="00B25249"/>
    <w:rsid w:val="00B27D74"/>
    <w:rsid w:val="00B307B1"/>
    <w:rsid w:val="00B32B6D"/>
    <w:rsid w:val="00B37678"/>
    <w:rsid w:val="00B52EC6"/>
    <w:rsid w:val="00B55A68"/>
    <w:rsid w:val="00B56039"/>
    <w:rsid w:val="00B60061"/>
    <w:rsid w:val="00B62758"/>
    <w:rsid w:val="00B6380C"/>
    <w:rsid w:val="00B675CB"/>
    <w:rsid w:val="00B71EBD"/>
    <w:rsid w:val="00B724CE"/>
    <w:rsid w:val="00B74B6B"/>
    <w:rsid w:val="00B75A6A"/>
    <w:rsid w:val="00B82B66"/>
    <w:rsid w:val="00B849B9"/>
    <w:rsid w:val="00B87206"/>
    <w:rsid w:val="00B9517C"/>
    <w:rsid w:val="00B960FD"/>
    <w:rsid w:val="00BA0A2F"/>
    <w:rsid w:val="00BA2890"/>
    <w:rsid w:val="00BA457F"/>
    <w:rsid w:val="00BB455A"/>
    <w:rsid w:val="00BB67AD"/>
    <w:rsid w:val="00BC1A36"/>
    <w:rsid w:val="00BC2578"/>
    <w:rsid w:val="00BC3D53"/>
    <w:rsid w:val="00BC3EC8"/>
    <w:rsid w:val="00BC589D"/>
    <w:rsid w:val="00BC77B9"/>
    <w:rsid w:val="00BD1343"/>
    <w:rsid w:val="00BD744D"/>
    <w:rsid w:val="00BE0E76"/>
    <w:rsid w:val="00BE16DB"/>
    <w:rsid w:val="00BE2A47"/>
    <w:rsid w:val="00BE2F2A"/>
    <w:rsid w:val="00BE392D"/>
    <w:rsid w:val="00BE49F3"/>
    <w:rsid w:val="00BF0045"/>
    <w:rsid w:val="00BF73F6"/>
    <w:rsid w:val="00C022C2"/>
    <w:rsid w:val="00C02A44"/>
    <w:rsid w:val="00C04D9E"/>
    <w:rsid w:val="00C0547C"/>
    <w:rsid w:val="00C0586F"/>
    <w:rsid w:val="00C05C86"/>
    <w:rsid w:val="00C12E58"/>
    <w:rsid w:val="00C15ED5"/>
    <w:rsid w:val="00C178EA"/>
    <w:rsid w:val="00C20FB2"/>
    <w:rsid w:val="00C21810"/>
    <w:rsid w:val="00C23440"/>
    <w:rsid w:val="00C31D4B"/>
    <w:rsid w:val="00C32B52"/>
    <w:rsid w:val="00C3330C"/>
    <w:rsid w:val="00C34DDA"/>
    <w:rsid w:val="00C363C4"/>
    <w:rsid w:val="00C363D3"/>
    <w:rsid w:val="00C36400"/>
    <w:rsid w:val="00C36F80"/>
    <w:rsid w:val="00C40CD0"/>
    <w:rsid w:val="00C43119"/>
    <w:rsid w:val="00C432DC"/>
    <w:rsid w:val="00C54FE1"/>
    <w:rsid w:val="00C647E5"/>
    <w:rsid w:val="00C65DA3"/>
    <w:rsid w:val="00C741D5"/>
    <w:rsid w:val="00C820E9"/>
    <w:rsid w:val="00C82245"/>
    <w:rsid w:val="00C903AF"/>
    <w:rsid w:val="00C91199"/>
    <w:rsid w:val="00C9127E"/>
    <w:rsid w:val="00C9534A"/>
    <w:rsid w:val="00CA0F66"/>
    <w:rsid w:val="00CA6C0B"/>
    <w:rsid w:val="00CB6B9A"/>
    <w:rsid w:val="00CC1093"/>
    <w:rsid w:val="00CC15CC"/>
    <w:rsid w:val="00CC75F4"/>
    <w:rsid w:val="00CD2257"/>
    <w:rsid w:val="00CD7AAA"/>
    <w:rsid w:val="00CE0350"/>
    <w:rsid w:val="00CF0EBE"/>
    <w:rsid w:val="00CF3CF5"/>
    <w:rsid w:val="00CF6850"/>
    <w:rsid w:val="00CF7AA1"/>
    <w:rsid w:val="00D02CB4"/>
    <w:rsid w:val="00D06465"/>
    <w:rsid w:val="00D112E2"/>
    <w:rsid w:val="00D1698E"/>
    <w:rsid w:val="00D2108D"/>
    <w:rsid w:val="00D2440A"/>
    <w:rsid w:val="00D26844"/>
    <w:rsid w:val="00D37547"/>
    <w:rsid w:val="00D4141F"/>
    <w:rsid w:val="00D4311D"/>
    <w:rsid w:val="00D46DD8"/>
    <w:rsid w:val="00D47ACB"/>
    <w:rsid w:val="00D51EAD"/>
    <w:rsid w:val="00D5369D"/>
    <w:rsid w:val="00D6190F"/>
    <w:rsid w:val="00D619AE"/>
    <w:rsid w:val="00D70FD2"/>
    <w:rsid w:val="00D71B92"/>
    <w:rsid w:val="00D73D69"/>
    <w:rsid w:val="00D83E5D"/>
    <w:rsid w:val="00D84F31"/>
    <w:rsid w:val="00D851DA"/>
    <w:rsid w:val="00D90DA0"/>
    <w:rsid w:val="00D9154D"/>
    <w:rsid w:val="00D915F4"/>
    <w:rsid w:val="00D93167"/>
    <w:rsid w:val="00D94D58"/>
    <w:rsid w:val="00D97527"/>
    <w:rsid w:val="00D97B75"/>
    <w:rsid w:val="00DA079E"/>
    <w:rsid w:val="00DA1E67"/>
    <w:rsid w:val="00DA5858"/>
    <w:rsid w:val="00DB0458"/>
    <w:rsid w:val="00DB222B"/>
    <w:rsid w:val="00DB2868"/>
    <w:rsid w:val="00DC031D"/>
    <w:rsid w:val="00DC21CE"/>
    <w:rsid w:val="00DC3B05"/>
    <w:rsid w:val="00DC4E67"/>
    <w:rsid w:val="00DD00F5"/>
    <w:rsid w:val="00DD1DAA"/>
    <w:rsid w:val="00DD366D"/>
    <w:rsid w:val="00DE078F"/>
    <w:rsid w:val="00DE19D9"/>
    <w:rsid w:val="00DE429A"/>
    <w:rsid w:val="00DF5461"/>
    <w:rsid w:val="00DF73EF"/>
    <w:rsid w:val="00E036C8"/>
    <w:rsid w:val="00E04CE6"/>
    <w:rsid w:val="00E10297"/>
    <w:rsid w:val="00E13879"/>
    <w:rsid w:val="00E14DB5"/>
    <w:rsid w:val="00E16943"/>
    <w:rsid w:val="00E23B32"/>
    <w:rsid w:val="00E253EE"/>
    <w:rsid w:val="00E2686D"/>
    <w:rsid w:val="00E316D9"/>
    <w:rsid w:val="00E34EB6"/>
    <w:rsid w:val="00E42B6A"/>
    <w:rsid w:val="00E4399D"/>
    <w:rsid w:val="00E44741"/>
    <w:rsid w:val="00E54E75"/>
    <w:rsid w:val="00E55393"/>
    <w:rsid w:val="00E5643E"/>
    <w:rsid w:val="00E5720B"/>
    <w:rsid w:val="00E72CD9"/>
    <w:rsid w:val="00E7400E"/>
    <w:rsid w:val="00E8141D"/>
    <w:rsid w:val="00E856DA"/>
    <w:rsid w:val="00E85C1E"/>
    <w:rsid w:val="00E86F07"/>
    <w:rsid w:val="00E87611"/>
    <w:rsid w:val="00E91A50"/>
    <w:rsid w:val="00E92773"/>
    <w:rsid w:val="00E9418E"/>
    <w:rsid w:val="00E953FC"/>
    <w:rsid w:val="00E96913"/>
    <w:rsid w:val="00EA12F0"/>
    <w:rsid w:val="00EB1F06"/>
    <w:rsid w:val="00EB2A8A"/>
    <w:rsid w:val="00EB7E37"/>
    <w:rsid w:val="00EC3FF2"/>
    <w:rsid w:val="00ED0720"/>
    <w:rsid w:val="00EE0413"/>
    <w:rsid w:val="00EE0973"/>
    <w:rsid w:val="00EF4827"/>
    <w:rsid w:val="00F0240A"/>
    <w:rsid w:val="00F121C1"/>
    <w:rsid w:val="00F13480"/>
    <w:rsid w:val="00F20247"/>
    <w:rsid w:val="00F25594"/>
    <w:rsid w:val="00F31348"/>
    <w:rsid w:val="00F32BA7"/>
    <w:rsid w:val="00F404F9"/>
    <w:rsid w:val="00F4659B"/>
    <w:rsid w:val="00F52814"/>
    <w:rsid w:val="00F55EE4"/>
    <w:rsid w:val="00F6163C"/>
    <w:rsid w:val="00F6458D"/>
    <w:rsid w:val="00F65EC8"/>
    <w:rsid w:val="00F72723"/>
    <w:rsid w:val="00F76044"/>
    <w:rsid w:val="00F850EA"/>
    <w:rsid w:val="00F91A2C"/>
    <w:rsid w:val="00F94637"/>
    <w:rsid w:val="00F96938"/>
    <w:rsid w:val="00FA35FE"/>
    <w:rsid w:val="00FB30C6"/>
    <w:rsid w:val="00FB3862"/>
    <w:rsid w:val="00FC0A1B"/>
    <w:rsid w:val="00FC0DD8"/>
    <w:rsid w:val="00FC5390"/>
    <w:rsid w:val="00FC5EB6"/>
    <w:rsid w:val="00FC7BF7"/>
    <w:rsid w:val="00FD7D84"/>
    <w:rsid w:val="00FD7EDC"/>
    <w:rsid w:val="00FE41FD"/>
    <w:rsid w:val="00FE74F1"/>
    <w:rsid w:val="00FF132F"/>
    <w:rsid w:val="00FF54D4"/>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caption" w:semiHidden="1" w:uiPriority="35" w:unhideWhenUsed="1" w:qFormat="1"/>
    <w:lsdException w:name="footnote reference" w:uiPriority="0"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Puesto">
    <w:name w:val="Title"/>
    <w:basedOn w:val="Normal"/>
    <w:link w:val="PuestoCar"/>
    <w:uiPriority w:val="10"/>
    <w:qFormat/>
    <w:rsid w:val="008872A2"/>
    <w:pPr>
      <w:jc w:val="center"/>
    </w:pPr>
    <w:rPr>
      <w:rFonts w:ascii="Arial" w:hAnsi="Arial"/>
      <w:b/>
      <w:i/>
      <w:sz w:val="24"/>
    </w:rPr>
  </w:style>
  <w:style w:type="character" w:customStyle="1" w:styleId="PuestoCar">
    <w:name w:val="Puesto Car"/>
    <w:basedOn w:val="Fuentedeprrafopredeter"/>
    <w:link w:val="Puesto"/>
    <w:uiPriority w:val="10"/>
    <w:locked/>
    <w:rsid w:val="008872A2"/>
    <w:rPr>
      <w:rFonts w:ascii="Arial" w:hAnsi="Arial" w:cs="Times New Roman"/>
      <w:b/>
      <w:i/>
      <w:sz w:val="20"/>
      <w:szCs w:val="20"/>
      <w:lang w:val="es-ES" w:eastAsia="es-ES"/>
    </w:rPr>
  </w:style>
  <w:style w:type="paragraph" w:styleId="Sinespaciado">
    <w:name w:val="No Spacing"/>
    <w:link w:val="SinespaciadoCar"/>
    <w:uiPriority w:val="99"/>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aliases w:val="Car"/>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qFormat/>
    <w:rsid w:val="00E316D9"/>
    <w:rPr>
      <w:rFonts w:cs="Times New Roman"/>
      <w:vertAlign w:val="superscript"/>
    </w:rPr>
  </w:style>
  <w:style w:type="character" w:customStyle="1" w:styleId="SinespaciadoCar">
    <w:name w:val="Sin espaciado Car"/>
    <w:link w:val="Sinespaciado"/>
    <w:uiPriority w:val="99"/>
    <w:locked/>
    <w:rsid w:val="00045CE3"/>
    <w:rPr>
      <w:rFonts w:ascii="Courier New" w:hAnsi="Courier New"/>
      <w:sz w:val="24"/>
      <w:lang w:val="es-ES" w:eastAsia="es-ES"/>
    </w:rPr>
  </w:style>
  <w:style w:type="character" w:customStyle="1" w:styleId="SinespaciadoCar1">
    <w:name w:val="Sin espaciado Car1"/>
    <w:uiPriority w:val="99"/>
    <w:locked/>
    <w:rsid w:val="002F1712"/>
    <w:rPr>
      <w:rFonts w:ascii="Courier New" w:hAnsi="Courier New"/>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1C1ED-F529-4CD0-AD0B-CA646E9C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5</Pages>
  <Words>1397</Words>
  <Characters>7685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Henry Lora Rodriguez</cp:lastModifiedBy>
  <cp:revision>14</cp:revision>
  <cp:lastPrinted>2018-06-25T16:47:00Z</cp:lastPrinted>
  <dcterms:created xsi:type="dcterms:W3CDTF">2018-06-22T19:13:00Z</dcterms:created>
  <dcterms:modified xsi:type="dcterms:W3CDTF">2018-07-05T20:26:00Z</dcterms:modified>
</cp:coreProperties>
</file>