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39" w:rsidRPr="00C5262E" w:rsidRDefault="00BB2039" w:rsidP="00BB203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BB2039" w:rsidRPr="00C5262E" w:rsidRDefault="00BB2039" w:rsidP="00BB203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BB2039" w:rsidRPr="00C5262E" w:rsidRDefault="00BB2039" w:rsidP="00BB2039">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Pr>
          <w:rFonts w:ascii="Arial" w:hAnsi="Arial" w:cs="Arial"/>
          <w:color w:val="222222"/>
          <w:sz w:val="18"/>
          <w:szCs w:val="18"/>
          <w:lang w:val="es-CO" w:eastAsia="fr-FR"/>
        </w:rPr>
        <w:t>:</w:t>
      </w:r>
      <w:r>
        <w:rPr>
          <w:rFonts w:ascii="Arial" w:hAnsi="Arial" w:cs="Arial"/>
          <w:color w:val="222222"/>
          <w:sz w:val="18"/>
          <w:szCs w:val="18"/>
          <w:lang w:val="es-CO" w:eastAsia="fr-FR"/>
        </w:rPr>
        <w:tab/>
        <w:t>Sentencia  – 1ª instancia – 21</w:t>
      </w:r>
      <w:r w:rsidRPr="00C5262E">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BB2039" w:rsidRPr="00C5262E" w:rsidRDefault="00BB2039" w:rsidP="00BB2039">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Acción de Tutela – Improcedente</w:t>
      </w:r>
    </w:p>
    <w:p w:rsidR="00BB2039" w:rsidRPr="0044205E" w:rsidRDefault="00BB2039" w:rsidP="00BB203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t xml:space="preserve"> </w:t>
      </w:r>
      <w:r w:rsidRPr="00BB2039">
        <w:rPr>
          <w:rFonts w:ascii="Arial" w:hAnsi="Arial" w:cs="Arial"/>
          <w:color w:val="222222"/>
          <w:sz w:val="18"/>
          <w:szCs w:val="18"/>
          <w:lang w:val="es-CO" w:eastAsia="fr-FR"/>
        </w:rPr>
        <w:t>2018-00432-00 (Interna No.432)</w:t>
      </w:r>
    </w:p>
    <w:p w:rsidR="00BB2039" w:rsidRPr="00C5262E" w:rsidRDefault="00BB2039" w:rsidP="00BB203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t xml:space="preserve"> </w:t>
      </w:r>
      <w:r w:rsidRPr="00BB2039">
        <w:rPr>
          <w:rFonts w:ascii="Arial" w:hAnsi="Arial" w:cs="Arial"/>
          <w:bCs/>
          <w:iCs/>
          <w:color w:val="222222"/>
          <w:sz w:val="18"/>
          <w:szCs w:val="18"/>
          <w:lang w:eastAsia="fr-FR"/>
        </w:rPr>
        <w:t>José Guillermo Montoya Molina</w:t>
      </w:r>
    </w:p>
    <w:p w:rsidR="00BB2039" w:rsidRPr="00C5262E" w:rsidRDefault="00BB2039" w:rsidP="00BB203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Pr>
          <w:rFonts w:ascii="Arial" w:hAnsi="Arial" w:cs="Arial"/>
          <w:bCs/>
          <w:color w:val="222222"/>
          <w:spacing w:val="-6"/>
          <w:sz w:val="18"/>
          <w:szCs w:val="18"/>
          <w:lang w:val="es-CO" w:eastAsia="fr-FR"/>
        </w:rPr>
        <w:t>Juzgado 1 Civil Circuito Pereira y otro</w:t>
      </w:r>
    </w:p>
    <w:p w:rsidR="00BB2039" w:rsidRPr="00C5262E" w:rsidRDefault="00BB2039" w:rsidP="00BB203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r w:rsidRPr="00C5262E">
        <w:rPr>
          <w:rFonts w:ascii="Arial" w:hAnsi="Arial" w:cs="Arial"/>
          <w:bCs/>
          <w:iCs/>
          <w:color w:val="222222"/>
          <w:sz w:val="18"/>
          <w:szCs w:val="18"/>
          <w:lang w:val="es-CO" w:eastAsia="fr-FR"/>
        </w:rPr>
        <w:t>DUBERNEY GRISALES HERRERA</w:t>
      </w:r>
    </w:p>
    <w:p w:rsidR="00BB2039" w:rsidRDefault="00BB2039" w:rsidP="00BB2039">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BB2039" w:rsidRPr="00C5262E" w:rsidRDefault="00BB2039" w:rsidP="00BB2039">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BB164E" w:rsidRPr="00BB164E" w:rsidRDefault="00BB2039" w:rsidP="00BB164E">
      <w:pPr>
        <w:pStyle w:val="Sinespaciado"/>
        <w:jc w:val="both"/>
        <w:rPr>
          <w:rFonts w:ascii="Arial" w:hAnsi="Arial" w:cs="Arial"/>
          <w:sz w:val="18"/>
          <w:szCs w:val="18"/>
          <w:lang w:val="es-ES_tradnl"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Pr="00C5262E">
        <w:rPr>
          <w:rFonts w:ascii="Arial" w:hAnsi="Arial" w:cs="Arial"/>
          <w:b/>
          <w:sz w:val="18"/>
          <w:szCs w:val="18"/>
          <w:lang w:eastAsia="fr-FR"/>
        </w:rPr>
        <w:t>DEBIDO PROCESO / TUTELA CONTRA PROVIDENCIA JUDICIAL /</w:t>
      </w:r>
      <w:r>
        <w:rPr>
          <w:rFonts w:ascii="Arial" w:hAnsi="Arial" w:cs="Arial"/>
          <w:b/>
          <w:sz w:val="18"/>
          <w:szCs w:val="18"/>
          <w:lang w:val="es-CO" w:eastAsia="fr-FR"/>
        </w:rPr>
        <w:t xml:space="preserve"> </w:t>
      </w:r>
      <w:r w:rsidR="00BB164E">
        <w:rPr>
          <w:rFonts w:ascii="Arial" w:hAnsi="Arial" w:cs="Arial"/>
          <w:b/>
          <w:sz w:val="18"/>
          <w:szCs w:val="18"/>
          <w:lang w:val="es-CO" w:eastAsia="fr-FR"/>
        </w:rPr>
        <w:t>DESISTIMIENTO TÁCITO / DECISIÓN NO FUE RECURRIDA EN EL PROCESO ORDINARIO / SUBSIDIARIEDAD</w:t>
      </w:r>
      <w:r>
        <w:rPr>
          <w:rFonts w:ascii="Arial" w:hAnsi="Arial" w:cs="Arial"/>
          <w:b/>
          <w:sz w:val="18"/>
          <w:szCs w:val="18"/>
          <w:lang w:val="es-CO" w:eastAsia="fr-FR"/>
        </w:rPr>
        <w:t xml:space="preserve"> / IMPROCEDENTE</w:t>
      </w:r>
      <w:r w:rsidR="00BB164E">
        <w:rPr>
          <w:rFonts w:ascii="Arial" w:hAnsi="Arial" w:cs="Arial"/>
          <w:b/>
          <w:sz w:val="18"/>
          <w:szCs w:val="18"/>
          <w:lang w:val="es-CO" w:eastAsia="fr-FR"/>
        </w:rPr>
        <w:t xml:space="preserve"> </w:t>
      </w:r>
      <w:r>
        <w:rPr>
          <w:rFonts w:ascii="Arial" w:hAnsi="Arial" w:cs="Arial"/>
          <w:b/>
          <w:sz w:val="18"/>
          <w:szCs w:val="18"/>
          <w:lang w:val="es-CO" w:eastAsia="fr-FR"/>
        </w:rPr>
        <w:t>/</w:t>
      </w:r>
      <w:r w:rsidRPr="00C5262E">
        <w:rPr>
          <w:rFonts w:ascii="Arial" w:hAnsi="Arial" w:cs="Arial"/>
          <w:b/>
          <w:sz w:val="18"/>
          <w:szCs w:val="18"/>
          <w:lang w:eastAsia="fr-FR"/>
        </w:rPr>
        <w:t xml:space="preserve"> </w:t>
      </w:r>
      <w:r w:rsidR="00BB164E" w:rsidRPr="00BB164E">
        <w:rPr>
          <w:rFonts w:ascii="Arial" w:hAnsi="Arial" w:cs="Arial"/>
          <w:sz w:val="18"/>
          <w:szCs w:val="18"/>
          <w:lang w:val="es-ES_tradnl" w:eastAsia="fr-FR"/>
        </w:rPr>
        <w:t xml:space="preserve">De  acuerdo  con  el  acervo  probatorio la a quo con decisión del 16-11-2017 avocó el conocimiento del proceso de pertenencia y declaró su terminación por desistimiento tácito, porque llevaba más de un (1) año inactivo (Artículo 317-2º, CGP), notificado con fijación en el estado del 29-11-2017, adquirió firmeza, sin ser recurrido (Folios 15 y 16, este cuaderno).  </w:t>
      </w:r>
    </w:p>
    <w:p w:rsidR="00BB164E" w:rsidRPr="00BB164E" w:rsidRDefault="00BB164E" w:rsidP="00BB164E">
      <w:pPr>
        <w:pStyle w:val="Sinespaciado"/>
        <w:jc w:val="both"/>
        <w:rPr>
          <w:rFonts w:ascii="Arial" w:hAnsi="Arial" w:cs="Arial"/>
          <w:sz w:val="18"/>
          <w:szCs w:val="18"/>
          <w:lang w:val="es-ES_tradnl" w:eastAsia="fr-FR"/>
        </w:rPr>
      </w:pPr>
    </w:p>
    <w:p w:rsidR="00BB164E" w:rsidRPr="00BB164E" w:rsidRDefault="00BB164E" w:rsidP="00BB164E">
      <w:pPr>
        <w:pStyle w:val="Sinespaciado"/>
        <w:jc w:val="both"/>
        <w:rPr>
          <w:rFonts w:ascii="Arial" w:hAnsi="Arial" w:cs="Arial"/>
          <w:sz w:val="18"/>
          <w:szCs w:val="18"/>
          <w:lang w:val="es-ES_tradnl" w:eastAsia="fr-FR"/>
        </w:rPr>
      </w:pPr>
      <w:r w:rsidRPr="00BB164E">
        <w:rPr>
          <w:rFonts w:ascii="Arial" w:hAnsi="Arial" w:cs="Arial"/>
          <w:sz w:val="18"/>
          <w:szCs w:val="18"/>
          <w:lang w:val="es-ES_tradnl" w:eastAsia="fr-FR"/>
        </w:rPr>
        <w:t xml:space="preserve">Sin lugar a dudas, luce evidente la ausencia del presupuesto de la subsidiariedad, toda vez que la parte actora dejó de recurrir en reposición y en apelación el aludido proveído, que procedían (Artículos 318 y 317-e, CGP).  Evidente es que omitió agotar el mecanismo ordinario con que contaba, descuido que repercute en la improcedencia de este resguardo. </w:t>
      </w:r>
    </w:p>
    <w:p w:rsidR="00BB164E" w:rsidRPr="00BB164E" w:rsidRDefault="00BB164E" w:rsidP="00BB164E">
      <w:pPr>
        <w:pStyle w:val="Sinespaciado"/>
        <w:jc w:val="both"/>
        <w:rPr>
          <w:rFonts w:ascii="Arial" w:hAnsi="Arial" w:cs="Arial"/>
          <w:sz w:val="18"/>
          <w:szCs w:val="18"/>
          <w:lang w:val="es-ES_tradnl" w:eastAsia="fr-FR"/>
        </w:rPr>
      </w:pPr>
    </w:p>
    <w:p w:rsidR="00BB2039" w:rsidRDefault="00BB164E" w:rsidP="00BB164E">
      <w:pPr>
        <w:pStyle w:val="Sinespaciado"/>
        <w:jc w:val="both"/>
        <w:rPr>
          <w:rFonts w:ascii="Arial" w:hAnsi="Arial" w:cs="Arial"/>
          <w:sz w:val="18"/>
          <w:szCs w:val="18"/>
          <w:lang w:val="es-ES_tradnl" w:eastAsia="fr-FR"/>
        </w:rPr>
      </w:pPr>
      <w:r w:rsidRPr="00BB164E">
        <w:rPr>
          <w:rFonts w:ascii="Arial" w:hAnsi="Arial" w:cs="Arial"/>
          <w:sz w:val="18"/>
          <w:szCs w:val="18"/>
          <w:lang w:val="es-ES_tradnl" w:eastAsia="fr-FR"/>
        </w:rPr>
        <w:t>Es inviable flexibilizar el análisis</w:t>
      </w:r>
      <w:bookmarkStart w:id="0" w:name="_GoBack"/>
      <w:bookmarkEnd w:id="0"/>
      <w:r w:rsidRPr="00BB164E">
        <w:rPr>
          <w:rFonts w:ascii="Arial" w:hAnsi="Arial" w:cs="Arial"/>
          <w:sz w:val="18"/>
          <w:szCs w:val="18"/>
          <w:lang w:val="es-ES_tradnl" w:eastAsia="fr-FR"/>
        </w:rPr>
        <w:t xml:space="preserve"> del requisito echado de menos, en consideración a que el accionante no es una persona que r</w:t>
      </w:r>
      <w:r>
        <w:rPr>
          <w:rFonts w:ascii="Arial" w:hAnsi="Arial" w:cs="Arial"/>
          <w:sz w:val="18"/>
          <w:szCs w:val="18"/>
          <w:lang w:val="es-ES_tradnl" w:eastAsia="fr-FR"/>
        </w:rPr>
        <w:t>equiera de protección reforzada</w:t>
      </w:r>
      <w:r w:rsidRPr="00BB164E">
        <w:rPr>
          <w:rFonts w:ascii="Arial" w:hAnsi="Arial" w:cs="Arial"/>
          <w:sz w:val="18"/>
          <w:szCs w:val="18"/>
          <w:lang w:val="es-ES_tradnl" w:eastAsia="fr-FR"/>
        </w:rPr>
        <w:t>; además, hay que decir que ha contado con la asistencia de mandatario judicial en la defensa de sus intereses; tampoco obra justificación sobre la imposibilidad para recurrir. En ese contexto, el presente amparo es improcedente toda vez que se incumple con uno de los siete (7) requisitos generales de procedibilidad, como lo es el de la subsidiariedad.</w:t>
      </w:r>
    </w:p>
    <w:p w:rsidR="00BB2039" w:rsidRDefault="00BB2039" w:rsidP="002403C8">
      <w:pPr>
        <w:pStyle w:val="Sinespaciado"/>
        <w:tabs>
          <w:tab w:val="left" w:pos="3579"/>
        </w:tabs>
        <w:spacing w:line="360" w:lineRule="auto"/>
        <w:jc w:val="center"/>
        <w:rPr>
          <w:rFonts w:ascii="Georgia" w:hAnsi="Georgia" w:cs="Arial"/>
          <w:w w:val="140"/>
          <w:sz w:val="14"/>
        </w:rPr>
      </w:pPr>
    </w:p>
    <w:p w:rsidR="0018410F" w:rsidRDefault="0018410F" w:rsidP="002403C8">
      <w:pPr>
        <w:pStyle w:val="Sinespaciado"/>
        <w:tabs>
          <w:tab w:val="left" w:pos="3579"/>
        </w:tabs>
        <w:spacing w:line="360" w:lineRule="auto"/>
        <w:jc w:val="center"/>
        <w:rPr>
          <w:rFonts w:ascii="Georgia" w:hAnsi="Georgia" w:cs="Arial"/>
          <w:w w:val="140"/>
          <w:sz w:val="14"/>
        </w:rPr>
      </w:pPr>
    </w:p>
    <w:p w:rsidR="0018410F" w:rsidRDefault="0018410F" w:rsidP="002403C8">
      <w:pPr>
        <w:pStyle w:val="Sinespaciado"/>
        <w:tabs>
          <w:tab w:val="left" w:pos="3579"/>
        </w:tabs>
        <w:spacing w:line="360" w:lineRule="auto"/>
        <w:jc w:val="center"/>
        <w:rPr>
          <w:rFonts w:ascii="Georgia" w:hAnsi="Georgia" w:cs="Arial"/>
          <w:w w:val="140"/>
          <w:sz w:val="14"/>
        </w:rPr>
      </w:pPr>
    </w:p>
    <w:p w:rsidR="00BB2039" w:rsidRDefault="00BB2039" w:rsidP="002403C8">
      <w:pPr>
        <w:pStyle w:val="Sinespaciado"/>
        <w:tabs>
          <w:tab w:val="left" w:pos="3579"/>
        </w:tabs>
        <w:spacing w:line="360" w:lineRule="auto"/>
        <w:jc w:val="center"/>
        <w:rPr>
          <w:rFonts w:ascii="Georgia" w:hAnsi="Georgia" w:cs="Arial"/>
          <w:w w:val="140"/>
          <w:sz w:val="14"/>
        </w:rPr>
      </w:pPr>
    </w:p>
    <w:p w:rsidR="00486062" w:rsidRPr="00D63D82" w:rsidRDefault="00D0509A" w:rsidP="002403C8">
      <w:pPr>
        <w:pStyle w:val="Sinespaciado"/>
        <w:tabs>
          <w:tab w:val="left" w:pos="3579"/>
        </w:tabs>
        <w:spacing w:line="360" w:lineRule="auto"/>
        <w:jc w:val="center"/>
        <w:rPr>
          <w:rFonts w:ascii="Georgia" w:hAnsi="Georgia" w:cs="Arial"/>
          <w:w w:val="140"/>
          <w:sz w:val="14"/>
        </w:rPr>
      </w:pPr>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6F6C88" w:rsidRDefault="00486062" w:rsidP="00ED7F33">
      <w:pPr>
        <w:spacing w:line="360" w:lineRule="auto"/>
        <w:jc w:val="center"/>
        <w:rPr>
          <w:rFonts w:ascii="Georgia" w:hAnsi="Georgia" w:cs="Arial"/>
          <w:w w:val="140"/>
          <w:szCs w:val="18"/>
          <w:lang w:val="es-CO"/>
        </w:rPr>
      </w:pPr>
    </w:p>
    <w:p w:rsidR="0099045D" w:rsidRPr="006F6C88" w:rsidRDefault="00970930" w:rsidP="00F560C3">
      <w:pPr>
        <w:pStyle w:val="Textoindependiente"/>
        <w:spacing w:line="360" w:lineRule="auto"/>
        <w:rPr>
          <w:rFonts w:ascii="Georgia" w:hAnsi="Georgia" w:cs="Arial"/>
          <w:szCs w:val="24"/>
        </w:rPr>
      </w:pPr>
      <w:r w:rsidRPr="00D63D82">
        <w:rPr>
          <w:rFonts w:ascii="Georgia" w:hAnsi="Georgia" w:cs="Arial"/>
          <w:sz w:val="22"/>
        </w:rPr>
        <w:tab/>
      </w:r>
      <w:r w:rsidR="00D70A1B" w:rsidRPr="00D63D82">
        <w:rPr>
          <w:rFonts w:ascii="Georgia" w:hAnsi="Georgia" w:cs="Arial"/>
          <w:sz w:val="22"/>
        </w:rPr>
        <w:tab/>
      </w:r>
      <w:r w:rsidR="0099045D" w:rsidRPr="006F6C88">
        <w:rPr>
          <w:rFonts w:ascii="Georgia" w:hAnsi="Georgia" w:cs="Arial"/>
          <w:szCs w:val="24"/>
        </w:rPr>
        <w:t>Asunto</w:t>
      </w:r>
      <w:r w:rsidR="0099045D" w:rsidRPr="006F6C88">
        <w:rPr>
          <w:rFonts w:ascii="Georgia" w:hAnsi="Georgia" w:cs="Arial"/>
          <w:szCs w:val="24"/>
        </w:rPr>
        <w:tab/>
      </w:r>
      <w:r w:rsidR="0099045D" w:rsidRPr="006F6C88">
        <w:rPr>
          <w:rFonts w:ascii="Georgia" w:hAnsi="Georgia" w:cs="Arial"/>
          <w:szCs w:val="24"/>
        </w:rPr>
        <w:tab/>
      </w:r>
      <w:r w:rsidR="0099045D" w:rsidRPr="006F6C88">
        <w:rPr>
          <w:rFonts w:ascii="Georgia" w:hAnsi="Georgia" w:cs="Arial"/>
          <w:szCs w:val="24"/>
        </w:rPr>
        <w:tab/>
        <w:t>: Sentencia de tutela en primera instancia</w:t>
      </w:r>
    </w:p>
    <w:p w:rsidR="00A00766" w:rsidRPr="006F6C88" w:rsidRDefault="00A00766" w:rsidP="00A00766">
      <w:pPr>
        <w:pStyle w:val="Textoindependiente"/>
        <w:spacing w:line="360" w:lineRule="auto"/>
        <w:ind w:left="1416"/>
        <w:rPr>
          <w:rFonts w:ascii="Georgia" w:hAnsi="Georgia" w:cs="Arial"/>
          <w:szCs w:val="24"/>
        </w:rPr>
      </w:pPr>
      <w:r w:rsidRPr="006F6C88">
        <w:rPr>
          <w:rFonts w:ascii="Georgia" w:hAnsi="Georgia" w:cs="Arial"/>
          <w:szCs w:val="24"/>
        </w:rPr>
        <w:t>Accionante</w:t>
      </w:r>
      <w:r w:rsidRPr="006F6C88">
        <w:rPr>
          <w:rFonts w:ascii="Georgia" w:hAnsi="Georgia" w:cs="Arial"/>
          <w:szCs w:val="24"/>
        </w:rPr>
        <w:tab/>
      </w:r>
      <w:r w:rsidRPr="006F6C88">
        <w:rPr>
          <w:rFonts w:ascii="Georgia" w:hAnsi="Georgia" w:cs="Arial"/>
          <w:szCs w:val="24"/>
        </w:rPr>
        <w:tab/>
      </w:r>
      <w:r w:rsidR="006F6C88">
        <w:rPr>
          <w:rFonts w:ascii="Georgia" w:hAnsi="Georgia" w:cs="Arial"/>
          <w:szCs w:val="24"/>
        </w:rPr>
        <w:tab/>
      </w:r>
      <w:r w:rsidRPr="006F6C88">
        <w:rPr>
          <w:rFonts w:ascii="Georgia" w:hAnsi="Georgia" w:cs="Arial"/>
          <w:szCs w:val="24"/>
        </w:rPr>
        <w:t xml:space="preserve">: </w:t>
      </w:r>
      <w:r w:rsidR="00C10180" w:rsidRPr="006F6C88">
        <w:rPr>
          <w:rFonts w:ascii="Georgia" w:hAnsi="Georgia" w:cs="Arial"/>
          <w:szCs w:val="24"/>
        </w:rPr>
        <w:t xml:space="preserve">José Guillermo Montoya Molina </w:t>
      </w:r>
    </w:p>
    <w:p w:rsidR="00A00766" w:rsidRPr="006F6C88" w:rsidRDefault="00A00766" w:rsidP="00A00766">
      <w:pPr>
        <w:pStyle w:val="Textoindependiente"/>
        <w:spacing w:line="360" w:lineRule="auto"/>
        <w:ind w:left="1416"/>
        <w:rPr>
          <w:rFonts w:ascii="Georgia" w:hAnsi="Georgia" w:cs="Arial"/>
          <w:szCs w:val="24"/>
        </w:rPr>
      </w:pPr>
      <w:r w:rsidRPr="006F6C88">
        <w:rPr>
          <w:rFonts w:ascii="Georgia" w:hAnsi="Georgia" w:cs="Arial"/>
          <w:szCs w:val="24"/>
        </w:rPr>
        <w:t>Accionado (s)</w:t>
      </w:r>
      <w:r w:rsidRPr="006F6C88">
        <w:rPr>
          <w:rFonts w:ascii="Georgia" w:hAnsi="Georgia" w:cs="Arial"/>
          <w:szCs w:val="24"/>
        </w:rPr>
        <w:tab/>
      </w:r>
      <w:r w:rsidRPr="006F6C88">
        <w:rPr>
          <w:rFonts w:ascii="Georgia" w:hAnsi="Georgia" w:cs="Arial"/>
          <w:szCs w:val="24"/>
        </w:rPr>
        <w:tab/>
      </w:r>
      <w:r w:rsidR="006F6C88">
        <w:rPr>
          <w:rFonts w:ascii="Georgia" w:hAnsi="Georgia" w:cs="Arial"/>
          <w:szCs w:val="24"/>
        </w:rPr>
        <w:tab/>
      </w:r>
      <w:r w:rsidRPr="006F6C88">
        <w:rPr>
          <w:rFonts w:ascii="Georgia" w:hAnsi="Georgia" w:cs="Arial"/>
          <w:szCs w:val="24"/>
        </w:rPr>
        <w:t xml:space="preserve">: </w:t>
      </w:r>
      <w:r w:rsidR="0041111B" w:rsidRPr="006F6C88">
        <w:rPr>
          <w:rFonts w:ascii="Georgia" w:hAnsi="Georgia" w:cs="Arial"/>
          <w:szCs w:val="24"/>
        </w:rPr>
        <w:t xml:space="preserve">Juzgado </w:t>
      </w:r>
      <w:r w:rsidR="00132B3C" w:rsidRPr="006F6C88">
        <w:rPr>
          <w:rFonts w:ascii="Georgia" w:hAnsi="Georgia" w:cs="Arial"/>
          <w:szCs w:val="24"/>
          <w:lang w:val="es-CO"/>
        </w:rPr>
        <w:t xml:space="preserve">Primero </w:t>
      </w:r>
      <w:r w:rsidR="00C10180" w:rsidRPr="006F6C88">
        <w:rPr>
          <w:rFonts w:ascii="Georgia" w:hAnsi="Georgia" w:cs="Arial"/>
          <w:szCs w:val="24"/>
          <w:lang w:val="es-CO"/>
        </w:rPr>
        <w:t xml:space="preserve">Civil del Circuito de </w:t>
      </w:r>
      <w:r w:rsidR="00132B3C" w:rsidRPr="006F6C88">
        <w:rPr>
          <w:rFonts w:ascii="Georgia" w:hAnsi="Georgia" w:cs="Arial"/>
          <w:szCs w:val="24"/>
          <w:lang w:val="es-CO"/>
        </w:rPr>
        <w:t xml:space="preserve">Pereira </w:t>
      </w:r>
    </w:p>
    <w:p w:rsidR="00A00766" w:rsidRPr="006F6C88" w:rsidRDefault="00A00766" w:rsidP="00A00766">
      <w:pPr>
        <w:pStyle w:val="Textoindependiente"/>
        <w:spacing w:line="360" w:lineRule="auto"/>
        <w:ind w:left="3544" w:hanging="2126"/>
        <w:rPr>
          <w:rFonts w:ascii="Georgia" w:hAnsi="Georgia" w:cs="Arial"/>
          <w:szCs w:val="24"/>
        </w:rPr>
      </w:pPr>
      <w:r w:rsidRPr="006F6C88">
        <w:rPr>
          <w:rFonts w:ascii="Georgia" w:hAnsi="Georgia" w:cs="Arial"/>
          <w:szCs w:val="24"/>
        </w:rPr>
        <w:t>Vinculado (s)</w:t>
      </w:r>
      <w:r w:rsidRPr="006F6C88">
        <w:rPr>
          <w:rFonts w:ascii="Georgia" w:hAnsi="Georgia" w:cs="Arial"/>
          <w:szCs w:val="24"/>
        </w:rPr>
        <w:tab/>
      </w:r>
      <w:r w:rsidRPr="006F6C88">
        <w:rPr>
          <w:rFonts w:ascii="Georgia" w:hAnsi="Georgia" w:cs="Arial"/>
          <w:szCs w:val="24"/>
        </w:rPr>
        <w:tab/>
      </w:r>
      <w:r w:rsidR="006F6C88">
        <w:rPr>
          <w:rFonts w:ascii="Georgia" w:hAnsi="Georgia" w:cs="Arial"/>
          <w:szCs w:val="24"/>
        </w:rPr>
        <w:tab/>
      </w:r>
      <w:r w:rsidR="006F6C88">
        <w:rPr>
          <w:rFonts w:ascii="Georgia" w:hAnsi="Georgia" w:cs="Arial"/>
          <w:szCs w:val="24"/>
        </w:rPr>
        <w:tab/>
      </w:r>
      <w:r w:rsidRPr="006F6C88">
        <w:rPr>
          <w:rFonts w:ascii="Georgia" w:hAnsi="Georgia" w:cs="Arial"/>
          <w:szCs w:val="24"/>
        </w:rPr>
        <w:t xml:space="preserve">: </w:t>
      </w:r>
      <w:r w:rsidR="00C10180" w:rsidRPr="006F6C88">
        <w:rPr>
          <w:rFonts w:ascii="Georgia" w:hAnsi="Georgia" w:cs="Arial"/>
          <w:szCs w:val="24"/>
        </w:rPr>
        <w:t>Óscar Darío Valencia y otra</w:t>
      </w:r>
    </w:p>
    <w:p w:rsidR="00A00766" w:rsidRPr="006F6C88" w:rsidRDefault="00A00766" w:rsidP="00A00766">
      <w:pPr>
        <w:pStyle w:val="Textoindependiente"/>
        <w:spacing w:line="360" w:lineRule="auto"/>
        <w:ind w:left="1416"/>
        <w:rPr>
          <w:rFonts w:ascii="Georgia" w:hAnsi="Georgia" w:cs="Arial"/>
          <w:szCs w:val="24"/>
        </w:rPr>
      </w:pPr>
      <w:r w:rsidRPr="006F6C88">
        <w:rPr>
          <w:rFonts w:ascii="Georgia" w:hAnsi="Georgia" w:cs="Arial"/>
          <w:szCs w:val="24"/>
        </w:rPr>
        <w:t>Radicación</w:t>
      </w:r>
      <w:r w:rsidRPr="006F6C88">
        <w:rPr>
          <w:rFonts w:ascii="Georgia" w:hAnsi="Georgia" w:cs="Arial"/>
          <w:szCs w:val="24"/>
        </w:rPr>
        <w:tab/>
      </w:r>
      <w:r w:rsidRPr="006F6C88">
        <w:rPr>
          <w:rFonts w:ascii="Georgia" w:hAnsi="Georgia" w:cs="Arial"/>
          <w:szCs w:val="24"/>
        </w:rPr>
        <w:tab/>
      </w:r>
      <w:r w:rsidR="006F6C88">
        <w:rPr>
          <w:rFonts w:ascii="Georgia" w:hAnsi="Georgia" w:cs="Arial"/>
          <w:szCs w:val="24"/>
        </w:rPr>
        <w:tab/>
      </w:r>
      <w:r w:rsidRPr="006F6C88">
        <w:rPr>
          <w:rFonts w:ascii="Georgia" w:hAnsi="Georgia" w:cs="Arial"/>
          <w:szCs w:val="24"/>
        </w:rPr>
        <w:t xml:space="preserve">: </w:t>
      </w:r>
      <w:r w:rsidR="00D75FFC" w:rsidRPr="006F6C88">
        <w:rPr>
          <w:rFonts w:ascii="Georgia" w:hAnsi="Georgia" w:cs="Arial"/>
          <w:szCs w:val="24"/>
        </w:rPr>
        <w:t>2018-</w:t>
      </w:r>
      <w:r w:rsidR="00C10180" w:rsidRPr="006F6C88">
        <w:rPr>
          <w:rFonts w:ascii="Georgia" w:hAnsi="Georgia" w:cs="Arial"/>
          <w:szCs w:val="24"/>
        </w:rPr>
        <w:t>00432</w:t>
      </w:r>
      <w:r w:rsidR="00D75FFC" w:rsidRPr="006F6C88">
        <w:rPr>
          <w:rFonts w:ascii="Georgia" w:hAnsi="Georgia" w:cs="Arial"/>
          <w:szCs w:val="24"/>
        </w:rPr>
        <w:t>-00 (Interna No.</w:t>
      </w:r>
      <w:r w:rsidR="00C10180" w:rsidRPr="006F6C88">
        <w:rPr>
          <w:rFonts w:ascii="Georgia" w:hAnsi="Georgia" w:cs="Arial"/>
          <w:szCs w:val="24"/>
        </w:rPr>
        <w:t>432</w:t>
      </w:r>
      <w:r w:rsidR="00D75FFC" w:rsidRPr="006F6C88">
        <w:rPr>
          <w:rFonts w:ascii="Georgia" w:hAnsi="Georgia" w:cs="Arial"/>
          <w:szCs w:val="24"/>
        </w:rPr>
        <w:t>)</w:t>
      </w:r>
    </w:p>
    <w:p w:rsidR="008F34B8" w:rsidRPr="006F6C88" w:rsidRDefault="00970930" w:rsidP="008E5334">
      <w:pPr>
        <w:pStyle w:val="Textoindependiente"/>
        <w:spacing w:line="360" w:lineRule="auto"/>
        <w:rPr>
          <w:rFonts w:ascii="Georgia" w:hAnsi="Georgia" w:cs="Arial"/>
          <w:szCs w:val="24"/>
        </w:rPr>
      </w:pPr>
      <w:r w:rsidRPr="006F6C88">
        <w:rPr>
          <w:rFonts w:ascii="Georgia" w:hAnsi="Georgia" w:cs="Arial"/>
          <w:szCs w:val="24"/>
        </w:rPr>
        <w:tab/>
      </w:r>
      <w:r w:rsidR="00D70A1B" w:rsidRPr="006F6C88">
        <w:rPr>
          <w:rFonts w:ascii="Georgia" w:hAnsi="Georgia" w:cs="Arial"/>
          <w:szCs w:val="24"/>
        </w:rPr>
        <w:tab/>
      </w:r>
      <w:r w:rsidR="00C82923" w:rsidRPr="006F6C88">
        <w:rPr>
          <w:rFonts w:ascii="Georgia" w:hAnsi="Georgia" w:cs="Arial"/>
          <w:szCs w:val="24"/>
        </w:rPr>
        <w:t>Tema</w:t>
      </w:r>
      <w:r w:rsidR="004736C3" w:rsidRPr="006F6C88">
        <w:rPr>
          <w:rFonts w:ascii="Georgia" w:hAnsi="Georgia" w:cs="Arial"/>
          <w:szCs w:val="24"/>
        </w:rPr>
        <w:t>s</w:t>
      </w:r>
      <w:r w:rsidR="00C82923" w:rsidRPr="006F6C88">
        <w:rPr>
          <w:rFonts w:ascii="Georgia" w:hAnsi="Georgia" w:cs="Arial"/>
          <w:szCs w:val="24"/>
        </w:rPr>
        <w:tab/>
      </w:r>
      <w:r w:rsidR="00C82923" w:rsidRPr="006F6C88">
        <w:rPr>
          <w:rFonts w:ascii="Georgia" w:hAnsi="Georgia" w:cs="Arial"/>
          <w:szCs w:val="24"/>
        </w:rPr>
        <w:tab/>
      </w:r>
      <w:r w:rsidR="00C82923" w:rsidRPr="006F6C88">
        <w:rPr>
          <w:rFonts w:ascii="Georgia" w:hAnsi="Georgia" w:cs="Arial"/>
          <w:szCs w:val="24"/>
        </w:rPr>
        <w:tab/>
      </w:r>
      <w:r w:rsidR="006F6C88">
        <w:rPr>
          <w:rFonts w:ascii="Georgia" w:hAnsi="Georgia" w:cs="Arial"/>
          <w:szCs w:val="24"/>
        </w:rPr>
        <w:tab/>
      </w:r>
      <w:r w:rsidR="00C82923" w:rsidRPr="006F6C88">
        <w:rPr>
          <w:rFonts w:ascii="Georgia" w:hAnsi="Georgia" w:cs="Arial"/>
          <w:szCs w:val="24"/>
        </w:rPr>
        <w:t>:</w:t>
      </w:r>
      <w:r w:rsidR="008F34B8" w:rsidRPr="006F6C88">
        <w:rPr>
          <w:rFonts w:ascii="Georgia" w:hAnsi="Georgia" w:cs="Arial"/>
          <w:szCs w:val="24"/>
        </w:rPr>
        <w:t xml:space="preserve"> </w:t>
      </w:r>
      <w:r w:rsidR="00F822A1" w:rsidRPr="006F6C88">
        <w:rPr>
          <w:rFonts w:ascii="Georgia" w:hAnsi="Georgia" w:cs="Arial"/>
          <w:szCs w:val="24"/>
        </w:rPr>
        <w:t xml:space="preserve">Improcedencia - Subsidiariedad </w:t>
      </w:r>
    </w:p>
    <w:p w:rsidR="0099045D" w:rsidRPr="006F6C88" w:rsidRDefault="008E5334" w:rsidP="008E5334">
      <w:pPr>
        <w:pStyle w:val="Textoindependiente"/>
        <w:spacing w:line="360" w:lineRule="auto"/>
        <w:rPr>
          <w:rFonts w:ascii="Georgia" w:hAnsi="Georgia"/>
          <w:szCs w:val="24"/>
        </w:rPr>
      </w:pPr>
      <w:r w:rsidRPr="006F6C88">
        <w:rPr>
          <w:rFonts w:ascii="Georgia" w:hAnsi="Georgia"/>
          <w:szCs w:val="24"/>
        </w:rPr>
        <w:tab/>
      </w:r>
      <w:r w:rsidRPr="006F6C88">
        <w:rPr>
          <w:rFonts w:ascii="Georgia" w:hAnsi="Georgia"/>
          <w:szCs w:val="24"/>
        </w:rPr>
        <w:tab/>
      </w:r>
      <w:r w:rsidR="0099045D" w:rsidRPr="006F6C88">
        <w:rPr>
          <w:rFonts w:ascii="Georgia" w:hAnsi="Georgia"/>
          <w:szCs w:val="24"/>
        </w:rPr>
        <w:t>Magistrado Ponente</w:t>
      </w:r>
      <w:r w:rsidR="0099045D" w:rsidRPr="006F6C88">
        <w:rPr>
          <w:rFonts w:ascii="Georgia" w:hAnsi="Georgia"/>
          <w:szCs w:val="24"/>
        </w:rPr>
        <w:tab/>
      </w:r>
      <w:r w:rsidR="006F6C88">
        <w:rPr>
          <w:rFonts w:ascii="Georgia" w:hAnsi="Georgia"/>
          <w:szCs w:val="24"/>
        </w:rPr>
        <w:tab/>
      </w:r>
      <w:r w:rsidR="0099045D" w:rsidRPr="006F6C88">
        <w:rPr>
          <w:rFonts w:ascii="Georgia" w:hAnsi="Georgia"/>
          <w:szCs w:val="24"/>
        </w:rPr>
        <w:t xml:space="preserve">: </w:t>
      </w:r>
      <w:r w:rsidR="0099045D" w:rsidRPr="006F6C88">
        <w:rPr>
          <w:rFonts w:ascii="Georgia" w:hAnsi="Georgia"/>
          <w:smallCaps/>
          <w:szCs w:val="24"/>
        </w:rPr>
        <w:t>Duberney Grisales Herrera</w:t>
      </w:r>
    </w:p>
    <w:p w:rsidR="00056367" w:rsidRPr="006F6C88" w:rsidRDefault="00056367" w:rsidP="00056367">
      <w:pPr>
        <w:spacing w:line="360" w:lineRule="auto"/>
        <w:ind w:left="708" w:firstLine="708"/>
        <w:rPr>
          <w:rFonts w:ascii="Georgia" w:hAnsi="Georgia" w:cs="Arial"/>
          <w:b/>
          <w:bCs/>
        </w:rPr>
      </w:pPr>
      <w:r w:rsidRPr="006F6C88">
        <w:rPr>
          <w:rFonts w:ascii="Georgia" w:hAnsi="Georgia"/>
        </w:rPr>
        <w:t>Acta número</w:t>
      </w:r>
      <w:r w:rsidRPr="006F6C88">
        <w:rPr>
          <w:rFonts w:ascii="Georgia" w:hAnsi="Georgia"/>
        </w:rPr>
        <w:tab/>
      </w:r>
      <w:r w:rsidRPr="006F6C88">
        <w:rPr>
          <w:rFonts w:ascii="Georgia" w:hAnsi="Georgia"/>
        </w:rPr>
        <w:tab/>
      </w:r>
      <w:r w:rsidR="006F6C88">
        <w:rPr>
          <w:rFonts w:ascii="Georgia" w:hAnsi="Georgia"/>
        </w:rPr>
        <w:tab/>
      </w:r>
      <w:r w:rsidRPr="006F6C88">
        <w:rPr>
          <w:rFonts w:ascii="Georgia" w:hAnsi="Georgia"/>
        </w:rPr>
        <w:t xml:space="preserve">: </w:t>
      </w:r>
      <w:r w:rsidR="00E27680">
        <w:rPr>
          <w:rFonts w:ascii="Georgia" w:hAnsi="Georgia"/>
        </w:rPr>
        <w:t>218</w:t>
      </w:r>
      <w:r w:rsidR="00C10180" w:rsidRPr="006F6C88">
        <w:rPr>
          <w:rFonts w:ascii="Georgia" w:hAnsi="Georgia"/>
        </w:rPr>
        <w:t xml:space="preserve"> </w:t>
      </w:r>
      <w:r w:rsidRPr="006F6C88">
        <w:rPr>
          <w:rFonts w:ascii="Georgia" w:hAnsi="Georgia"/>
        </w:rPr>
        <w:t xml:space="preserve">de </w:t>
      </w:r>
      <w:r w:rsidR="00E27680">
        <w:rPr>
          <w:rFonts w:ascii="Georgia" w:hAnsi="Georgia"/>
        </w:rPr>
        <w:t>21</w:t>
      </w:r>
      <w:r w:rsidRPr="006F6C88">
        <w:rPr>
          <w:rFonts w:ascii="Georgia" w:hAnsi="Georgia"/>
        </w:rPr>
        <w:t>-</w:t>
      </w:r>
      <w:r w:rsidR="00C10180" w:rsidRPr="006F6C88">
        <w:rPr>
          <w:rFonts w:ascii="Georgia" w:hAnsi="Georgia"/>
        </w:rPr>
        <w:t>06</w:t>
      </w:r>
      <w:r w:rsidRPr="006F6C88">
        <w:rPr>
          <w:rFonts w:ascii="Georgia" w:hAnsi="Georgia"/>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E27680">
        <w:rPr>
          <w:rFonts w:ascii="Georgia" w:hAnsi="Georgia" w:cs="Arial"/>
          <w:iCs/>
          <w:smallCaps/>
          <w:sz w:val="28"/>
          <w:lang w:val="es-CO"/>
        </w:rPr>
        <w:t xml:space="preserve">veintiuno </w:t>
      </w:r>
      <w:r w:rsidRPr="00FD0443">
        <w:rPr>
          <w:rFonts w:ascii="Georgia" w:hAnsi="Georgia" w:cs="Arial"/>
          <w:iCs/>
          <w:smallCaps/>
          <w:sz w:val="28"/>
          <w:lang w:val="es-CO"/>
        </w:rPr>
        <w:t>(</w:t>
      </w:r>
      <w:r w:rsidR="00E27680">
        <w:rPr>
          <w:rFonts w:ascii="Georgia" w:hAnsi="Georgia" w:cs="Arial"/>
          <w:iCs/>
          <w:smallCaps/>
          <w:sz w:val="28"/>
          <w:lang w:val="es-CO"/>
        </w:rPr>
        <w:t>21</w:t>
      </w:r>
      <w:r w:rsidRPr="00FD0443">
        <w:rPr>
          <w:rFonts w:ascii="Georgia" w:hAnsi="Georgia" w:cs="Arial"/>
          <w:iCs/>
          <w:smallCaps/>
          <w:sz w:val="28"/>
          <w:lang w:val="es-CO"/>
        </w:rPr>
        <w:t xml:space="preserve">) de </w:t>
      </w:r>
      <w:r w:rsidR="00C10180">
        <w:rPr>
          <w:rFonts w:ascii="Georgia" w:hAnsi="Georgia" w:cs="Arial"/>
          <w:iCs/>
          <w:smallCaps/>
          <w:sz w:val="28"/>
          <w:lang w:val="es-CO"/>
        </w:rPr>
        <w:t xml:space="preserve">junio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683B09" w:rsidRDefault="000147A2" w:rsidP="00683B09">
      <w:pPr>
        <w:spacing w:line="360" w:lineRule="auto"/>
        <w:jc w:val="center"/>
        <w:rPr>
          <w:rFonts w:ascii="Georgia" w:hAnsi="Georgia" w:cs="Arial"/>
          <w:b/>
          <w:bCs/>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683B09" w:rsidRDefault="00134F0A" w:rsidP="00683B09">
      <w:pPr>
        <w:pStyle w:val="Textoindependiente"/>
        <w:spacing w:line="360" w:lineRule="auto"/>
        <w:rPr>
          <w:rFonts w:ascii="Georgia" w:hAnsi="Georgia"/>
          <w:szCs w:val="24"/>
        </w:rPr>
      </w:pPr>
    </w:p>
    <w:p w:rsidR="00104367" w:rsidRPr="00D63D82" w:rsidRDefault="00D75FFC" w:rsidP="00683B09">
      <w:pPr>
        <w:pStyle w:val="Textoindependiente"/>
        <w:spacing w:line="360" w:lineRule="auto"/>
        <w:rPr>
          <w:rFonts w:ascii="Georgia" w:hAnsi="Georgia"/>
          <w:szCs w:val="24"/>
        </w:rPr>
      </w:pPr>
      <w:r>
        <w:rPr>
          <w:rFonts w:ascii="Georgia" w:hAnsi="Georgia"/>
          <w:szCs w:val="24"/>
        </w:rPr>
        <w:t>El</w:t>
      </w:r>
      <w:r w:rsidR="0069231C" w:rsidRPr="00D63D82">
        <w:rPr>
          <w:rFonts w:ascii="Georgia" w:hAnsi="Georgia"/>
          <w:szCs w:val="24"/>
        </w:rPr>
        <w:t xml:space="preserve"> </w:t>
      </w:r>
      <w:r w:rsidR="008907D4" w:rsidRPr="00D63D82">
        <w:rPr>
          <w:rFonts w:ascii="Georgia" w:hAnsi="Georgia"/>
          <w:szCs w:val="24"/>
        </w:rPr>
        <w:t>amparo constitucional de la referencia</w:t>
      </w:r>
      <w:r w:rsidR="00104367" w:rsidRPr="00D63D82">
        <w:rPr>
          <w:rFonts w:ascii="Georgia" w:hAnsi="Georgia"/>
          <w:szCs w:val="24"/>
        </w:rPr>
        <w:t>, adelantada</w:t>
      </w:r>
      <w:r w:rsidR="00A35E06" w:rsidRPr="00D63D82">
        <w:rPr>
          <w:rFonts w:ascii="Georgia" w:hAnsi="Georgia"/>
          <w:szCs w:val="24"/>
        </w:rPr>
        <w:t>s</w:t>
      </w:r>
      <w:r w:rsidR="00104367" w:rsidRPr="00D63D82">
        <w:rPr>
          <w:rFonts w:ascii="Georgia" w:hAnsi="Georgia"/>
          <w:szCs w:val="24"/>
        </w:rPr>
        <w:t xml:space="preserve"> las debidas actuaciones con el trámite preferente y sumario, sin que se evidencie</w:t>
      </w:r>
      <w:r w:rsidR="00A35E06" w:rsidRPr="00D63D82">
        <w:rPr>
          <w:rFonts w:ascii="Georgia" w:hAnsi="Georgia"/>
          <w:szCs w:val="24"/>
        </w:rPr>
        <w:t>n</w:t>
      </w:r>
      <w:r w:rsidR="00104367" w:rsidRPr="00D63D82">
        <w:rPr>
          <w:rFonts w:ascii="Georgia" w:hAnsi="Georgia"/>
          <w:szCs w:val="24"/>
        </w:rPr>
        <w:t xml:space="preserve"> causal</w:t>
      </w:r>
      <w:r w:rsidR="00A35E06" w:rsidRPr="00D63D82">
        <w:rPr>
          <w:rFonts w:ascii="Georgia" w:hAnsi="Georgia"/>
          <w:szCs w:val="24"/>
        </w:rPr>
        <w:t>es</w:t>
      </w:r>
      <w:r w:rsidR="00104367" w:rsidRPr="00D63D82">
        <w:rPr>
          <w:rFonts w:ascii="Georgia" w:hAnsi="Georgia"/>
          <w:szCs w:val="24"/>
        </w:rPr>
        <w:t xml:space="preserve"> de nulidad que </w:t>
      </w:r>
      <w:r>
        <w:rPr>
          <w:rFonts w:ascii="Georgia" w:hAnsi="Georgia"/>
          <w:szCs w:val="24"/>
        </w:rPr>
        <w:t xml:space="preserve">lo </w:t>
      </w:r>
      <w:r w:rsidR="00A35E06" w:rsidRPr="00D63D82">
        <w:rPr>
          <w:rFonts w:ascii="Georgia" w:hAnsi="Georgia"/>
          <w:szCs w:val="24"/>
        </w:rPr>
        <w:t>invaliden</w:t>
      </w:r>
      <w:r w:rsidR="00104367" w:rsidRPr="00D63D82">
        <w:rPr>
          <w:rFonts w:ascii="Georgia" w:hAnsi="Georgia"/>
          <w:szCs w:val="24"/>
        </w:rPr>
        <w:t>.</w:t>
      </w:r>
    </w:p>
    <w:p w:rsidR="000147A2" w:rsidRPr="00683B09" w:rsidRDefault="000147A2" w:rsidP="00683B09">
      <w:pPr>
        <w:pStyle w:val="Textoindependiente"/>
        <w:spacing w:line="360" w:lineRule="auto"/>
        <w:rPr>
          <w:rFonts w:ascii="Georgia" w:hAnsi="Georgia"/>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lastRenderedPageBreak/>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683B09" w:rsidRDefault="0099045D" w:rsidP="00683B09">
      <w:pPr>
        <w:pStyle w:val="Textoindependien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w:t>
      </w:r>
      <w:r w:rsidR="00C10180">
        <w:rPr>
          <w:rFonts w:ascii="Georgia" w:hAnsi="Georgia" w:cs="Arial"/>
        </w:rPr>
        <w:t xml:space="preserve">el actor que promovió proceso de pertenencia </w:t>
      </w:r>
      <w:r w:rsidR="00404CCE">
        <w:rPr>
          <w:rFonts w:ascii="Georgia" w:hAnsi="Georgia" w:cs="Arial"/>
        </w:rPr>
        <w:t xml:space="preserve">que se </w:t>
      </w:r>
      <w:r w:rsidR="00C10180">
        <w:rPr>
          <w:rFonts w:ascii="Georgia" w:hAnsi="Georgia" w:cs="Arial"/>
        </w:rPr>
        <w:t xml:space="preserve">declaró </w:t>
      </w:r>
      <w:r w:rsidR="00636EE7">
        <w:rPr>
          <w:rFonts w:ascii="Georgia" w:hAnsi="Georgia" w:cs="Arial"/>
        </w:rPr>
        <w:t xml:space="preserve">terminado </w:t>
      </w:r>
      <w:r w:rsidR="00C10180">
        <w:rPr>
          <w:rFonts w:ascii="Georgia" w:hAnsi="Georgia" w:cs="Arial"/>
        </w:rPr>
        <w:t>por desistimiento tácito</w:t>
      </w:r>
      <w:r w:rsidR="00404CCE">
        <w:rPr>
          <w:rFonts w:ascii="Georgia" w:hAnsi="Georgia" w:cs="Arial"/>
        </w:rPr>
        <w:t xml:space="preserve"> por el Juzgado Primero Civil del Circuito local</w:t>
      </w:r>
      <w:r w:rsidR="00C10180">
        <w:rPr>
          <w:rFonts w:ascii="Georgia" w:hAnsi="Georgia" w:cs="Arial"/>
        </w:rPr>
        <w:t xml:space="preserve">, sin tener en cuenta que los despachos judiciales </w:t>
      </w:r>
      <w:r w:rsidR="00404CCE">
        <w:rPr>
          <w:rFonts w:ascii="Georgia" w:hAnsi="Georgia" w:cs="Arial"/>
        </w:rPr>
        <w:t xml:space="preserve">que </w:t>
      </w:r>
      <w:r w:rsidR="00C10180">
        <w:rPr>
          <w:rFonts w:ascii="Georgia" w:hAnsi="Georgia" w:cs="Arial"/>
        </w:rPr>
        <w:t>venían conociendo del asunto</w:t>
      </w:r>
      <w:r w:rsidR="006F6C88">
        <w:rPr>
          <w:rFonts w:ascii="Georgia" w:hAnsi="Georgia" w:cs="Arial"/>
        </w:rPr>
        <w:t xml:space="preserve">, dejaron </w:t>
      </w:r>
      <w:r w:rsidR="00C10180">
        <w:rPr>
          <w:rFonts w:ascii="Georgia" w:hAnsi="Georgia" w:cs="Arial"/>
        </w:rPr>
        <w:t xml:space="preserve">de tramitar la contestación de la curadora ad litem y practicar la inspección judicial </w:t>
      </w:r>
      <w:r w:rsidR="006F6C88">
        <w:rPr>
          <w:rFonts w:ascii="Georgia" w:hAnsi="Georgia" w:cs="Arial"/>
        </w:rPr>
        <w:t xml:space="preserve">del </w:t>
      </w:r>
      <w:r w:rsidR="00C10180">
        <w:rPr>
          <w:rFonts w:ascii="Georgia" w:hAnsi="Georgia" w:cs="Arial"/>
        </w:rPr>
        <w:t>artículo 407-10º, CPC; formuló petición al respecto, m</w:t>
      </w:r>
      <w:r w:rsidR="006F6C88">
        <w:rPr>
          <w:rFonts w:ascii="Georgia" w:hAnsi="Georgia" w:cs="Arial"/>
        </w:rPr>
        <w:t>a</w:t>
      </w:r>
      <w:r w:rsidR="00C10180">
        <w:rPr>
          <w:rFonts w:ascii="Georgia" w:hAnsi="Georgia" w:cs="Arial"/>
        </w:rPr>
        <w:t xml:space="preserve">s se </w:t>
      </w:r>
      <w:r w:rsidR="00404CCE">
        <w:rPr>
          <w:rFonts w:ascii="Georgia" w:hAnsi="Georgia" w:cs="Arial"/>
        </w:rPr>
        <w:t xml:space="preserve">resolvió </w:t>
      </w:r>
      <w:r w:rsidR="00C10180">
        <w:rPr>
          <w:rFonts w:ascii="Georgia" w:hAnsi="Georgia" w:cs="Arial"/>
        </w:rPr>
        <w:t xml:space="preserve">desfavorable. Agregó </w:t>
      </w:r>
      <w:r w:rsidR="00636EE7">
        <w:rPr>
          <w:rFonts w:ascii="Georgia" w:hAnsi="Georgia" w:cs="Arial"/>
        </w:rPr>
        <w:t xml:space="preserve">que no se efectuó </w:t>
      </w:r>
      <w:r w:rsidR="00C10180">
        <w:rPr>
          <w:rFonts w:ascii="Georgia" w:hAnsi="Georgia" w:cs="Arial"/>
        </w:rPr>
        <w:t xml:space="preserve">el requerimiento previo </w:t>
      </w:r>
      <w:r w:rsidR="006F6C88">
        <w:rPr>
          <w:rFonts w:ascii="Georgia" w:hAnsi="Georgia" w:cs="Arial"/>
        </w:rPr>
        <w:t xml:space="preserve">de </w:t>
      </w:r>
      <w:r w:rsidR="00636EE7">
        <w:rPr>
          <w:rFonts w:ascii="Georgia" w:hAnsi="Georgia" w:cs="Arial"/>
        </w:rPr>
        <w:t>la Ley 1194</w:t>
      </w:r>
      <w:r w:rsidR="006F6C88">
        <w:rPr>
          <w:rFonts w:ascii="Georgia" w:hAnsi="Georgia" w:cs="Arial"/>
        </w:rPr>
        <w:t xml:space="preserve"> y es </w:t>
      </w:r>
      <w:r w:rsidR="00636EE7">
        <w:rPr>
          <w:rFonts w:ascii="Georgia" w:hAnsi="Georgia" w:cs="Arial"/>
        </w:rPr>
        <w:t xml:space="preserve">una carga procesal que no le competía adelantar como demandante </w:t>
      </w:r>
      <w:r w:rsidRPr="00D63D82">
        <w:rPr>
          <w:rFonts w:ascii="Georgia" w:hAnsi="Georgia" w:cs="Arial"/>
        </w:rPr>
        <w:t>(Folio</w:t>
      </w:r>
      <w:r w:rsidR="00636EE7">
        <w:rPr>
          <w:rFonts w:ascii="Georgia" w:hAnsi="Georgia" w:cs="Arial"/>
        </w:rPr>
        <w:t>s</w:t>
      </w:r>
      <w:r w:rsidRPr="00D63D82">
        <w:rPr>
          <w:rFonts w:ascii="Georgia" w:hAnsi="Georgia" w:cs="Arial"/>
        </w:rPr>
        <w:t xml:space="preserve"> </w:t>
      </w:r>
      <w:r w:rsidR="00E1493F">
        <w:rPr>
          <w:rFonts w:ascii="Georgia" w:hAnsi="Georgia" w:cs="Arial"/>
        </w:rPr>
        <w:t xml:space="preserve">1 </w:t>
      </w:r>
      <w:r w:rsidR="00636EE7">
        <w:rPr>
          <w:rFonts w:ascii="Georgia" w:hAnsi="Georgia" w:cs="Arial"/>
        </w:rPr>
        <w:t>y 2</w:t>
      </w:r>
      <w:r w:rsidRPr="00D63D82">
        <w:rPr>
          <w:rFonts w:ascii="Georgia" w:hAnsi="Georgia" w:cs="Arial"/>
        </w:rPr>
        <w:t xml:space="preserve">, este cuaderno). </w:t>
      </w:r>
    </w:p>
    <w:p w:rsidR="00517909" w:rsidRPr="00683B09" w:rsidRDefault="00517909" w:rsidP="00683B09">
      <w:pPr>
        <w:spacing w:line="360" w:lineRule="auto"/>
        <w:jc w:val="both"/>
        <w:rPr>
          <w:rFonts w:ascii="Georgia" w:hAnsi="Georgia" w:cs="Arial"/>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683B09" w:rsidRDefault="00800EF6" w:rsidP="00683B09">
      <w:pPr>
        <w:pStyle w:val="Textoindependien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E1493F">
        <w:rPr>
          <w:rFonts w:ascii="Georgia" w:hAnsi="Georgia" w:cs="Arial"/>
          <w:spacing w:val="-3"/>
          <w:lang w:val="es-ES_tradnl"/>
        </w:rPr>
        <w:t xml:space="preserve">los derechos </w:t>
      </w:r>
      <w:r w:rsidR="00636EE7">
        <w:rPr>
          <w:rFonts w:ascii="Georgia" w:hAnsi="Georgia" w:cs="Arial"/>
          <w:spacing w:val="-3"/>
          <w:lang w:val="es-ES_tradnl"/>
        </w:rPr>
        <w:t xml:space="preserve">al debido proceso, la prevalencia de la ley sustancial y el acceso a la administración de justicia </w:t>
      </w:r>
      <w:r w:rsidR="00D75FFC">
        <w:rPr>
          <w:rFonts w:ascii="Georgia" w:hAnsi="Georgia" w:cs="Arial"/>
          <w:spacing w:val="-3"/>
          <w:lang w:val="es-ES_tradnl"/>
        </w:rPr>
        <w:t>(Folio</w:t>
      </w:r>
      <w:r w:rsidRPr="00D63D82">
        <w:rPr>
          <w:rFonts w:ascii="Georgia" w:hAnsi="Georgia" w:cs="Arial"/>
          <w:spacing w:val="-3"/>
          <w:lang w:val="es-ES_tradnl"/>
        </w:rPr>
        <w:t xml:space="preserve"> </w:t>
      </w:r>
      <w:r w:rsidR="00E1493F">
        <w:rPr>
          <w:rFonts w:ascii="Georgia" w:hAnsi="Georgia" w:cs="Arial"/>
          <w:spacing w:val="-3"/>
          <w:lang w:val="es-ES_tradnl"/>
        </w:rPr>
        <w:t>1</w:t>
      </w:r>
      <w:r w:rsidRPr="00D63D82">
        <w:rPr>
          <w:rFonts w:ascii="Georgia" w:hAnsi="Georgia" w:cs="Arial"/>
          <w:spacing w:val="-3"/>
          <w:lang w:val="es-ES_tradnl"/>
        </w:rPr>
        <w:t>, este cuaderno).</w:t>
      </w:r>
    </w:p>
    <w:p w:rsidR="003F6C16" w:rsidRPr="00683B09"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D669DC" w:rsidRPr="00D63D82"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 xml:space="preserve">Se pretende que </w:t>
      </w:r>
      <w:r w:rsidR="00636EE7">
        <w:rPr>
          <w:rFonts w:ascii="Georgia" w:hAnsi="Georgia" w:cs="Arial"/>
        </w:rPr>
        <w:t xml:space="preserve">(i) Se amparen los derechos fundamentales; (ii) Se deje sin efectos el auto datado el 28-11-2017 y demás providencias; y, (iii) Se ordene continuar con las demás etapas procesales </w:t>
      </w:r>
      <w:r w:rsidR="00612C75" w:rsidRPr="00D63D82">
        <w:rPr>
          <w:rFonts w:ascii="Georgia" w:hAnsi="Georgia" w:cs="Arial"/>
          <w:spacing w:val="-3"/>
          <w:lang w:val="es-ES_tradnl"/>
        </w:rPr>
        <w:t>(Folio</w:t>
      </w:r>
      <w:r w:rsidR="00E1493F">
        <w:rPr>
          <w:rFonts w:ascii="Georgia" w:hAnsi="Georgia" w:cs="Arial"/>
          <w:spacing w:val="-3"/>
          <w:lang w:val="es-ES_tradnl"/>
        </w:rPr>
        <w:t xml:space="preserve"> </w:t>
      </w:r>
      <w:r w:rsidR="00636EE7">
        <w:rPr>
          <w:rFonts w:ascii="Georgia" w:hAnsi="Georgia" w:cs="Arial"/>
          <w:spacing w:val="-3"/>
          <w:lang w:val="es-ES_tradnl"/>
        </w:rPr>
        <w:t>2</w:t>
      </w:r>
      <w:r w:rsidR="00D669DC" w:rsidRPr="00D63D82">
        <w:rPr>
          <w:rFonts w:ascii="Georgia" w:hAnsi="Georgia" w:cs="Arial"/>
          <w:spacing w:val="-3"/>
          <w:lang w:val="es-ES_tradnl"/>
        </w:rPr>
        <w:t>, este cuaderno).</w:t>
      </w:r>
    </w:p>
    <w:p w:rsidR="00CE71D8" w:rsidRPr="00D63D82" w:rsidRDefault="00CE71D8" w:rsidP="00683B09">
      <w:pPr>
        <w:pStyle w:val="Sinespaciado"/>
        <w:spacing w:line="360" w:lineRule="auto"/>
        <w:jc w:val="both"/>
        <w:rPr>
          <w:rFonts w:ascii="Georgia" w:hAnsi="Georgia" w:cs="Arial"/>
          <w:szCs w:val="24"/>
        </w:rPr>
      </w:pPr>
    </w:p>
    <w:p w:rsidR="0099045D" w:rsidRPr="00D63D82"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BB4CEF" w:rsidRPr="00D63D82" w:rsidRDefault="00BB4CEF" w:rsidP="00683B09">
      <w:pPr>
        <w:pStyle w:val="Sinespaciado"/>
        <w:spacing w:line="360" w:lineRule="auto"/>
        <w:ind w:left="360"/>
        <w:jc w:val="both"/>
        <w:rPr>
          <w:rFonts w:ascii="Georgia" w:hAnsi="Georgia"/>
          <w:szCs w:val="24"/>
          <w:lang w:val="es-CO"/>
        </w:rPr>
      </w:pPr>
    </w:p>
    <w:p w:rsidR="004B1EB8" w:rsidRPr="00D63D82" w:rsidRDefault="00971166" w:rsidP="00683B09">
      <w:pPr>
        <w:spacing w:line="360" w:lineRule="auto"/>
        <w:jc w:val="both"/>
        <w:rPr>
          <w:rFonts w:ascii="Georgia" w:hAnsi="Georgia" w:cs="Arial"/>
        </w:rPr>
      </w:pPr>
      <w:r w:rsidRPr="00D63D82">
        <w:rPr>
          <w:rFonts w:ascii="Georgia" w:hAnsi="Georgia"/>
        </w:rPr>
        <w:t xml:space="preserve">En reparto ordinario del </w:t>
      </w:r>
      <w:r w:rsidR="00636EE7">
        <w:rPr>
          <w:rFonts w:ascii="Georgia" w:hAnsi="Georgia"/>
        </w:rPr>
        <w:t>08</w:t>
      </w:r>
      <w:r w:rsidR="00900A65" w:rsidRPr="00D63D82">
        <w:rPr>
          <w:rFonts w:ascii="Georgia" w:hAnsi="Georgia"/>
        </w:rPr>
        <w:t>-</w:t>
      </w:r>
      <w:r w:rsidR="00636EE7">
        <w:rPr>
          <w:rFonts w:ascii="Georgia" w:hAnsi="Georgia"/>
        </w:rPr>
        <w:t>06</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D75FFC">
        <w:rPr>
          <w:rFonts w:ascii="Georgia" w:hAnsi="Georgia"/>
        </w:rPr>
        <w:t xml:space="preserve">asignó </w:t>
      </w:r>
      <w:r w:rsidRPr="00D63D82">
        <w:rPr>
          <w:rFonts w:ascii="Georgia" w:hAnsi="Georgia"/>
        </w:rPr>
        <w:t>a este Despacho</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636EE7">
        <w:rPr>
          <w:rFonts w:ascii="Georgia" w:hAnsi="Georgia" w:cs="Arial"/>
          <w:color w:val="000000"/>
        </w:rPr>
        <w:t xml:space="preserve">mismo día </w:t>
      </w:r>
      <w:r w:rsidR="0069231C" w:rsidRPr="00D63D82">
        <w:rPr>
          <w:rFonts w:ascii="Georgia" w:hAnsi="Georgia" w:cs="Arial"/>
          <w:color w:val="000000"/>
        </w:rPr>
        <w:t xml:space="preserve">se </w:t>
      </w:r>
      <w:r w:rsidR="00D75FFC">
        <w:rPr>
          <w:rFonts w:ascii="Georgia" w:hAnsi="Georgia" w:cs="Arial"/>
          <w:color w:val="000000"/>
        </w:rPr>
        <w:t>admitió</w:t>
      </w:r>
      <w:r w:rsidR="00314889" w:rsidRPr="00D63D82">
        <w:rPr>
          <w:rFonts w:ascii="Georgia" w:hAnsi="Georgia" w:cs="Arial"/>
          <w:color w:val="000000"/>
        </w:rPr>
        <w:t xml:space="preserve">,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612C75" w:rsidRPr="00D63D82">
        <w:rPr>
          <w:rFonts w:ascii="Georgia" w:hAnsi="Georgia"/>
        </w:rPr>
        <w:t xml:space="preserve"> y</w:t>
      </w:r>
      <w:r w:rsidR="00314889" w:rsidRPr="00D63D82">
        <w:rPr>
          <w:rFonts w:ascii="Georgia" w:hAnsi="Georgia"/>
        </w:rPr>
        <w:t xml:space="preserve"> se dispuso notificar a la partes</w:t>
      </w:r>
      <w:r w:rsidR="00314889" w:rsidRPr="00D63D82">
        <w:rPr>
          <w:rFonts w:ascii="Georgia" w:hAnsi="Georgia" w:cs="Arial"/>
          <w:color w:val="000000"/>
        </w:rPr>
        <w:t xml:space="preserve">, </w:t>
      </w:r>
      <w:r w:rsidR="00314889" w:rsidRPr="00D63D82">
        <w:rPr>
          <w:rFonts w:ascii="Georgia" w:hAnsi="Georgia"/>
        </w:rPr>
        <w:t>entre otros ordenamientos</w:t>
      </w:r>
      <w:r w:rsidR="00EA458D" w:rsidRPr="00D63D82">
        <w:rPr>
          <w:rFonts w:ascii="Georgia" w:hAnsi="Georgia"/>
        </w:rPr>
        <w:t xml:space="preserve"> (Folio</w:t>
      </w:r>
      <w:r w:rsidR="00636EE7">
        <w:rPr>
          <w:rFonts w:ascii="Georgia" w:hAnsi="Georgia"/>
        </w:rPr>
        <w:t xml:space="preserve"> 8</w:t>
      </w:r>
      <w:r w:rsidR="00314889" w:rsidRPr="00D63D82">
        <w:rPr>
          <w:rFonts w:ascii="Georgia" w:hAnsi="Georgia"/>
        </w:rPr>
        <w:t>, ibídem)</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BB4CEF" w:rsidRPr="00D63D82">
        <w:rPr>
          <w:rFonts w:ascii="Georgia" w:hAnsi="Georgia" w:cs="Arial"/>
          <w:color w:val="000000"/>
        </w:rPr>
        <w:t xml:space="preserve">s </w:t>
      </w:r>
      <w:r w:rsidR="00E1493F">
        <w:rPr>
          <w:rFonts w:ascii="Georgia" w:hAnsi="Georgia" w:cs="Arial"/>
          <w:color w:val="000000"/>
        </w:rPr>
        <w:t>9 a 11</w:t>
      </w:r>
      <w:r w:rsidR="00265B53">
        <w:rPr>
          <w:rFonts w:ascii="Georgia" w:hAnsi="Georgia" w:cs="Arial"/>
          <w:color w:val="000000"/>
        </w:rPr>
        <w:t xml:space="preserve"> y </w:t>
      </w:r>
      <w:r w:rsidR="00636EE7">
        <w:rPr>
          <w:rFonts w:ascii="Georgia" w:hAnsi="Georgia" w:cs="Arial"/>
          <w:color w:val="000000"/>
        </w:rPr>
        <w:t>22 a 24</w:t>
      </w:r>
      <w:r w:rsidR="00BB4CEF" w:rsidRPr="00D63D82">
        <w:rPr>
          <w:rFonts w:ascii="Georgia" w:hAnsi="Georgia" w:cs="Arial"/>
          <w:color w:val="000000"/>
        </w:rPr>
        <w:t>,</w:t>
      </w:r>
      <w:r w:rsidR="004B1EB8" w:rsidRPr="00D63D82">
        <w:rPr>
          <w:rFonts w:ascii="Georgia" w:hAnsi="Georgia" w:cs="Arial"/>
          <w:color w:val="000000"/>
        </w:rPr>
        <w:t xml:space="preserve"> </w:t>
      </w:r>
      <w:r w:rsidR="00F332AF" w:rsidRPr="00D63D82">
        <w:rPr>
          <w:rFonts w:ascii="Georgia" w:hAnsi="Georgia" w:cs="Arial"/>
          <w:color w:val="000000"/>
        </w:rPr>
        <w:t>ibídem</w:t>
      </w:r>
      <w:r w:rsidR="004B1EB8" w:rsidRPr="00D63D82">
        <w:rPr>
          <w:rFonts w:ascii="Georgia" w:hAnsi="Georgia" w:cs="Arial"/>
          <w:color w:val="000000"/>
        </w:rPr>
        <w:t>).</w:t>
      </w:r>
      <w:r w:rsidR="00E1493F">
        <w:rPr>
          <w:rFonts w:ascii="Georgia" w:hAnsi="Georgia" w:cs="Arial"/>
          <w:color w:val="000000"/>
        </w:rPr>
        <w:t xml:space="preserve"> El </w:t>
      </w:r>
      <w:r w:rsidR="00636EE7">
        <w:rPr>
          <w:rFonts w:ascii="Georgia" w:hAnsi="Georgia" w:cs="Arial"/>
          <w:color w:val="000000"/>
        </w:rPr>
        <w:t>18</w:t>
      </w:r>
      <w:r w:rsidR="00E1493F">
        <w:rPr>
          <w:rFonts w:ascii="Georgia" w:hAnsi="Georgia" w:cs="Arial"/>
          <w:color w:val="000000"/>
        </w:rPr>
        <w:t>-</w:t>
      </w:r>
      <w:r w:rsidR="00636EE7">
        <w:rPr>
          <w:rFonts w:ascii="Georgia" w:hAnsi="Georgia" w:cs="Arial"/>
          <w:color w:val="000000"/>
        </w:rPr>
        <w:t>06</w:t>
      </w:r>
      <w:r w:rsidR="00E1493F">
        <w:rPr>
          <w:rFonts w:ascii="Georgia" w:hAnsi="Georgia" w:cs="Arial"/>
          <w:color w:val="000000"/>
        </w:rPr>
        <w:t xml:space="preserve">-2018 se efectuó la inspección judicial (Folio </w:t>
      </w:r>
      <w:r w:rsidR="00636EE7">
        <w:rPr>
          <w:rFonts w:ascii="Georgia" w:hAnsi="Georgia" w:cs="Arial"/>
          <w:color w:val="000000"/>
        </w:rPr>
        <w:t>15</w:t>
      </w:r>
      <w:r w:rsidR="00E1493F">
        <w:rPr>
          <w:rFonts w:ascii="Georgia" w:hAnsi="Georgia" w:cs="Arial"/>
          <w:color w:val="000000"/>
        </w:rPr>
        <w:t>, ibídem).</w:t>
      </w:r>
      <w:r w:rsidR="004B1EB8" w:rsidRPr="00D63D82">
        <w:rPr>
          <w:rFonts w:ascii="Georgia" w:hAnsi="Georgia" w:cs="Arial"/>
          <w:color w:val="000000"/>
        </w:rPr>
        <w:t xml:space="preserve"> </w:t>
      </w:r>
      <w:r w:rsidR="00636EE7">
        <w:rPr>
          <w:rFonts w:ascii="Georgia" w:hAnsi="Georgia" w:cs="Arial"/>
          <w:color w:val="000000"/>
        </w:rPr>
        <w:t>Las parte accionada y los terceros intervinientes, guardaron silencio (Folio</w:t>
      </w:r>
      <w:r w:rsidR="00265B53">
        <w:rPr>
          <w:rFonts w:ascii="Georgia" w:hAnsi="Georgia" w:cs="Arial"/>
          <w:color w:val="000000"/>
        </w:rPr>
        <w:t xml:space="preserve"> </w:t>
      </w:r>
      <w:r w:rsidR="00636EE7">
        <w:rPr>
          <w:rFonts w:ascii="Georgia" w:hAnsi="Georgia" w:cs="Arial"/>
          <w:color w:val="000000"/>
        </w:rPr>
        <w:t>14</w:t>
      </w:r>
      <w:r w:rsidR="00265B53">
        <w:rPr>
          <w:rFonts w:ascii="Georgia" w:hAnsi="Georgia" w:cs="Arial"/>
          <w:color w:val="000000"/>
        </w:rPr>
        <w:t>, ib.)</w:t>
      </w:r>
      <w:r w:rsidR="00517909" w:rsidRPr="00D63D82">
        <w:rPr>
          <w:rFonts w:ascii="Georgia" w:hAnsi="Georgia" w:cs="Arial"/>
        </w:rPr>
        <w:t>.</w:t>
      </w:r>
    </w:p>
    <w:p w:rsidR="00B41B34" w:rsidRPr="00C46287" w:rsidRDefault="00B41B34" w:rsidP="00683B09">
      <w:pPr>
        <w:spacing w:line="360" w:lineRule="auto"/>
        <w:jc w:val="both"/>
        <w:rPr>
          <w:rFonts w:ascii="Georgia" w:hAnsi="Georgia"/>
        </w:rPr>
      </w:pP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C46287" w:rsidRDefault="006232EF" w:rsidP="00683B09">
      <w:pPr>
        <w:pStyle w:val="Textoindependiente"/>
        <w:spacing w:line="360" w:lineRule="auto"/>
        <w:ind w:left="400"/>
        <w:rPr>
          <w:rFonts w:ascii="Georgia" w:hAnsi="Georgia"/>
          <w:szCs w:val="24"/>
        </w:rPr>
      </w:pPr>
    </w:p>
    <w:p w:rsidR="00D33789"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A15670" w:rsidRPr="00D63D82">
        <w:rPr>
          <w:rFonts w:ascii="Georgia" w:hAnsi="Georgia" w:cs="Arial"/>
          <w:szCs w:val="24"/>
        </w:rPr>
        <w:t>s</w:t>
      </w:r>
      <w:r w:rsidR="005427D5" w:rsidRPr="00D63D82">
        <w:rPr>
          <w:rFonts w:ascii="Georgia" w:hAnsi="Georgia" w:cs="Arial"/>
          <w:szCs w:val="24"/>
        </w:rPr>
        <w:t xml:space="preserve"> </w:t>
      </w:r>
      <w:r w:rsidR="00A15670" w:rsidRPr="00D63D82">
        <w:rPr>
          <w:rFonts w:ascii="Georgia" w:hAnsi="Georgia" w:cs="Arial"/>
          <w:szCs w:val="24"/>
        </w:rPr>
        <w:t xml:space="preserve">acciones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6E0EBB">
        <w:rPr>
          <w:rFonts w:ascii="Georgia" w:hAnsi="Georgia" w:cs="Arial"/>
          <w:color w:val="000000"/>
          <w:szCs w:val="24"/>
        </w:rPr>
        <w:t xml:space="preserve">Primero </w:t>
      </w:r>
      <w:r w:rsidR="00636EE7">
        <w:rPr>
          <w:rFonts w:ascii="Georgia" w:hAnsi="Georgia" w:cs="Arial"/>
          <w:color w:val="000000"/>
          <w:szCs w:val="24"/>
        </w:rPr>
        <w:t>Civil del Circuito de Pereira</w:t>
      </w:r>
      <w:r w:rsidR="00683B09">
        <w:rPr>
          <w:rFonts w:ascii="Georgia" w:hAnsi="Georgia" w:cs="Arial"/>
          <w:color w:val="000000"/>
          <w:szCs w:val="24"/>
        </w:rPr>
        <w:t>.</w:t>
      </w:r>
    </w:p>
    <w:p w:rsidR="00730CA7" w:rsidRPr="006E0EBB" w:rsidRDefault="00C843CF" w:rsidP="006E0EBB">
      <w:pPr>
        <w:pStyle w:val="Sangra2detindependiente"/>
        <w:tabs>
          <w:tab w:val="left" w:pos="709"/>
        </w:tabs>
        <w:spacing w:after="0" w:line="360" w:lineRule="auto"/>
        <w:ind w:left="0"/>
        <w:jc w:val="both"/>
        <w:rPr>
          <w:rFonts w:ascii="Georgia" w:hAnsi="Georgia" w:cs="Arial"/>
          <w:sz w:val="24"/>
          <w:szCs w:val="24"/>
          <w:lang w:val="es-CO"/>
        </w:rPr>
      </w:pPr>
      <w:r w:rsidRPr="00D63D82">
        <w:rPr>
          <w:rFonts w:ascii="Georgia" w:hAnsi="Georgia" w:cs="Arial"/>
          <w:color w:val="000000"/>
          <w:sz w:val="24"/>
          <w:szCs w:val="24"/>
        </w:rPr>
        <w:t xml:space="preserve"> </w:t>
      </w:r>
    </w:p>
    <w:p w:rsidR="005764A9"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 xml:space="preserve">¿El Juzgado accionado, ha vulnerado o amenazado los derechos fundamentales del accionante con ocasión del trámite surtido </w:t>
      </w:r>
      <w:r w:rsidR="00636EE7">
        <w:rPr>
          <w:rFonts w:ascii="Georgia" w:hAnsi="Georgia" w:cs="Arial"/>
        </w:rPr>
        <w:t>el proceso de pertenencia</w:t>
      </w:r>
      <w:r w:rsidRPr="00D63D82">
        <w:rPr>
          <w:rFonts w:ascii="Georgia" w:hAnsi="Georgia" w:cs="Arial"/>
        </w:rPr>
        <w:t xml:space="preserve">, según lo expuesto en </w:t>
      </w:r>
      <w:r w:rsidR="00132B3C">
        <w:rPr>
          <w:rFonts w:ascii="Georgia" w:hAnsi="Georgia" w:cs="Arial"/>
        </w:rPr>
        <w:t>el escrito</w:t>
      </w:r>
      <w:r w:rsidRPr="00D63D82">
        <w:rPr>
          <w:rFonts w:ascii="Georgia" w:hAnsi="Georgia" w:cs="Arial"/>
        </w:rPr>
        <w:t xml:space="preserve"> de tutela?   </w:t>
      </w:r>
    </w:p>
    <w:p w:rsidR="00636EE7" w:rsidRPr="00D63D82" w:rsidRDefault="00636EE7" w:rsidP="00636EE7">
      <w:pPr>
        <w:pStyle w:val="Textoindependiente"/>
        <w:spacing w:line="360" w:lineRule="auto"/>
        <w:rPr>
          <w:rFonts w:ascii="Georgia" w:hAnsi="Georgia" w:cs="Arial"/>
        </w:rPr>
      </w:pP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D63D82" w:rsidRDefault="00270A8D"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 xml:space="preserve">Se cumple por activa dado que </w:t>
      </w:r>
      <w:r w:rsidR="00132B3C">
        <w:rPr>
          <w:rFonts w:ascii="Georgia" w:hAnsi="Georgia" w:cs="Arial"/>
          <w:szCs w:val="24"/>
        </w:rPr>
        <w:t xml:space="preserve">la accionante </w:t>
      </w:r>
      <w:r w:rsidR="00F274F5">
        <w:rPr>
          <w:rFonts w:ascii="Georgia" w:hAnsi="Georgia" w:cs="Arial"/>
          <w:szCs w:val="24"/>
          <w:lang w:val="es-CO"/>
        </w:rPr>
        <w:t xml:space="preserve">es el promotor del proceso de pertenencia </w:t>
      </w:r>
      <w:r w:rsidRPr="00D63D82">
        <w:rPr>
          <w:rFonts w:ascii="Georgia" w:hAnsi="Georgia" w:cs="Arial"/>
          <w:szCs w:val="24"/>
        </w:rPr>
        <w:t xml:space="preserve">donde se reprocha la falta al debido proceso. Y por pasiva, porque el </w:t>
      </w:r>
      <w:r w:rsidR="00701442">
        <w:rPr>
          <w:rFonts w:ascii="Georgia" w:hAnsi="Georgia" w:cs="Arial"/>
          <w:szCs w:val="24"/>
        </w:rPr>
        <w:t xml:space="preserve">Juzgado </w:t>
      </w:r>
      <w:r w:rsidRPr="00D63D82">
        <w:rPr>
          <w:rFonts w:ascii="Georgia" w:hAnsi="Georgia" w:cs="Arial"/>
          <w:szCs w:val="24"/>
        </w:rPr>
        <w:t xml:space="preserve">accionado, es la autoridad judicial que conoce </w:t>
      </w:r>
      <w:r w:rsidR="00132B3C">
        <w:rPr>
          <w:rFonts w:ascii="Georgia" w:hAnsi="Georgia" w:cs="Arial"/>
          <w:szCs w:val="24"/>
        </w:rPr>
        <w:t>el juicio</w:t>
      </w:r>
      <w:r w:rsidRPr="00D63D82">
        <w:rPr>
          <w:rFonts w:ascii="Georgia" w:hAnsi="Georgia" w:cs="Arial"/>
          <w:szCs w:val="24"/>
        </w:rPr>
        <w:t>.</w:t>
      </w:r>
    </w:p>
    <w:p w:rsidR="005764A9" w:rsidRDefault="005764A9" w:rsidP="00683B09">
      <w:pPr>
        <w:pStyle w:val="Textoindependiente"/>
        <w:spacing w:line="360" w:lineRule="auto"/>
        <w:rPr>
          <w:rFonts w:ascii="Georgia" w:hAnsi="Georgia"/>
          <w:smallCaps/>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procedibilidad frente a decisiones judiciales</w:t>
      </w:r>
    </w:p>
    <w:p w:rsidR="00C46287" w:rsidRPr="00C46287"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12 y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procedibilidad”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ensanchó las causales especiales, pasando de cuatro (4) a ocho (8).  En el mismo sentido Quiroga Natale</w:t>
      </w:r>
      <w:r w:rsidRPr="003A0558">
        <w:rPr>
          <w:rStyle w:val="Refdenotaalpie"/>
          <w:rFonts w:ascii="Georgia" w:hAnsi="Georgia"/>
          <w:szCs w:val="24"/>
        </w:rPr>
        <w:footnoteReference w:id="2"/>
      </w:r>
      <w:r w:rsidRPr="003A0558">
        <w:rPr>
          <w:rFonts w:ascii="Georgia" w:hAnsi="Georgia" w:cs="Arial"/>
          <w:szCs w:val="24"/>
        </w:rPr>
        <w:t>.</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procedibilidad, explicados en amplitud en la sentencia C-590 de </w:t>
      </w: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132B3C" w:rsidRPr="003A0558" w:rsidRDefault="00132B3C" w:rsidP="00C46287">
      <w:pPr>
        <w:pStyle w:val="Textoindependiente"/>
        <w:shd w:val="clear" w:color="auto" w:fill="FFFFFF" w:themeFill="background1"/>
        <w:spacing w:line="360" w:lineRule="auto"/>
        <w:rPr>
          <w:rFonts w:ascii="Georgia" w:hAnsi="Georgia" w:cs="Arial"/>
          <w:szCs w:val="24"/>
        </w:rPr>
      </w:pP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3A0558">
        <w:rPr>
          <w:rFonts w:ascii="Georgia" w:hAnsi="Georgia" w:cs="Arial"/>
          <w:szCs w:val="24"/>
        </w:rPr>
        <w:lastRenderedPageBreak/>
        <w:t>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683B09" w:rsidRPr="00C46287" w:rsidRDefault="00683B09" w:rsidP="00683B09">
      <w:pPr>
        <w:pStyle w:val="Textoindependiente"/>
        <w:spacing w:line="360" w:lineRule="auto"/>
        <w:rPr>
          <w:rFonts w:ascii="Georgia" w:hAnsi="Georgia" w:cs="Arial"/>
          <w:szCs w:val="24"/>
          <w:lang w:val="es-CO"/>
        </w:rPr>
      </w:pPr>
    </w:p>
    <w:p w:rsidR="00C46287" w:rsidRPr="007C23E2" w:rsidRDefault="00C46287"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C46287" w:rsidRPr="00DF1804" w:rsidRDefault="00C46287" w:rsidP="00C46287">
      <w:pPr>
        <w:pStyle w:val="Textoindependien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C46287" w:rsidRPr="008379BB" w:rsidRDefault="00C46287" w:rsidP="00C46287">
      <w:pPr>
        <w:pStyle w:val="Textoindependiente"/>
        <w:tabs>
          <w:tab w:val="clear" w:pos="0"/>
        </w:tabs>
        <w:spacing w:line="360" w:lineRule="auto"/>
        <w:rPr>
          <w:rFonts w:ascii="Georgia" w:hAnsi="Georgia" w:cs="Arial"/>
          <w:szCs w:val="24"/>
          <w:u w:val="single"/>
        </w:rPr>
      </w:pPr>
      <w:r w:rsidRPr="008379BB">
        <w:rPr>
          <w:rFonts w:ascii="Georgia" w:hAnsi="Georgia" w:cs="Arial"/>
          <w:szCs w:val="24"/>
        </w:rPr>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C46287" w:rsidRPr="00C46287" w:rsidRDefault="00C46287" w:rsidP="00C46287">
      <w:pPr>
        <w:pStyle w:val="Textoindependiente"/>
        <w:tabs>
          <w:tab w:val="clear" w:pos="0"/>
        </w:tabs>
        <w:spacing w:line="360" w:lineRule="auto"/>
        <w:rPr>
          <w:rFonts w:ascii="Georgia" w:hAnsi="Georgia" w:cs="Arial"/>
          <w:sz w:val="22"/>
          <w:szCs w:val="24"/>
          <w:u w:val="single"/>
        </w:rPr>
      </w:pPr>
    </w:p>
    <w:p w:rsidR="00C46287" w:rsidRPr="00404CCE"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Refdenotaalpie"/>
          <w:rFonts w:ascii="Georgia" w:hAnsi="Georgia" w:cs="Arial"/>
          <w:i/>
          <w:sz w:val="22"/>
          <w:szCs w:val="24"/>
        </w:rPr>
        <w:footnoteReference w:id="9"/>
      </w:r>
      <w:r w:rsidRPr="004E68FB">
        <w:rPr>
          <w:rFonts w:ascii="Georgia" w:hAnsi="Georgia" w:cs="Arial"/>
          <w:i/>
          <w:sz w:val="22"/>
          <w:szCs w:val="24"/>
        </w:rPr>
        <w:t>.</w:t>
      </w:r>
    </w:p>
    <w:p w:rsidR="00C46287" w:rsidRPr="00DF1804" w:rsidRDefault="00C46287" w:rsidP="00C46287">
      <w:pPr>
        <w:pStyle w:val="Textoindependiente"/>
        <w:tabs>
          <w:tab w:val="clear" w:pos="0"/>
        </w:tabs>
        <w:spacing w:line="360" w:lineRule="auto"/>
        <w:rPr>
          <w:rFonts w:ascii="Georgia" w:hAnsi="Georgia" w:cs="Arial"/>
          <w:i/>
          <w:szCs w:val="24"/>
        </w:rPr>
      </w:pPr>
    </w:p>
    <w:p w:rsidR="00C46287" w:rsidRPr="008379BB"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10"/>
      </w:r>
      <w:r w:rsidRPr="008379BB">
        <w:rPr>
          <w:rFonts w:ascii="Georgia" w:hAnsi="Georgia" w:cs="Arial"/>
          <w:szCs w:val="24"/>
        </w:rPr>
        <w:t xml:space="preserve">,  deben  agotarse los recursos ordinarios de defensa, </w:t>
      </w:r>
    </w:p>
    <w:p w:rsidR="00C46287" w:rsidRPr="008379BB"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11"/>
      </w:r>
      <w:r w:rsidRPr="004E68FB">
        <w:rPr>
          <w:rFonts w:ascii="Georgia" w:hAnsi="Georgia" w:cs="Arial"/>
          <w:sz w:val="22"/>
          <w:szCs w:val="24"/>
        </w:rPr>
        <w:t xml:space="preserve">. </w:t>
      </w:r>
      <w:r w:rsidRPr="008379BB">
        <w:rPr>
          <w:rFonts w:ascii="Georgia" w:hAnsi="Georgia" w:cs="Arial"/>
          <w:szCs w:val="24"/>
        </w:rPr>
        <w:t>Además, ha sido reiterativa en su criterio</w:t>
      </w:r>
      <w:r w:rsidRPr="008379BB">
        <w:rPr>
          <w:rStyle w:val="Refdenotaalpie"/>
          <w:rFonts w:ascii="Georgia" w:hAnsi="Georgia"/>
          <w:szCs w:val="24"/>
        </w:rPr>
        <w:footnoteReference w:id="12"/>
      </w:r>
      <w:r w:rsidRPr="008379BB">
        <w:rPr>
          <w:rFonts w:ascii="Georgia" w:hAnsi="Georgia" w:cs="Arial"/>
          <w:szCs w:val="24"/>
        </w:rPr>
        <w:t>.También la CSJ se ha</w:t>
      </w:r>
      <w:r w:rsidR="004C15E2">
        <w:rPr>
          <w:rFonts w:ascii="Georgia" w:hAnsi="Georgia" w:cs="Arial"/>
          <w:szCs w:val="24"/>
        </w:rPr>
        <w:t xml:space="preserve"> </w:t>
      </w:r>
      <w:r w:rsidRPr="008379BB">
        <w:rPr>
          <w:rFonts w:ascii="Georgia" w:hAnsi="Georgia" w:cs="Arial"/>
          <w:szCs w:val="24"/>
        </w:rPr>
        <w:t xml:space="preserve"> referido </w:t>
      </w:r>
      <w:r w:rsidR="004C15E2">
        <w:rPr>
          <w:rFonts w:ascii="Georgia" w:hAnsi="Georgia" w:cs="Arial"/>
          <w:szCs w:val="24"/>
        </w:rPr>
        <w:t xml:space="preserve"> </w:t>
      </w:r>
      <w:r w:rsidRPr="008379BB">
        <w:rPr>
          <w:rFonts w:ascii="Georgia" w:hAnsi="Georgia" w:cs="Arial"/>
          <w:szCs w:val="24"/>
        </w:rPr>
        <w:t xml:space="preserve">al </w:t>
      </w:r>
      <w:r w:rsidR="004C15E2">
        <w:rPr>
          <w:rFonts w:ascii="Georgia" w:hAnsi="Georgia" w:cs="Arial"/>
          <w:szCs w:val="24"/>
        </w:rPr>
        <w:t xml:space="preserve"> </w:t>
      </w:r>
      <w:r w:rsidRPr="008379BB">
        <w:rPr>
          <w:rFonts w:ascii="Georgia" w:hAnsi="Georgia" w:cs="Arial"/>
          <w:szCs w:val="24"/>
        </w:rPr>
        <w:t>tema</w:t>
      </w:r>
      <w:r w:rsidRPr="008379BB">
        <w:rPr>
          <w:rStyle w:val="Refdenotaalpie"/>
          <w:rFonts w:ascii="Georgia" w:hAnsi="Georgia" w:cs="Arial"/>
          <w:szCs w:val="24"/>
        </w:rPr>
        <w:footnoteReference w:id="13"/>
      </w:r>
      <w:r w:rsidRPr="008379BB">
        <w:rPr>
          <w:rFonts w:ascii="Georgia" w:hAnsi="Georgia" w:cs="Arial"/>
          <w:szCs w:val="24"/>
        </w:rPr>
        <w:t xml:space="preserve">, </w:t>
      </w:r>
      <w:r w:rsidR="004C15E2">
        <w:rPr>
          <w:rFonts w:ascii="Georgia" w:hAnsi="Georgia" w:cs="Arial"/>
          <w:szCs w:val="24"/>
        </w:rPr>
        <w:t xml:space="preserve"> </w:t>
      </w:r>
      <w:r w:rsidRPr="008379BB">
        <w:rPr>
          <w:rFonts w:ascii="Georgia" w:hAnsi="Georgia" w:cs="Arial"/>
          <w:szCs w:val="24"/>
        </w:rPr>
        <w:t xml:space="preserve">prohija </w:t>
      </w:r>
      <w:r w:rsidR="004C15E2">
        <w:rPr>
          <w:rFonts w:ascii="Georgia" w:hAnsi="Georgia" w:cs="Arial"/>
          <w:szCs w:val="24"/>
        </w:rPr>
        <w:t xml:space="preserve"> </w:t>
      </w:r>
      <w:r w:rsidRPr="008379BB">
        <w:rPr>
          <w:rFonts w:ascii="Georgia" w:hAnsi="Georgia" w:cs="Arial"/>
          <w:szCs w:val="24"/>
        </w:rPr>
        <w:t xml:space="preserve">la </w:t>
      </w:r>
      <w:r w:rsidR="004C15E2">
        <w:rPr>
          <w:rFonts w:ascii="Georgia" w:hAnsi="Georgia" w:cs="Arial"/>
          <w:szCs w:val="24"/>
        </w:rPr>
        <w:t xml:space="preserve"> </w:t>
      </w:r>
      <w:r w:rsidRPr="008379BB">
        <w:rPr>
          <w:rFonts w:ascii="Georgia" w:hAnsi="Georgia" w:cs="Arial"/>
          <w:szCs w:val="24"/>
        </w:rPr>
        <w:t>improcedencia de la tutela por aplicación del principio de subsidiariedad.</w:t>
      </w:r>
    </w:p>
    <w:p w:rsidR="00683B09" w:rsidRPr="00D63D82" w:rsidRDefault="00683B09" w:rsidP="00683B09">
      <w:pPr>
        <w:pStyle w:val="Textoindependiente"/>
        <w:spacing w:line="360" w:lineRule="auto"/>
        <w:rPr>
          <w:rFonts w:ascii="Georgia" w:hAnsi="Georgia"/>
          <w:smallCaps/>
          <w:szCs w:val="24"/>
        </w:rPr>
      </w:pPr>
    </w:p>
    <w:p w:rsidR="00AB5BDE"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132B3C" w:rsidRPr="00D63D82" w:rsidRDefault="00132B3C" w:rsidP="00132B3C">
      <w:pPr>
        <w:pStyle w:val="Textoindependiente"/>
        <w:tabs>
          <w:tab w:val="clear" w:pos="0"/>
        </w:tabs>
        <w:spacing w:line="360" w:lineRule="auto"/>
        <w:ind w:left="426"/>
        <w:rPr>
          <w:rFonts w:ascii="Georgia" w:hAnsi="Georgia"/>
          <w:szCs w:val="24"/>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Dado que los requisitos generales de procedibilidad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w:t>
      </w:r>
      <w:r w:rsidRPr="004E68FB">
        <w:rPr>
          <w:rFonts w:ascii="Georgia" w:hAnsi="Georgia" w:cs="Arial"/>
          <w:lang w:val="es-ES_tradnl"/>
        </w:rPr>
        <w:lastRenderedPageBreak/>
        <w:t xml:space="preserve">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4C15E2">
        <w:rPr>
          <w:rFonts w:ascii="Georgia" w:hAnsi="Georgia" w:cs="Arial"/>
          <w:lang w:val="es-ES_tradnl"/>
        </w:rPr>
        <w:t xml:space="preserve">del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Refdenotaalpie"/>
          <w:rFonts w:ascii="Georgia" w:hAnsi="Georgia" w:cs="Arial"/>
        </w:rPr>
        <w:footnoteReference w:id="14"/>
      </w:r>
      <w:r w:rsidRPr="004E68FB">
        <w:rPr>
          <w:rFonts w:ascii="Georgia" w:hAnsi="Georgia" w:cs="Arial"/>
          <w:lang w:val="es-ES_tradnl"/>
        </w:rPr>
        <w:t>.</w:t>
      </w:r>
    </w:p>
    <w:p w:rsidR="00C46287" w:rsidRPr="00F61CAB" w:rsidRDefault="00C46287" w:rsidP="00C46287">
      <w:pPr>
        <w:widowControl/>
        <w:spacing w:line="360" w:lineRule="auto"/>
        <w:jc w:val="both"/>
        <w:rPr>
          <w:rFonts w:ascii="Georgia" w:hAnsi="Georgia"/>
          <w:lang w:val="es-CO"/>
        </w:rPr>
      </w:pPr>
    </w:p>
    <w:p w:rsidR="00C46287" w:rsidRDefault="00C46287" w:rsidP="00350BB5">
      <w:pPr>
        <w:widowControl/>
        <w:autoSpaceDE/>
        <w:adjustRightInd/>
        <w:spacing w:line="360" w:lineRule="auto"/>
        <w:jc w:val="both"/>
        <w:rPr>
          <w:rFonts w:ascii="Georgia" w:hAnsi="Georgia"/>
        </w:rPr>
      </w:pPr>
      <w:r w:rsidRPr="00F61CAB">
        <w:rPr>
          <w:rFonts w:ascii="Georgia" w:hAnsi="Georgia" w:cs="Arial"/>
          <w:lang w:val="es-ES_tradnl"/>
        </w:rPr>
        <w:t xml:space="preserve">De </w:t>
      </w:r>
      <w:r>
        <w:rPr>
          <w:rFonts w:ascii="Georgia" w:hAnsi="Georgia" w:cs="Arial"/>
          <w:lang w:val="es-ES_tradnl"/>
        </w:rPr>
        <w:t xml:space="preserve"> </w:t>
      </w:r>
      <w:r w:rsidRPr="00F61CAB">
        <w:rPr>
          <w:rFonts w:ascii="Georgia" w:hAnsi="Georgia" w:cs="Arial"/>
          <w:lang w:val="es-ES_tradnl"/>
        </w:rPr>
        <w:t xml:space="preserve">acuerdo </w:t>
      </w:r>
      <w:r>
        <w:rPr>
          <w:rFonts w:ascii="Georgia" w:hAnsi="Georgia" w:cs="Arial"/>
          <w:lang w:val="es-ES_tradnl"/>
        </w:rPr>
        <w:t xml:space="preserve"> </w:t>
      </w:r>
      <w:r w:rsidRPr="00F61CAB">
        <w:rPr>
          <w:rFonts w:ascii="Georgia" w:hAnsi="Georgia" w:cs="Arial"/>
          <w:lang w:val="es-ES_tradnl"/>
        </w:rPr>
        <w:t xml:space="preserve">con </w:t>
      </w:r>
      <w:r>
        <w:rPr>
          <w:rFonts w:ascii="Georgia" w:hAnsi="Georgia" w:cs="Arial"/>
          <w:lang w:val="es-ES_tradnl"/>
        </w:rPr>
        <w:t xml:space="preserve"> </w:t>
      </w:r>
      <w:r w:rsidRPr="00F61CAB">
        <w:rPr>
          <w:rFonts w:ascii="Georgia" w:hAnsi="Georgia" w:cs="Arial"/>
          <w:lang w:val="es-ES_tradnl"/>
        </w:rPr>
        <w:t xml:space="preserve">el </w:t>
      </w:r>
      <w:r>
        <w:rPr>
          <w:rFonts w:ascii="Georgia" w:hAnsi="Georgia" w:cs="Arial"/>
          <w:lang w:val="es-ES_tradnl"/>
        </w:rPr>
        <w:t xml:space="preserve"> </w:t>
      </w:r>
      <w:r w:rsidRPr="00F61CAB">
        <w:rPr>
          <w:rFonts w:ascii="Georgia" w:hAnsi="Georgia" w:cs="Arial"/>
          <w:lang w:val="es-ES_tradnl"/>
        </w:rPr>
        <w:t xml:space="preserve">acervo </w:t>
      </w:r>
      <w:r>
        <w:rPr>
          <w:rFonts w:ascii="Georgia" w:hAnsi="Georgia" w:cs="Arial"/>
          <w:lang w:val="es-ES_tradnl"/>
        </w:rPr>
        <w:t xml:space="preserve"> </w:t>
      </w:r>
      <w:r w:rsidRPr="00F61CAB">
        <w:rPr>
          <w:rFonts w:ascii="Georgia" w:hAnsi="Georgia" w:cs="Arial"/>
          <w:lang w:val="es-ES_tradnl"/>
        </w:rPr>
        <w:t>probatorio</w:t>
      </w:r>
      <w:r w:rsidR="00132B3C">
        <w:rPr>
          <w:rFonts w:ascii="Georgia" w:hAnsi="Georgia" w:cs="Arial"/>
          <w:lang w:val="es-ES_tradnl"/>
        </w:rPr>
        <w:t xml:space="preserve"> la </w:t>
      </w:r>
      <w:r w:rsidR="00132B3C" w:rsidRPr="00132B3C">
        <w:rPr>
          <w:rFonts w:ascii="Georgia" w:hAnsi="Georgia" w:cs="Arial"/>
          <w:i/>
          <w:lang w:val="es-ES_tradnl"/>
        </w:rPr>
        <w:t>a quo</w:t>
      </w:r>
      <w:r w:rsidR="00132B3C">
        <w:rPr>
          <w:rFonts w:ascii="Georgia" w:hAnsi="Georgia" w:cs="Arial"/>
          <w:lang w:val="es-ES_tradnl"/>
        </w:rPr>
        <w:t xml:space="preserve"> con decisión del </w:t>
      </w:r>
      <w:r w:rsidR="00F274F5">
        <w:rPr>
          <w:rFonts w:ascii="Georgia" w:hAnsi="Georgia" w:cs="Arial"/>
          <w:lang w:val="es-ES_tradnl"/>
        </w:rPr>
        <w:t>16</w:t>
      </w:r>
      <w:r w:rsidR="00132B3C">
        <w:rPr>
          <w:rFonts w:ascii="Georgia" w:hAnsi="Georgia" w:cs="Arial"/>
          <w:lang w:val="es-ES_tradnl"/>
        </w:rPr>
        <w:t>-</w:t>
      </w:r>
      <w:r w:rsidR="00F274F5">
        <w:rPr>
          <w:rFonts w:ascii="Georgia" w:hAnsi="Georgia" w:cs="Arial"/>
          <w:lang w:val="es-ES_tradnl"/>
        </w:rPr>
        <w:t>11</w:t>
      </w:r>
      <w:r w:rsidR="00132B3C">
        <w:rPr>
          <w:rFonts w:ascii="Georgia" w:hAnsi="Georgia" w:cs="Arial"/>
          <w:lang w:val="es-ES_tradnl"/>
        </w:rPr>
        <w:t>-</w:t>
      </w:r>
      <w:r w:rsidR="00F274F5">
        <w:rPr>
          <w:rFonts w:ascii="Georgia" w:hAnsi="Georgia" w:cs="Arial"/>
          <w:lang w:val="es-ES_tradnl"/>
        </w:rPr>
        <w:t xml:space="preserve">2017 avocó el conocimiento del proceso de pertenencia y declaró su terminación por desistimiento tácito, </w:t>
      </w:r>
      <w:r w:rsidR="00404CCE">
        <w:rPr>
          <w:rFonts w:ascii="Georgia" w:hAnsi="Georgia" w:cs="Arial"/>
          <w:lang w:val="es-ES_tradnl"/>
        </w:rPr>
        <w:t xml:space="preserve">porque </w:t>
      </w:r>
      <w:r w:rsidR="00F274F5">
        <w:rPr>
          <w:rFonts w:ascii="Georgia" w:hAnsi="Georgia" w:cs="Arial"/>
          <w:lang w:val="es-ES_tradnl"/>
        </w:rPr>
        <w:t xml:space="preserve">llevaba más de un (1) año </w:t>
      </w:r>
      <w:r w:rsidR="00404CCE">
        <w:rPr>
          <w:rFonts w:ascii="Georgia" w:hAnsi="Georgia" w:cs="Arial"/>
          <w:lang w:val="es-ES_tradnl"/>
        </w:rPr>
        <w:t xml:space="preserve">inactivo </w:t>
      </w:r>
      <w:r w:rsidR="00F274F5">
        <w:rPr>
          <w:rFonts w:ascii="Georgia" w:hAnsi="Georgia" w:cs="Arial"/>
          <w:lang w:val="es-ES_tradnl"/>
        </w:rPr>
        <w:t>(Artículo 317-2º, CGP), notificado con fijación en el estado del 29-11-2017</w:t>
      </w:r>
      <w:r w:rsidR="00404CCE">
        <w:rPr>
          <w:rFonts w:ascii="Georgia" w:hAnsi="Georgia" w:cs="Arial"/>
          <w:lang w:val="es-ES_tradnl"/>
        </w:rPr>
        <w:t>,</w:t>
      </w:r>
      <w:r w:rsidR="00F274F5">
        <w:rPr>
          <w:rFonts w:ascii="Georgia" w:hAnsi="Georgia" w:cs="Arial"/>
          <w:lang w:val="es-ES_tradnl"/>
        </w:rPr>
        <w:t xml:space="preserve"> adquirió firmeza, sin ser recurrido </w:t>
      </w:r>
      <w:r w:rsidR="00132B3C">
        <w:rPr>
          <w:rFonts w:ascii="Georgia" w:hAnsi="Georgia" w:cs="Arial"/>
          <w:lang w:val="es-ES_tradnl"/>
        </w:rPr>
        <w:t xml:space="preserve">(Folios </w:t>
      </w:r>
      <w:r w:rsidR="00F274F5">
        <w:rPr>
          <w:rFonts w:ascii="Georgia" w:hAnsi="Georgia" w:cs="Arial"/>
          <w:lang w:val="es-ES_tradnl"/>
        </w:rPr>
        <w:t>15 y 16</w:t>
      </w:r>
      <w:r w:rsidR="00132B3C">
        <w:rPr>
          <w:rFonts w:ascii="Georgia" w:hAnsi="Georgia" w:cs="Arial"/>
          <w:lang w:val="es-ES_tradnl"/>
        </w:rPr>
        <w:t xml:space="preserve">, </w:t>
      </w:r>
      <w:r w:rsidR="00F274F5">
        <w:rPr>
          <w:rFonts w:ascii="Georgia" w:hAnsi="Georgia" w:cs="Arial"/>
          <w:lang w:val="es-ES_tradnl"/>
        </w:rPr>
        <w:t>este cuaderno)</w:t>
      </w:r>
      <w:r w:rsidR="00793E50">
        <w:rPr>
          <w:rFonts w:ascii="Georgia" w:hAnsi="Georgia" w:cs="Arial"/>
          <w:lang w:val="es-ES_tradnl"/>
        </w:rPr>
        <w:t>.</w:t>
      </w:r>
      <w:r w:rsidR="00132B3C">
        <w:rPr>
          <w:rFonts w:ascii="Georgia" w:hAnsi="Georgia" w:cs="Arial"/>
          <w:lang w:val="es-ES_tradnl"/>
        </w:rPr>
        <w:t xml:space="preserve">  </w:t>
      </w:r>
    </w:p>
    <w:p w:rsidR="00350BB5" w:rsidRDefault="00350BB5" w:rsidP="00350BB5">
      <w:pPr>
        <w:widowControl/>
        <w:autoSpaceDE/>
        <w:adjustRightInd/>
        <w:spacing w:line="360" w:lineRule="auto"/>
        <w:jc w:val="both"/>
        <w:rPr>
          <w:rFonts w:ascii="Georgia" w:hAnsi="Georgia"/>
        </w:rPr>
      </w:pPr>
    </w:p>
    <w:p w:rsidR="00793E50" w:rsidRDefault="00793E50" w:rsidP="00793E50">
      <w:pPr>
        <w:pStyle w:val="Textoindependiente"/>
        <w:spacing w:line="360" w:lineRule="auto"/>
        <w:rPr>
          <w:rFonts w:ascii="Georgia" w:hAnsi="Georgia" w:cs="Arial"/>
          <w:szCs w:val="24"/>
        </w:rPr>
      </w:pPr>
      <w:r>
        <w:rPr>
          <w:rFonts w:ascii="Georgia" w:hAnsi="Georgia"/>
        </w:rPr>
        <w:t xml:space="preserve">Sin lugar a dudas, luce evidente </w:t>
      </w:r>
      <w:r w:rsidR="006F6C88">
        <w:rPr>
          <w:rFonts w:ascii="Georgia" w:hAnsi="Georgia"/>
        </w:rPr>
        <w:t xml:space="preserve">la </w:t>
      </w:r>
      <w:r>
        <w:rPr>
          <w:rFonts w:ascii="Georgia" w:hAnsi="Georgia"/>
        </w:rPr>
        <w:t xml:space="preserve">ausencia del presupuesto de la subsidiariedad, </w:t>
      </w:r>
      <w:r w:rsidR="00F274F5">
        <w:rPr>
          <w:rFonts w:ascii="Georgia" w:hAnsi="Georgia"/>
        </w:rPr>
        <w:t xml:space="preserve">toda vez que </w:t>
      </w:r>
      <w:r w:rsidR="005E1F20">
        <w:rPr>
          <w:rFonts w:ascii="Georgia" w:hAnsi="Georgia"/>
        </w:rPr>
        <w:t>la parte actora dejó de recurrir en reposición y en apelación el aludido proveído</w:t>
      </w:r>
      <w:r w:rsidR="006F6C88">
        <w:rPr>
          <w:rFonts w:ascii="Georgia" w:hAnsi="Georgia"/>
        </w:rPr>
        <w:t>, que procedían</w:t>
      </w:r>
      <w:r w:rsidR="005E1F20">
        <w:rPr>
          <w:rFonts w:ascii="Georgia" w:hAnsi="Georgia"/>
        </w:rPr>
        <w:t xml:space="preserve"> (Artículos 318 y </w:t>
      </w:r>
      <w:r w:rsidR="00E27680">
        <w:rPr>
          <w:rFonts w:ascii="Georgia" w:hAnsi="Georgia"/>
        </w:rPr>
        <w:t>317-e</w:t>
      </w:r>
      <w:r w:rsidR="005E1F20">
        <w:rPr>
          <w:rFonts w:ascii="Georgia" w:hAnsi="Georgia"/>
        </w:rPr>
        <w:t>, CGP)</w:t>
      </w:r>
      <w:r>
        <w:rPr>
          <w:rFonts w:ascii="Georgia" w:hAnsi="Georgia" w:cs="Arial"/>
        </w:rPr>
        <w:t xml:space="preserve">.  </w:t>
      </w:r>
      <w:r>
        <w:rPr>
          <w:rFonts w:ascii="Georgia" w:hAnsi="Georgia"/>
        </w:rPr>
        <w:t>Evidente es que omitió agotar el mecanismo ordinario con que contaba</w:t>
      </w:r>
      <w:r>
        <w:rPr>
          <w:rFonts w:ascii="Georgia" w:hAnsi="Georgia" w:cs="Arial"/>
          <w:szCs w:val="24"/>
        </w:rPr>
        <w:t xml:space="preserve">, descuido que repercute en la </w:t>
      </w:r>
      <w:r w:rsidR="005E1F20">
        <w:rPr>
          <w:rFonts w:ascii="Georgia" w:hAnsi="Georgia" w:cs="Arial"/>
          <w:szCs w:val="24"/>
        </w:rPr>
        <w:t xml:space="preserve">improcedencia </w:t>
      </w:r>
      <w:r>
        <w:rPr>
          <w:rFonts w:ascii="Georgia" w:hAnsi="Georgia" w:cs="Arial"/>
          <w:szCs w:val="24"/>
        </w:rPr>
        <w:t xml:space="preserve">de este resguardo. </w:t>
      </w:r>
    </w:p>
    <w:p w:rsidR="005E1F20" w:rsidRDefault="005E1F20" w:rsidP="00793E50">
      <w:pPr>
        <w:pStyle w:val="Textoindependiente"/>
        <w:spacing w:line="360" w:lineRule="auto"/>
        <w:rPr>
          <w:rFonts w:ascii="Georgia" w:hAnsi="Georgia" w:cs="Arial"/>
          <w:szCs w:val="24"/>
        </w:rPr>
      </w:pPr>
    </w:p>
    <w:p w:rsidR="00F822A1" w:rsidRPr="004111EF" w:rsidRDefault="00701442" w:rsidP="00F822A1">
      <w:pPr>
        <w:spacing w:line="360" w:lineRule="auto"/>
        <w:ind w:right="51"/>
        <w:jc w:val="both"/>
        <w:rPr>
          <w:rFonts w:ascii="Georgia" w:hAnsi="Georgia" w:cs="Arial"/>
          <w:bCs/>
          <w:szCs w:val="22"/>
          <w:lang w:val="es-CO"/>
        </w:rPr>
      </w:pPr>
      <w:r>
        <w:rPr>
          <w:rFonts w:ascii="Georgia" w:hAnsi="Georgia"/>
        </w:rPr>
        <w:t xml:space="preserve">Es inviable </w:t>
      </w:r>
      <w:r w:rsidR="00F822A1">
        <w:rPr>
          <w:rFonts w:ascii="Georgia" w:hAnsi="Georgia"/>
        </w:rPr>
        <w:t>flexibilizar el análisis del requisito echado de menos</w:t>
      </w:r>
      <w:r w:rsidR="004111EF">
        <w:rPr>
          <w:rFonts w:ascii="Georgia" w:hAnsi="Georgia"/>
        </w:rPr>
        <w:t>, en consideración a que</w:t>
      </w:r>
      <w:r w:rsidR="00404CCE">
        <w:rPr>
          <w:rFonts w:ascii="Georgia" w:hAnsi="Georgia"/>
        </w:rPr>
        <w:t xml:space="preserve"> </w:t>
      </w:r>
      <w:r w:rsidR="005E1F20">
        <w:rPr>
          <w:rFonts w:ascii="Georgia" w:hAnsi="Georgia"/>
        </w:rPr>
        <w:t>el</w:t>
      </w:r>
      <w:r w:rsidR="004111EF">
        <w:rPr>
          <w:rFonts w:ascii="Georgia" w:hAnsi="Georgia"/>
        </w:rPr>
        <w:t xml:space="preserve"> accionante no es una persona que requiera </w:t>
      </w:r>
      <w:r w:rsidR="00F822A1" w:rsidRPr="00B33A0F">
        <w:rPr>
          <w:rFonts w:ascii="Georgia" w:hAnsi="Georgia" w:cs="Arial"/>
          <w:bCs/>
          <w:szCs w:val="22"/>
          <w:lang w:val="es-CO"/>
        </w:rPr>
        <w:t>de protección reforzada</w:t>
      </w:r>
      <w:r w:rsidR="00F822A1" w:rsidRPr="00B33A0F">
        <w:rPr>
          <w:rStyle w:val="Refdenotaalpie"/>
          <w:rFonts w:ascii="Georgia" w:hAnsi="Georgia"/>
          <w:bCs/>
          <w:szCs w:val="22"/>
          <w:lang w:val="es-CO"/>
        </w:rPr>
        <w:footnoteReference w:id="15"/>
      </w:r>
      <w:r w:rsidR="004111EF">
        <w:rPr>
          <w:rFonts w:ascii="Georgia" w:hAnsi="Georgia" w:cs="Arial"/>
          <w:bCs/>
          <w:szCs w:val="22"/>
          <w:lang w:val="es-CO"/>
        </w:rPr>
        <w:t>; además, hay que decir que ha contado con la asistencia de mandatario judicial en la defensa de sus intereses</w:t>
      </w:r>
      <w:r w:rsidR="005E1F20">
        <w:rPr>
          <w:rFonts w:ascii="Georgia" w:hAnsi="Georgia" w:cs="Arial"/>
          <w:bCs/>
          <w:szCs w:val="22"/>
          <w:lang w:val="es-CO"/>
        </w:rPr>
        <w:t xml:space="preserve">; tampoco obra justificación sobre la imposibilidad para recurrir. </w:t>
      </w:r>
      <w:r w:rsidR="00F822A1" w:rsidRPr="00B33A0F">
        <w:rPr>
          <w:rFonts w:ascii="Georgia" w:hAnsi="Georgia" w:cs="Arial"/>
          <w:lang w:val="es-ES_tradnl"/>
        </w:rPr>
        <w:t xml:space="preserve">En ese contexto, </w:t>
      </w:r>
      <w:r w:rsidR="00F822A1">
        <w:rPr>
          <w:rFonts w:ascii="Georgia" w:hAnsi="Georgia" w:cs="Arial"/>
          <w:lang w:val="es-ES_tradnl"/>
        </w:rPr>
        <w:t xml:space="preserve">el </w:t>
      </w:r>
      <w:r w:rsidR="00F822A1" w:rsidRPr="00B33A0F">
        <w:rPr>
          <w:rFonts w:ascii="Georgia" w:hAnsi="Georgia" w:cs="Arial"/>
          <w:lang w:val="es-ES_tradnl"/>
        </w:rPr>
        <w:t xml:space="preserve">presente amparo </w:t>
      </w:r>
      <w:r w:rsidR="00F822A1">
        <w:rPr>
          <w:rFonts w:ascii="Georgia" w:hAnsi="Georgia" w:cs="Arial"/>
          <w:lang w:val="es-ES_tradnl"/>
        </w:rPr>
        <w:t xml:space="preserve">es </w:t>
      </w:r>
      <w:r w:rsidR="00F822A1" w:rsidRPr="00B33A0F">
        <w:rPr>
          <w:rFonts w:ascii="Georgia" w:hAnsi="Georgia" w:cs="Arial"/>
          <w:lang w:val="es-ES_tradnl"/>
        </w:rPr>
        <w:t>improcedente t</w:t>
      </w:r>
      <w:r w:rsidR="002E3F9F">
        <w:rPr>
          <w:rFonts w:ascii="Georgia" w:hAnsi="Georgia" w:cs="Arial"/>
          <w:lang w:val="es-ES_tradnl"/>
        </w:rPr>
        <w:t xml:space="preserve">oda vez que se incumple con uno </w:t>
      </w:r>
      <w:r w:rsidR="00F822A1" w:rsidRPr="00B33A0F">
        <w:rPr>
          <w:rFonts w:ascii="Georgia" w:hAnsi="Georgia" w:cs="Arial"/>
          <w:lang w:val="es-ES_tradnl"/>
        </w:rPr>
        <w:t>de los siete (7) requisitos generales de procedibilidad, como lo es el de la subsidiariedad</w:t>
      </w:r>
      <w:r w:rsidR="00F822A1" w:rsidRPr="00B33A0F">
        <w:rPr>
          <w:rFonts w:ascii="Georgia" w:hAnsi="Georgia"/>
        </w:rPr>
        <w:t>.</w:t>
      </w:r>
    </w:p>
    <w:p w:rsidR="00F822A1" w:rsidRPr="00D63D82" w:rsidRDefault="00F822A1" w:rsidP="00683B09">
      <w:pPr>
        <w:widowControl/>
        <w:spacing w:line="360" w:lineRule="auto"/>
        <w:jc w:val="both"/>
        <w:rPr>
          <w:rFonts w:ascii="Georgia" w:hAnsi="Georgia"/>
          <w:sz w:val="20"/>
          <w:lang w:val="es-CO"/>
        </w:rPr>
      </w:pPr>
    </w:p>
    <w:p w:rsidR="00FF5B57" w:rsidRPr="00D63D82"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LAS CONCLUSIONES </w:t>
      </w:r>
    </w:p>
    <w:p w:rsidR="00511FE0" w:rsidRPr="002134B6" w:rsidRDefault="00511FE0" w:rsidP="00683B09">
      <w:pPr>
        <w:pStyle w:val="Textoindependiente"/>
        <w:spacing w:line="360" w:lineRule="auto"/>
        <w:rPr>
          <w:rFonts w:ascii="Georgia" w:hAnsi="Georgia" w:cs="Arial"/>
          <w:sz w:val="20"/>
          <w:szCs w:val="24"/>
          <w:lang w:val="es-ES"/>
        </w:rPr>
      </w:pPr>
    </w:p>
    <w:p w:rsidR="00A62F8F" w:rsidRDefault="00D97A99" w:rsidP="00A62F8F">
      <w:pPr>
        <w:pStyle w:val="Textoindependiente"/>
        <w:spacing w:line="360" w:lineRule="auto"/>
        <w:rPr>
          <w:rFonts w:ascii="Georgia" w:hAnsi="Georgia" w:cs="Arial"/>
          <w:szCs w:val="24"/>
          <w:lang w:val="es-ES"/>
        </w:rPr>
      </w:pPr>
      <w:r w:rsidRPr="00D63D82">
        <w:rPr>
          <w:rFonts w:ascii="Georgia" w:hAnsi="Georgia" w:cs="Arial"/>
          <w:szCs w:val="24"/>
          <w:lang w:val="es-ES"/>
        </w:rPr>
        <w:t>Con  fundamento  en  las  consideraciones  expuestas</w:t>
      </w:r>
      <w:r w:rsidR="00F822A1">
        <w:rPr>
          <w:rFonts w:ascii="Georgia" w:hAnsi="Georgia" w:cs="Arial"/>
          <w:szCs w:val="24"/>
          <w:lang w:val="es-ES"/>
        </w:rPr>
        <w:t xml:space="preserve"> s</w:t>
      </w:r>
      <w:r w:rsidR="00A62F8F">
        <w:rPr>
          <w:rFonts w:ascii="Georgia" w:hAnsi="Georgia" w:cs="Arial"/>
          <w:szCs w:val="24"/>
          <w:lang w:val="es-ES"/>
        </w:rPr>
        <w:t xml:space="preserve">e declarará improcedente </w:t>
      </w:r>
      <w:r w:rsidR="00F822A1">
        <w:rPr>
          <w:rFonts w:ascii="Georgia" w:hAnsi="Georgia" w:cs="Arial"/>
          <w:szCs w:val="24"/>
          <w:lang w:val="es-ES"/>
        </w:rPr>
        <w:t xml:space="preserve">la acción de tutela, por carecer de </w:t>
      </w:r>
      <w:r w:rsidR="00A62F8F">
        <w:rPr>
          <w:rFonts w:ascii="Georgia" w:hAnsi="Georgia" w:cs="Arial"/>
        </w:rPr>
        <w:t>subsidiariedad</w:t>
      </w:r>
      <w:r w:rsidR="00A62F8F">
        <w:rPr>
          <w:rFonts w:ascii="Georgia" w:hAnsi="Georgia" w:cs="Arial"/>
          <w:szCs w:val="24"/>
          <w:lang w:val="es-ES"/>
        </w:rPr>
        <w:t>.</w:t>
      </w:r>
    </w:p>
    <w:p w:rsidR="00D97A99" w:rsidRPr="002134B6" w:rsidRDefault="00A62F8F" w:rsidP="00A62F8F">
      <w:pPr>
        <w:pStyle w:val="Textoindependiente"/>
        <w:spacing w:line="360" w:lineRule="auto"/>
        <w:rPr>
          <w:rFonts w:ascii="Georgia" w:hAnsi="Georgia" w:cs="Arial"/>
          <w:sz w:val="20"/>
          <w:szCs w:val="24"/>
          <w:lang w:val="es-ES"/>
        </w:rPr>
      </w:pPr>
      <w:r>
        <w:rPr>
          <w:rFonts w:ascii="Georgia" w:hAnsi="Georgia" w:cs="Arial"/>
          <w:szCs w:val="24"/>
          <w:lang w:val="es-ES"/>
        </w:rPr>
        <w:t xml:space="preserve"> </w:t>
      </w:r>
    </w:p>
    <w:p w:rsidR="00D97A99" w:rsidRDefault="00D97A99" w:rsidP="00683B09">
      <w:pPr>
        <w:tabs>
          <w:tab w:val="left" w:pos="-720"/>
        </w:tabs>
        <w:suppressAutoHyphens/>
        <w:spacing w:line="360" w:lineRule="auto"/>
        <w:jc w:val="both"/>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administrando Justicia, en nombre de la República</w:t>
      </w:r>
      <w:r w:rsidR="00701442">
        <w:rPr>
          <w:rFonts w:ascii="Georgia" w:hAnsi="Georgia" w:cs="Arial"/>
        </w:rPr>
        <w:t xml:space="preserve"> de Colombia</w:t>
      </w:r>
      <w:r w:rsidRPr="00D63D82">
        <w:rPr>
          <w:rFonts w:ascii="Georgia" w:hAnsi="Georgia" w:cs="Arial"/>
        </w:rPr>
        <w:t xml:space="preserve"> y por autoridad de la Ley,</w:t>
      </w:r>
    </w:p>
    <w:p w:rsidR="00701442" w:rsidRPr="00D63D82" w:rsidRDefault="00701442" w:rsidP="00683B09">
      <w:pPr>
        <w:tabs>
          <w:tab w:val="left" w:pos="-720"/>
        </w:tabs>
        <w:suppressAutoHyphens/>
        <w:spacing w:line="360" w:lineRule="auto"/>
        <w:jc w:val="both"/>
        <w:rPr>
          <w:rFonts w:ascii="Georgia" w:hAnsi="Georgia" w:cs="Arial"/>
        </w:rPr>
      </w:pPr>
    </w:p>
    <w:p w:rsidR="00D97A99" w:rsidRPr="00D63D82"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t>F A L L A,</w:t>
      </w:r>
    </w:p>
    <w:p w:rsidR="00D97A99" w:rsidRPr="002134B6" w:rsidRDefault="00D97A99" w:rsidP="00683B09">
      <w:pPr>
        <w:pStyle w:val="Textoindependiente"/>
        <w:spacing w:line="360" w:lineRule="auto"/>
        <w:jc w:val="center"/>
        <w:rPr>
          <w:rFonts w:ascii="Georgia" w:hAnsi="Georgia" w:cs="Arial"/>
          <w:bCs/>
          <w:smallCaps/>
          <w:sz w:val="20"/>
          <w:szCs w:val="24"/>
        </w:rPr>
      </w:pPr>
    </w:p>
    <w:p w:rsidR="00A62F8F" w:rsidRDefault="00A62F8F"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w:t>
      </w:r>
      <w:r w:rsidRPr="00D63D82">
        <w:rPr>
          <w:rFonts w:ascii="Georgia" w:hAnsi="Georgia" w:cs="Arial"/>
        </w:rPr>
        <w:t xml:space="preserve">la tutela propuesta por </w:t>
      </w:r>
      <w:r w:rsidR="005E1F20">
        <w:rPr>
          <w:rFonts w:ascii="Georgia" w:hAnsi="Georgia" w:cs="Arial"/>
        </w:rPr>
        <w:t xml:space="preserve">el señor Josè Guillermo Montoya Molina </w:t>
      </w:r>
      <w:r w:rsidRPr="00D63D82">
        <w:rPr>
          <w:rFonts w:ascii="Georgia" w:hAnsi="Georgia" w:cs="Arial"/>
        </w:rPr>
        <w:t xml:space="preserve">en contra del Juzgado </w:t>
      </w:r>
      <w:r w:rsidR="002E3F9F">
        <w:rPr>
          <w:rFonts w:ascii="Georgia" w:hAnsi="Georgia" w:cs="Arial"/>
        </w:rPr>
        <w:t xml:space="preserve">Primero </w:t>
      </w:r>
      <w:r w:rsidR="005E1F20">
        <w:rPr>
          <w:rFonts w:ascii="Georgia" w:hAnsi="Georgia" w:cs="Arial"/>
        </w:rPr>
        <w:t>Civil del Circuito de Pereira</w:t>
      </w:r>
      <w:r w:rsidR="00FA2487">
        <w:rPr>
          <w:rFonts w:ascii="Georgia" w:hAnsi="Georgia" w:cs="Arial"/>
        </w:rPr>
        <w:t>, conforme a lo reseñado</w:t>
      </w:r>
      <w:r>
        <w:rPr>
          <w:rFonts w:ascii="Georgia" w:hAnsi="Georgia" w:cs="Arial"/>
        </w:rPr>
        <w:t xml:space="preserve">. </w:t>
      </w:r>
    </w:p>
    <w:p w:rsidR="00D97A99" w:rsidRPr="002134B6" w:rsidRDefault="00D97A99" w:rsidP="00683B0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D97A99" w:rsidRPr="00D63D82" w:rsidRDefault="00D97A99" w:rsidP="00683B09">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97A99" w:rsidRPr="002134B6" w:rsidRDefault="00D97A99" w:rsidP="00683B09">
      <w:pPr>
        <w:pStyle w:val="Textoindependiente"/>
        <w:tabs>
          <w:tab w:val="clear" w:pos="708"/>
        </w:tabs>
        <w:spacing w:line="360" w:lineRule="auto"/>
        <w:ind w:left="360"/>
        <w:rPr>
          <w:rFonts w:ascii="Georgia" w:hAnsi="Georgia" w:cs="Arial"/>
          <w:sz w:val="20"/>
          <w:szCs w:val="24"/>
        </w:rPr>
      </w:pPr>
    </w:p>
    <w:p w:rsidR="00D97A99" w:rsidRPr="00D63D82" w:rsidRDefault="00D97A99" w:rsidP="00683B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2134B6" w:rsidRDefault="00626C89" w:rsidP="00683B09">
      <w:pPr>
        <w:pStyle w:val="Prrafodelista"/>
        <w:widowControl/>
        <w:autoSpaceDE/>
        <w:autoSpaceDN/>
        <w:adjustRightInd/>
        <w:spacing w:line="360" w:lineRule="auto"/>
        <w:ind w:left="360" w:right="51"/>
        <w:contextualSpacing/>
        <w:jc w:val="both"/>
        <w:rPr>
          <w:rFonts w:ascii="Georgia" w:hAnsi="Georgia"/>
          <w:sz w:val="18"/>
          <w:lang w:val="es-CO"/>
        </w:rPr>
      </w:pPr>
    </w:p>
    <w:p w:rsidR="00B30152" w:rsidRPr="00A62F8F" w:rsidRDefault="00126266" w:rsidP="00683B09">
      <w:pPr>
        <w:pStyle w:val="Textoindependiente"/>
        <w:spacing w:line="360" w:lineRule="auto"/>
        <w:jc w:val="center"/>
        <w:rPr>
          <w:rFonts w:ascii="Georgia" w:hAnsi="Georgia"/>
          <w:smallCaps/>
          <w:szCs w:val="24"/>
          <w:lang w:val="en-US"/>
        </w:rPr>
      </w:pPr>
      <w:r w:rsidRPr="00A62F8F">
        <w:rPr>
          <w:rFonts w:ascii="Georgia" w:hAnsi="Georgia"/>
          <w:smallCaps/>
          <w:szCs w:val="24"/>
          <w:lang w:val="en-US"/>
        </w:rPr>
        <w:t>Notifíquese,</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D63D82">
        <w:rPr>
          <w:rFonts w:ascii="Georgia" w:hAnsi="Georgia" w:cs="Arial"/>
          <w:spacing w:val="-3"/>
          <w:w w:val="150"/>
          <w:sz w:val="28"/>
          <w:lang w:val="en-US"/>
        </w:rPr>
        <w:t>D</w:t>
      </w:r>
      <w:r w:rsidRPr="00D63D82">
        <w:rPr>
          <w:rFonts w:ascii="Georgia" w:hAnsi="Georgia" w:cs="Arial"/>
          <w:spacing w:val="-3"/>
          <w:w w:val="150"/>
          <w:sz w:val="18"/>
          <w:szCs w:val="16"/>
          <w:lang w:val="en-US"/>
        </w:rPr>
        <w:t xml:space="preserve">UBERNEY </w:t>
      </w:r>
      <w:r w:rsidRPr="00D63D82">
        <w:rPr>
          <w:rFonts w:ascii="Georgia" w:hAnsi="Georgia" w:cs="Arial"/>
          <w:spacing w:val="-3"/>
          <w:w w:val="150"/>
          <w:sz w:val="28"/>
          <w:lang w:val="en-US"/>
        </w:rPr>
        <w:t>G</w:t>
      </w:r>
      <w:r w:rsidRPr="00D63D82">
        <w:rPr>
          <w:rFonts w:ascii="Georgia" w:hAnsi="Georgia" w:cs="Arial"/>
          <w:spacing w:val="-3"/>
          <w:w w:val="150"/>
          <w:sz w:val="18"/>
          <w:szCs w:val="16"/>
          <w:lang w:val="en-US"/>
        </w:rPr>
        <w:t xml:space="preserve">RISALES </w:t>
      </w:r>
      <w:r w:rsidRPr="00D63D82">
        <w:rPr>
          <w:rFonts w:ascii="Georgia" w:hAnsi="Georgia" w:cs="Arial"/>
          <w:spacing w:val="-3"/>
          <w:w w:val="150"/>
          <w:sz w:val="28"/>
          <w:lang w:val="en-US"/>
        </w:rPr>
        <w:t>H</w:t>
      </w:r>
      <w:r w:rsidRPr="00D63D82">
        <w:rPr>
          <w:rFonts w:ascii="Georgia" w:hAnsi="Georgia" w:cs="Arial"/>
          <w:spacing w:val="-3"/>
          <w:w w:val="150"/>
          <w:sz w:val="18"/>
          <w:szCs w:val="16"/>
          <w:lang w:val="en-US"/>
        </w:rPr>
        <w:t>ERRERA</w:t>
      </w: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D63D82">
        <w:rPr>
          <w:rFonts w:ascii="Georgia" w:hAnsi="Georgia" w:cs="Arial"/>
          <w:spacing w:val="-3"/>
          <w:w w:val="150"/>
          <w:sz w:val="28"/>
          <w:lang w:val="en-US"/>
        </w:rPr>
        <w:t>M</w:t>
      </w:r>
      <w:r w:rsidRPr="00D63D82">
        <w:rPr>
          <w:rFonts w:ascii="Georgia" w:hAnsi="Georgia" w:cs="Arial"/>
          <w:spacing w:val="-3"/>
          <w:w w:val="150"/>
          <w:lang w:val="en-US"/>
        </w:rPr>
        <w:t xml:space="preserve"> </w:t>
      </w:r>
      <w:r w:rsidRPr="00D63D82">
        <w:rPr>
          <w:rFonts w:ascii="Georgia" w:hAnsi="Georgia" w:cs="Arial"/>
          <w:spacing w:val="-3"/>
          <w:w w:val="150"/>
          <w:sz w:val="18"/>
          <w:szCs w:val="20"/>
          <w:lang w:val="en-US"/>
        </w:rPr>
        <w:t>A G I S T R A D O</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D63D82">
        <w:rPr>
          <w:rFonts w:ascii="Georgia" w:hAnsi="Georgia"/>
          <w:w w:val="150"/>
          <w:sz w:val="28"/>
          <w:szCs w:val="18"/>
          <w:lang w:val="en-US"/>
        </w:rPr>
        <w:t>E</w:t>
      </w:r>
      <w:r w:rsidRPr="00D63D82">
        <w:rPr>
          <w:rFonts w:ascii="Georgia" w:hAnsi="Georgia"/>
          <w:w w:val="150"/>
          <w:sz w:val="18"/>
          <w:szCs w:val="18"/>
          <w:lang w:val="en-US"/>
        </w:rPr>
        <w:t>DDER</w:t>
      </w:r>
      <w:r w:rsidRPr="00D63D82">
        <w:rPr>
          <w:rFonts w:ascii="Georgia" w:hAnsi="Georgia"/>
          <w:w w:val="150"/>
          <w:sz w:val="18"/>
          <w:lang w:val="en-US"/>
        </w:rPr>
        <w:t xml:space="preserve"> </w:t>
      </w:r>
      <w:r w:rsidRPr="00D63D82">
        <w:rPr>
          <w:rFonts w:ascii="Georgia" w:hAnsi="Georgia"/>
          <w:w w:val="150"/>
          <w:sz w:val="28"/>
          <w:lang w:val="en-US"/>
        </w:rPr>
        <w:t>J</w:t>
      </w:r>
      <w:r w:rsidRPr="00D63D82">
        <w:rPr>
          <w:rFonts w:ascii="Georgia" w:hAnsi="Georgia"/>
          <w:w w:val="150"/>
          <w:sz w:val="18"/>
          <w:szCs w:val="18"/>
          <w:lang w:val="en-US"/>
        </w:rPr>
        <w:t xml:space="preserve">IMMY </w:t>
      </w:r>
      <w:r w:rsidRPr="00D63D82">
        <w:rPr>
          <w:rFonts w:ascii="Georgia" w:hAnsi="Georgia"/>
          <w:w w:val="150"/>
          <w:sz w:val="28"/>
          <w:lang w:val="en-US"/>
        </w:rPr>
        <w:t>S</w:t>
      </w:r>
      <w:r w:rsidRPr="00D63D82">
        <w:rPr>
          <w:rFonts w:ascii="Georgia" w:hAnsi="Georgia"/>
          <w:w w:val="150"/>
          <w:sz w:val="18"/>
          <w:szCs w:val="18"/>
          <w:lang w:val="en-US"/>
        </w:rPr>
        <w:t xml:space="preserve">ÁNCHEZ </w:t>
      </w:r>
      <w:r w:rsidRPr="00D63D82">
        <w:rPr>
          <w:rFonts w:ascii="Georgia" w:hAnsi="Georgia"/>
          <w:w w:val="150"/>
          <w:sz w:val="28"/>
          <w:szCs w:val="18"/>
          <w:lang w:val="en-US"/>
        </w:rPr>
        <w:t>C.</w:t>
      </w:r>
      <w:r w:rsidRPr="00D63D82">
        <w:rPr>
          <w:rFonts w:ascii="Georgia" w:hAnsi="Georgia"/>
          <w:w w:val="150"/>
          <w:sz w:val="28"/>
          <w:szCs w:val="18"/>
          <w:lang w:val="en-US"/>
        </w:rPr>
        <w:tab/>
      </w:r>
      <w:r w:rsidRPr="00D63D82">
        <w:rPr>
          <w:rFonts w:ascii="Georgia" w:hAnsi="Georgia"/>
          <w:w w:val="150"/>
          <w:sz w:val="28"/>
          <w:szCs w:val="18"/>
          <w:lang w:val="en-US"/>
        </w:rPr>
        <w:tab/>
      </w:r>
      <w:r w:rsidRPr="00D63D82">
        <w:rPr>
          <w:rFonts w:ascii="Georgia" w:hAnsi="Georgia" w:cs="Arial"/>
          <w:spacing w:val="-3"/>
          <w:w w:val="150"/>
          <w:sz w:val="28"/>
          <w:szCs w:val="18"/>
          <w:lang w:val="en-US"/>
        </w:rPr>
        <w:t>J</w:t>
      </w:r>
      <w:r w:rsidRPr="00D63D82">
        <w:rPr>
          <w:rFonts w:ascii="Georgia" w:hAnsi="Georgia" w:cs="Arial"/>
          <w:spacing w:val="-3"/>
          <w:w w:val="150"/>
          <w:sz w:val="18"/>
          <w:szCs w:val="18"/>
          <w:lang w:val="en-US"/>
        </w:rPr>
        <w:t xml:space="preserve">AIME </w:t>
      </w:r>
      <w:r w:rsidRPr="00D63D82">
        <w:rPr>
          <w:rFonts w:ascii="Georgia" w:hAnsi="Georgia" w:cs="Arial"/>
          <w:spacing w:val="-3"/>
          <w:w w:val="150"/>
          <w:sz w:val="28"/>
          <w:szCs w:val="18"/>
          <w:lang w:val="en-US"/>
        </w:rPr>
        <w:t>A</w:t>
      </w:r>
      <w:r w:rsidRPr="00D63D82">
        <w:rPr>
          <w:rFonts w:ascii="Georgia" w:hAnsi="Georgia"/>
          <w:w w:val="150"/>
          <w:sz w:val="18"/>
          <w:szCs w:val="18"/>
          <w:lang w:val="en-US"/>
        </w:rPr>
        <w:t xml:space="preserve">LBERTO </w:t>
      </w:r>
      <w:r w:rsidRPr="00D63D82">
        <w:rPr>
          <w:rFonts w:ascii="Georgia" w:hAnsi="Georgia" w:cs="Arial"/>
          <w:spacing w:val="-3"/>
          <w:w w:val="150"/>
          <w:sz w:val="28"/>
          <w:szCs w:val="18"/>
          <w:lang w:val="en-US"/>
        </w:rPr>
        <w:t>S</w:t>
      </w:r>
      <w:r w:rsidRPr="00D63D82">
        <w:rPr>
          <w:rFonts w:ascii="Georgia" w:hAnsi="Georgia" w:cs="Arial"/>
          <w:spacing w:val="-3"/>
          <w:w w:val="150"/>
          <w:sz w:val="18"/>
          <w:szCs w:val="16"/>
          <w:lang w:val="en-US"/>
        </w:rPr>
        <w:t xml:space="preserve">ARAZA </w:t>
      </w:r>
      <w:r w:rsidRPr="00D63D82">
        <w:rPr>
          <w:rFonts w:ascii="Georgia" w:hAnsi="Georgia" w:cs="Arial"/>
          <w:spacing w:val="-3"/>
          <w:w w:val="150"/>
          <w:sz w:val="28"/>
          <w:szCs w:val="18"/>
          <w:lang w:val="en-US"/>
        </w:rPr>
        <w:t>N.</w:t>
      </w:r>
    </w:p>
    <w:p w:rsidR="00E606C4" w:rsidRPr="002134B6"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D63D82">
        <w:rPr>
          <w:rFonts w:ascii="Georgia" w:hAnsi="Georgia" w:cs="Arial"/>
          <w:w w:val="150"/>
          <w:sz w:val="28"/>
          <w:lang w:val="en-US"/>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 </w:t>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w:t>
      </w:r>
      <w:r w:rsidR="004B7598" w:rsidRPr="00D63D82">
        <w:rPr>
          <w:rFonts w:ascii="Georgia" w:hAnsi="Georgia" w:cs="Arial"/>
          <w:w w:val="150"/>
          <w:sz w:val="18"/>
          <w:lang w:val="en-GB"/>
        </w:rPr>
        <w:t xml:space="preserve">  </w:t>
      </w:r>
    </w:p>
    <w:sectPr w:rsidR="00E606C4" w:rsidRPr="002134B6" w:rsidSect="00C4628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BF" w:rsidRDefault="00D92DBF" w:rsidP="0099045D">
      <w:r>
        <w:separator/>
      </w:r>
    </w:p>
  </w:endnote>
  <w:endnote w:type="continuationSeparator" w:id="0">
    <w:p w:rsidR="00D92DBF" w:rsidRDefault="00D92DB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BF" w:rsidRDefault="00D92DBF" w:rsidP="0099045D">
      <w:r>
        <w:separator/>
      </w:r>
    </w:p>
  </w:footnote>
  <w:footnote w:type="continuationSeparator" w:id="0">
    <w:p w:rsidR="00D92DBF" w:rsidRDefault="00D92DBF" w:rsidP="0099045D">
      <w:r>
        <w:continuationSeparator/>
      </w:r>
    </w:p>
  </w:footnote>
  <w:footnote w:id="1">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2">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3">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4">
    <w:p w:rsidR="00C46287" w:rsidRPr="00FE5CDD" w:rsidRDefault="00C46287" w:rsidP="00C46287">
      <w:pPr>
        <w:pStyle w:val="Textonotapie"/>
        <w:jc w:val="both"/>
      </w:pPr>
      <w:r w:rsidRPr="00FE5CDD">
        <w:rPr>
          <w:rStyle w:val="Refdenotaalpie"/>
        </w:rPr>
        <w:footnoteRef/>
      </w:r>
      <w:r w:rsidRPr="00FE5CDD">
        <w:rPr>
          <w:lang w:val="es-MX"/>
        </w:rPr>
        <w:t xml:space="preserve"> CC. C-590 de 2005.</w:t>
      </w:r>
    </w:p>
  </w:footnote>
  <w:footnote w:id="5">
    <w:p w:rsidR="00C46287" w:rsidRPr="00FE5CDD" w:rsidRDefault="00C46287" w:rsidP="00C46287">
      <w:pPr>
        <w:pStyle w:val="Textonotapie"/>
        <w:jc w:val="both"/>
      </w:pPr>
      <w:r w:rsidRPr="00FE5CDD">
        <w:rPr>
          <w:rStyle w:val="Refdenotaalpie"/>
        </w:rPr>
        <w:footnoteRef/>
      </w:r>
      <w:r w:rsidRPr="00FE5CDD">
        <w:rPr>
          <w:lang w:val="es-MX"/>
        </w:rPr>
        <w:t xml:space="preserve"> CC. </w:t>
      </w:r>
      <w:r w:rsidR="005E1F20">
        <w:rPr>
          <w:lang w:val="es-MX"/>
        </w:rPr>
        <w:t xml:space="preserve">SU-396 de 2017 y </w:t>
      </w:r>
      <w:r w:rsidRPr="00FE5CDD">
        <w:rPr>
          <w:bCs/>
        </w:rPr>
        <w:t>SU-222 de 2016</w:t>
      </w:r>
      <w:r w:rsidRPr="00FE5CDD">
        <w:rPr>
          <w:lang w:val="es-MX"/>
        </w:rPr>
        <w:t>.</w:t>
      </w:r>
    </w:p>
  </w:footnote>
  <w:footnote w:id="6">
    <w:p w:rsidR="00C46287" w:rsidRPr="00FE5CDD" w:rsidRDefault="00C46287" w:rsidP="00C46287">
      <w:pPr>
        <w:pStyle w:val="Textonotapie"/>
        <w:rPr>
          <w:lang w:val="es-CO"/>
        </w:rPr>
      </w:pPr>
      <w:r w:rsidRPr="00FE5CDD">
        <w:rPr>
          <w:rStyle w:val="Refdenotaalpie"/>
        </w:rPr>
        <w:footnoteRef/>
      </w:r>
      <w:r w:rsidRPr="00FE5CDD">
        <w:t xml:space="preserve"> </w:t>
      </w:r>
      <w:r w:rsidRPr="00FE5CDD">
        <w:rPr>
          <w:lang w:val="es-MX"/>
        </w:rPr>
        <w:t>CC. T-307 de 2015.</w:t>
      </w:r>
    </w:p>
  </w:footnote>
  <w:footnote w:id="7">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La acción de tutela en el ordenamiento constitucional colombiano, Universidad Nacional de Colombia, Catalina Botero Marino, Ediprime Ltda., 2006, p.61-75.</w:t>
      </w:r>
    </w:p>
  </w:footnote>
  <w:footnote w:id="8">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9">
    <w:p w:rsidR="00C46287" w:rsidRDefault="00C46287" w:rsidP="00C46287">
      <w:pPr>
        <w:pStyle w:val="Textonotapie"/>
        <w:jc w:val="both"/>
      </w:pPr>
      <w:r w:rsidRPr="00C45F3C">
        <w:rPr>
          <w:rStyle w:val="Refdenotaalpie"/>
        </w:rPr>
        <w:footnoteRef/>
      </w:r>
      <w:r w:rsidRPr="00C45F3C">
        <w:t xml:space="preserve"> CC. T-134 de 1994. </w:t>
      </w:r>
    </w:p>
  </w:footnote>
  <w:footnote w:id="10">
    <w:p w:rsidR="00C46287" w:rsidRDefault="00C46287" w:rsidP="00C46287">
      <w:pPr>
        <w:pStyle w:val="Textonotapie"/>
      </w:pPr>
      <w:r w:rsidRPr="00C45F3C">
        <w:rPr>
          <w:rStyle w:val="Refdenotaalpie"/>
        </w:rPr>
        <w:footnoteRef/>
      </w:r>
      <w:r w:rsidRPr="00C45F3C">
        <w:t xml:space="preserve"> CC. T-103 de 2014.</w:t>
      </w:r>
    </w:p>
  </w:footnote>
  <w:footnote w:id="11">
    <w:p w:rsidR="00C46287" w:rsidRDefault="00C46287" w:rsidP="00C46287">
      <w:pPr>
        <w:pStyle w:val="Textonotapie"/>
        <w:jc w:val="both"/>
      </w:pPr>
      <w:r w:rsidRPr="00C45F3C">
        <w:rPr>
          <w:rStyle w:val="Refdenotaalpie"/>
        </w:rPr>
        <w:footnoteRef/>
      </w:r>
      <w:r w:rsidRPr="00C45F3C">
        <w:t xml:space="preserve"> CC. T-567 de 1998.</w:t>
      </w:r>
    </w:p>
  </w:footnote>
  <w:footnote w:id="12">
    <w:p w:rsidR="00C46287" w:rsidRDefault="00C46287" w:rsidP="00C46287">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3">
    <w:p w:rsidR="00C46287" w:rsidRDefault="00C46287" w:rsidP="00C46287">
      <w:pPr>
        <w:pStyle w:val="Textonotapie"/>
        <w:jc w:val="both"/>
      </w:pPr>
      <w:r w:rsidRPr="00C45F3C">
        <w:rPr>
          <w:rStyle w:val="Refdenotaalpie"/>
        </w:rPr>
        <w:footnoteRef/>
      </w:r>
      <w:r w:rsidRPr="00C45F3C">
        <w:t xml:space="preserve"> CSJ, Civil. STC2349-2017, STC3931-2016, STC6121-2015 y sentencia del 02-09-2014, MP: Margarita Cabello B., No.23001-22-14-000-2014-00097-01;</w:t>
      </w:r>
    </w:p>
  </w:footnote>
  <w:footnote w:id="14">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5">
    <w:p w:rsidR="00F822A1" w:rsidRPr="007D3087" w:rsidRDefault="00F822A1" w:rsidP="00F822A1">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18410F">
      <w:rPr>
        <w:rFonts w:ascii="Georgia" w:hAnsi="Georgia" w:cs="Calibri"/>
        <w:i/>
        <w:noProof/>
        <w:sz w:val="20"/>
      </w:rPr>
      <w:t>6</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A00766" w:rsidRPr="00D63D82">
      <w:rPr>
        <w:rFonts w:ascii="Georgia" w:hAnsi="Georgia" w:cs="Calibri"/>
        <w:i/>
        <w:smallCaps/>
        <w:sz w:val="20"/>
        <w:szCs w:val="22"/>
      </w:rPr>
      <w:t>No.</w:t>
    </w:r>
    <w:r>
      <w:rPr>
        <w:rFonts w:ascii="Georgia" w:hAnsi="Georgia" w:cs="Calibri"/>
        <w:i/>
        <w:smallCaps/>
        <w:sz w:val="20"/>
        <w:szCs w:val="22"/>
      </w:rPr>
      <w:t>2018-</w:t>
    </w:r>
    <w:r w:rsidR="00C10180">
      <w:rPr>
        <w:rFonts w:ascii="Georgia" w:hAnsi="Georgia" w:cs="Calibri"/>
        <w:i/>
        <w:smallCaps/>
        <w:sz w:val="20"/>
        <w:szCs w:val="22"/>
      </w:rPr>
      <w:t>00432</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7B7"/>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B3C"/>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10F"/>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CD"/>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B53"/>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0FD3"/>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F9F"/>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CCE"/>
    <w:rsid w:val="00404F28"/>
    <w:rsid w:val="00405073"/>
    <w:rsid w:val="00405BFE"/>
    <w:rsid w:val="00405F51"/>
    <w:rsid w:val="00406FAB"/>
    <w:rsid w:val="004074D0"/>
    <w:rsid w:val="004075D1"/>
    <w:rsid w:val="004079E3"/>
    <w:rsid w:val="004104F0"/>
    <w:rsid w:val="004108FA"/>
    <w:rsid w:val="00411107"/>
    <w:rsid w:val="0041111B"/>
    <w:rsid w:val="004111EF"/>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55C8"/>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1F20"/>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6EE7"/>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0EBB"/>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6C88"/>
    <w:rsid w:val="00700343"/>
    <w:rsid w:val="007004A9"/>
    <w:rsid w:val="00700E2B"/>
    <w:rsid w:val="00701442"/>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3E50"/>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64C"/>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0C2"/>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8F"/>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B5"/>
    <w:rsid w:val="00AF2DEF"/>
    <w:rsid w:val="00AF3D13"/>
    <w:rsid w:val="00AF4709"/>
    <w:rsid w:val="00AF4B63"/>
    <w:rsid w:val="00AF5AF0"/>
    <w:rsid w:val="00AF5DA2"/>
    <w:rsid w:val="00AF5F92"/>
    <w:rsid w:val="00AF61E2"/>
    <w:rsid w:val="00AF6433"/>
    <w:rsid w:val="00AF65FD"/>
    <w:rsid w:val="00AF6CC6"/>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AC7"/>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64E"/>
    <w:rsid w:val="00BB2039"/>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6A"/>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180"/>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2DB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93F"/>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680"/>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4F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69ED-BC81-4501-8B0D-95FB3372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1831</Words>
  <Characters>10073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2018-06-21T13:08:00Z</cp:lastPrinted>
  <dcterms:created xsi:type="dcterms:W3CDTF">2018-06-21T12:07:00Z</dcterms:created>
  <dcterms:modified xsi:type="dcterms:W3CDTF">2018-07-23T18:42:00Z</dcterms:modified>
</cp:coreProperties>
</file>