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E4" w:rsidRPr="006B31F3" w:rsidRDefault="00F47CE4" w:rsidP="00F47CE4">
      <w:pPr>
        <w:pStyle w:val="Sinespaciado"/>
        <w:spacing w:line="360" w:lineRule="auto"/>
        <w:jc w:val="center"/>
        <w:rPr>
          <w:rFonts w:ascii="Georgia" w:hAnsi="Georgia" w:cs="Arial"/>
          <w:w w:val="140"/>
        </w:rPr>
      </w:pPr>
      <w:r w:rsidRPr="006B31F3">
        <w:rPr>
          <w:rFonts w:ascii="Georgia" w:hAnsi="Georgia"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inespaciado"/>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6B31F3"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6B31F3" w:rsidRDefault="00CD6BE6"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00771048"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1D18B8">
        <w:rPr>
          <w:rFonts w:ascii="Georgia" w:hAnsi="Georgia" w:cs="Arial"/>
          <w:sz w:val="22"/>
          <w:szCs w:val="22"/>
        </w:rPr>
        <w:t xml:space="preserve">Rosalba Henao </w:t>
      </w:r>
      <w:proofErr w:type="spellStart"/>
      <w:r w:rsidR="001D18B8">
        <w:rPr>
          <w:rFonts w:ascii="Georgia" w:hAnsi="Georgia" w:cs="Arial"/>
          <w:sz w:val="22"/>
          <w:szCs w:val="22"/>
        </w:rPr>
        <w:t>Henao</w:t>
      </w:r>
      <w:proofErr w:type="spellEnd"/>
      <w:r w:rsidR="001D18B8">
        <w:rPr>
          <w:rFonts w:ascii="Georgia" w:hAnsi="Georgia" w:cs="Arial"/>
          <w:sz w:val="22"/>
          <w:szCs w:val="22"/>
        </w:rPr>
        <w:t xml:space="preserve"> </w:t>
      </w:r>
    </w:p>
    <w:p w:rsidR="005A3336" w:rsidRPr="006B31F3" w:rsidRDefault="00771048" w:rsidP="003C4EBE">
      <w:pPr>
        <w:pStyle w:val="Textoindependiente"/>
        <w:spacing w:line="360" w:lineRule="auto"/>
        <w:ind w:left="3540" w:hanging="3540"/>
        <w:rPr>
          <w:rFonts w:ascii="Georgia" w:hAnsi="Georgia" w:cs="Arial"/>
          <w:sz w:val="22"/>
          <w:szCs w:val="22"/>
          <w:lang w:val="es-CO"/>
        </w:rPr>
      </w:pP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1D18B8">
        <w:rPr>
          <w:rFonts w:ascii="Georgia" w:hAnsi="Georgia" w:cs="Arial"/>
          <w:sz w:val="22"/>
          <w:szCs w:val="22"/>
        </w:rPr>
        <w:t xml:space="preserve">Gerente </w:t>
      </w:r>
      <w:r w:rsidR="00CD6BE6">
        <w:rPr>
          <w:rFonts w:ascii="Georgia" w:hAnsi="Georgia" w:cs="Arial"/>
          <w:sz w:val="22"/>
          <w:szCs w:val="22"/>
        </w:rPr>
        <w:t xml:space="preserve">Regional de </w:t>
      </w:r>
      <w:r w:rsidR="005F01E5">
        <w:rPr>
          <w:rFonts w:ascii="Georgia" w:hAnsi="Georgia" w:cs="Arial"/>
          <w:sz w:val="22"/>
          <w:szCs w:val="22"/>
        </w:rPr>
        <w:t>la Nueva EPS y otro</w:t>
      </w:r>
    </w:p>
    <w:p w:rsidR="00771048"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5F01E5">
        <w:rPr>
          <w:rFonts w:ascii="Georgia" w:hAnsi="Georgia" w:cs="Arial"/>
          <w:sz w:val="22"/>
          <w:szCs w:val="22"/>
        </w:rPr>
        <w:t xml:space="preserve">Civil del Circuito de </w:t>
      </w:r>
      <w:r w:rsidR="001D18B8">
        <w:rPr>
          <w:rFonts w:ascii="Georgia" w:hAnsi="Georgia" w:cs="Arial"/>
          <w:sz w:val="22"/>
          <w:szCs w:val="22"/>
        </w:rPr>
        <w:t>Santa Rosa de Cabal</w:t>
      </w:r>
    </w:p>
    <w:p w:rsidR="005A3336"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1D18B8">
        <w:rPr>
          <w:rFonts w:ascii="Georgia" w:hAnsi="Georgia" w:cs="Arial"/>
          <w:sz w:val="22"/>
          <w:szCs w:val="22"/>
        </w:rPr>
        <w:t>2005-00116-01</w:t>
      </w:r>
    </w:p>
    <w:p w:rsidR="00C2790B" w:rsidRPr="006B31F3" w:rsidRDefault="00C2790B" w:rsidP="00C2790B">
      <w:pPr>
        <w:pStyle w:val="Textoindependiente"/>
        <w:spacing w:line="360" w:lineRule="auto"/>
        <w:rPr>
          <w:rFonts w:ascii="Georgia" w:hAnsi="Georgia" w:cs="Arial"/>
          <w:sz w:val="22"/>
          <w:szCs w:val="22"/>
        </w:rPr>
      </w:pP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r w:rsidR="001D18B8">
        <w:rPr>
          <w:rFonts w:ascii="Georgia" w:hAnsi="Georgia" w:cs="Arial"/>
          <w:sz w:val="22"/>
          <w:szCs w:val="22"/>
        </w:rPr>
        <w:t xml:space="preserve">- </w:t>
      </w:r>
      <w:proofErr w:type="spellStart"/>
      <w:r w:rsidR="001D18B8" w:rsidRPr="001D18B8">
        <w:rPr>
          <w:rFonts w:ascii="Georgia" w:hAnsi="Georgia" w:cs="Arial"/>
          <w:sz w:val="22"/>
          <w:szCs w:val="22"/>
        </w:rPr>
        <w:t>Ejecutabilidad</w:t>
      </w:r>
      <w:proofErr w:type="spellEnd"/>
      <w:r w:rsidR="001D18B8" w:rsidRPr="001D18B8">
        <w:rPr>
          <w:rFonts w:ascii="Georgia" w:hAnsi="Georgia" w:cs="Arial"/>
          <w:sz w:val="22"/>
          <w:szCs w:val="22"/>
        </w:rPr>
        <w:t xml:space="preserve"> del fallo</w:t>
      </w:r>
    </w:p>
    <w:p w:rsidR="00233E73" w:rsidRPr="006B31F3" w:rsidRDefault="005A3336" w:rsidP="00CD6BE6">
      <w:pPr>
        <w:spacing w:line="360" w:lineRule="auto"/>
        <w:ind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CD6BE6" w:rsidRPr="000F1558" w:rsidRDefault="00CD6BE6" w:rsidP="00CD6BE6">
      <w:pPr>
        <w:pBdr>
          <w:bottom w:val="double" w:sz="6" w:space="1" w:color="auto"/>
        </w:pBdr>
        <w:spacing w:line="360" w:lineRule="auto"/>
        <w:jc w:val="center"/>
        <w:rPr>
          <w:rFonts w:ascii="Georgia" w:hAnsi="Georgia" w:cs="Arial"/>
          <w:b/>
          <w:bCs/>
          <w:sz w:val="14"/>
          <w:szCs w:val="22"/>
        </w:rPr>
      </w:pPr>
    </w:p>
    <w:p w:rsidR="00CD6BE6" w:rsidRPr="00CD6BE6" w:rsidRDefault="00CD6BE6" w:rsidP="00CD6BE6">
      <w:pPr>
        <w:spacing w:line="360" w:lineRule="auto"/>
        <w:jc w:val="center"/>
        <w:rPr>
          <w:rFonts w:ascii="Georgia" w:hAnsi="Georgia" w:cs="Arial"/>
          <w:b/>
          <w:bCs/>
          <w:sz w:val="24"/>
          <w:szCs w:val="22"/>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1D18B8">
        <w:rPr>
          <w:rFonts w:ascii="Georgia" w:hAnsi="Georgia" w:cs="Arial"/>
          <w:smallCaps/>
          <w:sz w:val="28"/>
          <w:szCs w:val="28"/>
          <w:lang w:val="es-CO"/>
        </w:rPr>
        <w:t xml:space="preserve">once </w:t>
      </w:r>
      <w:r w:rsidR="0005223F" w:rsidRPr="006B31F3">
        <w:rPr>
          <w:rFonts w:ascii="Georgia" w:hAnsi="Georgia" w:cs="Arial"/>
          <w:smallCaps/>
          <w:sz w:val="28"/>
          <w:szCs w:val="28"/>
          <w:lang w:val="es-CO"/>
        </w:rPr>
        <w:t>(</w:t>
      </w:r>
      <w:r w:rsidR="001D18B8">
        <w:rPr>
          <w:rFonts w:ascii="Georgia" w:hAnsi="Georgia" w:cs="Arial"/>
          <w:smallCaps/>
          <w:sz w:val="28"/>
          <w:szCs w:val="28"/>
          <w:lang w:val="es-CO"/>
        </w:rPr>
        <w:t>11</w:t>
      </w:r>
      <w:r w:rsidR="0005223F" w:rsidRPr="006B31F3">
        <w:rPr>
          <w:rFonts w:ascii="Georgia" w:hAnsi="Georgia" w:cs="Arial"/>
          <w:smallCaps/>
          <w:sz w:val="28"/>
          <w:szCs w:val="28"/>
          <w:lang w:val="es-CO"/>
        </w:rPr>
        <w:t xml:space="preserve">) de </w:t>
      </w:r>
      <w:r w:rsidR="001D18B8">
        <w:rPr>
          <w:rFonts w:ascii="Georgia" w:hAnsi="Georgia" w:cs="Arial"/>
          <w:smallCaps/>
          <w:sz w:val="28"/>
          <w:szCs w:val="28"/>
          <w:lang w:val="es-CO"/>
        </w:rPr>
        <w:t xml:space="preserve">julio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07793B">
        <w:rPr>
          <w:rFonts w:ascii="Georgia" w:hAnsi="Georgia" w:cs="Arial"/>
          <w:smallCaps/>
          <w:sz w:val="28"/>
          <w:szCs w:val="28"/>
          <w:lang w:val="es-CO"/>
        </w:rPr>
        <w:t xml:space="preserve">dieciocho </w:t>
      </w:r>
      <w:r w:rsidR="00C42F9E" w:rsidRPr="006B31F3">
        <w:rPr>
          <w:rFonts w:ascii="Georgia" w:hAnsi="Georgia" w:cs="Arial"/>
          <w:smallCaps/>
          <w:sz w:val="28"/>
          <w:szCs w:val="28"/>
          <w:lang w:val="es-CO"/>
        </w:rPr>
        <w:t>(</w:t>
      </w:r>
      <w:r w:rsidR="0007793B">
        <w:rPr>
          <w:rFonts w:ascii="Georgia" w:hAnsi="Georgia" w:cs="Arial"/>
          <w:smallCaps/>
          <w:sz w:val="28"/>
          <w:szCs w:val="28"/>
          <w:lang w:val="es-CO"/>
        </w:rPr>
        <w:t>2018</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6B31F3" w:rsidRDefault="00EC6535" w:rsidP="00771048">
      <w:pPr>
        <w:spacing w:line="360" w:lineRule="auto"/>
        <w:jc w:val="center"/>
        <w:rPr>
          <w:rFonts w:ascii="Georgia" w:hAnsi="Georgia" w:cs="Arial"/>
          <w:b/>
          <w:bCs/>
          <w:sz w:val="24"/>
          <w:szCs w:val="24"/>
          <w:lang w:val="es-CO"/>
        </w:rPr>
      </w:pPr>
    </w:p>
    <w:p w:rsidR="0005223F" w:rsidRPr="006B31F3"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Puesto"/>
        <w:spacing w:line="360" w:lineRule="auto"/>
        <w:jc w:val="left"/>
        <w:rPr>
          <w:rFonts w:ascii="Georgia" w:hAnsi="Georgia"/>
          <w:b w:val="0"/>
          <w:bCs w:val="0"/>
          <w:i w:val="0"/>
          <w:iCs w:val="0"/>
          <w:spacing w:val="-3"/>
          <w:szCs w:val="22"/>
          <w:lang w:val="es-ES_tradnl"/>
        </w:rPr>
      </w:pPr>
    </w:p>
    <w:p w:rsidR="009662F7" w:rsidRPr="006B31F3" w:rsidRDefault="009662F7" w:rsidP="009662F7">
      <w:pPr>
        <w:pStyle w:val="Puesto"/>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Puesto"/>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Puesto"/>
        <w:spacing w:line="360" w:lineRule="auto"/>
        <w:jc w:val="left"/>
        <w:rPr>
          <w:rFonts w:ascii="Georgia" w:hAnsi="Georgia"/>
          <w:b w:val="0"/>
          <w:bCs w:val="0"/>
          <w:i w:val="0"/>
          <w:iCs w:val="0"/>
          <w:spacing w:val="-3"/>
          <w:szCs w:val="22"/>
          <w:lang w:val="es-ES_tradnl"/>
        </w:rPr>
      </w:pPr>
    </w:p>
    <w:p w:rsidR="00CD4CC1" w:rsidRPr="006B31F3" w:rsidRDefault="00060EFC" w:rsidP="00CD4CC1">
      <w:pPr>
        <w:pStyle w:val="Textoindependien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1D18B8">
        <w:rPr>
          <w:rFonts w:ascii="Georgia" w:hAnsi="Georgia" w:cs="Arial"/>
          <w:lang w:val="es-CO"/>
        </w:rPr>
        <w:t>24</w:t>
      </w:r>
      <w:r w:rsidR="00CD6BE6">
        <w:rPr>
          <w:rFonts w:ascii="Georgia" w:hAnsi="Georgia" w:cs="Arial"/>
          <w:lang w:val="es-CO"/>
        </w:rPr>
        <w:t>-</w:t>
      </w:r>
      <w:r w:rsidR="001D18B8">
        <w:rPr>
          <w:rFonts w:ascii="Georgia" w:hAnsi="Georgia" w:cs="Arial"/>
          <w:lang w:val="es-CO"/>
        </w:rPr>
        <w:t>05</w:t>
      </w:r>
      <w:r w:rsidR="00CD6BE6">
        <w:rPr>
          <w:rFonts w:ascii="Georgia" w:hAnsi="Georgia" w:cs="Arial"/>
          <w:lang w:val="es-CO"/>
        </w:rPr>
        <w:t>-</w:t>
      </w:r>
      <w:r w:rsidR="001D18B8">
        <w:rPr>
          <w:rFonts w:ascii="Georgia" w:hAnsi="Georgia" w:cs="Arial"/>
          <w:lang w:val="es-CO"/>
        </w:rPr>
        <w:t xml:space="preserve">2018 </w:t>
      </w:r>
      <w:r w:rsidR="009662F7" w:rsidRPr="006B31F3">
        <w:rPr>
          <w:rFonts w:ascii="Georgia" w:hAnsi="Georgia" w:cs="Arial"/>
          <w:lang w:val="es-CO"/>
        </w:rPr>
        <w:t>a</w:t>
      </w:r>
      <w:r w:rsidR="00CF40BD" w:rsidRPr="006B31F3">
        <w:rPr>
          <w:rFonts w:ascii="Georgia" w:hAnsi="Georgia" w:cs="Arial"/>
          <w:lang w:val="es-CO"/>
        </w:rPr>
        <w:t xml:space="preserve">nte </w:t>
      </w:r>
      <w:r w:rsidR="00CD6BE6">
        <w:rPr>
          <w:rFonts w:ascii="Georgia" w:hAnsi="Georgia" w:cs="Arial"/>
          <w:lang w:val="es-CO"/>
        </w:rPr>
        <w:t xml:space="preserve">la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143FDC" w:rsidRPr="006B31F3">
        <w:rPr>
          <w:rFonts w:ascii="Georgia" w:hAnsi="Georgia" w:cs="Arial"/>
        </w:rPr>
        <w:t xml:space="preserve"> </w:t>
      </w:r>
      <w:r w:rsidR="001D18B8">
        <w:rPr>
          <w:rFonts w:ascii="Georgia" w:hAnsi="Georgia" w:cs="Arial"/>
        </w:rPr>
        <w:t>12</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407346" w:rsidRPr="006B31F3">
        <w:rPr>
          <w:rFonts w:ascii="Georgia" w:hAnsi="Georgia" w:cs="Arial"/>
          <w:lang w:val="es-CO"/>
        </w:rPr>
        <w:t xml:space="preserve">con proveído </w:t>
      </w:r>
      <w:r w:rsidR="005F01E5">
        <w:rPr>
          <w:rFonts w:ascii="Georgia" w:hAnsi="Georgia" w:cs="Arial"/>
          <w:lang w:val="es-CO"/>
        </w:rPr>
        <w:t xml:space="preserve">del </w:t>
      </w:r>
      <w:r w:rsidR="001D18B8">
        <w:rPr>
          <w:rFonts w:ascii="Georgia" w:hAnsi="Georgia" w:cs="Arial"/>
          <w:lang w:val="es-CO"/>
        </w:rPr>
        <w:t xml:space="preserve">28-05-2018 </w:t>
      </w:r>
      <w:r w:rsidR="002F7EA6" w:rsidRPr="006B31F3">
        <w:rPr>
          <w:rFonts w:ascii="Georgia" w:hAnsi="Georgia" w:cs="Arial"/>
          <w:lang w:val="es-CO"/>
        </w:rPr>
        <w:t xml:space="preserve">requirió </w:t>
      </w:r>
      <w:r w:rsidR="001D18B8">
        <w:rPr>
          <w:rFonts w:ascii="Georgia" w:hAnsi="Georgia" w:cs="Arial"/>
          <w:lang w:val="es-CO"/>
        </w:rPr>
        <w:t xml:space="preserve">a la </w:t>
      </w:r>
      <w:proofErr w:type="spellStart"/>
      <w:r w:rsidR="001D18B8">
        <w:rPr>
          <w:rFonts w:ascii="Georgia" w:hAnsi="Georgia" w:cs="Arial"/>
          <w:lang w:val="es-CO"/>
        </w:rPr>
        <w:t>Gerenta</w:t>
      </w:r>
      <w:proofErr w:type="spellEnd"/>
      <w:r w:rsidR="001D18B8">
        <w:rPr>
          <w:rFonts w:ascii="Georgia" w:hAnsi="Georgia" w:cs="Arial"/>
          <w:lang w:val="es-CO"/>
        </w:rPr>
        <w:t xml:space="preserve"> Regional </w:t>
      </w:r>
      <w:r w:rsidR="003C4EBE" w:rsidRPr="006B31F3">
        <w:rPr>
          <w:rFonts w:ascii="Georgia" w:hAnsi="Georgia" w:cs="Arial"/>
          <w:lang w:val="es-CO"/>
        </w:rPr>
        <w:t xml:space="preserve">y </w:t>
      </w:r>
      <w:r w:rsidR="001D18B8">
        <w:rPr>
          <w:rFonts w:ascii="Georgia" w:hAnsi="Georgia" w:cs="Arial"/>
          <w:lang w:val="es-CO"/>
        </w:rPr>
        <w:t xml:space="preserve">Presidente </w:t>
      </w:r>
      <w:r w:rsidR="003C4EBE" w:rsidRPr="006B31F3">
        <w:rPr>
          <w:rFonts w:ascii="Georgia" w:hAnsi="Georgia" w:cs="Arial"/>
          <w:lang w:val="es-CO"/>
        </w:rPr>
        <w:t xml:space="preserve">de </w:t>
      </w:r>
      <w:r w:rsidR="005F01E5">
        <w:rPr>
          <w:rFonts w:ascii="Georgia" w:hAnsi="Georgia" w:cs="Arial"/>
          <w:lang w:val="es-CO"/>
        </w:rPr>
        <w:t>l</w:t>
      </w:r>
      <w:r w:rsidR="002F7EA6" w:rsidRPr="006B31F3">
        <w:rPr>
          <w:rFonts w:ascii="Georgia" w:hAnsi="Georgia" w:cs="Arial"/>
          <w:lang w:val="es-CO"/>
        </w:rPr>
        <w:t xml:space="preserve">a Nueva EPS, respetivamente </w:t>
      </w:r>
      <w:r w:rsidR="00916504" w:rsidRPr="006B31F3">
        <w:rPr>
          <w:rFonts w:ascii="Georgia" w:hAnsi="Georgia" w:cs="Arial"/>
          <w:lang w:val="es-CO"/>
        </w:rPr>
        <w:t xml:space="preserve">(Folio </w:t>
      </w:r>
      <w:r w:rsidR="001D18B8">
        <w:rPr>
          <w:rFonts w:ascii="Georgia" w:hAnsi="Georgia" w:cs="Arial"/>
          <w:lang w:val="es-CO"/>
        </w:rPr>
        <w:t>13</w:t>
      </w:r>
      <w:r w:rsidR="00916504" w:rsidRPr="006B31F3">
        <w:rPr>
          <w:rFonts w:ascii="Georgia" w:hAnsi="Georgia" w:cs="Arial"/>
          <w:lang w:val="es-CO"/>
        </w:rPr>
        <w:t>, ibídem), luego</w:t>
      </w:r>
      <w:r w:rsidR="005F01E5">
        <w:rPr>
          <w:rFonts w:ascii="Georgia" w:hAnsi="Georgia" w:cs="Arial"/>
          <w:lang w:val="es-CO"/>
        </w:rPr>
        <w:t>,</w:t>
      </w:r>
      <w:r w:rsidR="00916504" w:rsidRPr="006B31F3">
        <w:rPr>
          <w:rFonts w:ascii="Georgia" w:hAnsi="Georgia" w:cs="Arial"/>
          <w:lang w:val="es-CO"/>
        </w:rPr>
        <w:t xml:space="preserve"> con decisión del </w:t>
      </w:r>
      <w:r w:rsidR="001D18B8">
        <w:rPr>
          <w:rFonts w:ascii="Georgia" w:hAnsi="Georgia" w:cs="Arial"/>
          <w:lang w:val="es-CO"/>
        </w:rPr>
        <w:t xml:space="preserve">06-06-2018 </w:t>
      </w:r>
      <w:r w:rsidR="00916504" w:rsidRPr="006B31F3">
        <w:rPr>
          <w:rFonts w:ascii="Georgia" w:hAnsi="Georgia" w:cs="Arial"/>
          <w:lang w:val="es-CO"/>
        </w:rPr>
        <w:t xml:space="preserve">dio apertura del incidente en </w:t>
      </w:r>
      <w:r w:rsidR="002F7EA6" w:rsidRPr="006B31F3">
        <w:rPr>
          <w:rFonts w:ascii="Georgia" w:hAnsi="Georgia" w:cs="Arial"/>
          <w:lang w:val="es-CO"/>
        </w:rPr>
        <w:t xml:space="preserve">su </w:t>
      </w:r>
      <w:r w:rsidR="00916504" w:rsidRPr="006B31F3">
        <w:rPr>
          <w:rFonts w:ascii="Georgia" w:hAnsi="Georgia" w:cs="Arial"/>
          <w:lang w:val="es-CO"/>
        </w:rPr>
        <w:t xml:space="preserve">contra </w:t>
      </w:r>
      <w:r w:rsidR="002F7EA6" w:rsidRPr="006B31F3">
        <w:rPr>
          <w:rFonts w:ascii="Georgia" w:hAnsi="Georgia" w:cs="Arial"/>
          <w:lang w:val="es-CO"/>
        </w:rPr>
        <w:t>(Folio</w:t>
      </w:r>
      <w:r w:rsidR="00CD6BE6">
        <w:rPr>
          <w:rFonts w:ascii="Georgia" w:hAnsi="Georgia" w:cs="Arial"/>
          <w:lang w:val="es-CO"/>
        </w:rPr>
        <w:t xml:space="preserve"> </w:t>
      </w:r>
      <w:r w:rsidR="001D18B8">
        <w:rPr>
          <w:rFonts w:ascii="Georgia" w:hAnsi="Georgia" w:cs="Arial"/>
          <w:lang w:val="es-CO"/>
        </w:rPr>
        <w:t>19</w:t>
      </w:r>
      <w:r w:rsidR="00916504" w:rsidRPr="006B31F3">
        <w:rPr>
          <w:rFonts w:ascii="Georgia" w:hAnsi="Georgia" w:cs="Arial"/>
          <w:lang w:val="es-CO"/>
        </w:rPr>
        <w:t xml:space="preserve">, ib.), </w:t>
      </w:r>
      <w:r w:rsidR="005F01E5">
        <w:rPr>
          <w:rFonts w:ascii="Georgia" w:hAnsi="Georgia" w:cs="Arial"/>
          <w:lang w:val="es-CO"/>
        </w:rPr>
        <w:t xml:space="preserve">seguidamente, </w:t>
      </w:r>
      <w:r w:rsidR="001D18B8">
        <w:rPr>
          <w:rFonts w:ascii="Georgia" w:hAnsi="Georgia" w:cs="Arial"/>
          <w:lang w:val="es-CO"/>
        </w:rPr>
        <w:t xml:space="preserve">y sin mediar </w:t>
      </w:r>
      <w:r w:rsidR="005F01E5">
        <w:rPr>
          <w:rFonts w:ascii="Georgia" w:hAnsi="Georgia" w:cs="Arial"/>
          <w:lang w:val="es-CO"/>
        </w:rPr>
        <w:t>decretó pruebas</w:t>
      </w:r>
      <w:r w:rsidR="00582DBE" w:rsidRPr="006B31F3">
        <w:rPr>
          <w:rFonts w:ascii="Georgia" w:hAnsi="Georgia" w:cs="Arial"/>
          <w:lang w:val="es-CO"/>
        </w:rPr>
        <w:t xml:space="preserve">, con </w:t>
      </w:r>
      <w:r w:rsidR="00916504" w:rsidRPr="006B31F3">
        <w:rPr>
          <w:rFonts w:ascii="Georgia" w:hAnsi="Georgia" w:cs="Arial"/>
          <w:lang w:val="es-CO"/>
        </w:rPr>
        <w:t xml:space="preserve">providencia </w:t>
      </w:r>
      <w:r w:rsidR="00582DBE" w:rsidRPr="006B31F3">
        <w:rPr>
          <w:rFonts w:ascii="Georgia" w:hAnsi="Georgia" w:cs="Arial"/>
          <w:lang w:val="es-CO"/>
        </w:rPr>
        <w:t xml:space="preserve">del </w:t>
      </w:r>
      <w:r w:rsidR="001D18B8">
        <w:rPr>
          <w:rFonts w:ascii="Georgia" w:hAnsi="Georgia" w:cs="Arial"/>
          <w:lang w:val="es-CO"/>
        </w:rPr>
        <w:t xml:space="preserve">21-06-2018 </w:t>
      </w:r>
      <w:r w:rsidR="00063F11" w:rsidRPr="006B31F3">
        <w:rPr>
          <w:rFonts w:ascii="Georgia" w:hAnsi="Georgia" w:cs="Arial"/>
          <w:lang w:val="es-CO"/>
        </w:rPr>
        <w:t>lo</w:t>
      </w:r>
      <w:r w:rsidR="00916504" w:rsidRPr="006B31F3">
        <w:rPr>
          <w:rFonts w:ascii="Georgia" w:hAnsi="Georgia" w:cs="Arial"/>
          <w:lang w:val="es-CO"/>
        </w:rPr>
        <w:t>s</w:t>
      </w:r>
      <w:r w:rsidR="00063F11" w:rsidRPr="006B31F3">
        <w:rPr>
          <w:rFonts w:ascii="Georgia" w:hAnsi="Georgia" w:cs="Arial"/>
          <w:lang w:val="es-CO"/>
        </w:rPr>
        <w:t xml:space="preserve"> </w:t>
      </w:r>
      <w:r w:rsidR="00EF51A6" w:rsidRPr="006B31F3">
        <w:rPr>
          <w:rFonts w:ascii="Georgia" w:hAnsi="Georgia" w:cs="Arial"/>
          <w:lang w:val="es-CO"/>
        </w:rPr>
        <w:t xml:space="preserve">sancionó con multa y arresto </w:t>
      </w:r>
      <w:r w:rsidR="00CD4CC1" w:rsidRPr="006B31F3">
        <w:rPr>
          <w:rFonts w:ascii="Georgia" w:hAnsi="Georgia" w:cs="Arial"/>
          <w:lang w:val="es-CO"/>
        </w:rPr>
        <w:t xml:space="preserve">(Folios </w:t>
      </w:r>
      <w:r w:rsidR="001D18B8">
        <w:rPr>
          <w:rFonts w:ascii="Georgia" w:hAnsi="Georgia" w:cs="Arial"/>
          <w:lang w:val="es-CO"/>
        </w:rPr>
        <w:t>29 a 34</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Textoindependiente"/>
        <w:spacing w:line="360" w:lineRule="auto"/>
        <w:rPr>
          <w:rFonts w:ascii="Georgia" w:hAnsi="Georgia" w:cs="Arial"/>
          <w:lang w:val="es-CO"/>
        </w:rPr>
      </w:pPr>
    </w:p>
    <w:p w:rsidR="006B31F3" w:rsidRPr="006B31F3" w:rsidRDefault="006B31F3" w:rsidP="006B31F3">
      <w:pPr>
        <w:pStyle w:val="Prrafodelista"/>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CD6BE6" w:rsidRDefault="00CD6BE6" w:rsidP="00CD6BE6">
      <w:pPr>
        <w:pStyle w:val="Textoindependiente"/>
        <w:numPr>
          <w:ilvl w:val="1"/>
          <w:numId w:val="1"/>
        </w:numPr>
        <w:spacing w:line="360" w:lineRule="auto"/>
        <w:ind w:left="709" w:hanging="709"/>
        <w:rPr>
          <w:rFonts w:ascii="Georgia" w:hAnsi="Georgia" w:cs="Arial"/>
          <w:smallCaps/>
          <w:lang w:val="es-CO"/>
        </w:rPr>
      </w:pPr>
      <w:r>
        <w:rPr>
          <w:rFonts w:ascii="Georgia" w:hAnsi="Georgia" w:cs="Arial"/>
          <w:smallCaps/>
          <w:lang w:val="es-CO"/>
        </w:rPr>
        <w:t>La competencia funcional</w:t>
      </w:r>
    </w:p>
    <w:p w:rsidR="00CD6BE6" w:rsidRDefault="00CD6BE6" w:rsidP="00CD6BE6">
      <w:pPr>
        <w:pStyle w:val="Textoindependiente"/>
        <w:spacing w:line="360" w:lineRule="auto"/>
        <w:rPr>
          <w:rFonts w:ascii="Georgia" w:hAnsi="Georgia" w:cs="Arial"/>
          <w:smallCaps/>
          <w:lang w:val="es-CO"/>
        </w:rPr>
      </w:pPr>
    </w:p>
    <w:p w:rsidR="001D18B8" w:rsidRPr="001D18B8" w:rsidRDefault="00CD6BE6" w:rsidP="001D18B8">
      <w:pPr>
        <w:pStyle w:val="Textoindependiente"/>
        <w:numPr>
          <w:ilvl w:val="1"/>
          <w:numId w:val="1"/>
        </w:numPr>
        <w:spacing w:line="360" w:lineRule="auto"/>
        <w:ind w:left="709" w:hanging="709"/>
        <w:rPr>
          <w:rFonts w:ascii="Georgia" w:hAnsi="Georgia" w:cs="Arial"/>
          <w:smallCaps/>
          <w:lang w:val="es-CO"/>
        </w:rPr>
      </w:pPr>
      <w:r w:rsidRPr="00CD6BE6">
        <w:rPr>
          <w:rFonts w:ascii="Georgia" w:hAnsi="Georgia" w:cs="Arial"/>
          <w:lang w:val="es-MX"/>
        </w:rPr>
        <w:t xml:space="preserve">Esta Sala especializada está facultada para revisar la decisión sancionatoria, al tener la condición de superiora jerárquica del Juzgado Civil del Circuito de </w:t>
      </w:r>
      <w:r w:rsidR="001D18B8">
        <w:rPr>
          <w:rFonts w:ascii="Georgia" w:hAnsi="Georgia" w:cs="Arial"/>
          <w:lang w:val="es-MX"/>
        </w:rPr>
        <w:t>Santa Rosa de Cabal</w:t>
      </w:r>
      <w:r w:rsidRPr="00CD6BE6">
        <w:rPr>
          <w:rFonts w:ascii="Georgia" w:hAnsi="Georgia" w:cs="Arial"/>
          <w:lang w:val="es-MX"/>
        </w:rPr>
        <w:t xml:space="preserve">. </w:t>
      </w:r>
      <w:r w:rsidR="001D18B8" w:rsidRPr="006B31F3">
        <w:rPr>
          <w:rFonts w:ascii="Georgia" w:hAnsi="Georgia" w:cs="Arial"/>
          <w:lang w:val="es-MX"/>
        </w:rPr>
        <w:t xml:space="preserve">La consulta se </w:t>
      </w:r>
      <w:r w:rsidR="001D18B8">
        <w:rPr>
          <w:rFonts w:ascii="Georgia" w:hAnsi="Georgia" w:cs="Arial"/>
          <w:lang w:val="es-MX"/>
        </w:rPr>
        <w:t>decide</w:t>
      </w:r>
      <w:r w:rsidR="001D18B8" w:rsidRPr="006B31F3">
        <w:rPr>
          <w:rFonts w:ascii="Georgia" w:hAnsi="Georgia" w:cs="Arial"/>
          <w:lang w:val="es-MX"/>
        </w:rPr>
        <w:t xml:space="preserve"> en Sala Unitaria de la Corporación, puesto que no se trata de una providencia que deba desatarse en Sala de </w:t>
      </w:r>
      <w:r w:rsidR="001D18B8" w:rsidRPr="001D18B8">
        <w:rPr>
          <w:rFonts w:ascii="Georgia" w:hAnsi="Georgia" w:cs="Arial"/>
          <w:lang w:val="es-MX"/>
        </w:rPr>
        <w:t>Decisión</w:t>
      </w:r>
      <w:r w:rsidR="001D18B8">
        <w:rPr>
          <w:rFonts w:ascii="Georgia" w:hAnsi="Georgia" w:cs="Arial"/>
          <w:lang w:val="es-MX"/>
        </w:rPr>
        <w:t xml:space="preserve"> </w:t>
      </w:r>
      <w:r w:rsidR="001D18B8" w:rsidRPr="001D18B8">
        <w:rPr>
          <w:rFonts w:ascii="Georgia" w:hAnsi="Georgia" w:cs="Arial"/>
          <w:lang w:val="es-MX"/>
        </w:rPr>
        <w:t xml:space="preserve"> (Inciso 1º del artículo 35 </w:t>
      </w:r>
    </w:p>
    <w:p w:rsidR="001D18B8" w:rsidRDefault="001D18B8" w:rsidP="001D18B8">
      <w:pPr>
        <w:pStyle w:val="Prrafodelista"/>
        <w:rPr>
          <w:rFonts w:ascii="Georgia" w:hAnsi="Georgia" w:cs="Arial"/>
          <w:lang w:val="es-MX"/>
        </w:rPr>
      </w:pPr>
    </w:p>
    <w:p w:rsidR="001D18B8" w:rsidRPr="001D18B8" w:rsidRDefault="001D18B8" w:rsidP="001D18B8">
      <w:pPr>
        <w:pStyle w:val="Textoindependiente"/>
        <w:spacing w:line="360" w:lineRule="auto"/>
        <w:ind w:left="709"/>
        <w:rPr>
          <w:rFonts w:ascii="Georgia" w:hAnsi="Georgia" w:cs="Arial"/>
          <w:smallCaps/>
          <w:lang w:val="es-CO"/>
        </w:rPr>
      </w:pPr>
      <w:proofErr w:type="gramStart"/>
      <w:r w:rsidRPr="001D18B8">
        <w:rPr>
          <w:rFonts w:ascii="Georgia" w:hAnsi="Georgia" w:cs="Arial"/>
          <w:lang w:val="es-MX"/>
        </w:rPr>
        <w:lastRenderedPageBreak/>
        <w:t>del</w:t>
      </w:r>
      <w:proofErr w:type="gramEnd"/>
      <w:r w:rsidRPr="001D18B8">
        <w:rPr>
          <w:rFonts w:ascii="Georgia" w:hAnsi="Georgia" w:cs="Arial"/>
          <w:lang w:val="es-MX"/>
        </w:rPr>
        <w:t xml:space="preserve"> CGP). Criterio adoptado desde el 16-08-2016</w:t>
      </w:r>
      <w:r w:rsidRPr="00A23D66">
        <w:rPr>
          <w:rStyle w:val="Refdenotaalpie"/>
          <w:rFonts w:ascii="Georgia" w:hAnsi="Georgia"/>
          <w:lang w:val="es-MX"/>
        </w:rPr>
        <w:footnoteReference w:id="1"/>
      </w:r>
      <w:r w:rsidRPr="001D18B8">
        <w:rPr>
          <w:rFonts w:ascii="Georgia" w:hAnsi="Georgia" w:cs="Arial"/>
          <w:lang w:val="es-MX"/>
        </w:rPr>
        <w:t>.</w:t>
      </w:r>
    </w:p>
    <w:p w:rsidR="005B1F83" w:rsidRPr="006B31F3" w:rsidRDefault="005B1F83" w:rsidP="001D18B8">
      <w:pPr>
        <w:pStyle w:val="Textoindependiente"/>
        <w:spacing w:line="360" w:lineRule="auto"/>
        <w:rPr>
          <w:rFonts w:ascii="Georgia" w:hAnsi="Georgia" w:cs="Arial"/>
          <w:smallCaps/>
          <w:lang w:val="es-CO"/>
        </w:rPr>
      </w:pPr>
      <w:r w:rsidRPr="006B31F3">
        <w:rPr>
          <w:rFonts w:ascii="Georgia" w:hAnsi="Georgia" w:cs="Arial"/>
          <w:lang w:val="es-MX"/>
        </w:rPr>
        <w:t xml:space="preserve"> </w:t>
      </w:r>
    </w:p>
    <w:p w:rsidR="00E574A7" w:rsidRPr="006B31F3" w:rsidRDefault="00E574A7" w:rsidP="005B1F83">
      <w:pPr>
        <w:pStyle w:val="Prrafodelista"/>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Puesto"/>
        <w:spacing w:line="360" w:lineRule="auto"/>
        <w:jc w:val="left"/>
        <w:rPr>
          <w:rFonts w:ascii="Georgia" w:hAnsi="Georgia"/>
          <w:b w:val="0"/>
          <w:bCs w:val="0"/>
          <w:i w:val="0"/>
          <w:iCs w:val="0"/>
          <w:spacing w:val="-3"/>
          <w:lang w:val="es-ES_tradnl"/>
        </w:rPr>
      </w:pPr>
    </w:p>
    <w:p w:rsidR="00CD4CC1" w:rsidRPr="006B31F3" w:rsidRDefault="00CD4CC1" w:rsidP="00CD4CC1">
      <w:pPr>
        <w:pStyle w:val="Textoindependiente"/>
        <w:spacing w:line="360" w:lineRule="auto"/>
        <w:rPr>
          <w:rFonts w:ascii="Georgia" w:hAnsi="Georgia" w:cs="Arial"/>
          <w:lang w:val="es-CO"/>
        </w:rPr>
      </w:pPr>
      <w:r w:rsidRPr="006B31F3">
        <w:rPr>
          <w:rFonts w:ascii="Georgia" w:hAnsi="Georgia" w:cs="Arial"/>
        </w:rPr>
        <w:t xml:space="preserve">¿Debe confirmarse, modificarse o revocarse la providencia </w:t>
      </w:r>
      <w:r w:rsidR="001D18B8">
        <w:rPr>
          <w:rFonts w:ascii="Georgia" w:hAnsi="Georgia" w:cs="Arial"/>
        </w:rPr>
        <w:t>21</w:t>
      </w:r>
      <w:r w:rsidR="00CD6BE6">
        <w:rPr>
          <w:rFonts w:ascii="Georgia" w:hAnsi="Georgia" w:cs="Arial"/>
        </w:rPr>
        <w:t>-</w:t>
      </w:r>
      <w:r w:rsidR="001D18B8">
        <w:rPr>
          <w:rFonts w:ascii="Georgia" w:hAnsi="Georgia" w:cs="Arial"/>
        </w:rPr>
        <w:t>06</w:t>
      </w:r>
      <w:r w:rsidR="008D6398" w:rsidRPr="006B31F3">
        <w:rPr>
          <w:rFonts w:ascii="Georgia" w:hAnsi="Georgia" w:cs="Arial"/>
        </w:rPr>
        <w:t>-</w:t>
      </w:r>
      <w:r w:rsidR="001D18B8">
        <w:rPr>
          <w:rFonts w:ascii="Georgia" w:hAnsi="Georgia" w:cs="Arial"/>
        </w:rPr>
        <w:t xml:space="preserve">2018 </w:t>
      </w:r>
      <w:r w:rsidRPr="006B31F3">
        <w:rPr>
          <w:rFonts w:ascii="Georgia" w:hAnsi="Georgia" w:cs="Arial"/>
        </w:rPr>
        <w:t>mediante la cual se impuso</w:t>
      </w:r>
      <w:r w:rsidR="0000302C" w:rsidRPr="006B31F3">
        <w:rPr>
          <w:rFonts w:ascii="Georgia" w:hAnsi="Georgia" w:cs="Arial"/>
        </w:rPr>
        <w:t xml:space="preserve"> sanción de arresto y multa </w:t>
      </w:r>
      <w:r w:rsidR="008D6398" w:rsidRPr="006B31F3">
        <w:rPr>
          <w:rFonts w:ascii="Georgia" w:hAnsi="Georgia" w:cs="Arial"/>
        </w:rPr>
        <w:t xml:space="preserve">a los doctores </w:t>
      </w:r>
      <w:r w:rsidR="002F7EA6" w:rsidRPr="006B31F3">
        <w:rPr>
          <w:rFonts w:ascii="Georgia" w:hAnsi="Georgia" w:cs="Arial"/>
          <w:lang w:val="es-CO"/>
        </w:rPr>
        <w:t xml:space="preserve">María Lorena Serna Montoya y </w:t>
      </w:r>
      <w:r w:rsidR="001D18B8">
        <w:rPr>
          <w:rFonts w:ascii="Georgia" w:hAnsi="Georgia" w:cs="Arial"/>
          <w:lang w:val="es-CO"/>
        </w:rPr>
        <w:t>José Fernando Cardona Uribe</w:t>
      </w:r>
      <w:r w:rsidR="002F7EA6" w:rsidRPr="006B31F3">
        <w:rPr>
          <w:rFonts w:ascii="Georgia" w:hAnsi="Georgia" w:cs="Arial"/>
          <w:lang w:val="es-CO"/>
        </w:rPr>
        <w:t xml:space="preserve">, en sus calidades </w:t>
      </w:r>
      <w:r w:rsidR="005F01E5" w:rsidRPr="006B31F3">
        <w:rPr>
          <w:rFonts w:ascii="Georgia" w:hAnsi="Georgia" w:cs="Arial"/>
          <w:lang w:val="es-CO"/>
        </w:rPr>
        <w:t xml:space="preserve">de </w:t>
      </w:r>
      <w:proofErr w:type="spellStart"/>
      <w:r w:rsidR="001D18B8">
        <w:rPr>
          <w:rFonts w:ascii="Georgia" w:hAnsi="Georgia" w:cs="Arial"/>
          <w:lang w:val="es-CO"/>
        </w:rPr>
        <w:t>Gerenta</w:t>
      </w:r>
      <w:proofErr w:type="spellEnd"/>
      <w:r w:rsidR="001D18B8">
        <w:rPr>
          <w:rFonts w:ascii="Georgia" w:hAnsi="Georgia" w:cs="Arial"/>
          <w:lang w:val="es-CO"/>
        </w:rPr>
        <w:t xml:space="preserve"> Regional </w:t>
      </w:r>
      <w:r w:rsidR="001D18B8" w:rsidRPr="006B31F3">
        <w:rPr>
          <w:rFonts w:ascii="Georgia" w:hAnsi="Georgia" w:cs="Arial"/>
          <w:lang w:val="es-CO"/>
        </w:rPr>
        <w:t xml:space="preserve">y </w:t>
      </w:r>
      <w:r w:rsidR="001D18B8">
        <w:rPr>
          <w:rFonts w:ascii="Georgia" w:hAnsi="Georgia" w:cs="Arial"/>
          <w:lang w:val="es-CO"/>
        </w:rPr>
        <w:t xml:space="preserve">Presidente </w:t>
      </w:r>
      <w:r w:rsidR="001D18B8" w:rsidRPr="006B31F3">
        <w:rPr>
          <w:rFonts w:ascii="Georgia" w:hAnsi="Georgia" w:cs="Arial"/>
          <w:lang w:val="es-CO"/>
        </w:rPr>
        <w:t xml:space="preserve">de </w:t>
      </w:r>
      <w:r w:rsidR="001D18B8">
        <w:rPr>
          <w:rFonts w:ascii="Georgia" w:hAnsi="Georgia" w:cs="Arial"/>
          <w:lang w:val="es-CO"/>
        </w:rPr>
        <w:t>l</w:t>
      </w:r>
      <w:r w:rsidR="001D18B8" w:rsidRPr="006B31F3">
        <w:rPr>
          <w:rFonts w:ascii="Georgia" w:hAnsi="Georgia" w:cs="Arial"/>
          <w:lang w:val="es-CO"/>
        </w:rPr>
        <w:t>a Nueva EPS</w:t>
      </w:r>
      <w:r w:rsidR="002F7EA6" w:rsidRPr="006B31F3">
        <w:rPr>
          <w:rFonts w:ascii="Georgia" w:hAnsi="Georgia" w:cs="Arial"/>
          <w:lang w:val="es-CO"/>
        </w:rPr>
        <w:t>, respetivamente</w:t>
      </w:r>
      <w:r w:rsidR="0000302C" w:rsidRPr="006B31F3">
        <w:rPr>
          <w:rFonts w:ascii="Georgia" w:hAnsi="Georgia" w:cs="Arial"/>
          <w:lang w:val="es-CO"/>
        </w:rPr>
        <w:t xml:space="preserve">, </w:t>
      </w:r>
      <w:r w:rsidRPr="006B31F3">
        <w:rPr>
          <w:rFonts w:ascii="Georgia" w:hAnsi="Georgia" w:cs="Arial"/>
          <w:lang w:val="es-CO"/>
        </w:rPr>
        <w:t>con ocasión d</w:t>
      </w:r>
      <w:r w:rsidRPr="006B31F3">
        <w:rPr>
          <w:rFonts w:ascii="Georgia" w:hAnsi="Georgia" w:cs="Arial"/>
        </w:rPr>
        <w:t xml:space="preserve">el trámite de desacato adelantado ante el Juzgado </w:t>
      </w:r>
      <w:r w:rsidR="00B53D5F" w:rsidRPr="006B31F3">
        <w:rPr>
          <w:rFonts w:ascii="Georgia" w:hAnsi="Georgia" w:cs="Arial"/>
        </w:rPr>
        <w:t>de conocimiento</w:t>
      </w:r>
      <w:r w:rsidRPr="006B31F3">
        <w:rPr>
          <w:rFonts w:ascii="Georgia" w:hAnsi="Georgia" w:cs="Arial"/>
        </w:rPr>
        <w:t>?</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Puesto"/>
        <w:spacing w:line="360" w:lineRule="auto"/>
        <w:jc w:val="left"/>
        <w:rPr>
          <w:rFonts w:ascii="Georgia" w:hAnsi="Georgia"/>
          <w:b w:val="0"/>
          <w:bCs w:val="0"/>
          <w:i w:val="0"/>
          <w:iCs w:val="0"/>
          <w:spacing w:val="-3"/>
          <w:szCs w:val="22"/>
          <w:lang w:val="es-ES_tradnl"/>
        </w:rPr>
      </w:pPr>
    </w:p>
    <w:p w:rsidR="001D18B8" w:rsidRPr="0054151A" w:rsidRDefault="001D18B8" w:rsidP="001D18B8">
      <w:pPr>
        <w:pStyle w:val="Prrafodelista"/>
        <w:numPr>
          <w:ilvl w:val="2"/>
          <w:numId w:val="1"/>
        </w:numPr>
        <w:tabs>
          <w:tab w:val="left" w:pos="-720"/>
          <w:tab w:val="left" w:pos="1080"/>
        </w:tabs>
        <w:suppressAutoHyphens/>
        <w:spacing w:line="360" w:lineRule="auto"/>
        <w:jc w:val="both"/>
        <w:rPr>
          <w:rFonts w:ascii="Georgia" w:hAnsi="Georgia" w:cs="Arial"/>
          <w:i/>
          <w:spacing w:val="-3"/>
          <w:sz w:val="24"/>
          <w:szCs w:val="24"/>
          <w:lang w:val="es-CO"/>
        </w:rPr>
      </w:pPr>
      <w:r w:rsidRPr="0054151A">
        <w:rPr>
          <w:rFonts w:ascii="Georgia" w:hAnsi="Georgia" w:cs="Arial"/>
          <w:i/>
          <w:spacing w:val="-3"/>
          <w:sz w:val="24"/>
          <w:szCs w:val="24"/>
          <w:lang w:val="es-CO"/>
        </w:rPr>
        <w:t>Los aspectos objeto de acreditación en el incidente de desacato</w:t>
      </w:r>
    </w:p>
    <w:p w:rsidR="001D18B8" w:rsidRPr="00263D55" w:rsidRDefault="001D18B8" w:rsidP="001D18B8">
      <w:pPr>
        <w:pStyle w:val="Puesto"/>
        <w:spacing w:line="360" w:lineRule="auto"/>
        <w:jc w:val="left"/>
        <w:rPr>
          <w:rFonts w:ascii="Georgia" w:hAnsi="Georgia"/>
          <w:b w:val="0"/>
          <w:bCs w:val="0"/>
          <w:i w:val="0"/>
          <w:iCs w:val="0"/>
          <w:spacing w:val="-3"/>
          <w:lang w:val="es-ES_tradnl"/>
        </w:rPr>
      </w:pPr>
    </w:p>
    <w:p w:rsidR="001D18B8" w:rsidRPr="001F3707" w:rsidRDefault="001D18B8" w:rsidP="001D18B8">
      <w:pPr>
        <w:spacing w:line="360" w:lineRule="auto"/>
        <w:jc w:val="both"/>
        <w:rPr>
          <w:rFonts w:ascii="Georgia" w:hAnsi="Georgia" w:cs="Arial"/>
          <w:sz w:val="24"/>
          <w:szCs w:val="24"/>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 xml:space="preserve">: </w:t>
      </w:r>
      <w:r w:rsidRPr="00DA1D1C">
        <w:rPr>
          <w:rFonts w:ascii="Georgia" w:hAnsi="Georgia" w:cs="Arial"/>
          <w:i/>
          <w:sz w:val="22"/>
          <w:szCs w:val="22"/>
          <w:lang w:val="es-CO"/>
        </w:rPr>
        <w:t xml:space="preserve">“(…) </w:t>
      </w:r>
      <w:r w:rsidRPr="00DA1D1C">
        <w:rPr>
          <w:rFonts w:ascii="Georgia" w:hAnsi="Georgia"/>
          <w:i/>
          <w:sz w:val="22"/>
          <w:szCs w:val="22"/>
          <w:shd w:val="clear" w:color="auto" w:fill="FFFFFF"/>
          <w:lang w:val="es-CO"/>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0" w:name="_ftnref25"/>
      <w:r w:rsidRPr="00DA1D1C">
        <w:rPr>
          <w:rFonts w:ascii="Georgia" w:hAnsi="Georgia"/>
          <w:i/>
          <w:sz w:val="22"/>
          <w:szCs w:val="22"/>
          <w:shd w:val="clear" w:color="auto" w:fill="FFFFFF"/>
          <w:lang w:val="es-CO"/>
        </w:rPr>
        <w:t>efectiva protección del derecho</w:t>
      </w:r>
      <w:bookmarkEnd w:id="0"/>
      <w:r>
        <w:rPr>
          <w:rFonts w:ascii="Georgia" w:hAnsi="Georgia"/>
          <w:i/>
          <w:sz w:val="22"/>
          <w:szCs w:val="22"/>
          <w:shd w:val="clear" w:color="auto" w:fill="FFFFFF"/>
          <w:lang w:val="es-CO"/>
        </w:rPr>
        <w:t xml:space="preserve">”. </w:t>
      </w:r>
      <w:r w:rsidRPr="00DA1D1C">
        <w:rPr>
          <w:rFonts w:ascii="Georgia" w:hAnsi="Georgia"/>
          <w:sz w:val="22"/>
          <w:szCs w:val="22"/>
          <w:shd w:val="clear" w:color="auto" w:fill="FFFFFF"/>
          <w:lang w:val="es-CO"/>
        </w:rPr>
        <w:t>U</w:t>
      </w:r>
      <w:r>
        <w:rPr>
          <w:rFonts w:ascii="Georgia" w:hAnsi="Georgia"/>
          <w:sz w:val="24"/>
          <w:szCs w:val="24"/>
          <w:bdr w:val="none" w:sz="0" w:space="0" w:color="auto" w:frame="1"/>
          <w:lang w:val="es-CO"/>
        </w:rPr>
        <w:t>na vez sean resueltos dichos interrogantes se deberá</w:t>
      </w:r>
      <w:r>
        <w:rPr>
          <w:rStyle w:val="Refdenotaalpie"/>
          <w:rFonts w:ascii="Georgia" w:hAnsi="Georgia" w:cs="Arial"/>
          <w:sz w:val="24"/>
          <w:szCs w:val="24"/>
          <w:lang w:val="es-CO"/>
        </w:rPr>
        <w:footnoteReference w:id="3"/>
      </w:r>
      <w:r>
        <w:rPr>
          <w:rFonts w:ascii="Georgia" w:hAnsi="Georgia"/>
          <w:sz w:val="24"/>
          <w:szCs w:val="24"/>
          <w:bdr w:val="none" w:sz="0" w:space="0" w:color="auto" w:frame="1"/>
          <w:lang w:val="es-CO"/>
        </w:rPr>
        <w:t xml:space="preserve">: </w:t>
      </w:r>
      <w:r w:rsidRPr="00DA1D1C">
        <w:rPr>
          <w:rFonts w:ascii="Georgia" w:hAnsi="Georgia"/>
          <w:i/>
          <w:sz w:val="22"/>
          <w:szCs w:val="24"/>
          <w:bdr w:val="none" w:sz="0" w:space="0" w:color="auto" w:frame="1"/>
          <w:lang w:val="es-CO"/>
        </w:rPr>
        <w:t xml:space="preserve">“(…) </w:t>
      </w:r>
      <w:r w:rsidRPr="00DA1D1C">
        <w:rPr>
          <w:rFonts w:ascii="Georgia" w:hAnsi="Georgia"/>
          <w:i/>
          <w:sz w:val="22"/>
          <w:szCs w:val="24"/>
          <w:shd w:val="clear" w:color="auto" w:fill="FFFFFF"/>
          <w:lang w:val="es-CO"/>
        </w:rPr>
        <w:t>examinar la responsabilidad subjetiva del obligado, para, finalmente, imponer las sanciones del caso, si verifica un ánimo de evadir la orden impartida en el fallo de tutela (..</w:t>
      </w:r>
      <w:r w:rsidRPr="00DA1D1C">
        <w:rPr>
          <w:rFonts w:ascii="Georgia" w:hAnsi="Georgia" w:cs="Arial"/>
          <w:i/>
          <w:sz w:val="22"/>
          <w:szCs w:val="24"/>
          <w:lang w:val="es-CO"/>
        </w:rPr>
        <w:t>.)</w:t>
      </w:r>
      <w:r>
        <w:rPr>
          <w:rFonts w:ascii="Georgia" w:hAnsi="Georgia" w:cs="Arial"/>
          <w:i/>
          <w:sz w:val="22"/>
          <w:szCs w:val="24"/>
          <w:lang w:val="es-CO"/>
        </w:rPr>
        <w:t>”.</w:t>
      </w:r>
    </w:p>
    <w:p w:rsidR="001D18B8" w:rsidRPr="00567DB0" w:rsidRDefault="001D18B8" w:rsidP="001D18B8">
      <w:pPr>
        <w:tabs>
          <w:tab w:val="left" w:pos="-720"/>
        </w:tabs>
        <w:suppressAutoHyphens/>
        <w:spacing w:line="360" w:lineRule="auto"/>
        <w:jc w:val="both"/>
        <w:rPr>
          <w:rFonts w:ascii="Georgia" w:hAnsi="Georgia" w:cs="Arial"/>
          <w:szCs w:val="24"/>
          <w:lang w:val="es-CO"/>
        </w:rPr>
      </w:pPr>
    </w:p>
    <w:p w:rsidR="001D18B8" w:rsidRDefault="001D18B8" w:rsidP="001D18B8">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 xml:space="preserve">(…) </w:t>
      </w:r>
      <w:r>
        <w:rPr>
          <w:rFonts w:ascii="Georgia" w:hAnsi="Georgia" w:cs="Arial"/>
          <w:i/>
          <w:iCs/>
          <w:sz w:val="22"/>
          <w:szCs w:val="22"/>
          <w:lang w:val="es-CO" w:eastAsia="en-US"/>
        </w:rPr>
        <w:t>es fundamental valorar la responsabilidad subjetiva del funcionario en el incumplimiento del fallo. De comprobarse el incumplimiento, el juez debe identificar si éste fue integral o parcial, e igualmente debe identificar las razones por las cuales se produjo (…)</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1D18B8" w:rsidRPr="00567DB0" w:rsidRDefault="001D18B8" w:rsidP="001D18B8">
      <w:pPr>
        <w:tabs>
          <w:tab w:val="left" w:pos="-720"/>
        </w:tabs>
        <w:suppressAutoHyphens/>
        <w:spacing w:line="360" w:lineRule="auto"/>
        <w:jc w:val="both"/>
        <w:rPr>
          <w:rFonts w:ascii="Georgia" w:hAnsi="Georgia" w:cs="Arial"/>
          <w:spacing w:val="-3"/>
          <w:szCs w:val="24"/>
          <w:lang w:val="es-CO"/>
        </w:rPr>
      </w:pPr>
    </w:p>
    <w:p w:rsidR="001D18B8" w:rsidRPr="001D18B8" w:rsidRDefault="001D18B8" w:rsidP="001D18B8">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lastRenderedPageBreak/>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p>
    <w:p w:rsidR="001D18B8" w:rsidRPr="00A07C7A" w:rsidRDefault="001D18B8" w:rsidP="001D18B8">
      <w:pPr>
        <w:tabs>
          <w:tab w:val="left" w:pos="-720"/>
        </w:tabs>
        <w:suppressAutoHyphens/>
        <w:spacing w:line="360" w:lineRule="auto"/>
        <w:jc w:val="both"/>
        <w:rPr>
          <w:rFonts w:ascii="Georgia" w:hAnsi="Georgia" w:cs="Arial"/>
          <w:i/>
          <w:spacing w:val="-3"/>
          <w:sz w:val="16"/>
          <w:szCs w:val="24"/>
          <w:lang w:val="es-CO"/>
        </w:rPr>
      </w:pPr>
    </w:p>
    <w:p w:rsidR="001D18B8" w:rsidRPr="00544A87" w:rsidRDefault="001D18B8" w:rsidP="001D18B8">
      <w:pPr>
        <w:tabs>
          <w:tab w:val="left" w:pos="-720"/>
        </w:tabs>
        <w:suppressAutoHyphens/>
        <w:ind w:left="567" w:right="618"/>
        <w:jc w:val="both"/>
        <w:rPr>
          <w:rFonts w:ascii="Georgia" w:hAnsi="Georgia" w:cs="Arial"/>
          <w:spacing w:val="-3"/>
          <w:sz w:val="24"/>
          <w:szCs w:val="24"/>
          <w:lang w:val="es-CO"/>
        </w:rPr>
      </w:pPr>
      <w:r w:rsidRPr="00544A87">
        <w:rPr>
          <w:rFonts w:ascii="Georgia" w:hAnsi="Georgia" w:cs="Arial"/>
          <w:sz w:val="24"/>
          <w:szCs w:val="24"/>
          <w:lang w:val="es-ES_tradnl"/>
        </w:rPr>
        <w:t>…</w:t>
      </w:r>
      <w:r w:rsidRPr="00D35584">
        <w:rPr>
          <w:rFonts w:ascii="Georgia" w:hAnsi="Georgia" w:cs="Arial"/>
          <w:sz w:val="24"/>
          <w:szCs w:val="24"/>
          <w:lang w:val="es-ES_tradnl"/>
        </w:rPr>
        <w:t>«</w:t>
      </w:r>
      <w:r w:rsidRPr="00544A87">
        <w:rPr>
          <w:rFonts w:ascii="Georgia" w:hAnsi="Georgia" w:cs="Arial"/>
          <w:sz w:val="24"/>
          <w:szCs w:val="24"/>
          <w:lang w:val="es-ES_tradnl"/>
        </w:rPr>
        <w:t xml:space="preserve">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 Cabe acotar, que la Corte Constitucional sobre el tema ha precisado que ‘(…) se puede deducir que la finalidad del incidente de desacato no es la imposición de la sanción en sí misma, sino la sanción como una de las formas de búsqueda del cumplimiento de la sentencia’…» (CSJ STC2013 31 oct. </w:t>
      </w:r>
      <w:proofErr w:type="spellStart"/>
      <w:r w:rsidRPr="00544A87">
        <w:rPr>
          <w:rFonts w:ascii="Georgia" w:hAnsi="Georgia" w:cs="Arial"/>
          <w:sz w:val="24"/>
          <w:szCs w:val="24"/>
          <w:lang w:val="es-ES_tradnl"/>
        </w:rPr>
        <w:t>exp</w:t>
      </w:r>
      <w:proofErr w:type="spellEnd"/>
      <w:r w:rsidRPr="00544A87">
        <w:rPr>
          <w:rFonts w:ascii="Georgia" w:hAnsi="Georgia" w:cs="Arial"/>
          <w:sz w:val="24"/>
          <w:szCs w:val="24"/>
          <w:lang w:val="es-ES_tradnl"/>
        </w:rPr>
        <w:t>. 00393-01, reiterada en STC2013, 18 dic. rad. 02975-00; STC9613-2015, 23 jul. 2015, rad. 01598-00, y STC204-2016, 21 ene. 2016, rad. 82905-02).</w:t>
      </w:r>
    </w:p>
    <w:p w:rsidR="00B34A2A" w:rsidRPr="0042405E" w:rsidRDefault="00B34A2A" w:rsidP="00B34A2A">
      <w:pPr>
        <w:pStyle w:val="Sangradetextonormal"/>
        <w:spacing w:after="0" w:line="360" w:lineRule="auto"/>
        <w:ind w:left="0"/>
        <w:jc w:val="both"/>
        <w:rPr>
          <w:rFonts w:ascii="Georgia" w:hAnsi="Georgia"/>
          <w:sz w:val="32"/>
          <w:lang w:val="es-CO"/>
        </w:rPr>
      </w:pPr>
    </w:p>
    <w:p w:rsidR="00407346" w:rsidRPr="006B31F3" w:rsidRDefault="00407346" w:rsidP="00407346">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1D18B8" w:rsidRPr="001D18B8" w:rsidRDefault="001D18B8" w:rsidP="001D18B8">
      <w:pPr>
        <w:pStyle w:val="Sinespaciado"/>
        <w:spacing w:line="360" w:lineRule="auto"/>
        <w:jc w:val="both"/>
        <w:rPr>
          <w:rFonts w:ascii="Georgia" w:hAnsi="Georgia" w:cs="Arial"/>
          <w:iCs/>
          <w:spacing w:val="-3"/>
          <w:lang w:val="es-CO"/>
        </w:rPr>
      </w:pPr>
      <w:r w:rsidRPr="001D18B8">
        <w:rPr>
          <w:rFonts w:ascii="Georgia" w:hAnsi="Georgia" w:cs="Arial"/>
          <w:spacing w:val="-3"/>
          <w:lang w:val="es-CO"/>
        </w:rPr>
        <w:t>La decisión venida en consulta habrá confirmarse en su integridad, pues se aviene al cumplimiento de los supuestos que constituyen el tema de prueba, esto es (i) A</w:t>
      </w:r>
      <w:r w:rsidRPr="001D18B8">
        <w:rPr>
          <w:rFonts w:ascii="Georgia" w:hAnsi="Georgia" w:cs="Arial"/>
          <w:iCs/>
          <w:spacing w:val="-3"/>
          <w:lang w:val="es-CO"/>
        </w:rPr>
        <w:t xml:space="preserve"> quién estaba dirigida la orden; (ii) Cuál fue el término otorgado para ejecutarla, y, (iii) Cuál es el alcance de la misma. </w:t>
      </w:r>
    </w:p>
    <w:p w:rsidR="001D18B8" w:rsidRDefault="001D18B8"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1F4CBF" w:rsidRDefault="001D18B8" w:rsidP="001F4CBF">
      <w:pPr>
        <w:spacing w:line="360" w:lineRule="auto"/>
        <w:jc w:val="both"/>
        <w:rPr>
          <w:rFonts w:ascii="Georgia" w:hAnsi="Georgia" w:cs="Arial"/>
          <w:spacing w:val="-3"/>
          <w:sz w:val="24"/>
          <w:szCs w:val="28"/>
          <w:lang w:val="es-CO"/>
        </w:rPr>
      </w:pPr>
      <w:r w:rsidRPr="001D18B8">
        <w:rPr>
          <w:rFonts w:ascii="Georgia" w:hAnsi="Georgia" w:cs="Arial"/>
          <w:spacing w:val="-3"/>
          <w:sz w:val="24"/>
          <w:szCs w:val="24"/>
          <w:lang w:val="es-CO"/>
        </w:rPr>
        <w:t xml:space="preserve">El fallo de tutela fechado </w:t>
      </w:r>
      <w:r>
        <w:rPr>
          <w:rFonts w:ascii="Georgia" w:hAnsi="Georgia" w:cs="Arial"/>
          <w:spacing w:val="-3"/>
          <w:sz w:val="24"/>
          <w:szCs w:val="24"/>
          <w:lang w:val="es-CO"/>
        </w:rPr>
        <w:t xml:space="preserve">15-07-2005, ajustada la orden en cuanto a la persona encargada de cumplirlo con auto del 28-05-2018, </w:t>
      </w:r>
      <w:r w:rsidRPr="001D18B8">
        <w:rPr>
          <w:rFonts w:ascii="Georgia" w:hAnsi="Georgia" w:cs="Arial"/>
          <w:spacing w:val="-3"/>
          <w:sz w:val="24"/>
          <w:szCs w:val="24"/>
          <w:lang w:val="es-CO"/>
        </w:rPr>
        <w:t xml:space="preserve">ordenó, a la </w:t>
      </w:r>
      <w:proofErr w:type="spellStart"/>
      <w:r>
        <w:rPr>
          <w:rFonts w:ascii="Georgia" w:hAnsi="Georgia" w:cs="Arial"/>
          <w:spacing w:val="-3"/>
          <w:sz w:val="24"/>
          <w:szCs w:val="24"/>
          <w:lang w:val="es-CO"/>
        </w:rPr>
        <w:t>Gerenta</w:t>
      </w:r>
      <w:proofErr w:type="spellEnd"/>
      <w:r>
        <w:rPr>
          <w:rFonts w:ascii="Georgia" w:hAnsi="Georgia" w:cs="Arial"/>
          <w:spacing w:val="-3"/>
          <w:sz w:val="24"/>
          <w:szCs w:val="24"/>
          <w:lang w:val="es-CO"/>
        </w:rPr>
        <w:t xml:space="preserve"> Regional de la </w:t>
      </w:r>
      <w:r w:rsidRPr="001D18B8">
        <w:rPr>
          <w:rFonts w:ascii="Georgia" w:hAnsi="Georgia" w:cs="Arial"/>
          <w:spacing w:val="-3"/>
          <w:sz w:val="24"/>
          <w:szCs w:val="24"/>
          <w:lang w:val="es-CO"/>
        </w:rPr>
        <w:t>Nueva EPS</w:t>
      </w:r>
      <w:r w:rsidR="007D43FA">
        <w:rPr>
          <w:rFonts w:ascii="Georgia" w:hAnsi="Georgia" w:cs="Arial"/>
          <w:spacing w:val="-3"/>
          <w:sz w:val="24"/>
          <w:szCs w:val="24"/>
          <w:lang w:val="es-CO"/>
        </w:rPr>
        <w:t xml:space="preserve">: (i) Remitir a la accionante con especialista en reumatología para que valore los resultados de los exámenes practicados; (ii) Suministrar el medicamento </w:t>
      </w:r>
      <w:r w:rsidR="007D43FA" w:rsidRPr="007D43FA">
        <w:rPr>
          <w:rFonts w:ascii="Georgia" w:hAnsi="Georgia" w:cs="Arial"/>
          <w:i/>
          <w:spacing w:val="-3"/>
          <w:sz w:val="24"/>
          <w:szCs w:val="24"/>
          <w:lang w:val="es-CO"/>
        </w:rPr>
        <w:t>“</w:t>
      </w:r>
      <w:proofErr w:type="spellStart"/>
      <w:r w:rsidR="007D43FA" w:rsidRPr="007D43FA">
        <w:rPr>
          <w:rFonts w:ascii="Georgia" w:hAnsi="Georgia" w:cs="Arial"/>
          <w:i/>
          <w:spacing w:val="-3"/>
          <w:sz w:val="24"/>
          <w:szCs w:val="24"/>
          <w:lang w:val="es-CO"/>
        </w:rPr>
        <w:t>Flotac</w:t>
      </w:r>
      <w:proofErr w:type="spellEnd"/>
      <w:r w:rsidR="007D43FA" w:rsidRPr="007D43FA">
        <w:rPr>
          <w:rFonts w:ascii="Georgia" w:hAnsi="Georgia" w:cs="Arial"/>
          <w:i/>
          <w:spacing w:val="-3"/>
          <w:sz w:val="24"/>
          <w:szCs w:val="24"/>
          <w:lang w:val="es-CO"/>
        </w:rPr>
        <w:t xml:space="preserve"> </w:t>
      </w:r>
      <w:proofErr w:type="spellStart"/>
      <w:r w:rsidR="007D43FA" w:rsidRPr="007D43FA">
        <w:rPr>
          <w:rFonts w:ascii="Georgia" w:hAnsi="Georgia" w:cs="Arial"/>
          <w:i/>
          <w:spacing w:val="-3"/>
          <w:sz w:val="24"/>
          <w:szCs w:val="24"/>
          <w:lang w:val="es-CO"/>
        </w:rPr>
        <w:t>apriz</w:t>
      </w:r>
      <w:proofErr w:type="spellEnd"/>
      <w:r w:rsidR="007D43FA" w:rsidRPr="007D43FA">
        <w:rPr>
          <w:rFonts w:ascii="Georgia" w:hAnsi="Georgia" w:cs="Arial"/>
          <w:i/>
          <w:spacing w:val="-3"/>
          <w:sz w:val="24"/>
          <w:szCs w:val="24"/>
          <w:lang w:val="es-CO"/>
        </w:rPr>
        <w:t xml:space="preserve"> </w:t>
      </w:r>
      <w:proofErr w:type="spellStart"/>
      <w:r w:rsidR="007D43FA" w:rsidRPr="007D43FA">
        <w:rPr>
          <w:rFonts w:ascii="Georgia" w:hAnsi="Georgia" w:cs="Arial"/>
          <w:i/>
          <w:spacing w:val="-3"/>
          <w:sz w:val="24"/>
          <w:szCs w:val="24"/>
          <w:lang w:val="es-CO"/>
        </w:rPr>
        <w:t>cadevit</w:t>
      </w:r>
      <w:proofErr w:type="spellEnd"/>
      <w:r w:rsidR="007D43FA" w:rsidRPr="007D43FA">
        <w:rPr>
          <w:rFonts w:ascii="Georgia" w:hAnsi="Georgia" w:cs="Arial"/>
          <w:i/>
          <w:spacing w:val="-3"/>
          <w:sz w:val="24"/>
          <w:szCs w:val="24"/>
          <w:lang w:val="es-CO"/>
        </w:rPr>
        <w:t>”</w:t>
      </w:r>
      <w:r w:rsidR="007D43FA">
        <w:rPr>
          <w:rFonts w:ascii="Georgia" w:hAnsi="Georgia" w:cs="Arial"/>
          <w:spacing w:val="-3"/>
          <w:sz w:val="24"/>
          <w:szCs w:val="28"/>
          <w:lang w:val="es-CO"/>
        </w:rPr>
        <w:t>; y, (iii) Brindar el tratamiento integral (Folios 4 vuelto, 5 y 13, curandero de incidente)</w:t>
      </w:r>
      <w:r w:rsidRPr="001D18B8">
        <w:rPr>
          <w:rFonts w:ascii="Georgia" w:hAnsi="Georgia" w:cs="Arial"/>
          <w:spacing w:val="-3"/>
          <w:sz w:val="24"/>
          <w:szCs w:val="28"/>
          <w:lang w:val="es-CO"/>
        </w:rPr>
        <w:t xml:space="preserve">. </w:t>
      </w:r>
    </w:p>
    <w:p w:rsidR="001F4CBF" w:rsidRDefault="001F4CBF" w:rsidP="001F4CBF">
      <w:pPr>
        <w:spacing w:line="360" w:lineRule="auto"/>
        <w:jc w:val="both"/>
        <w:rPr>
          <w:rFonts w:ascii="Georgia" w:hAnsi="Georgia" w:cs="Arial"/>
          <w:spacing w:val="-3"/>
          <w:sz w:val="24"/>
          <w:szCs w:val="28"/>
          <w:lang w:val="es-CO"/>
        </w:rPr>
      </w:pPr>
    </w:p>
    <w:p w:rsidR="001F4CBF" w:rsidRDefault="007D43FA" w:rsidP="001F4CBF">
      <w:pPr>
        <w:spacing w:line="360" w:lineRule="auto"/>
        <w:jc w:val="both"/>
        <w:rPr>
          <w:rFonts w:ascii="Georgia" w:hAnsi="Georgia" w:cs="Arial"/>
          <w:spacing w:val="-3"/>
          <w:szCs w:val="28"/>
          <w:lang w:val="es-CO"/>
        </w:rPr>
      </w:pPr>
      <w:r>
        <w:rPr>
          <w:rFonts w:ascii="Georgia" w:hAnsi="Georgia" w:cs="Arial"/>
          <w:spacing w:val="-3"/>
          <w:sz w:val="24"/>
          <w:szCs w:val="28"/>
          <w:lang w:val="es-CO"/>
        </w:rPr>
        <w:t>De tiempo atrás la EPS es conocedora</w:t>
      </w:r>
      <w:r w:rsidR="00B43671">
        <w:rPr>
          <w:rFonts w:ascii="Georgia" w:hAnsi="Georgia" w:cs="Arial"/>
          <w:spacing w:val="-3"/>
          <w:sz w:val="24"/>
          <w:szCs w:val="28"/>
          <w:lang w:val="es-CO"/>
        </w:rPr>
        <w:t xml:space="preserve"> de la orden tutelar (Folio 8 y 22, ibídem</w:t>
      </w:r>
      <w:r w:rsidR="001F4CBF">
        <w:rPr>
          <w:rFonts w:ascii="Georgia" w:hAnsi="Georgia" w:cs="Arial"/>
          <w:spacing w:val="-3"/>
          <w:sz w:val="24"/>
          <w:szCs w:val="28"/>
          <w:lang w:val="es-CO"/>
        </w:rPr>
        <w:t xml:space="preserve">), tampoco ninguno de los </w:t>
      </w:r>
      <w:proofErr w:type="spellStart"/>
      <w:r w:rsidR="001F4CBF">
        <w:rPr>
          <w:rFonts w:ascii="Georgia" w:hAnsi="Georgia" w:cs="Arial"/>
          <w:spacing w:val="-3"/>
          <w:sz w:val="24"/>
          <w:szCs w:val="28"/>
          <w:lang w:val="es-CO"/>
        </w:rPr>
        <w:t>incidentados</w:t>
      </w:r>
      <w:proofErr w:type="spellEnd"/>
      <w:r w:rsidR="001F4CBF">
        <w:rPr>
          <w:rFonts w:ascii="Georgia" w:hAnsi="Georgia" w:cs="Arial"/>
          <w:spacing w:val="-3"/>
          <w:sz w:val="24"/>
          <w:szCs w:val="28"/>
          <w:lang w:val="es-CO"/>
        </w:rPr>
        <w:t xml:space="preserve"> </w:t>
      </w:r>
      <w:r w:rsidR="001F4CBF" w:rsidRPr="001F4CBF">
        <w:rPr>
          <w:rFonts w:ascii="Georgia" w:hAnsi="Georgia" w:cs="Arial"/>
          <w:spacing w:val="-3"/>
          <w:sz w:val="24"/>
          <w:szCs w:val="24"/>
          <w:lang w:val="es-CO"/>
        </w:rPr>
        <w:t>refutó la obligación impuesta. En este asunto tuvieron varias ocasiones para cuestionarla, pero dejaron de hacerlo.</w:t>
      </w:r>
      <w:r w:rsidR="001F4CBF">
        <w:rPr>
          <w:rFonts w:ascii="Georgia" w:hAnsi="Georgia" w:cs="Arial"/>
          <w:spacing w:val="-3"/>
          <w:szCs w:val="28"/>
          <w:lang w:val="es-CO"/>
        </w:rPr>
        <w:t xml:space="preserve"> </w:t>
      </w:r>
    </w:p>
    <w:p w:rsidR="001F4CBF" w:rsidRDefault="001F4CBF"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724954" w:rsidRDefault="00B43671" w:rsidP="00B43671">
      <w:pPr>
        <w:spacing w:line="360" w:lineRule="auto"/>
        <w:jc w:val="both"/>
        <w:rPr>
          <w:rFonts w:ascii="Georgia" w:hAnsi="Georgia" w:cs="Arial"/>
          <w:spacing w:val="-3"/>
          <w:sz w:val="24"/>
          <w:szCs w:val="28"/>
          <w:lang w:val="es-CO"/>
        </w:rPr>
      </w:pPr>
      <w:r w:rsidRPr="00B43671">
        <w:rPr>
          <w:rFonts w:ascii="Georgia" w:hAnsi="Georgia" w:cs="Arial"/>
          <w:spacing w:val="-3"/>
          <w:sz w:val="24"/>
          <w:szCs w:val="28"/>
          <w:lang w:val="es-CO"/>
        </w:rPr>
        <w:t>Con el propósito de acreditar los aspectos atrás mencionados, la juzgadora de primer nivel hizo varios requerimientos, pero no obtuvo respuesta fundada</w:t>
      </w:r>
      <w:r w:rsidR="00263E4E">
        <w:rPr>
          <w:rFonts w:ascii="Georgia" w:hAnsi="Georgia" w:cs="Arial"/>
          <w:spacing w:val="-3"/>
          <w:sz w:val="24"/>
          <w:szCs w:val="28"/>
          <w:lang w:val="es-CO"/>
        </w:rPr>
        <w:t xml:space="preserve">. La </w:t>
      </w:r>
      <w:r>
        <w:rPr>
          <w:rFonts w:ascii="Georgia" w:hAnsi="Georgia" w:cs="Arial"/>
          <w:spacing w:val="-3"/>
          <w:sz w:val="24"/>
          <w:szCs w:val="28"/>
          <w:lang w:val="es-CO"/>
        </w:rPr>
        <w:t xml:space="preserve">simple autorización del medicamento </w:t>
      </w:r>
      <w:r w:rsidRPr="00263E4E">
        <w:rPr>
          <w:rFonts w:ascii="Georgia" w:hAnsi="Georgia" w:cs="Arial"/>
          <w:i/>
          <w:spacing w:val="-3"/>
          <w:sz w:val="24"/>
          <w:szCs w:val="28"/>
          <w:lang w:val="es-CO"/>
        </w:rPr>
        <w:t>“</w:t>
      </w:r>
      <w:proofErr w:type="spellStart"/>
      <w:r w:rsidRPr="00263E4E">
        <w:rPr>
          <w:rFonts w:ascii="Georgia" w:hAnsi="Georgia" w:cs="Arial"/>
          <w:i/>
          <w:spacing w:val="-3"/>
          <w:sz w:val="24"/>
          <w:szCs w:val="28"/>
          <w:lang w:val="es-CO"/>
        </w:rPr>
        <w:t>Risedronato</w:t>
      </w:r>
      <w:proofErr w:type="spellEnd"/>
      <w:r w:rsidRPr="00263E4E">
        <w:rPr>
          <w:rFonts w:ascii="Georgia" w:hAnsi="Georgia" w:cs="Arial"/>
          <w:i/>
          <w:spacing w:val="-3"/>
          <w:sz w:val="24"/>
          <w:szCs w:val="28"/>
          <w:lang w:val="es-CO"/>
        </w:rPr>
        <w:t>”</w:t>
      </w:r>
      <w:r w:rsidRPr="00B43671">
        <w:rPr>
          <w:rFonts w:ascii="Georgia" w:hAnsi="Georgia" w:cs="Arial"/>
          <w:spacing w:val="-3"/>
          <w:sz w:val="24"/>
          <w:szCs w:val="28"/>
          <w:lang w:val="es-CO"/>
        </w:rPr>
        <w:t xml:space="preserve"> es </w:t>
      </w:r>
      <w:r w:rsidR="00263E4E">
        <w:rPr>
          <w:rFonts w:ascii="Georgia" w:hAnsi="Georgia" w:cs="Arial"/>
          <w:spacing w:val="-3"/>
          <w:sz w:val="24"/>
          <w:szCs w:val="28"/>
          <w:lang w:val="es-CO"/>
        </w:rPr>
        <w:t xml:space="preserve">argumento </w:t>
      </w:r>
      <w:r w:rsidRPr="00B43671">
        <w:rPr>
          <w:rFonts w:ascii="Georgia" w:hAnsi="Georgia" w:cs="Arial"/>
          <w:spacing w:val="-3"/>
          <w:sz w:val="24"/>
          <w:szCs w:val="28"/>
          <w:lang w:val="es-CO"/>
        </w:rPr>
        <w:t xml:space="preserve">insuficiente para </w:t>
      </w:r>
      <w:r w:rsidR="00263E4E">
        <w:rPr>
          <w:rFonts w:ascii="Georgia" w:hAnsi="Georgia" w:cs="Arial"/>
          <w:spacing w:val="-3"/>
          <w:sz w:val="24"/>
          <w:szCs w:val="28"/>
          <w:lang w:val="es-CO"/>
        </w:rPr>
        <w:t xml:space="preserve">considerar cumplida la orden tutelar. Es su obligación asegurar la entrega. De otro lado, nada dijo respecto del suministro del </w:t>
      </w:r>
      <w:r w:rsidR="00263E4E" w:rsidRPr="00263E4E">
        <w:rPr>
          <w:rFonts w:ascii="Georgia" w:hAnsi="Georgia" w:cs="Arial"/>
          <w:i/>
          <w:spacing w:val="-3"/>
          <w:sz w:val="24"/>
          <w:szCs w:val="28"/>
          <w:lang w:val="es-CO"/>
        </w:rPr>
        <w:t>“carbonato de calcio”</w:t>
      </w:r>
      <w:r w:rsidR="00263E4E">
        <w:rPr>
          <w:rFonts w:ascii="Georgia" w:hAnsi="Georgia" w:cs="Arial"/>
          <w:spacing w:val="-3"/>
          <w:sz w:val="24"/>
          <w:szCs w:val="28"/>
          <w:lang w:val="es-CO"/>
        </w:rPr>
        <w:t xml:space="preserve"> (Folios 22 a 27, ib.). </w:t>
      </w:r>
    </w:p>
    <w:p w:rsidR="00724954" w:rsidRDefault="00724954" w:rsidP="00B43671">
      <w:pPr>
        <w:spacing w:line="360" w:lineRule="auto"/>
        <w:jc w:val="both"/>
        <w:rPr>
          <w:rFonts w:ascii="Georgia" w:hAnsi="Georgia" w:cs="Arial"/>
          <w:spacing w:val="-3"/>
          <w:sz w:val="24"/>
          <w:szCs w:val="28"/>
          <w:lang w:val="es-CO"/>
        </w:rPr>
      </w:pPr>
    </w:p>
    <w:p w:rsidR="00263E4E" w:rsidRDefault="00263E4E" w:rsidP="00724954">
      <w:pPr>
        <w:spacing w:line="360" w:lineRule="auto"/>
        <w:jc w:val="both"/>
        <w:rPr>
          <w:rFonts w:ascii="Georgia" w:hAnsi="Georgia" w:cs="Arial"/>
          <w:spacing w:val="-3"/>
          <w:sz w:val="24"/>
          <w:szCs w:val="28"/>
          <w:lang w:val="es-CO"/>
        </w:rPr>
      </w:pPr>
      <w:r>
        <w:rPr>
          <w:rFonts w:ascii="Georgia" w:hAnsi="Georgia" w:cs="Arial"/>
          <w:spacing w:val="-3"/>
          <w:sz w:val="24"/>
          <w:szCs w:val="28"/>
          <w:lang w:val="es-CO"/>
        </w:rPr>
        <w:t xml:space="preserve">Ante esta </w:t>
      </w:r>
      <w:r w:rsidR="00724954">
        <w:rPr>
          <w:rFonts w:ascii="Georgia" w:hAnsi="Georgia" w:cs="Arial"/>
          <w:spacing w:val="-3"/>
          <w:sz w:val="24"/>
          <w:szCs w:val="28"/>
          <w:lang w:val="es-CO"/>
        </w:rPr>
        <w:t>Corporación</w:t>
      </w:r>
      <w:r>
        <w:rPr>
          <w:rFonts w:ascii="Georgia" w:hAnsi="Georgia" w:cs="Arial"/>
          <w:spacing w:val="-3"/>
          <w:sz w:val="24"/>
          <w:szCs w:val="28"/>
          <w:lang w:val="es-CO"/>
        </w:rPr>
        <w:t xml:space="preserve"> </w:t>
      </w:r>
      <w:r w:rsidR="001F4CBF">
        <w:rPr>
          <w:rFonts w:ascii="Georgia" w:hAnsi="Georgia" w:cs="Arial"/>
          <w:spacing w:val="-3"/>
          <w:sz w:val="24"/>
          <w:szCs w:val="28"/>
          <w:lang w:val="es-CO"/>
        </w:rPr>
        <w:t>insistió</w:t>
      </w:r>
      <w:r w:rsidR="00724954">
        <w:rPr>
          <w:rFonts w:ascii="Georgia" w:hAnsi="Georgia" w:cs="Arial"/>
          <w:spacing w:val="-3"/>
          <w:sz w:val="24"/>
          <w:szCs w:val="28"/>
          <w:lang w:val="es-CO"/>
        </w:rPr>
        <w:t xml:space="preserve"> </w:t>
      </w:r>
      <w:r w:rsidR="001F4CBF">
        <w:rPr>
          <w:rFonts w:ascii="Georgia" w:hAnsi="Georgia" w:cs="Arial"/>
          <w:spacing w:val="-3"/>
          <w:sz w:val="24"/>
          <w:szCs w:val="28"/>
          <w:lang w:val="es-CO"/>
        </w:rPr>
        <w:t xml:space="preserve">en que sí se </w:t>
      </w:r>
      <w:r w:rsidR="00724954">
        <w:rPr>
          <w:rFonts w:ascii="Georgia" w:hAnsi="Georgia" w:cs="Arial"/>
          <w:spacing w:val="-3"/>
          <w:sz w:val="24"/>
          <w:szCs w:val="28"/>
          <w:lang w:val="es-CO"/>
        </w:rPr>
        <w:t xml:space="preserve">suministró el </w:t>
      </w:r>
      <w:r w:rsidR="00724954" w:rsidRPr="00724954">
        <w:rPr>
          <w:rFonts w:ascii="Georgia" w:hAnsi="Georgia" w:cs="Arial"/>
          <w:i/>
          <w:spacing w:val="-3"/>
          <w:sz w:val="24"/>
          <w:szCs w:val="28"/>
          <w:lang w:val="es-CO"/>
        </w:rPr>
        <w:t>“</w:t>
      </w:r>
      <w:proofErr w:type="spellStart"/>
      <w:r w:rsidR="00724954" w:rsidRPr="00724954">
        <w:rPr>
          <w:rFonts w:ascii="Georgia" w:hAnsi="Georgia" w:cs="Arial"/>
          <w:i/>
          <w:spacing w:val="-3"/>
          <w:sz w:val="24"/>
          <w:szCs w:val="28"/>
          <w:lang w:val="es-CO"/>
        </w:rPr>
        <w:t>Rised</w:t>
      </w:r>
      <w:r w:rsidR="00724954">
        <w:rPr>
          <w:rFonts w:ascii="Georgia" w:hAnsi="Georgia" w:cs="Arial"/>
          <w:i/>
          <w:spacing w:val="-3"/>
          <w:sz w:val="24"/>
          <w:szCs w:val="28"/>
          <w:lang w:val="es-CO"/>
        </w:rPr>
        <w:t>ron</w:t>
      </w:r>
      <w:r w:rsidR="00724954" w:rsidRPr="00724954">
        <w:rPr>
          <w:rFonts w:ascii="Georgia" w:hAnsi="Georgia" w:cs="Arial"/>
          <w:i/>
          <w:spacing w:val="-3"/>
          <w:sz w:val="24"/>
          <w:szCs w:val="28"/>
          <w:lang w:val="es-CO"/>
        </w:rPr>
        <w:t>ato</w:t>
      </w:r>
      <w:proofErr w:type="spellEnd"/>
      <w:r w:rsidR="00724954" w:rsidRPr="00724954">
        <w:rPr>
          <w:rFonts w:ascii="Georgia" w:hAnsi="Georgia" w:cs="Arial"/>
          <w:i/>
          <w:spacing w:val="-3"/>
          <w:sz w:val="24"/>
          <w:szCs w:val="28"/>
          <w:lang w:val="es-CO"/>
        </w:rPr>
        <w:t>”</w:t>
      </w:r>
      <w:r w:rsidR="00724954">
        <w:rPr>
          <w:rFonts w:ascii="Georgia" w:hAnsi="Georgia" w:cs="Arial"/>
          <w:spacing w:val="-3"/>
          <w:sz w:val="24"/>
          <w:szCs w:val="28"/>
          <w:lang w:val="es-CO"/>
        </w:rPr>
        <w:t xml:space="preserve">, mas dejó de arrimar prueba de ello (Los pantallazos carecen de eficacia probatoria). En lo tocante con el </w:t>
      </w:r>
      <w:r w:rsidR="00724954" w:rsidRPr="00263E4E">
        <w:rPr>
          <w:rFonts w:ascii="Georgia" w:hAnsi="Georgia" w:cs="Arial"/>
          <w:i/>
          <w:spacing w:val="-3"/>
          <w:sz w:val="24"/>
          <w:szCs w:val="28"/>
          <w:lang w:val="es-CO"/>
        </w:rPr>
        <w:lastRenderedPageBreak/>
        <w:t>“carbonato de calcio”</w:t>
      </w:r>
      <w:r w:rsidR="00724954" w:rsidRPr="00724954">
        <w:rPr>
          <w:rFonts w:ascii="Georgia" w:hAnsi="Georgia" w:cs="Arial"/>
          <w:spacing w:val="-3"/>
          <w:sz w:val="24"/>
          <w:szCs w:val="28"/>
          <w:lang w:val="es-CO"/>
        </w:rPr>
        <w:t>,</w:t>
      </w:r>
      <w:r w:rsidR="00724954">
        <w:rPr>
          <w:rFonts w:ascii="Georgia" w:hAnsi="Georgia" w:cs="Arial"/>
          <w:i/>
          <w:spacing w:val="-3"/>
          <w:sz w:val="24"/>
          <w:szCs w:val="28"/>
          <w:lang w:val="es-CO"/>
        </w:rPr>
        <w:t xml:space="preserve"> </w:t>
      </w:r>
      <w:r w:rsidR="00724954" w:rsidRPr="00724954">
        <w:rPr>
          <w:rFonts w:ascii="Georgia" w:hAnsi="Georgia" w:cs="Arial"/>
          <w:spacing w:val="-3"/>
          <w:sz w:val="24"/>
          <w:szCs w:val="28"/>
          <w:lang w:val="es-CO"/>
        </w:rPr>
        <w:t xml:space="preserve">justificó </w:t>
      </w:r>
      <w:r w:rsidR="00724954">
        <w:rPr>
          <w:rFonts w:ascii="Georgia" w:hAnsi="Georgia" w:cs="Arial"/>
          <w:spacing w:val="-3"/>
          <w:sz w:val="24"/>
          <w:szCs w:val="28"/>
          <w:lang w:val="es-CO"/>
        </w:rPr>
        <w:t xml:space="preserve">la falta de entrega en el vencimiento de su registro sanitario (Excel del portal web </w:t>
      </w:r>
      <w:proofErr w:type="spellStart"/>
      <w:r w:rsidR="00724954">
        <w:rPr>
          <w:rFonts w:ascii="Georgia" w:hAnsi="Georgia" w:cs="Arial"/>
          <w:spacing w:val="-3"/>
          <w:sz w:val="24"/>
          <w:szCs w:val="28"/>
          <w:lang w:val="es-CO"/>
        </w:rPr>
        <w:t>Invima</w:t>
      </w:r>
      <w:proofErr w:type="spellEnd"/>
      <w:r w:rsidR="00724954">
        <w:rPr>
          <w:rFonts w:ascii="Georgia" w:hAnsi="Georgia" w:cs="Arial"/>
          <w:spacing w:val="-3"/>
          <w:sz w:val="24"/>
          <w:szCs w:val="28"/>
          <w:lang w:val="es-CO"/>
        </w:rPr>
        <w:t>)</w:t>
      </w:r>
      <w:r w:rsidR="001F4CBF">
        <w:rPr>
          <w:rFonts w:ascii="Georgia" w:hAnsi="Georgia" w:cs="Arial"/>
          <w:spacing w:val="-3"/>
          <w:sz w:val="24"/>
          <w:szCs w:val="28"/>
          <w:lang w:val="es-CO"/>
        </w:rPr>
        <w:t xml:space="preserve">, sin embargo, omitió referir el medio que emplearía para superar este escoyo, como por ejemplo, la gestión </w:t>
      </w:r>
      <w:r w:rsidR="004C655F">
        <w:rPr>
          <w:rFonts w:ascii="Georgia" w:hAnsi="Georgia" w:cs="Arial"/>
          <w:spacing w:val="-3"/>
          <w:sz w:val="24"/>
          <w:szCs w:val="28"/>
          <w:lang w:val="es-CO"/>
        </w:rPr>
        <w:t xml:space="preserve">de prescripción </w:t>
      </w:r>
      <w:r w:rsidR="001F4CBF">
        <w:rPr>
          <w:rFonts w:ascii="Georgia" w:hAnsi="Georgia" w:cs="Arial"/>
          <w:spacing w:val="-3"/>
          <w:sz w:val="24"/>
          <w:szCs w:val="28"/>
          <w:lang w:val="es-CO"/>
        </w:rPr>
        <w:t xml:space="preserve">con galeno especialista para sustituirlo </w:t>
      </w:r>
      <w:r w:rsidR="00724954">
        <w:rPr>
          <w:rFonts w:ascii="Georgia" w:hAnsi="Georgia" w:cs="Arial"/>
          <w:spacing w:val="-3"/>
          <w:sz w:val="24"/>
          <w:szCs w:val="28"/>
          <w:lang w:val="es-CO"/>
        </w:rPr>
        <w:t>(Folios 4 a 6, este cuaderno). Empero</w:t>
      </w:r>
      <w:r w:rsidR="001F4CBF">
        <w:rPr>
          <w:rFonts w:ascii="Georgia" w:hAnsi="Georgia" w:cs="Arial"/>
          <w:spacing w:val="-3"/>
          <w:sz w:val="24"/>
          <w:szCs w:val="28"/>
          <w:lang w:val="es-CO"/>
        </w:rPr>
        <w:t xml:space="preserve"> lo expuesto</w:t>
      </w:r>
      <w:r w:rsidR="00724954">
        <w:rPr>
          <w:rFonts w:ascii="Georgia" w:hAnsi="Georgia" w:cs="Arial"/>
          <w:spacing w:val="-3"/>
          <w:sz w:val="24"/>
          <w:szCs w:val="28"/>
          <w:lang w:val="es-CO"/>
        </w:rPr>
        <w:t xml:space="preserve">, debe relievarse que la actora ya recibió uno (1) de los dos (2) medicamentos recetados, </w:t>
      </w:r>
      <w:r w:rsidR="00724954" w:rsidRPr="00724954">
        <w:rPr>
          <w:rFonts w:ascii="Georgia" w:hAnsi="Georgia" w:cs="Arial"/>
          <w:spacing w:val="-3"/>
          <w:sz w:val="24"/>
          <w:szCs w:val="28"/>
          <w:lang w:val="es-CO"/>
        </w:rPr>
        <w:t>situación que se constató en esta instancia</w:t>
      </w:r>
      <w:r w:rsidR="00724954">
        <w:rPr>
          <w:rFonts w:ascii="Georgia" w:hAnsi="Georgia" w:cs="Arial"/>
          <w:spacing w:val="-3"/>
          <w:sz w:val="24"/>
          <w:szCs w:val="28"/>
          <w:lang w:val="es-CO"/>
        </w:rPr>
        <w:t xml:space="preserve"> (Folio 11, ibídem).</w:t>
      </w:r>
    </w:p>
    <w:p w:rsidR="00724954" w:rsidRDefault="00724954" w:rsidP="00724954">
      <w:pPr>
        <w:spacing w:line="360" w:lineRule="auto"/>
        <w:jc w:val="both"/>
        <w:rPr>
          <w:rFonts w:ascii="Georgia" w:hAnsi="Georgia" w:cs="Arial"/>
          <w:spacing w:val="-3"/>
          <w:sz w:val="24"/>
          <w:szCs w:val="28"/>
          <w:lang w:val="es-CO"/>
        </w:rPr>
      </w:pPr>
    </w:p>
    <w:p w:rsidR="00724954" w:rsidRPr="00724954" w:rsidRDefault="00724954" w:rsidP="00724954">
      <w:pPr>
        <w:spacing w:line="360" w:lineRule="auto"/>
        <w:jc w:val="both"/>
        <w:rPr>
          <w:rFonts w:ascii="Georgia" w:hAnsi="Georgia" w:cs="Arial"/>
          <w:spacing w:val="-3"/>
          <w:sz w:val="24"/>
          <w:szCs w:val="28"/>
          <w:lang w:val="es-CO"/>
        </w:rPr>
      </w:pPr>
      <w:r w:rsidRPr="00724954">
        <w:rPr>
          <w:rFonts w:ascii="Georgia" w:hAnsi="Georgia" w:cs="Arial"/>
          <w:spacing w:val="-3"/>
          <w:sz w:val="24"/>
          <w:szCs w:val="28"/>
          <w:lang w:val="es-CO"/>
        </w:rPr>
        <w:t xml:space="preserve">Ciertamente, está vencido el plazo otorgado y aún no se cumple </w:t>
      </w:r>
      <w:r>
        <w:rPr>
          <w:rFonts w:ascii="Georgia" w:hAnsi="Georgia" w:cs="Arial"/>
          <w:spacing w:val="-3"/>
          <w:sz w:val="24"/>
          <w:szCs w:val="28"/>
          <w:lang w:val="es-CO"/>
        </w:rPr>
        <w:t xml:space="preserve">plenamente </w:t>
      </w:r>
      <w:r w:rsidRPr="00724954">
        <w:rPr>
          <w:rFonts w:ascii="Georgia" w:hAnsi="Georgia" w:cs="Arial"/>
          <w:spacing w:val="-3"/>
          <w:sz w:val="24"/>
          <w:szCs w:val="28"/>
          <w:lang w:val="es-CO"/>
        </w:rPr>
        <w:t xml:space="preserve">la orden impartida. Los derechos fundamentales constitucionales siguen violados por la renuencia de la entidad, continúan en estado de vulneración desde </w:t>
      </w:r>
      <w:r w:rsidRPr="00724954">
        <w:rPr>
          <w:rFonts w:ascii="Georgia" w:hAnsi="Georgia" w:cs="Arial"/>
          <w:spacing w:val="-3"/>
          <w:sz w:val="24"/>
          <w:szCs w:val="24"/>
          <w:lang w:val="es-CO"/>
        </w:rPr>
        <w:t xml:space="preserve">cuando se inició el amparo constitucional </w:t>
      </w:r>
      <w:r w:rsidRPr="00724954">
        <w:rPr>
          <w:rFonts w:ascii="Georgia" w:hAnsi="Georgia" w:cs="Arial"/>
          <w:spacing w:val="-3"/>
          <w:sz w:val="24"/>
          <w:szCs w:val="28"/>
          <w:lang w:val="es-CO"/>
        </w:rPr>
        <w:t xml:space="preserve">y ante la negligencia mostrada por la </w:t>
      </w:r>
      <w:proofErr w:type="spellStart"/>
      <w:r w:rsidRPr="00724954">
        <w:rPr>
          <w:rFonts w:ascii="Georgia" w:hAnsi="Georgia" w:cs="Arial"/>
          <w:spacing w:val="-3"/>
          <w:sz w:val="24"/>
          <w:szCs w:val="28"/>
          <w:lang w:val="es-CO"/>
        </w:rPr>
        <w:t>incidentada</w:t>
      </w:r>
      <w:proofErr w:type="spellEnd"/>
      <w:r w:rsidRPr="00724954">
        <w:rPr>
          <w:rFonts w:ascii="Georgia" w:hAnsi="Georgia" w:cs="Arial"/>
          <w:spacing w:val="-3"/>
          <w:sz w:val="24"/>
          <w:szCs w:val="28"/>
          <w:lang w:val="es-CO"/>
        </w:rPr>
        <w:t xml:space="preserve"> para esclarecer su responsabilidad, que bien se sabe no es objetiva, fue suficiente para dar pábulo a la premisa que afincó la conclusión de estimarla responsable.</w:t>
      </w:r>
    </w:p>
    <w:p w:rsidR="00724954" w:rsidRDefault="00724954" w:rsidP="00724954">
      <w:pPr>
        <w:spacing w:line="360" w:lineRule="auto"/>
        <w:jc w:val="both"/>
        <w:rPr>
          <w:rFonts w:ascii="Georgia" w:hAnsi="Georgia" w:cs="Arial"/>
          <w:spacing w:val="-3"/>
          <w:sz w:val="24"/>
          <w:szCs w:val="28"/>
          <w:lang w:val="es-CO"/>
        </w:rPr>
      </w:pPr>
    </w:p>
    <w:p w:rsidR="00BB1344" w:rsidRPr="00FB62CC" w:rsidRDefault="004C655F" w:rsidP="00F75F2E">
      <w:pPr>
        <w:spacing w:line="360" w:lineRule="auto"/>
        <w:jc w:val="both"/>
        <w:rPr>
          <w:rFonts w:ascii="Georgia" w:hAnsi="Georgia" w:cs="Arial"/>
          <w:spacing w:val="-3"/>
          <w:sz w:val="24"/>
          <w:szCs w:val="28"/>
          <w:lang w:val="es-CO"/>
        </w:rPr>
      </w:pPr>
      <w:r>
        <w:rPr>
          <w:rFonts w:ascii="Georgia" w:hAnsi="Georgia" w:cs="Arial"/>
          <w:spacing w:val="-3"/>
          <w:sz w:val="24"/>
          <w:szCs w:val="28"/>
          <w:lang w:val="es-CO"/>
        </w:rPr>
        <w:t>Corolario</w:t>
      </w:r>
      <w:r w:rsidR="0042405E">
        <w:rPr>
          <w:rFonts w:ascii="Georgia" w:hAnsi="Georgia" w:cs="Arial"/>
          <w:spacing w:val="-3"/>
          <w:sz w:val="24"/>
          <w:szCs w:val="28"/>
          <w:lang w:val="es-CO"/>
        </w:rPr>
        <w:t xml:space="preserve"> de lo anotado,</w:t>
      </w:r>
      <w:r>
        <w:rPr>
          <w:rFonts w:ascii="Georgia" w:hAnsi="Georgia" w:cs="Arial"/>
          <w:spacing w:val="-3"/>
          <w:sz w:val="24"/>
          <w:szCs w:val="28"/>
          <w:lang w:val="es-CO"/>
        </w:rPr>
        <w:t xml:space="preserve"> </w:t>
      </w:r>
      <w:r w:rsidR="00F75F2E">
        <w:rPr>
          <w:rFonts w:ascii="Georgia" w:hAnsi="Georgia" w:cs="Arial"/>
          <w:spacing w:val="-3"/>
          <w:sz w:val="24"/>
          <w:szCs w:val="28"/>
          <w:lang w:val="es-CO"/>
        </w:rPr>
        <w:t>e</w:t>
      </w:r>
      <w:r w:rsidR="00F75F2E" w:rsidRPr="006B31F3">
        <w:rPr>
          <w:rFonts w:ascii="Georgia" w:hAnsi="Georgia" w:cs="Arial"/>
          <w:spacing w:val="-3"/>
          <w:sz w:val="24"/>
          <w:szCs w:val="28"/>
          <w:lang w:val="es-CO"/>
        </w:rPr>
        <w:t>l cometido cardinal de este trámite está incumplido, como explica la doctrina</w:t>
      </w:r>
      <w:r w:rsidR="00F75F2E" w:rsidRPr="006B31F3">
        <w:rPr>
          <w:rStyle w:val="Refdenotaalpie"/>
          <w:rFonts w:ascii="Georgia" w:hAnsi="Georgia"/>
          <w:spacing w:val="-3"/>
          <w:sz w:val="24"/>
          <w:szCs w:val="28"/>
          <w:lang w:val="es-CO"/>
        </w:rPr>
        <w:footnoteReference w:id="8"/>
      </w:r>
      <w:r w:rsidR="00F75F2E" w:rsidRPr="006B31F3">
        <w:rPr>
          <w:rFonts w:ascii="Georgia" w:hAnsi="Georgia" w:cs="Arial"/>
          <w:spacing w:val="-3"/>
          <w:sz w:val="24"/>
          <w:szCs w:val="28"/>
          <w:lang w:val="es-CO"/>
        </w:rPr>
        <w:t xml:space="preserve"> sobre el tema: “</w:t>
      </w:r>
      <w:r w:rsidR="00F75F2E" w:rsidRPr="006B31F3">
        <w:rPr>
          <w:rFonts w:ascii="Georgia" w:hAnsi="Georgia" w:cs="Arial"/>
          <w:i/>
          <w:spacing w:val="-3"/>
          <w:sz w:val="22"/>
          <w:szCs w:val="28"/>
          <w:lang w:val="es-CO"/>
        </w:rPr>
        <w:t xml:space="preserve">(…) </w:t>
      </w:r>
      <w:r w:rsidR="00F75F2E" w:rsidRPr="006B31F3">
        <w:rPr>
          <w:rFonts w:ascii="Georgia" w:hAnsi="Georgia" w:cs="Arial"/>
          <w:i/>
          <w:sz w:val="22"/>
          <w:szCs w:val="28"/>
          <w:lang w:val="es-CO"/>
        </w:rPr>
        <w:t xml:space="preserve">no es suficiente el que las personas logren la protección de sus derechos fundamentales por vía de la acción de tutela, </w:t>
      </w:r>
      <w:r w:rsidR="00F75F2E" w:rsidRPr="006B31F3">
        <w:rPr>
          <w:rFonts w:ascii="Georgia" w:hAnsi="Georgia" w:cs="Arial"/>
          <w:i/>
          <w:sz w:val="22"/>
          <w:szCs w:val="28"/>
          <w:u w:val="single"/>
          <w:lang w:val="es-CO"/>
        </w:rPr>
        <w:t>sino que además se le debe proveer de los mecanismos que hagan efectiva la orden proferida por el juez de tutela</w:t>
      </w:r>
      <w:r w:rsidR="00F75F2E" w:rsidRPr="006B31F3">
        <w:rPr>
          <w:rFonts w:ascii="Georgia" w:hAnsi="Georgia" w:cs="Arial"/>
          <w:i/>
          <w:sz w:val="22"/>
          <w:szCs w:val="28"/>
          <w:lang w:val="es-CO"/>
        </w:rPr>
        <w:t xml:space="preserve"> (…)</w:t>
      </w:r>
      <w:r w:rsidR="00F75F2E">
        <w:rPr>
          <w:rFonts w:ascii="Georgia" w:hAnsi="Georgia" w:cs="Arial"/>
          <w:i/>
          <w:sz w:val="24"/>
          <w:szCs w:val="28"/>
          <w:lang w:val="es-CO"/>
        </w:rPr>
        <w:t xml:space="preserve">” </w:t>
      </w:r>
      <w:r w:rsidR="00F75F2E" w:rsidRPr="00A86280">
        <w:rPr>
          <w:rFonts w:ascii="Georgia" w:hAnsi="Georgia" w:cs="Arial"/>
          <w:sz w:val="24"/>
          <w:szCs w:val="28"/>
          <w:lang w:val="es-CO"/>
        </w:rPr>
        <w:t>(El resaltado es propio de esta Sala)</w:t>
      </w:r>
      <w:r w:rsidR="00F75F2E">
        <w:rPr>
          <w:rFonts w:ascii="Georgia" w:hAnsi="Georgia" w:cs="Arial"/>
          <w:sz w:val="24"/>
          <w:szCs w:val="28"/>
          <w:lang w:val="es-CO"/>
        </w:rPr>
        <w:t>, de ta</w:t>
      </w:r>
      <w:r w:rsidR="00F75F2E" w:rsidRPr="00A86280">
        <w:rPr>
          <w:rFonts w:ascii="Georgia" w:hAnsi="Georgia" w:cs="Arial"/>
          <w:sz w:val="24"/>
          <w:szCs w:val="24"/>
          <w:lang w:val="es-CO"/>
        </w:rPr>
        <w:t>l suerte que se confirmará la decisión objeto de consulta</w:t>
      </w:r>
      <w:r w:rsidR="00BB1344">
        <w:rPr>
          <w:rFonts w:ascii="Georgia" w:hAnsi="Georgia" w:cs="Arial"/>
          <w:sz w:val="24"/>
          <w:szCs w:val="24"/>
          <w:lang w:val="es-CO"/>
        </w:rPr>
        <w:t>.</w:t>
      </w:r>
    </w:p>
    <w:p w:rsidR="00BB1344" w:rsidRDefault="00BB1344" w:rsidP="00F75F2E">
      <w:pPr>
        <w:spacing w:line="360" w:lineRule="auto"/>
        <w:jc w:val="both"/>
        <w:rPr>
          <w:rFonts w:ascii="Georgia" w:hAnsi="Georgia" w:cs="Arial"/>
          <w:sz w:val="24"/>
          <w:szCs w:val="24"/>
          <w:lang w:val="es-CO"/>
        </w:rPr>
      </w:pPr>
    </w:p>
    <w:p w:rsidR="008663B2" w:rsidRDefault="00BB1344" w:rsidP="00F75F2E">
      <w:pPr>
        <w:spacing w:line="360" w:lineRule="auto"/>
        <w:jc w:val="both"/>
        <w:rPr>
          <w:rFonts w:ascii="Georgia" w:hAnsi="Georgia" w:cs="Arial"/>
          <w:sz w:val="24"/>
          <w:szCs w:val="24"/>
          <w:lang w:val="es-CO"/>
        </w:rPr>
      </w:pPr>
      <w:r>
        <w:rPr>
          <w:rFonts w:ascii="Georgia" w:hAnsi="Georgia" w:cs="Arial"/>
          <w:sz w:val="24"/>
          <w:szCs w:val="24"/>
          <w:lang w:val="es-CO"/>
        </w:rPr>
        <w:t xml:space="preserve">No obstante lo dicho, </w:t>
      </w:r>
      <w:r w:rsidR="00F75F2E">
        <w:rPr>
          <w:rFonts w:ascii="Georgia" w:hAnsi="Georgia" w:cs="Arial"/>
          <w:sz w:val="24"/>
          <w:szCs w:val="24"/>
          <w:lang w:val="es-CO"/>
        </w:rPr>
        <w:t xml:space="preserve">se modificarán las sanciones impuestas, puesto que se advierten </w:t>
      </w:r>
      <w:r>
        <w:rPr>
          <w:rFonts w:ascii="Georgia" w:hAnsi="Georgia" w:cs="Arial"/>
          <w:sz w:val="24"/>
          <w:szCs w:val="24"/>
          <w:lang w:val="es-CO"/>
        </w:rPr>
        <w:t xml:space="preserve">inadecuadas, </w:t>
      </w:r>
      <w:r w:rsidR="00F75F2E">
        <w:rPr>
          <w:rFonts w:ascii="Georgia" w:hAnsi="Georgia" w:cs="Arial"/>
          <w:sz w:val="24"/>
          <w:szCs w:val="24"/>
          <w:lang w:val="es-CO"/>
        </w:rPr>
        <w:t xml:space="preserve">desproporcionadas </w:t>
      </w:r>
      <w:r>
        <w:rPr>
          <w:rFonts w:ascii="Georgia" w:hAnsi="Georgia" w:cs="Arial"/>
          <w:sz w:val="24"/>
          <w:szCs w:val="24"/>
          <w:lang w:val="es-CO"/>
        </w:rPr>
        <w:t xml:space="preserve">y poco razonables </w:t>
      </w:r>
      <w:r w:rsidR="00F75F2E">
        <w:rPr>
          <w:rFonts w:ascii="Georgia" w:hAnsi="Georgia" w:cs="Arial"/>
          <w:sz w:val="24"/>
          <w:szCs w:val="24"/>
          <w:lang w:val="es-CO"/>
        </w:rPr>
        <w:t>a la luz del verdadero incumplimiento tutelar</w:t>
      </w:r>
      <w:r w:rsidRPr="00A86280">
        <w:rPr>
          <w:rStyle w:val="Refdenotaalpie"/>
          <w:rFonts w:ascii="Georgia" w:hAnsi="Georgia"/>
          <w:spacing w:val="-3"/>
          <w:sz w:val="24"/>
          <w:szCs w:val="24"/>
          <w:lang w:val="es-CO"/>
        </w:rPr>
        <w:footnoteReference w:id="9"/>
      </w:r>
      <w:r w:rsidR="004C655F">
        <w:rPr>
          <w:rFonts w:ascii="Georgia" w:hAnsi="Georgia" w:cs="Arial"/>
          <w:sz w:val="24"/>
          <w:szCs w:val="24"/>
          <w:lang w:val="es-CO"/>
        </w:rPr>
        <w:t xml:space="preserve">. </w:t>
      </w:r>
    </w:p>
    <w:p w:rsidR="008663B2" w:rsidRDefault="008663B2" w:rsidP="00F75F2E">
      <w:pPr>
        <w:spacing w:line="360" w:lineRule="auto"/>
        <w:jc w:val="both"/>
        <w:rPr>
          <w:rFonts w:ascii="Georgia" w:hAnsi="Georgia" w:cs="Arial"/>
          <w:sz w:val="24"/>
          <w:szCs w:val="24"/>
          <w:lang w:val="es-CO"/>
        </w:rPr>
      </w:pPr>
    </w:p>
    <w:p w:rsidR="004C655F" w:rsidRDefault="004C655F" w:rsidP="00F75F2E">
      <w:pPr>
        <w:spacing w:line="360" w:lineRule="auto"/>
        <w:jc w:val="both"/>
        <w:rPr>
          <w:rFonts w:ascii="Georgia" w:hAnsi="Georgia" w:cs="Arial"/>
          <w:sz w:val="24"/>
          <w:szCs w:val="24"/>
          <w:lang w:val="es-CO"/>
        </w:rPr>
      </w:pPr>
      <w:r>
        <w:rPr>
          <w:rFonts w:ascii="Georgia" w:hAnsi="Georgia" w:cs="Arial"/>
          <w:sz w:val="24"/>
          <w:szCs w:val="24"/>
          <w:lang w:val="es-CO"/>
        </w:rPr>
        <w:t xml:space="preserve">Debe resaltarse que se trata de una añeja providencia tutelar (2005) y tan solo hasta esta data se presentó su </w:t>
      </w:r>
      <w:bookmarkStart w:id="1" w:name="_GoBack"/>
      <w:bookmarkEnd w:id="1"/>
      <w:r>
        <w:rPr>
          <w:rFonts w:ascii="Georgia" w:hAnsi="Georgia" w:cs="Arial"/>
          <w:sz w:val="24"/>
          <w:szCs w:val="24"/>
          <w:lang w:val="es-CO"/>
        </w:rPr>
        <w:t>incumplimiento</w:t>
      </w:r>
      <w:r w:rsidR="008663B2">
        <w:rPr>
          <w:rFonts w:ascii="Georgia" w:hAnsi="Georgia" w:cs="Arial"/>
          <w:sz w:val="24"/>
          <w:szCs w:val="24"/>
          <w:lang w:val="es-CO"/>
        </w:rPr>
        <w:t xml:space="preserve"> parcial (Circunstancia que la </w:t>
      </w:r>
      <w:r w:rsidR="008663B2" w:rsidRPr="008663B2">
        <w:rPr>
          <w:rFonts w:ascii="Georgia" w:hAnsi="Georgia" w:cs="Arial"/>
          <w:i/>
          <w:sz w:val="24"/>
          <w:szCs w:val="24"/>
          <w:lang w:val="es-CO"/>
        </w:rPr>
        <w:t>a quo</w:t>
      </w:r>
      <w:r w:rsidR="008663B2">
        <w:rPr>
          <w:rFonts w:ascii="Georgia" w:hAnsi="Georgia" w:cs="Arial"/>
          <w:sz w:val="24"/>
          <w:szCs w:val="24"/>
          <w:lang w:val="es-CO"/>
        </w:rPr>
        <w:t xml:space="preserve"> dejó de considerar)</w:t>
      </w:r>
      <w:r>
        <w:rPr>
          <w:rFonts w:ascii="Georgia" w:hAnsi="Georgia" w:cs="Arial"/>
          <w:sz w:val="24"/>
          <w:szCs w:val="24"/>
          <w:lang w:val="es-CO"/>
        </w:rPr>
        <w:t>; la omisión en el suministro de uno de los medicamentos devino del vencimiento de su registro sanitario</w:t>
      </w:r>
      <w:r>
        <w:rPr>
          <w:rStyle w:val="Refdenotaalpie"/>
          <w:rFonts w:ascii="Georgia" w:hAnsi="Georgia"/>
          <w:sz w:val="24"/>
          <w:szCs w:val="24"/>
          <w:lang w:val="es-CO"/>
        </w:rPr>
        <w:footnoteReference w:id="10"/>
      </w:r>
      <w:r>
        <w:rPr>
          <w:rFonts w:ascii="Georgia" w:hAnsi="Georgia" w:cs="Arial"/>
          <w:sz w:val="24"/>
          <w:szCs w:val="24"/>
          <w:lang w:val="es-CO"/>
        </w:rPr>
        <w:t xml:space="preserve">, mas a estas alturas la accionante ya lo recibió; y </w:t>
      </w:r>
      <w:r w:rsidR="008663B2">
        <w:rPr>
          <w:rFonts w:ascii="Georgia" w:hAnsi="Georgia" w:cs="Arial"/>
          <w:sz w:val="24"/>
          <w:szCs w:val="24"/>
          <w:lang w:val="es-CO"/>
        </w:rPr>
        <w:t xml:space="preserve">la </w:t>
      </w:r>
      <w:proofErr w:type="spellStart"/>
      <w:r w:rsidR="008663B2">
        <w:rPr>
          <w:rFonts w:ascii="Georgia" w:hAnsi="Georgia" w:cs="Arial"/>
          <w:sz w:val="24"/>
          <w:szCs w:val="24"/>
          <w:lang w:val="es-CO"/>
        </w:rPr>
        <w:t>incidentada</w:t>
      </w:r>
      <w:proofErr w:type="spellEnd"/>
      <w:r w:rsidR="008663B2">
        <w:rPr>
          <w:rFonts w:ascii="Georgia" w:hAnsi="Georgia" w:cs="Arial"/>
          <w:sz w:val="24"/>
          <w:szCs w:val="24"/>
          <w:lang w:val="es-CO"/>
        </w:rPr>
        <w:t xml:space="preserve"> había </w:t>
      </w:r>
      <w:r>
        <w:rPr>
          <w:rFonts w:ascii="Georgia" w:hAnsi="Georgia" w:cs="Arial"/>
          <w:sz w:val="24"/>
          <w:szCs w:val="24"/>
          <w:lang w:val="es-CO"/>
        </w:rPr>
        <w:t>autoriz</w:t>
      </w:r>
      <w:r w:rsidR="008663B2">
        <w:rPr>
          <w:rFonts w:ascii="Georgia" w:hAnsi="Georgia" w:cs="Arial"/>
          <w:sz w:val="24"/>
          <w:szCs w:val="24"/>
          <w:lang w:val="es-CO"/>
        </w:rPr>
        <w:t>ado</w:t>
      </w:r>
      <w:r>
        <w:rPr>
          <w:rFonts w:ascii="Georgia" w:hAnsi="Georgia" w:cs="Arial"/>
          <w:sz w:val="24"/>
          <w:szCs w:val="24"/>
          <w:lang w:val="es-CO"/>
        </w:rPr>
        <w:t xml:space="preserve"> la entrega del </w:t>
      </w:r>
      <w:r w:rsidRPr="00263E4E">
        <w:rPr>
          <w:rFonts w:ascii="Georgia" w:hAnsi="Georgia" w:cs="Arial"/>
          <w:i/>
          <w:spacing w:val="-3"/>
          <w:sz w:val="24"/>
          <w:szCs w:val="28"/>
          <w:lang w:val="es-CO"/>
        </w:rPr>
        <w:t>“</w:t>
      </w:r>
      <w:proofErr w:type="spellStart"/>
      <w:r w:rsidRPr="00263E4E">
        <w:rPr>
          <w:rFonts w:ascii="Georgia" w:hAnsi="Georgia" w:cs="Arial"/>
          <w:i/>
          <w:spacing w:val="-3"/>
          <w:sz w:val="24"/>
          <w:szCs w:val="28"/>
          <w:lang w:val="es-CO"/>
        </w:rPr>
        <w:t>Risedronato</w:t>
      </w:r>
      <w:proofErr w:type="spellEnd"/>
      <w:r w:rsidRPr="00263E4E">
        <w:rPr>
          <w:rFonts w:ascii="Georgia" w:hAnsi="Georgia" w:cs="Arial"/>
          <w:i/>
          <w:spacing w:val="-3"/>
          <w:sz w:val="24"/>
          <w:szCs w:val="28"/>
          <w:lang w:val="es-CO"/>
        </w:rPr>
        <w:t>”</w:t>
      </w:r>
      <w:r>
        <w:rPr>
          <w:rFonts w:ascii="Georgia" w:hAnsi="Georgia" w:cs="Arial"/>
          <w:sz w:val="24"/>
          <w:szCs w:val="24"/>
          <w:lang w:val="es-CO"/>
        </w:rPr>
        <w:t xml:space="preserve">, solo que fue negligente cuando se enteró sobre el desabastecimiento, sin gestión alguna. </w:t>
      </w:r>
    </w:p>
    <w:p w:rsidR="004C655F" w:rsidRDefault="004C655F" w:rsidP="00F75F2E">
      <w:pPr>
        <w:spacing w:line="360" w:lineRule="auto"/>
        <w:jc w:val="both"/>
        <w:rPr>
          <w:rFonts w:ascii="Georgia" w:hAnsi="Georgia" w:cs="Arial"/>
          <w:sz w:val="24"/>
          <w:szCs w:val="24"/>
          <w:lang w:val="es-CO"/>
        </w:rPr>
      </w:pPr>
    </w:p>
    <w:p w:rsidR="00F75F2E" w:rsidRDefault="008663B2" w:rsidP="00F75F2E">
      <w:pPr>
        <w:spacing w:line="360" w:lineRule="auto"/>
        <w:jc w:val="both"/>
        <w:rPr>
          <w:rFonts w:ascii="Georgia" w:hAnsi="Georgia" w:cs="Arial"/>
          <w:sz w:val="24"/>
          <w:szCs w:val="24"/>
          <w:lang w:val="es-CO"/>
        </w:rPr>
      </w:pPr>
      <w:r>
        <w:rPr>
          <w:rFonts w:ascii="Georgia" w:hAnsi="Georgia" w:cs="Arial"/>
          <w:sz w:val="24"/>
          <w:szCs w:val="24"/>
          <w:lang w:val="es-CO"/>
        </w:rPr>
        <w:t xml:space="preserve">Así entonces, para esta Corporación era inviable </w:t>
      </w:r>
      <w:r w:rsidR="00BB1344">
        <w:rPr>
          <w:rFonts w:ascii="Georgia" w:hAnsi="Georgia" w:cs="Arial"/>
          <w:sz w:val="24"/>
          <w:szCs w:val="24"/>
          <w:lang w:val="es-CO"/>
        </w:rPr>
        <w:t xml:space="preserve">imponer sanciones de </w:t>
      </w:r>
      <w:r>
        <w:rPr>
          <w:rFonts w:ascii="Georgia" w:hAnsi="Georgia" w:cs="Arial"/>
          <w:sz w:val="24"/>
          <w:szCs w:val="24"/>
          <w:lang w:val="es-CO"/>
        </w:rPr>
        <w:t xml:space="preserve">la </w:t>
      </w:r>
      <w:r w:rsidR="00BB1344">
        <w:rPr>
          <w:rFonts w:ascii="Georgia" w:hAnsi="Georgia" w:cs="Arial"/>
          <w:sz w:val="24"/>
          <w:szCs w:val="24"/>
          <w:lang w:val="es-CO"/>
        </w:rPr>
        <w:t>magnitud</w:t>
      </w:r>
      <w:r>
        <w:rPr>
          <w:rFonts w:ascii="Georgia" w:hAnsi="Georgia" w:cs="Arial"/>
          <w:sz w:val="24"/>
          <w:szCs w:val="24"/>
          <w:lang w:val="es-CO"/>
        </w:rPr>
        <w:t xml:space="preserve"> anotada en el auto consultado, y</w:t>
      </w:r>
      <w:r w:rsidR="00BB1344">
        <w:rPr>
          <w:rFonts w:ascii="Georgia" w:hAnsi="Georgia" w:cs="Arial"/>
          <w:sz w:val="24"/>
          <w:szCs w:val="24"/>
          <w:lang w:val="es-CO"/>
        </w:rPr>
        <w:t xml:space="preserve">, en consecuencia, se disminuirán a un (1) </w:t>
      </w:r>
      <w:proofErr w:type="spellStart"/>
      <w:r w:rsidR="00BB1344">
        <w:rPr>
          <w:rFonts w:ascii="Georgia" w:hAnsi="Georgia" w:cs="Arial"/>
          <w:sz w:val="24"/>
          <w:szCs w:val="24"/>
          <w:lang w:val="es-CO"/>
        </w:rPr>
        <w:t>smlmv</w:t>
      </w:r>
      <w:proofErr w:type="spellEnd"/>
      <w:r w:rsidR="00BB1344">
        <w:rPr>
          <w:rFonts w:ascii="Georgia" w:hAnsi="Georgia" w:cs="Arial"/>
          <w:sz w:val="24"/>
          <w:szCs w:val="24"/>
          <w:lang w:val="es-CO"/>
        </w:rPr>
        <w:t xml:space="preserve"> y a un (1) día de arresto.</w:t>
      </w:r>
    </w:p>
    <w:p w:rsidR="00F75F2E" w:rsidRDefault="00F75F2E" w:rsidP="003B6065">
      <w:pPr>
        <w:spacing w:line="360" w:lineRule="auto"/>
        <w:jc w:val="both"/>
        <w:rPr>
          <w:rFonts w:ascii="Georgia" w:hAnsi="Georgia" w:cs="Arial"/>
          <w:spacing w:val="-3"/>
          <w:sz w:val="24"/>
          <w:szCs w:val="24"/>
          <w:lang w:val="es-CO"/>
        </w:rPr>
      </w:pPr>
    </w:p>
    <w:p w:rsidR="008663B2" w:rsidRDefault="008663B2" w:rsidP="008663B2">
      <w:pPr>
        <w:spacing w:line="360" w:lineRule="auto"/>
        <w:jc w:val="both"/>
        <w:rPr>
          <w:rFonts w:ascii="Georgia" w:hAnsi="Georgia" w:cs="Arial"/>
          <w:spacing w:val="-3"/>
          <w:sz w:val="24"/>
          <w:szCs w:val="24"/>
          <w:lang w:val="es-CO"/>
        </w:rPr>
      </w:pPr>
      <w:r w:rsidRPr="00FD4D4B">
        <w:rPr>
          <w:rFonts w:ascii="Georgia" w:hAnsi="Georgia" w:cs="Arial"/>
          <w:spacing w:val="-3"/>
          <w:sz w:val="24"/>
          <w:lang w:val="es-CO"/>
        </w:rPr>
        <w:lastRenderedPageBreak/>
        <w:t>Adicionalmente</w:t>
      </w:r>
      <w:r w:rsidRPr="00F870D7">
        <w:rPr>
          <w:rFonts w:ascii="Georgia" w:hAnsi="Georgia" w:cs="Arial"/>
          <w:spacing w:val="-3"/>
          <w:sz w:val="24"/>
          <w:szCs w:val="24"/>
          <w:lang w:val="es-CO"/>
        </w:rPr>
        <w:t xml:space="preserve">, </w:t>
      </w:r>
      <w:r>
        <w:rPr>
          <w:rFonts w:ascii="Georgia" w:hAnsi="Georgia" w:cs="Arial"/>
          <w:spacing w:val="-3"/>
          <w:sz w:val="24"/>
          <w:szCs w:val="24"/>
          <w:lang w:val="es-CO"/>
        </w:rPr>
        <w:t xml:space="preserve">se halla </w:t>
      </w:r>
      <w:r w:rsidRPr="00F870D7">
        <w:rPr>
          <w:rFonts w:ascii="Georgia" w:hAnsi="Georgia" w:cs="Arial"/>
          <w:spacing w:val="-3"/>
          <w:sz w:val="24"/>
          <w:szCs w:val="24"/>
          <w:lang w:val="es-CO"/>
        </w:rPr>
        <w:t xml:space="preserve">necesario ajustar la providencia de conformidad con los lineamientos establecidos por la Sala Administrativa del CSJ en el Acuerdo No.PSAA10-6979 de 2010 y Circular No.DEAJC15-61 de 23-11-2015 de la Dirección Ejecutiva de Administración Judicial, toda vez que se </w:t>
      </w:r>
      <w:r>
        <w:rPr>
          <w:rFonts w:ascii="Georgia" w:hAnsi="Georgia" w:cs="Arial"/>
          <w:spacing w:val="-3"/>
          <w:sz w:val="24"/>
          <w:szCs w:val="24"/>
          <w:lang w:val="es-CO"/>
        </w:rPr>
        <w:t>dejó de ordenar la remisión de copias para cobro coactivo e erró al indicar</w:t>
      </w:r>
      <w:r w:rsidRPr="00F870D7">
        <w:rPr>
          <w:rFonts w:ascii="Georgia" w:hAnsi="Georgia" w:cs="Arial"/>
          <w:spacing w:val="-3"/>
          <w:sz w:val="24"/>
          <w:szCs w:val="24"/>
          <w:lang w:val="es-CO"/>
        </w:rPr>
        <w:t xml:space="preserve"> la cuenta de depósitos judiciales donde se debe consignar la multa. </w:t>
      </w:r>
    </w:p>
    <w:p w:rsidR="008663B2" w:rsidRPr="006B31F3" w:rsidRDefault="008663B2" w:rsidP="008663B2">
      <w:pPr>
        <w:spacing w:line="360" w:lineRule="auto"/>
        <w:jc w:val="both"/>
        <w:rPr>
          <w:rFonts w:ascii="Georgia" w:hAnsi="Georgia" w:cs="Arial"/>
          <w:spacing w:val="-3"/>
          <w:sz w:val="24"/>
          <w:szCs w:val="24"/>
          <w:lang w:val="es-CO"/>
        </w:rPr>
      </w:pPr>
    </w:p>
    <w:p w:rsidR="00E578BF" w:rsidRPr="006B31F3" w:rsidRDefault="00E578BF" w:rsidP="00E578BF">
      <w:pPr>
        <w:pStyle w:val="Prrafodelista"/>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6F2E70" w:rsidRPr="006B31F3" w:rsidRDefault="006F2E70" w:rsidP="006F2E70">
      <w:pPr>
        <w:pStyle w:val="Prrafodelista"/>
        <w:spacing w:line="360" w:lineRule="auto"/>
        <w:ind w:left="360"/>
        <w:jc w:val="both"/>
        <w:rPr>
          <w:rFonts w:ascii="Georgia" w:hAnsi="Georgia" w:cs="Arial"/>
          <w:sz w:val="24"/>
          <w:szCs w:val="22"/>
          <w:lang w:val="es-CO"/>
        </w:rPr>
      </w:pPr>
    </w:p>
    <w:p w:rsidR="008663B2" w:rsidRDefault="008663B2" w:rsidP="008663B2">
      <w:pPr>
        <w:pStyle w:val="Textoindependiente"/>
        <w:tabs>
          <w:tab w:val="left" w:pos="8647"/>
          <w:tab w:val="left" w:pos="9498"/>
        </w:tabs>
        <w:spacing w:line="360" w:lineRule="auto"/>
        <w:ind w:right="79"/>
        <w:rPr>
          <w:rFonts w:ascii="Georgia" w:hAnsi="Georgia" w:cs="Arial"/>
          <w:lang w:val="es-CO"/>
        </w:rPr>
      </w:pPr>
      <w:r w:rsidRPr="006B31F3">
        <w:rPr>
          <w:rFonts w:ascii="Georgia" w:hAnsi="Georgia" w:cs="Arial"/>
          <w:lang w:val="es-CO"/>
        </w:rPr>
        <w:t xml:space="preserve">Acorde con lo expuesto, (i) Se confirmará </w:t>
      </w:r>
      <w:r>
        <w:rPr>
          <w:rFonts w:ascii="Georgia" w:hAnsi="Georgia" w:cs="Arial"/>
          <w:lang w:val="es-CO"/>
        </w:rPr>
        <w:t xml:space="preserve">parcialmente el proveído venido en consulta; </w:t>
      </w:r>
      <w:r w:rsidRPr="006B31F3">
        <w:rPr>
          <w:rFonts w:ascii="Georgia" w:hAnsi="Georgia" w:cs="Arial"/>
          <w:lang w:val="es-CO"/>
        </w:rPr>
        <w:t>(ii)</w:t>
      </w:r>
      <w:r>
        <w:rPr>
          <w:rFonts w:ascii="Georgia" w:hAnsi="Georgia" w:cs="Arial"/>
          <w:lang w:val="es-CO"/>
        </w:rPr>
        <w:t xml:space="preserve"> </w:t>
      </w:r>
      <w:r w:rsidRPr="006B31F3">
        <w:rPr>
          <w:rFonts w:ascii="Georgia" w:hAnsi="Georgia" w:cs="Arial"/>
          <w:lang w:val="es-CO"/>
        </w:rPr>
        <w:t xml:space="preserve">Se </w:t>
      </w:r>
      <w:r>
        <w:rPr>
          <w:rFonts w:ascii="Georgia" w:hAnsi="Georgia" w:cs="Arial"/>
          <w:lang w:val="es-CO"/>
        </w:rPr>
        <w:t xml:space="preserve">modificará el 2º numeral para disminuir la sanción por desacato; y, (iii) Se adicionará para referir la cuenta donde debe consignarse la multa y advertir sobre la remisión de copias para cobro coactivo. </w:t>
      </w:r>
    </w:p>
    <w:p w:rsidR="00901F9A" w:rsidRPr="00623878" w:rsidRDefault="00901F9A" w:rsidP="00901F9A">
      <w:pPr>
        <w:pStyle w:val="Textoindependiente"/>
        <w:tabs>
          <w:tab w:val="left" w:pos="8647"/>
          <w:tab w:val="left" w:pos="9498"/>
        </w:tabs>
        <w:spacing w:line="360" w:lineRule="auto"/>
        <w:ind w:right="79"/>
        <w:rPr>
          <w:rFonts w:ascii="Georgia" w:hAnsi="Georgia" w:cs="Arial"/>
          <w:lang w:val="es-CO"/>
        </w:rPr>
      </w:pPr>
    </w:p>
    <w:p w:rsidR="00901F9A" w:rsidRPr="006B31F3" w:rsidRDefault="00901F9A" w:rsidP="00901F9A">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901F9A" w:rsidRPr="006B31F3" w:rsidRDefault="00901F9A" w:rsidP="00901F9A">
      <w:pPr>
        <w:tabs>
          <w:tab w:val="left" w:pos="-720"/>
        </w:tabs>
        <w:suppressAutoHyphens/>
        <w:spacing w:line="360" w:lineRule="auto"/>
        <w:jc w:val="both"/>
        <w:rPr>
          <w:rFonts w:ascii="Georgia" w:hAnsi="Georgia" w:cs="Arial"/>
          <w:smallCaps/>
          <w:sz w:val="14"/>
          <w:szCs w:val="24"/>
          <w:lang w:val="es-CO"/>
        </w:rPr>
      </w:pPr>
    </w:p>
    <w:p w:rsidR="00901F9A" w:rsidRPr="00F02B5D" w:rsidRDefault="00901F9A" w:rsidP="00901F9A">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901F9A" w:rsidRDefault="00901F9A" w:rsidP="00B5285C">
      <w:pPr>
        <w:tabs>
          <w:tab w:val="left" w:pos="-720"/>
        </w:tabs>
        <w:suppressAutoHyphens/>
        <w:spacing w:line="360" w:lineRule="auto"/>
        <w:jc w:val="center"/>
        <w:rPr>
          <w:rFonts w:ascii="Georgia" w:hAnsi="Georgia" w:cs="Arial"/>
          <w:smallCaps/>
          <w:sz w:val="22"/>
          <w:szCs w:val="24"/>
          <w:lang w:val="es-CO"/>
        </w:rPr>
      </w:pPr>
    </w:p>
    <w:p w:rsidR="00901F9A" w:rsidRDefault="00901F9A" w:rsidP="00B5285C">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CONFIRMAR</w:t>
      </w:r>
      <w:r w:rsidR="0066789A">
        <w:rPr>
          <w:rFonts w:ascii="Georgia" w:hAnsi="Georgia" w:cs="Arial"/>
          <w:sz w:val="24"/>
          <w:szCs w:val="24"/>
          <w:lang w:val="es-CO"/>
        </w:rPr>
        <w:t xml:space="preserve"> PARCIALMENTE</w:t>
      </w:r>
      <w:r w:rsidRPr="006B31F3">
        <w:rPr>
          <w:rFonts w:ascii="Georgia" w:hAnsi="Georgia" w:cs="Arial"/>
          <w:sz w:val="24"/>
          <w:szCs w:val="24"/>
          <w:lang w:val="es-CO"/>
        </w:rPr>
        <w:t xml:space="preserve"> la decisión sancionatoria dictada el </w:t>
      </w:r>
      <w:r w:rsidR="008663B2">
        <w:rPr>
          <w:rFonts w:ascii="Georgia" w:hAnsi="Georgia" w:cs="Arial"/>
          <w:sz w:val="24"/>
          <w:szCs w:val="24"/>
          <w:lang w:val="es-CO"/>
        </w:rPr>
        <w:t>21</w:t>
      </w:r>
      <w:r w:rsidR="00A0337F">
        <w:rPr>
          <w:rFonts w:ascii="Georgia" w:hAnsi="Georgia" w:cs="Arial"/>
          <w:sz w:val="24"/>
          <w:szCs w:val="24"/>
          <w:lang w:val="es-CO"/>
        </w:rPr>
        <w:t>-</w:t>
      </w:r>
      <w:r w:rsidR="008663B2">
        <w:rPr>
          <w:rFonts w:ascii="Georgia" w:hAnsi="Georgia" w:cs="Arial"/>
          <w:sz w:val="24"/>
          <w:szCs w:val="24"/>
          <w:lang w:val="es-CO"/>
        </w:rPr>
        <w:t>06</w:t>
      </w:r>
      <w:r w:rsidR="00F02B5D">
        <w:rPr>
          <w:rFonts w:ascii="Georgia" w:hAnsi="Georgia" w:cs="Arial"/>
          <w:sz w:val="24"/>
          <w:szCs w:val="24"/>
          <w:lang w:val="es-CO"/>
        </w:rPr>
        <w:t>-</w:t>
      </w:r>
      <w:r w:rsidR="008663B2">
        <w:rPr>
          <w:rFonts w:ascii="Georgia" w:hAnsi="Georgia" w:cs="Arial"/>
          <w:sz w:val="24"/>
          <w:szCs w:val="24"/>
          <w:lang w:val="es-CO"/>
        </w:rPr>
        <w:t xml:space="preserve">2018 </w:t>
      </w:r>
      <w:r w:rsidRPr="006B31F3">
        <w:rPr>
          <w:rFonts w:ascii="Georgia" w:hAnsi="Georgia" w:cs="Arial"/>
          <w:sz w:val="24"/>
          <w:szCs w:val="24"/>
          <w:lang w:val="es-CO"/>
        </w:rPr>
        <w:t xml:space="preserve">por el Juzgado </w:t>
      </w:r>
      <w:r w:rsidR="00F02B5D">
        <w:rPr>
          <w:rFonts w:ascii="Georgia" w:hAnsi="Georgia" w:cs="Arial"/>
          <w:sz w:val="24"/>
          <w:szCs w:val="24"/>
          <w:lang w:val="es-CO"/>
        </w:rPr>
        <w:t xml:space="preserve">Civil del Circuito de </w:t>
      </w:r>
      <w:r w:rsidR="008663B2">
        <w:rPr>
          <w:rFonts w:ascii="Georgia" w:hAnsi="Georgia" w:cs="Arial"/>
          <w:sz w:val="24"/>
          <w:szCs w:val="24"/>
          <w:lang w:val="es-CO"/>
        </w:rPr>
        <w:t>Dosquebradas</w:t>
      </w:r>
      <w:r w:rsidR="006F2E70" w:rsidRPr="006B31F3">
        <w:rPr>
          <w:rFonts w:ascii="Georgia" w:hAnsi="Georgia" w:cs="Arial"/>
          <w:sz w:val="24"/>
          <w:szCs w:val="24"/>
          <w:lang w:val="es-CO"/>
        </w:rPr>
        <w:t>.</w:t>
      </w:r>
    </w:p>
    <w:p w:rsidR="00623878" w:rsidRDefault="00623878" w:rsidP="00B5285C">
      <w:pPr>
        <w:pStyle w:val="Prrafodelista"/>
        <w:widowControl w:val="0"/>
        <w:spacing w:line="360" w:lineRule="auto"/>
        <w:ind w:left="360"/>
        <w:jc w:val="both"/>
        <w:rPr>
          <w:rFonts w:ascii="Georgia" w:hAnsi="Georgia" w:cs="Arial"/>
          <w:sz w:val="24"/>
          <w:szCs w:val="24"/>
          <w:lang w:val="es-CO"/>
        </w:rPr>
      </w:pPr>
    </w:p>
    <w:p w:rsidR="00623878" w:rsidRDefault="00623878" w:rsidP="00B5285C">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MODIFICAR el </w:t>
      </w:r>
      <w:r w:rsidRPr="00F870D7">
        <w:rPr>
          <w:rFonts w:ascii="Georgia" w:hAnsi="Georgia" w:cs="Arial"/>
          <w:lang w:val="es-CO"/>
        </w:rPr>
        <w:t xml:space="preserve">numeral </w:t>
      </w:r>
      <w:r w:rsidR="008663B2">
        <w:rPr>
          <w:rFonts w:ascii="Georgia" w:hAnsi="Georgia" w:cs="Arial"/>
          <w:lang w:val="es-CO"/>
        </w:rPr>
        <w:t>2</w:t>
      </w:r>
      <w:r w:rsidR="0066789A">
        <w:rPr>
          <w:rFonts w:ascii="Georgia" w:hAnsi="Georgia" w:cs="Arial"/>
          <w:lang w:val="es-CO"/>
        </w:rPr>
        <w:t xml:space="preserve">º </w:t>
      </w:r>
      <w:r w:rsidRPr="00F870D7">
        <w:rPr>
          <w:rFonts w:ascii="Georgia" w:hAnsi="Georgia" w:cs="Arial"/>
          <w:lang w:val="es-CO"/>
        </w:rPr>
        <w:t xml:space="preserve">de la citada providencia en el sentido de </w:t>
      </w:r>
      <w:r>
        <w:rPr>
          <w:rFonts w:ascii="Georgia" w:hAnsi="Georgia" w:cs="Arial"/>
          <w:lang w:val="es-CO"/>
        </w:rPr>
        <w:t xml:space="preserve">disminuir la sanción impuesta a los </w:t>
      </w:r>
      <w:proofErr w:type="spellStart"/>
      <w:r>
        <w:rPr>
          <w:rFonts w:ascii="Georgia" w:hAnsi="Georgia" w:cs="Arial"/>
          <w:lang w:val="es-CO"/>
        </w:rPr>
        <w:t>incidentados</w:t>
      </w:r>
      <w:proofErr w:type="spellEnd"/>
      <w:r>
        <w:rPr>
          <w:rFonts w:ascii="Georgia" w:hAnsi="Georgia" w:cs="Arial"/>
          <w:lang w:val="es-CO"/>
        </w:rPr>
        <w:t xml:space="preserve"> a </w:t>
      </w:r>
      <w:r w:rsidR="008663B2">
        <w:rPr>
          <w:rFonts w:ascii="Georgia" w:hAnsi="Georgia" w:cs="Arial"/>
          <w:lang w:val="es-CO"/>
        </w:rPr>
        <w:t xml:space="preserve">un (1) </w:t>
      </w:r>
      <w:proofErr w:type="spellStart"/>
      <w:r w:rsidR="008663B2">
        <w:rPr>
          <w:rFonts w:ascii="Georgia" w:hAnsi="Georgia" w:cs="Arial"/>
          <w:lang w:val="es-CO"/>
        </w:rPr>
        <w:t>smlmv</w:t>
      </w:r>
      <w:proofErr w:type="spellEnd"/>
      <w:r w:rsidR="008663B2">
        <w:rPr>
          <w:rFonts w:ascii="Georgia" w:hAnsi="Georgia" w:cs="Arial"/>
          <w:lang w:val="es-CO"/>
        </w:rPr>
        <w:t xml:space="preserve"> y </w:t>
      </w:r>
      <w:r>
        <w:rPr>
          <w:rFonts w:ascii="Georgia" w:hAnsi="Georgia" w:cs="Arial"/>
          <w:lang w:val="es-CO"/>
        </w:rPr>
        <w:t xml:space="preserve">un (1) día de arresto. </w:t>
      </w:r>
    </w:p>
    <w:p w:rsidR="00623878" w:rsidRPr="00623878" w:rsidRDefault="00623878" w:rsidP="00B5285C">
      <w:pPr>
        <w:pStyle w:val="Prrafodelista"/>
        <w:spacing w:line="360" w:lineRule="auto"/>
        <w:rPr>
          <w:rFonts w:ascii="Georgia" w:hAnsi="Georgia" w:cs="Arial"/>
          <w:sz w:val="24"/>
          <w:lang w:val="es-CO"/>
        </w:rPr>
      </w:pPr>
    </w:p>
    <w:p w:rsidR="008663B2" w:rsidRPr="004F0B3E" w:rsidRDefault="008663B2" w:rsidP="008663B2">
      <w:pPr>
        <w:pStyle w:val="Textoindependiente"/>
        <w:widowControl w:val="0"/>
        <w:numPr>
          <w:ilvl w:val="0"/>
          <w:numId w:val="2"/>
        </w:numPr>
        <w:tabs>
          <w:tab w:val="clear" w:pos="708"/>
        </w:tabs>
        <w:spacing w:line="360" w:lineRule="auto"/>
        <w:rPr>
          <w:rFonts w:ascii="Georgia" w:hAnsi="Georgia" w:cs="Arial"/>
          <w:lang w:val="es-CO"/>
        </w:rPr>
      </w:pPr>
      <w:r w:rsidRPr="008663B2">
        <w:rPr>
          <w:rFonts w:ascii="Georgia" w:hAnsi="Georgia" w:cs="Arial"/>
          <w:lang w:val="es-CO"/>
        </w:rPr>
        <w:t xml:space="preserve">ADICIONAR el mentado </w:t>
      </w:r>
      <w:r w:rsidR="00623878" w:rsidRPr="008663B2">
        <w:rPr>
          <w:rFonts w:ascii="Georgia" w:hAnsi="Georgia" w:cs="Arial"/>
          <w:lang w:val="es-CO"/>
        </w:rPr>
        <w:t xml:space="preserve">numeral </w:t>
      </w:r>
      <w:r>
        <w:rPr>
          <w:rFonts w:ascii="Georgia" w:hAnsi="Georgia" w:cs="Arial"/>
          <w:lang w:val="es-CO"/>
        </w:rPr>
        <w:t xml:space="preserve">en el sentido que la </w:t>
      </w:r>
      <w:r w:rsidRPr="004F0B3E">
        <w:rPr>
          <w:rFonts w:ascii="Georgia" w:hAnsi="Georgia" w:cs="Arial"/>
          <w:lang w:val="es-CO"/>
        </w:rPr>
        <w:t xml:space="preserve">multa deberá ser pagada en la cuenta </w:t>
      </w:r>
      <w:r w:rsidRPr="004F0B3E">
        <w:rPr>
          <w:rFonts w:ascii="Georgia" w:hAnsi="Georgia" w:cs="Arial"/>
          <w:i/>
        </w:rPr>
        <w:t>“CSJ - MULTAS Y SUS RENDIMIENTOS – CUN”</w:t>
      </w:r>
      <w:r w:rsidRPr="004F0B3E">
        <w:rPr>
          <w:rFonts w:ascii="Georgia" w:hAnsi="Georgia" w:cs="Arial"/>
        </w:rPr>
        <w:t xml:space="preserve"> No.3-0820-000640-8 del Banco Agrario de Colombia SA, y </w:t>
      </w:r>
      <w:r w:rsidRPr="004F0B3E">
        <w:rPr>
          <w:rFonts w:ascii="Georgia" w:hAnsi="Georgia" w:cs="Arial"/>
          <w:lang w:val="es-CO"/>
        </w:rPr>
        <w:t xml:space="preserve">en caso de no pagarse en </w:t>
      </w:r>
      <w:r w:rsidR="0016344A">
        <w:rPr>
          <w:rFonts w:ascii="Georgia" w:hAnsi="Georgia" w:cs="Arial"/>
          <w:lang w:val="es-CO"/>
        </w:rPr>
        <w:t xml:space="preserve">el </w:t>
      </w:r>
      <w:r w:rsidRPr="004F0B3E">
        <w:rPr>
          <w:rFonts w:ascii="Georgia" w:hAnsi="Georgia" w:cs="Arial"/>
          <w:lang w:val="es-CO"/>
        </w:rPr>
        <w:t>plazo</w:t>
      </w:r>
      <w:r w:rsidR="0016344A">
        <w:rPr>
          <w:rFonts w:ascii="Georgia" w:hAnsi="Georgia" w:cs="Arial"/>
          <w:lang w:val="es-CO"/>
        </w:rPr>
        <w:t xml:space="preserve"> concedido</w:t>
      </w:r>
      <w:r w:rsidRPr="004F0B3E">
        <w:rPr>
          <w:rFonts w:ascii="Georgia" w:hAnsi="Georgia" w:cs="Arial"/>
          <w:lang w:val="es-CO"/>
        </w:rPr>
        <w:t>, se remitirán copias de esta providencia con sus respectivas constancias a la Dirección Ejecutiva de Administración Judicial local, con el fin de que se inicie el proceso de cobro coactivo.</w:t>
      </w:r>
    </w:p>
    <w:p w:rsidR="00623878" w:rsidRPr="008663B2" w:rsidRDefault="00623878" w:rsidP="0016344A">
      <w:pPr>
        <w:pStyle w:val="Textoindependiente"/>
        <w:widowControl w:val="0"/>
        <w:tabs>
          <w:tab w:val="clear" w:pos="708"/>
        </w:tabs>
        <w:spacing w:line="360" w:lineRule="auto"/>
        <w:ind w:left="360"/>
        <w:rPr>
          <w:rFonts w:ascii="Georgia" w:hAnsi="Georgia" w:cs="Arial"/>
          <w:lang w:val="es-CO"/>
        </w:rPr>
      </w:pPr>
    </w:p>
    <w:p w:rsidR="00901F9A" w:rsidRPr="006B31F3" w:rsidRDefault="00901F9A" w:rsidP="00B5285C">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901F9A" w:rsidRPr="006B31F3" w:rsidRDefault="00901F9A" w:rsidP="00B5285C">
      <w:pPr>
        <w:spacing w:line="360" w:lineRule="auto"/>
        <w:ind w:left="360"/>
        <w:rPr>
          <w:rFonts w:ascii="Georgia" w:hAnsi="Georgia" w:cs="Arial"/>
          <w:sz w:val="24"/>
          <w:szCs w:val="24"/>
          <w:lang w:val="es-CO"/>
        </w:rPr>
      </w:pPr>
    </w:p>
    <w:p w:rsidR="00901F9A" w:rsidRPr="006B31F3" w:rsidRDefault="00901F9A" w:rsidP="00B5285C">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6B31F3" w:rsidRDefault="002E5B5B" w:rsidP="00003AFC">
      <w:pPr>
        <w:pStyle w:val="Prrafodelista"/>
        <w:spacing w:line="360" w:lineRule="auto"/>
        <w:ind w:left="360"/>
        <w:jc w:val="both"/>
        <w:rPr>
          <w:rFonts w:ascii="Georgia" w:hAnsi="Georgia" w:cs="Arial"/>
          <w:sz w:val="18"/>
          <w:szCs w:val="24"/>
          <w:lang w:val="es-CO"/>
        </w:rPr>
      </w:pPr>
    </w:p>
    <w:p w:rsidR="002C220C" w:rsidRPr="006B31F3" w:rsidRDefault="002C220C" w:rsidP="002C220C">
      <w:pPr>
        <w:spacing w:line="360" w:lineRule="auto"/>
        <w:jc w:val="center"/>
        <w:rPr>
          <w:rFonts w:ascii="Georgia" w:hAnsi="Georgia" w:cs="Arial"/>
          <w:smallCaps/>
          <w:sz w:val="28"/>
          <w:szCs w:val="24"/>
          <w:lang w:val="es-CO"/>
        </w:rPr>
      </w:pPr>
      <w:r w:rsidRPr="006B31F3">
        <w:rPr>
          <w:rFonts w:ascii="Georgia" w:hAnsi="Georgia" w:cs="Arial"/>
          <w:smallCaps/>
          <w:sz w:val="28"/>
          <w:szCs w:val="24"/>
          <w:lang w:val="es-CO"/>
        </w:rPr>
        <w:t>Notifíquese,</w:t>
      </w: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Pr="0016344A"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6B31F3">
        <w:rPr>
          <w:rFonts w:ascii="Georgia" w:hAnsi="Georgia" w:cs="Arial"/>
          <w:i/>
          <w:spacing w:val="-3"/>
          <w:w w:val="150"/>
          <w:sz w:val="28"/>
          <w:szCs w:val="22"/>
          <w:lang w:val="es-CO"/>
        </w:rPr>
        <w:t>D</w:t>
      </w:r>
      <w:r w:rsidRPr="006B31F3">
        <w:rPr>
          <w:rFonts w:ascii="Georgia" w:hAnsi="Georgia" w:cs="Arial"/>
          <w:i/>
          <w:spacing w:val="-3"/>
          <w:w w:val="150"/>
          <w:sz w:val="18"/>
          <w:szCs w:val="16"/>
          <w:lang w:val="es-CO"/>
        </w:rPr>
        <w:t>UBERNEY</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G</w:t>
      </w:r>
      <w:r w:rsidRPr="006B31F3">
        <w:rPr>
          <w:rFonts w:ascii="Georgia" w:hAnsi="Georgia" w:cs="Arial"/>
          <w:i/>
          <w:spacing w:val="-3"/>
          <w:w w:val="150"/>
          <w:sz w:val="18"/>
          <w:szCs w:val="16"/>
          <w:lang w:val="es-CO"/>
        </w:rPr>
        <w:t>RISALES</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H</w:t>
      </w:r>
      <w:r w:rsidRPr="006B31F3">
        <w:rPr>
          <w:rFonts w:ascii="Georgia" w:hAnsi="Georgia" w:cs="Arial"/>
          <w:i/>
          <w:spacing w:val="-3"/>
          <w:w w:val="150"/>
          <w:sz w:val="18"/>
          <w:szCs w:val="16"/>
          <w:lang w:val="es-CO"/>
        </w:rPr>
        <w:t>ERRERA</w:t>
      </w:r>
    </w:p>
    <w:p w:rsidR="008476D8" w:rsidRPr="006B31F3" w:rsidRDefault="002C220C" w:rsidP="001634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iCs/>
          <w:sz w:val="14"/>
          <w:szCs w:val="16"/>
          <w:lang w:val="en-US"/>
        </w:rPr>
      </w:pPr>
      <w:r w:rsidRPr="006B31F3">
        <w:rPr>
          <w:rFonts w:ascii="Georgia" w:hAnsi="Georgia" w:cs="Arial"/>
          <w:i/>
          <w:iCs/>
          <w:spacing w:val="-3"/>
          <w:w w:val="150"/>
          <w:sz w:val="28"/>
          <w:szCs w:val="18"/>
          <w:lang w:val="es-CO"/>
        </w:rPr>
        <w:t>M</w:t>
      </w:r>
      <w:r w:rsidRPr="006B31F3">
        <w:rPr>
          <w:rFonts w:ascii="Georgia" w:hAnsi="Georgia" w:cs="Arial"/>
          <w:i/>
          <w:iCs/>
          <w:spacing w:val="-3"/>
          <w:w w:val="150"/>
          <w:szCs w:val="16"/>
          <w:lang w:val="es-CO"/>
        </w:rPr>
        <w:t xml:space="preserve"> </w:t>
      </w:r>
      <w:r w:rsidRPr="006B31F3">
        <w:rPr>
          <w:rFonts w:ascii="Georgia" w:hAnsi="Georgia" w:cs="Arial"/>
          <w:i/>
          <w:iCs/>
          <w:spacing w:val="-3"/>
          <w:w w:val="150"/>
          <w:sz w:val="18"/>
          <w:szCs w:val="14"/>
          <w:lang w:val="es-CO"/>
        </w:rPr>
        <w:t>A G I S T R A D O</w:t>
      </w:r>
      <w:r w:rsidR="0016344A">
        <w:rPr>
          <w:rFonts w:ascii="Georgia" w:hAnsi="Georgia" w:cs="Arial"/>
          <w:i/>
          <w:iCs/>
          <w:spacing w:val="-3"/>
          <w:w w:val="150"/>
          <w:sz w:val="18"/>
          <w:szCs w:val="14"/>
          <w:lang w:val="es-CO"/>
        </w:rPr>
        <w:t xml:space="preserve">                                   </w:t>
      </w:r>
      <w:r w:rsidR="00D5268D" w:rsidRPr="006B31F3">
        <w:rPr>
          <w:rFonts w:ascii="Georgia" w:hAnsi="Georgia" w:cs="Arial"/>
          <w:i/>
          <w:iCs/>
          <w:sz w:val="14"/>
          <w:szCs w:val="16"/>
          <w:lang w:val="en-US"/>
        </w:rPr>
        <w:t>DGH /</w:t>
      </w:r>
      <w:r w:rsidR="009C3F6A" w:rsidRPr="006B31F3">
        <w:rPr>
          <w:rFonts w:ascii="Georgia" w:hAnsi="Georgia" w:cs="Arial"/>
          <w:i/>
          <w:iCs/>
          <w:sz w:val="14"/>
          <w:szCs w:val="16"/>
          <w:lang w:val="en-US"/>
        </w:rPr>
        <w:t>ODCD/</w:t>
      </w:r>
      <w:r w:rsidR="00F96B63">
        <w:rPr>
          <w:rFonts w:ascii="Georgia" w:hAnsi="Georgia" w:cs="Arial"/>
          <w:i/>
          <w:iCs/>
          <w:sz w:val="14"/>
          <w:szCs w:val="16"/>
          <w:lang w:val="en-US"/>
        </w:rPr>
        <w:t>2018</w:t>
      </w:r>
    </w:p>
    <w:sectPr w:rsidR="008476D8" w:rsidRPr="006B31F3" w:rsidSect="005F01E5">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0F" w:rsidRDefault="00A52C0F" w:rsidP="0005223F">
      <w:r>
        <w:separator/>
      </w:r>
    </w:p>
  </w:endnote>
  <w:endnote w:type="continuationSeparator" w:id="0">
    <w:p w:rsidR="00A52C0F" w:rsidRDefault="00A52C0F"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0F" w:rsidRDefault="00A52C0F" w:rsidP="0005223F">
      <w:r>
        <w:separator/>
      </w:r>
    </w:p>
  </w:footnote>
  <w:footnote w:type="continuationSeparator" w:id="0">
    <w:p w:rsidR="00A52C0F" w:rsidRDefault="00A52C0F" w:rsidP="0005223F">
      <w:r>
        <w:continuationSeparator/>
      </w:r>
    </w:p>
  </w:footnote>
  <w:footnote w:id="1">
    <w:p w:rsidR="001D18B8" w:rsidRDefault="001D18B8" w:rsidP="001D18B8">
      <w:pPr>
        <w:pStyle w:val="Textonotapie"/>
        <w:jc w:val="both"/>
        <w:rPr>
          <w:rFonts w:ascii="Times New Roman" w:hAnsi="Times New Roman" w:cs="Times New Roman"/>
          <w:lang w:val="es-ES_tradnl"/>
        </w:rPr>
      </w:pPr>
      <w:r>
        <w:rPr>
          <w:rStyle w:val="Refdenotaalpie"/>
        </w:rPr>
        <w:footnoteRef/>
      </w:r>
      <w:r>
        <w:rPr>
          <w:rFonts w:ascii="Times New Roman" w:hAnsi="Times New Roman" w:cs="Times New Roman"/>
        </w:rPr>
        <w:t xml:space="preserve"> </w:t>
      </w:r>
      <w:r>
        <w:rPr>
          <w:rFonts w:ascii="Times New Roman" w:hAnsi="Times New Roman" w:cs="Times New Roman"/>
          <w:lang w:val="es-CO"/>
        </w:rPr>
        <w:t>TS de Pereira, Sala Civil-Familia. Auto del 16-08-2016, MP: Grisales H., No.</w:t>
      </w:r>
      <w:r>
        <w:rPr>
          <w:rFonts w:ascii="Times New Roman" w:hAnsi="Times New Roman" w:cs="Times New Roman"/>
          <w:lang w:val="es-ES_tradnl"/>
        </w:rPr>
        <w:t>2016-00047-01, criterio reiterado por la misma Sala Especializada en autos del 18-07-2017, No.</w:t>
      </w:r>
      <w:r>
        <w:rPr>
          <w:rFonts w:ascii="Times New Roman" w:hAnsi="Times New Roman" w:cs="Times New Roman"/>
        </w:rPr>
        <w:t xml:space="preserve">2014-00107-01, del </w:t>
      </w:r>
      <w:r>
        <w:rPr>
          <w:rFonts w:ascii="Times New Roman" w:hAnsi="Times New Roman" w:cs="Times New Roman"/>
          <w:lang w:val="es-ES_tradnl"/>
        </w:rPr>
        <w:t>08-08-2017, No.</w:t>
      </w:r>
      <w:r>
        <w:rPr>
          <w:rFonts w:ascii="Times New Roman" w:hAnsi="Times New Roman" w:cs="Times New Roman"/>
        </w:rPr>
        <w:t xml:space="preserve">2014-00420-02, del 16-03-2018, No.16-00409-01, del 02-05-2018, No.10-00280-02 y del 05-06-2018, No.17-00415-01, entre </w:t>
      </w:r>
      <w:proofErr w:type="spellStart"/>
      <w:r>
        <w:rPr>
          <w:rFonts w:ascii="Times New Roman" w:hAnsi="Times New Roman" w:cs="Times New Roman"/>
        </w:rPr>
        <w:t>otras</w:t>
      </w:r>
      <w:proofErr w:type="spellEnd"/>
      <w:r>
        <w:rPr>
          <w:rFonts w:ascii="Times New Roman" w:hAnsi="Times New Roman" w:cs="Times New Roman"/>
          <w:lang w:val="es-ES_tradnl"/>
        </w:rPr>
        <w:t>.</w:t>
      </w:r>
    </w:p>
  </w:footnote>
  <w:footnote w:id="2">
    <w:p w:rsidR="001D18B8" w:rsidRDefault="001D18B8" w:rsidP="001D18B8">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T-280 de 2017.</w:t>
      </w:r>
    </w:p>
  </w:footnote>
  <w:footnote w:id="3">
    <w:p w:rsidR="001D18B8" w:rsidRDefault="001D18B8" w:rsidP="001D18B8">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T-226 de 2016.</w:t>
      </w:r>
    </w:p>
  </w:footnote>
  <w:footnote w:id="4">
    <w:p w:rsidR="001D18B8" w:rsidRDefault="001D18B8" w:rsidP="001D18B8">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1D18B8" w:rsidRDefault="001D18B8" w:rsidP="001D18B8">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T-606 de 2011.</w:t>
      </w:r>
    </w:p>
  </w:footnote>
  <w:footnote w:id="6">
    <w:p w:rsidR="001D18B8" w:rsidRDefault="001D18B8" w:rsidP="001D18B8">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T-939 de 2005,  T-897 de 2008 y Autos </w:t>
      </w:r>
      <w:r>
        <w:rPr>
          <w:rFonts w:ascii="Times New Roman" w:hAnsi="Times New Roman" w:cs="Times New Roman"/>
          <w:bCs/>
        </w:rPr>
        <w:t xml:space="preserve">075 de 2017,  </w:t>
      </w:r>
      <w:r>
        <w:rPr>
          <w:rFonts w:ascii="Times New Roman" w:hAnsi="Times New Roman" w:cs="Times New Roman"/>
          <w:lang w:val="es-CO"/>
        </w:rPr>
        <w:t xml:space="preserve">285 de 2008, 122 de 2006. </w:t>
      </w:r>
    </w:p>
  </w:footnote>
  <w:footnote w:id="7">
    <w:p w:rsidR="001D18B8" w:rsidRDefault="001D18B8" w:rsidP="001D18B8">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CSJ. STC6681-2018 y </w:t>
      </w:r>
      <w:r>
        <w:rPr>
          <w:rFonts w:ascii="Times New Roman" w:hAnsi="Times New Roman" w:cs="Times New Roman"/>
          <w:bCs/>
          <w:lang w:val="es-ES"/>
        </w:rPr>
        <w:t>STC5793-2017</w:t>
      </w:r>
      <w:r>
        <w:rPr>
          <w:rFonts w:ascii="Times New Roman" w:hAnsi="Times New Roman" w:cs="Times New Roman"/>
          <w:lang w:val="es-CO"/>
        </w:rPr>
        <w:t xml:space="preserve">, también en los autos </w:t>
      </w:r>
      <w:r>
        <w:rPr>
          <w:rFonts w:ascii="Times New Roman" w:hAnsi="Times New Roman" w:cs="Times New Roman"/>
          <w:bCs/>
          <w:lang w:val="es-CO"/>
        </w:rPr>
        <w:t xml:space="preserve">ATC3660-2017, </w:t>
      </w:r>
      <w:r>
        <w:rPr>
          <w:rFonts w:ascii="Times New Roman" w:hAnsi="Times New Roman" w:cs="Times New Roman"/>
          <w:lang w:val="es-CO"/>
        </w:rPr>
        <w:t>ATC101-2016, ATC</w:t>
      </w:r>
      <w:r>
        <w:rPr>
          <w:rFonts w:ascii="Times New Roman" w:hAnsi="Times New Roman" w:cs="Times New Roman"/>
          <w:bCs/>
          <w:lang w:val="es-CO"/>
        </w:rPr>
        <w:t>1555-2016, ATC3599-2016 y ATC8741-2016.</w:t>
      </w:r>
    </w:p>
  </w:footnote>
  <w:footnote w:id="8">
    <w:p w:rsidR="00F75F2E" w:rsidRPr="007974A3" w:rsidRDefault="00F75F2E" w:rsidP="00F75F2E">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T-527 de 2012.</w:t>
      </w:r>
    </w:p>
  </w:footnote>
  <w:footnote w:id="9">
    <w:p w:rsidR="00BB1344" w:rsidRPr="007974A3" w:rsidRDefault="00BB1344" w:rsidP="00BB1344">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T-271 de 2015, también pueden consultarse la C-367 de 2014 y la T-1113 de 2005. </w:t>
      </w:r>
      <w:r w:rsidRPr="007974A3">
        <w:rPr>
          <w:rFonts w:ascii="Times New Roman" w:hAnsi="Times New Roman" w:cs="Times New Roman"/>
          <w:i/>
          <w:spacing w:val="-3"/>
          <w:lang w:val="es-CO"/>
        </w:rPr>
        <w:t xml:space="preserve">“(…) </w:t>
      </w:r>
      <w:r w:rsidRPr="007974A3">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7974A3">
        <w:rPr>
          <w:rFonts w:ascii="Times New Roman" w:hAnsi="Times New Roman" w:cs="Times New Roman"/>
          <w:i/>
          <w:u w:val="single"/>
          <w:shd w:val="clear" w:color="auto" w:fill="FFFFFF"/>
          <w:lang w:val="es-CO"/>
        </w:rPr>
        <w:t>deberá imponer la sanción adecuada, proporcionada y razonable en relación con los hechos (…)</w:t>
      </w:r>
      <w:r w:rsidRPr="007974A3">
        <w:rPr>
          <w:rFonts w:ascii="Times New Roman" w:hAnsi="Times New Roman" w:cs="Times New Roman"/>
          <w:i/>
          <w:shd w:val="clear" w:color="auto" w:fill="FFFFFF"/>
          <w:lang w:val="es-CO"/>
        </w:rPr>
        <w:t>”.</w:t>
      </w:r>
    </w:p>
  </w:footnote>
  <w:footnote w:id="10">
    <w:p w:rsidR="004C655F" w:rsidRPr="004C655F" w:rsidRDefault="004C655F">
      <w:pPr>
        <w:pStyle w:val="Textonotapie"/>
        <w:rPr>
          <w:lang w:val="es-CO"/>
        </w:rPr>
      </w:pPr>
      <w:r w:rsidRPr="004C655F">
        <w:rPr>
          <w:rStyle w:val="Refdenotaalpie"/>
        </w:rPr>
        <w:footnoteRef/>
      </w:r>
      <w:r w:rsidRPr="004C655F">
        <w:t xml:space="preserve"> </w:t>
      </w:r>
      <w:hyperlink r:id="rId1" w:history="1">
        <w:r w:rsidRPr="004C655F">
          <w:rPr>
            <w:rStyle w:val="Hipervnculo"/>
            <w:color w:val="auto"/>
            <w:u w:val="none"/>
          </w:rPr>
          <w:t>https://www.invima.gov.co/consultas-registros-sanitarios</w:t>
        </w:r>
      </w:hyperlink>
      <w:r>
        <w:t xml:space="preserve"> </w:t>
      </w:r>
      <w:proofErr w:type="spellStart"/>
      <w:r>
        <w:t>consultada</w:t>
      </w:r>
      <w:proofErr w:type="spellEnd"/>
      <w:r>
        <w:t xml:space="preserve"> el 11-07-2018.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8D5E46" w:rsidRDefault="00157C3D" w:rsidP="00157C3D">
    <w:pPr>
      <w:pStyle w:val="Encabezado"/>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42405E">
      <w:rPr>
        <w:rFonts w:ascii="Georgia" w:hAnsi="Georgia" w:cs="Calibri"/>
        <w:i/>
        <w:noProof/>
      </w:rPr>
      <w:t>5</w:t>
    </w:r>
    <w:r w:rsidRPr="008D5E46">
      <w:rPr>
        <w:rFonts w:ascii="Georgia" w:hAnsi="Georgia" w:cs="Calibri"/>
        <w:i/>
      </w:rPr>
      <w:fldChar w:fldCharType="end"/>
    </w:r>
  </w:p>
  <w:p w:rsidR="00157C3D" w:rsidRPr="008D5E46" w:rsidRDefault="00157C3D" w:rsidP="00157C3D">
    <w:pPr>
      <w:pStyle w:val="Encabezado"/>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No.</w:t>
    </w:r>
    <w:r w:rsidR="001D18B8">
      <w:rPr>
        <w:rFonts w:ascii="Georgia" w:eastAsia="Calibri" w:hAnsi="Georgia" w:cs="Calibri"/>
        <w:i/>
        <w:smallCaps/>
      </w:rPr>
      <w:t>2005-00116-01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4704C"/>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7793B"/>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1091"/>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344A"/>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18B8"/>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4CBF"/>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3E4E"/>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05E"/>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55F"/>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08B"/>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4EB"/>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277E"/>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E66F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23878"/>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6789A"/>
    <w:rsid w:val="00671E5E"/>
    <w:rsid w:val="006723BF"/>
    <w:rsid w:val="00672632"/>
    <w:rsid w:val="00673610"/>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4954"/>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43FA"/>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07C4"/>
    <w:rsid w:val="008516E2"/>
    <w:rsid w:val="00852EA2"/>
    <w:rsid w:val="008575CC"/>
    <w:rsid w:val="008603F3"/>
    <w:rsid w:val="00860B6C"/>
    <w:rsid w:val="00860C76"/>
    <w:rsid w:val="008611D0"/>
    <w:rsid w:val="008613DC"/>
    <w:rsid w:val="0086235A"/>
    <w:rsid w:val="00865011"/>
    <w:rsid w:val="008663B2"/>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2CF5"/>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59F4"/>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337F"/>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2C0F"/>
    <w:rsid w:val="00A53AF5"/>
    <w:rsid w:val="00A55051"/>
    <w:rsid w:val="00A551BA"/>
    <w:rsid w:val="00A557D9"/>
    <w:rsid w:val="00A55CD7"/>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4A2A"/>
    <w:rsid w:val="00B3550C"/>
    <w:rsid w:val="00B3668B"/>
    <w:rsid w:val="00B36AD7"/>
    <w:rsid w:val="00B41684"/>
    <w:rsid w:val="00B4210D"/>
    <w:rsid w:val="00B43671"/>
    <w:rsid w:val="00B44715"/>
    <w:rsid w:val="00B4558E"/>
    <w:rsid w:val="00B463F9"/>
    <w:rsid w:val="00B46FB4"/>
    <w:rsid w:val="00B50102"/>
    <w:rsid w:val="00B5285C"/>
    <w:rsid w:val="00B53D5F"/>
    <w:rsid w:val="00B552CA"/>
    <w:rsid w:val="00B55681"/>
    <w:rsid w:val="00B55CCC"/>
    <w:rsid w:val="00B56AE7"/>
    <w:rsid w:val="00B57050"/>
    <w:rsid w:val="00B6233A"/>
    <w:rsid w:val="00B62954"/>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1BFC"/>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A7BCC"/>
    <w:rsid w:val="00BB055C"/>
    <w:rsid w:val="00BB0B9E"/>
    <w:rsid w:val="00BB1344"/>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4EA5"/>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6BE6"/>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23E"/>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909"/>
    <w:rsid w:val="00F00C95"/>
    <w:rsid w:val="00F02B5D"/>
    <w:rsid w:val="00F03FF6"/>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5F2E"/>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96B63"/>
    <w:rsid w:val="00FA01BC"/>
    <w:rsid w:val="00FA0E31"/>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B62CC"/>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038"/>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vima.gov.co/consultas-registros-sanita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ED5D-F6FA-4E4F-8DC1-8F5B5C2B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1634</Words>
  <Characters>8991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4</cp:revision>
  <cp:lastPrinted>2018-01-24T17:02:00Z</cp:lastPrinted>
  <dcterms:created xsi:type="dcterms:W3CDTF">2018-07-11T12:08:00Z</dcterms:created>
  <dcterms:modified xsi:type="dcterms:W3CDTF">2018-07-11T18:42:00Z</dcterms:modified>
</cp:coreProperties>
</file>