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54" w:rsidRPr="002F15F2" w:rsidRDefault="00F73054" w:rsidP="00F7305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F73054" w:rsidRPr="002F15F2" w:rsidRDefault="00F73054" w:rsidP="00F7305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Asunto</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Sentencia de tutela en segunda instancia</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Accionante</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Gloria Inés Espinosa Sánchez</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 xml:space="preserve">Accionado </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Juzgado 1º Civil Municipal de Dosquebradas</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Vinculada</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Quintas del Jardín Colonial PH y otro</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Procedencia</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Juzgado Civil del Circuito de Dosq</w:t>
      </w:r>
      <w:bookmarkStart w:id="0" w:name="_GoBack"/>
      <w:bookmarkEnd w:id="0"/>
      <w:r w:rsidRPr="00F73054">
        <w:rPr>
          <w:rFonts w:ascii="Arial" w:hAnsi="Arial" w:cs="Arial"/>
          <w:sz w:val="18"/>
          <w:szCs w:val="18"/>
          <w:lang w:val="es-ES_tradnl" w:eastAsia="fr-FR"/>
        </w:rPr>
        <w:t>uebradas</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F73054">
        <w:rPr>
          <w:rFonts w:ascii="Arial" w:hAnsi="Arial" w:cs="Arial"/>
          <w:sz w:val="18"/>
          <w:szCs w:val="18"/>
          <w:lang w:val="es-ES_tradnl" w:eastAsia="fr-FR"/>
        </w:rPr>
        <w:t>Radicación</w:t>
      </w:r>
      <w:r w:rsidRPr="00F73054">
        <w:rPr>
          <w:rFonts w:ascii="Arial" w:hAnsi="Arial" w:cs="Arial"/>
          <w:sz w:val="18"/>
          <w:szCs w:val="18"/>
          <w:lang w:val="es-ES_tradnl" w:eastAsia="fr-FR"/>
        </w:rPr>
        <w:tab/>
      </w:r>
      <w:r w:rsidRPr="00F73054">
        <w:rPr>
          <w:rFonts w:ascii="Arial" w:hAnsi="Arial" w:cs="Arial"/>
          <w:sz w:val="18"/>
          <w:szCs w:val="18"/>
          <w:lang w:val="es-ES_tradnl" w:eastAsia="fr-FR"/>
        </w:rPr>
        <w:tab/>
        <w:t>: 66170-31-03-001-2018-00023-01</w:t>
      </w:r>
    </w:p>
    <w:p w:rsidR="00F73054" w:rsidRPr="00F73054" w:rsidRDefault="00F73054" w:rsidP="00F73054">
      <w:pPr>
        <w:widowControl/>
        <w:shd w:val="clear" w:color="auto" w:fill="FFFFFF"/>
        <w:tabs>
          <w:tab w:val="left" w:pos="1790"/>
          <w:tab w:val="left" w:pos="1816"/>
          <w:tab w:val="left" w:pos="1843"/>
          <w:tab w:val="left" w:pos="4755"/>
        </w:tabs>
        <w:autoSpaceDE/>
        <w:autoSpaceDN/>
        <w:adjustRightInd/>
        <w:jc w:val="both"/>
        <w:rPr>
          <w:rFonts w:ascii="Arial" w:hAnsi="Arial" w:cs="Arial"/>
          <w:sz w:val="18"/>
          <w:szCs w:val="18"/>
          <w:lang w:val="es-CO" w:eastAsia="fr-FR"/>
        </w:rPr>
      </w:pPr>
      <w:r w:rsidRPr="00F73054">
        <w:rPr>
          <w:rFonts w:ascii="Arial" w:hAnsi="Arial" w:cs="Arial"/>
          <w:sz w:val="18"/>
          <w:szCs w:val="18"/>
          <w:lang w:val="es-ES_tradnl" w:eastAsia="fr-FR"/>
        </w:rPr>
        <w:t>Magistrado Ponente</w:t>
      </w:r>
      <w:r w:rsidRPr="00F73054">
        <w:rPr>
          <w:rFonts w:ascii="Arial" w:hAnsi="Arial" w:cs="Arial"/>
          <w:sz w:val="18"/>
          <w:szCs w:val="18"/>
          <w:lang w:val="es-ES_tradnl" w:eastAsia="fr-FR"/>
        </w:rPr>
        <w:tab/>
        <w:t xml:space="preserve">: </w:t>
      </w:r>
      <w:proofErr w:type="spellStart"/>
      <w:r w:rsidRPr="00F73054">
        <w:rPr>
          <w:rFonts w:ascii="Arial" w:hAnsi="Arial" w:cs="Arial"/>
          <w:sz w:val="18"/>
          <w:szCs w:val="18"/>
          <w:lang w:val="es-CO" w:eastAsia="fr-FR"/>
        </w:rPr>
        <w:t>Duberney</w:t>
      </w:r>
      <w:proofErr w:type="spellEnd"/>
      <w:r w:rsidRPr="00F73054">
        <w:rPr>
          <w:rFonts w:ascii="Arial" w:hAnsi="Arial" w:cs="Arial"/>
          <w:sz w:val="18"/>
          <w:szCs w:val="18"/>
          <w:lang w:val="es-CO" w:eastAsia="fr-FR"/>
        </w:rPr>
        <w:t xml:space="preserve"> Grisales Herrera</w:t>
      </w:r>
    </w:p>
    <w:p w:rsidR="00F73054" w:rsidRPr="002F15F2" w:rsidRDefault="00F73054" w:rsidP="00F73054">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p>
    <w:p w:rsidR="00F73054" w:rsidRPr="002F15F2" w:rsidRDefault="00F73054" w:rsidP="00F73054">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73054" w:rsidRDefault="00F73054" w:rsidP="00F73054">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sidR="00F61E8A">
        <w:rPr>
          <w:rFonts w:ascii="Arial" w:hAnsi="Arial" w:cs="Arial"/>
          <w:b/>
          <w:sz w:val="18"/>
          <w:szCs w:val="18"/>
          <w:lang w:val="es-CO" w:eastAsia="fr-FR"/>
        </w:rPr>
        <w:t>DEFECTUOSA VALORACIÓN PROBATORIA</w:t>
      </w:r>
      <w:r>
        <w:rPr>
          <w:rFonts w:ascii="Arial" w:hAnsi="Arial" w:cs="Arial"/>
          <w:b/>
          <w:sz w:val="18"/>
          <w:szCs w:val="18"/>
          <w:lang w:val="es-CO" w:eastAsia="fr-FR"/>
        </w:rPr>
        <w:t xml:space="preserve"> / </w:t>
      </w:r>
      <w:r w:rsidR="00F61E8A">
        <w:rPr>
          <w:rFonts w:ascii="Arial" w:hAnsi="Arial" w:cs="Arial"/>
          <w:b/>
          <w:sz w:val="18"/>
          <w:szCs w:val="18"/>
          <w:lang w:val="es-CO" w:eastAsia="fr-FR"/>
        </w:rPr>
        <w:t>DEFECTO FÁCTICO</w:t>
      </w:r>
      <w:r>
        <w:rPr>
          <w:rFonts w:ascii="Arial" w:hAnsi="Arial" w:cs="Arial"/>
          <w:b/>
          <w:sz w:val="18"/>
          <w:szCs w:val="18"/>
          <w:lang w:eastAsia="fr-FR"/>
        </w:rPr>
        <w:t xml:space="preserve"> / </w:t>
      </w:r>
      <w:r w:rsidR="00F61E8A">
        <w:rPr>
          <w:rFonts w:ascii="Arial" w:hAnsi="Arial" w:cs="Arial"/>
          <w:b/>
          <w:sz w:val="18"/>
          <w:szCs w:val="18"/>
          <w:lang w:eastAsia="fr-FR"/>
        </w:rPr>
        <w:t>REVOCA</w:t>
      </w:r>
      <w:r>
        <w:rPr>
          <w:rFonts w:ascii="Arial" w:hAnsi="Arial" w:cs="Arial"/>
          <w:b/>
          <w:sz w:val="18"/>
          <w:szCs w:val="18"/>
          <w:lang w:eastAsia="fr-FR"/>
        </w:rPr>
        <w:t xml:space="preserve"> / CONCEDE /</w:t>
      </w:r>
    </w:p>
    <w:p w:rsidR="00F73054" w:rsidRDefault="00F73054" w:rsidP="00F73054">
      <w:pPr>
        <w:pStyle w:val="Sinespaciado"/>
        <w:jc w:val="both"/>
        <w:rPr>
          <w:rFonts w:ascii="Arial" w:hAnsi="Arial" w:cs="Arial"/>
          <w:b/>
          <w:sz w:val="18"/>
          <w:szCs w:val="18"/>
          <w:lang w:eastAsia="fr-FR"/>
        </w:rPr>
      </w:pPr>
    </w:p>
    <w:p w:rsidR="00333F6B" w:rsidRDefault="00333F6B" w:rsidP="00333F6B">
      <w:pPr>
        <w:pStyle w:val="Sinespaciado"/>
        <w:jc w:val="both"/>
        <w:rPr>
          <w:rFonts w:ascii="Arial" w:hAnsi="Arial" w:cs="Arial"/>
          <w:sz w:val="18"/>
          <w:szCs w:val="18"/>
          <w:lang w:val="es-ES_tradnl" w:eastAsia="fr-FR"/>
        </w:rPr>
      </w:pPr>
      <w:r>
        <w:rPr>
          <w:rFonts w:ascii="Arial" w:hAnsi="Arial" w:cs="Arial"/>
          <w:sz w:val="18"/>
          <w:szCs w:val="18"/>
          <w:lang w:val="es-ES_tradnl" w:eastAsia="fr-FR"/>
        </w:rPr>
        <w:t xml:space="preserve">6.1. </w:t>
      </w:r>
      <w:r w:rsidRPr="00333F6B">
        <w:rPr>
          <w:rFonts w:ascii="Arial" w:hAnsi="Arial" w:cs="Arial"/>
          <w:sz w:val="18"/>
          <w:szCs w:val="18"/>
          <w:lang w:val="es-ES_tradnl" w:eastAsia="fr-FR"/>
        </w:rPr>
        <w:t>E</w:t>
      </w:r>
      <w:r>
        <w:rPr>
          <w:rFonts w:ascii="Arial" w:hAnsi="Arial" w:cs="Arial"/>
          <w:sz w:val="18"/>
          <w:szCs w:val="18"/>
          <w:lang w:val="es-ES_tradnl" w:eastAsia="fr-FR"/>
        </w:rPr>
        <w:t xml:space="preserve">L DEFECTO SUSTANTIVO O MATERIAL   </w:t>
      </w:r>
      <w:r w:rsidRPr="00333F6B">
        <w:rPr>
          <w:rFonts w:ascii="Arial" w:hAnsi="Arial" w:cs="Arial"/>
          <w:sz w:val="18"/>
          <w:szCs w:val="18"/>
          <w:lang w:val="es-ES_tradnl" w:eastAsia="fr-FR"/>
        </w:rPr>
        <w:t xml:space="preserve">La doctrina constitucional, a lo largo de su evolución, ha definido aquellos eventos en los cuales se comete tal anomalía, y ha dicho que consiste en una decisión fundada en normas indiscutiblemente </w:t>
      </w:r>
      <w:proofErr w:type="gramStart"/>
      <w:r w:rsidRPr="00333F6B">
        <w:rPr>
          <w:rFonts w:ascii="Arial" w:hAnsi="Arial" w:cs="Arial"/>
          <w:sz w:val="18"/>
          <w:szCs w:val="18"/>
          <w:lang w:val="es-ES_tradnl" w:eastAsia="fr-FR"/>
        </w:rPr>
        <w:t>inaplicables ,</w:t>
      </w:r>
      <w:proofErr w:type="gramEnd"/>
      <w:r w:rsidRPr="00333F6B">
        <w:rPr>
          <w:rFonts w:ascii="Arial" w:hAnsi="Arial" w:cs="Arial"/>
          <w:sz w:val="18"/>
          <w:szCs w:val="18"/>
          <w:lang w:val="es-ES_tradnl" w:eastAsia="fr-FR"/>
        </w:rPr>
        <w:t xml:space="preserve"> luego en otra decisión  añadió que surge cuando quiera que la autoridad judicial desatiende reglas legales o </w:t>
      </w:r>
      <w:proofErr w:type="spellStart"/>
      <w:r w:rsidRPr="00333F6B">
        <w:rPr>
          <w:rFonts w:ascii="Arial" w:hAnsi="Arial" w:cs="Arial"/>
          <w:sz w:val="18"/>
          <w:szCs w:val="18"/>
          <w:lang w:val="es-ES_tradnl" w:eastAsia="fr-FR"/>
        </w:rPr>
        <w:t>infralegales</w:t>
      </w:r>
      <w:proofErr w:type="spellEnd"/>
      <w:r w:rsidRPr="00333F6B">
        <w:rPr>
          <w:rFonts w:ascii="Arial" w:hAnsi="Arial" w:cs="Arial"/>
          <w:sz w:val="18"/>
          <w:szCs w:val="18"/>
          <w:lang w:val="es-ES_tradnl" w:eastAsia="fr-FR"/>
        </w:rPr>
        <w:t>, que son aplicables para un determinado caso.</w:t>
      </w:r>
      <w:r w:rsidRPr="00333F6B">
        <w:rPr>
          <w:rFonts w:ascii="Arial" w:hAnsi="Arial" w:cs="Arial"/>
          <w:sz w:val="18"/>
          <w:szCs w:val="18"/>
          <w:lang w:val="es-ES_tradnl" w:eastAsia="fr-FR"/>
        </w:rPr>
        <w:t xml:space="preserve"> </w:t>
      </w:r>
    </w:p>
    <w:p w:rsidR="00F73054" w:rsidRDefault="00F73054" w:rsidP="00333F6B">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333F6B" w:rsidRDefault="00333F6B" w:rsidP="00333F6B">
      <w:pPr>
        <w:pStyle w:val="Sinespaciado"/>
        <w:jc w:val="both"/>
        <w:rPr>
          <w:rFonts w:ascii="Arial" w:hAnsi="Arial" w:cs="Arial"/>
          <w:sz w:val="18"/>
          <w:szCs w:val="18"/>
          <w:lang w:val="es-ES_tradnl" w:eastAsia="fr-FR"/>
        </w:rPr>
      </w:pPr>
      <w:r>
        <w:rPr>
          <w:rFonts w:ascii="Arial" w:hAnsi="Arial" w:cs="Arial"/>
          <w:sz w:val="18"/>
          <w:szCs w:val="18"/>
          <w:lang w:val="es-ES_tradnl" w:eastAsia="fr-FR"/>
        </w:rPr>
        <w:t xml:space="preserve">6.1. EL DEFECTO FÁCTICO   </w:t>
      </w:r>
      <w:r w:rsidRPr="00333F6B">
        <w:rPr>
          <w:rFonts w:ascii="Arial" w:hAnsi="Arial" w:cs="Arial"/>
          <w:sz w:val="18"/>
          <w:szCs w:val="18"/>
          <w:lang w:val="es-ES_tradnl" w:eastAsia="fr-FR"/>
        </w:rPr>
        <w:t xml:space="preserve">La doctrina constitucional  sobre esta específica causal de procedibilidad tiene dicho que: </w:t>
      </w:r>
      <w:r w:rsidRPr="00333F6B">
        <w:rPr>
          <w:rFonts w:ascii="Arial" w:hAnsi="Arial" w:cs="Arial"/>
          <w:i/>
          <w:sz w:val="18"/>
          <w:szCs w:val="18"/>
          <w:lang w:val="es-ES_tradnl" w:eastAsia="fr-FR"/>
        </w:rPr>
        <w:t xml:space="preserve">“(…) se produce cuando el juez toma una decisión sin que se encuentren plenamente comprobados los hechos que legalmente la </w:t>
      </w:r>
      <w:proofErr w:type="gramStart"/>
      <w:r w:rsidRPr="00333F6B">
        <w:rPr>
          <w:rFonts w:ascii="Arial" w:hAnsi="Arial" w:cs="Arial"/>
          <w:i/>
          <w:sz w:val="18"/>
          <w:szCs w:val="18"/>
          <w:lang w:val="es-ES_tradnl" w:eastAsia="fr-FR"/>
        </w:rPr>
        <w:t>determinan ,</w:t>
      </w:r>
      <w:proofErr w:type="gramEnd"/>
      <w:r w:rsidRPr="00333F6B">
        <w:rPr>
          <w:rFonts w:ascii="Arial" w:hAnsi="Arial" w:cs="Arial"/>
          <w:i/>
          <w:sz w:val="18"/>
          <w:szCs w:val="18"/>
          <w:lang w:val="es-ES_tradnl" w:eastAsia="fr-FR"/>
        </w:rPr>
        <w:t xml:space="preserve"> como consecuencia de una omisión en el decreto o valoración de las pruebas , la valoración irrazonable o contra evidente de los medios probatorios, o la suposición de pruebas</w:t>
      </w:r>
      <w:r w:rsidRPr="00333F6B">
        <w:rPr>
          <w:rFonts w:ascii="Arial" w:hAnsi="Arial" w:cs="Arial"/>
          <w:sz w:val="18"/>
          <w:szCs w:val="18"/>
          <w:lang w:val="es-ES_tradnl" w:eastAsia="fr-FR"/>
        </w:rPr>
        <w:t>.”</w:t>
      </w:r>
    </w:p>
    <w:p w:rsidR="00333F6B" w:rsidRDefault="00333F6B" w:rsidP="00333F6B">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333F6B" w:rsidRPr="00333F6B" w:rsidRDefault="00333F6B" w:rsidP="00333F6B">
      <w:pPr>
        <w:pStyle w:val="Sinespaciado"/>
        <w:jc w:val="both"/>
        <w:rPr>
          <w:rFonts w:ascii="Arial" w:hAnsi="Arial" w:cs="Arial"/>
          <w:sz w:val="18"/>
          <w:szCs w:val="18"/>
          <w:lang w:val="es-ES_tradnl" w:eastAsia="fr-FR"/>
        </w:rPr>
      </w:pPr>
      <w:r w:rsidRPr="00333F6B">
        <w:rPr>
          <w:rFonts w:ascii="Arial" w:hAnsi="Arial" w:cs="Arial"/>
          <w:sz w:val="18"/>
          <w:szCs w:val="18"/>
          <w:lang w:val="es-ES_tradnl" w:eastAsia="fr-FR"/>
        </w:rPr>
        <w:t xml:space="preserve">De acuerdo con lo reseñado, para esta Magistratura luce evidente la incursión del a quo, en la decisión cuestionada, en los defectos sustantivo y fáctico. Concluyó que el inmueble de la accionante estaba sometido al régimen de propiedad horizontal con fundamento en el interrogatorio de parte donde reconoció que materialmente se encuentra al interior del conjunto residencial y en copias simples e incompletas de la escritura que, supuestamente, contiene el reglamento, sin tener presente que para ese evento en particular el medio de prueba es solemne y lo constituye, única y exclusivamente, el certificado de tradición en el que conste su inscripción. </w:t>
      </w:r>
    </w:p>
    <w:p w:rsidR="00333F6B" w:rsidRPr="00333F6B" w:rsidRDefault="00333F6B" w:rsidP="00333F6B">
      <w:pPr>
        <w:pStyle w:val="Sinespaciado"/>
        <w:jc w:val="both"/>
        <w:rPr>
          <w:rFonts w:ascii="Arial" w:hAnsi="Arial" w:cs="Arial"/>
          <w:sz w:val="18"/>
          <w:szCs w:val="18"/>
          <w:lang w:val="es-ES_tradnl" w:eastAsia="fr-FR"/>
        </w:rPr>
      </w:pPr>
    </w:p>
    <w:p w:rsidR="00333F6B" w:rsidRDefault="00333F6B" w:rsidP="00333F6B">
      <w:pPr>
        <w:pStyle w:val="Sinespaciado"/>
        <w:jc w:val="both"/>
        <w:rPr>
          <w:rFonts w:ascii="Arial" w:hAnsi="Arial" w:cs="Arial"/>
          <w:sz w:val="18"/>
          <w:szCs w:val="18"/>
          <w:lang w:val="es-ES_tradnl" w:eastAsia="fr-FR"/>
        </w:rPr>
      </w:pPr>
      <w:r w:rsidRPr="00333F6B">
        <w:rPr>
          <w:rFonts w:ascii="Arial" w:hAnsi="Arial" w:cs="Arial"/>
          <w:sz w:val="18"/>
          <w:szCs w:val="18"/>
          <w:lang w:val="es-ES_tradnl" w:eastAsia="fr-FR"/>
        </w:rPr>
        <w:t>La parte ejecutada adjuntó con el escrito de excepciones copia del folio de matrícula inmobiliaria No.294-46528 (Folios 19 a 24 y 83 a 84, cuaderno principal) que daba cuenta que ese inmueble no se encontraba sometido al régimen de propiedad horizontal; circunstancia de hecho relevante para un proceso ejecutivo en el que se cobran cuotas de administración certificadas por el representante legal (Artículo 48, Ley 675). Notorio es el defecto fáctico por la defectuosa valoración probatoria.</w:t>
      </w:r>
    </w:p>
    <w:p w:rsidR="00F73054" w:rsidRDefault="00F73054" w:rsidP="00F73054">
      <w:pPr>
        <w:pStyle w:val="Sinespaciado"/>
        <w:jc w:val="both"/>
        <w:rPr>
          <w:rFonts w:ascii="Arial" w:hAnsi="Arial" w:cs="Arial"/>
          <w:sz w:val="18"/>
          <w:szCs w:val="18"/>
          <w:lang w:val="es-ES_tradnl" w:eastAsia="fr-FR"/>
        </w:rPr>
      </w:pPr>
    </w:p>
    <w:p w:rsidR="00F73054" w:rsidRDefault="00F73054" w:rsidP="00F73054">
      <w:pPr>
        <w:pStyle w:val="Sinespaciado"/>
        <w:jc w:val="both"/>
        <w:rPr>
          <w:rFonts w:ascii="Arial" w:hAnsi="Arial" w:cs="Arial"/>
          <w:sz w:val="18"/>
          <w:szCs w:val="18"/>
          <w:lang w:val="es-ES_tradnl" w:eastAsia="fr-FR"/>
        </w:rPr>
      </w:pPr>
    </w:p>
    <w:p w:rsidR="00F73054" w:rsidRDefault="00F73054" w:rsidP="00F73054">
      <w:pPr>
        <w:pStyle w:val="Sinespaciado"/>
        <w:jc w:val="both"/>
        <w:rPr>
          <w:rFonts w:ascii="Arial" w:hAnsi="Arial" w:cs="Arial"/>
          <w:sz w:val="18"/>
          <w:szCs w:val="18"/>
          <w:lang w:val="es-ES_tradnl" w:eastAsia="fr-FR"/>
        </w:rPr>
      </w:pPr>
    </w:p>
    <w:p w:rsidR="00F73054" w:rsidRDefault="00F73054" w:rsidP="00F73054">
      <w:pPr>
        <w:pStyle w:val="Sinespaciado"/>
        <w:jc w:val="both"/>
        <w:rPr>
          <w:rFonts w:ascii="Arial" w:hAnsi="Arial" w:cs="Arial"/>
          <w:sz w:val="18"/>
          <w:szCs w:val="18"/>
          <w:lang w:val="es-ES_tradnl" w:eastAsia="fr-FR"/>
        </w:rPr>
      </w:pPr>
    </w:p>
    <w:p w:rsidR="003913E3" w:rsidRPr="00484A74" w:rsidRDefault="00165382" w:rsidP="00F839CE">
      <w:pPr>
        <w:pStyle w:val="Sinespaciado"/>
        <w:spacing w:line="360" w:lineRule="auto"/>
        <w:rPr>
          <w:rFonts w:ascii="Georgia" w:hAnsi="Georgia" w:cs="Arial"/>
          <w:w w:val="140"/>
        </w:rPr>
      </w:pPr>
      <w:r w:rsidRPr="00484A74">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inespaciado"/>
        <w:spacing w:line="360" w:lineRule="auto"/>
        <w:rPr>
          <w:rFonts w:ascii="Georgia" w:hAnsi="Georgia" w:cs="Arial"/>
          <w:w w:val="140"/>
          <w:sz w:val="14"/>
        </w:rPr>
      </w:pPr>
    </w:p>
    <w:p w:rsidR="003913E3" w:rsidRPr="00484A74" w:rsidRDefault="003913E3" w:rsidP="00417661">
      <w:pPr>
        <w:pStyle w:val="Sinespaciado"/>
        <w:spacing w:line="360" w:lineRule="auto"/>
        <w:ind w:left="708" w:firstLine="708"/>
        <w:jc w:val="center"/>
        <w:rPr>
          <w:rFonts w:ascii="Georgia" w:hAnsi="Georgia" w:cs="Arial"/>
          <w:w w:val="140"/>
          <w:sz w:val="14"/>
        </w:rPr>
      </w:pPr>
    </w:p>
    <w:p w:rsidR="003913E3" w:rsidRPr="00484A74" w:rsidRDefault="003913E3" w:rsidP="00D37757">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484D05" w:rsidRDefault="003913E3" w:rsidP="00F839CE">
      <w:pPr>
        <w:spacing w:line="360" w:lineRule="auto"/>
        <w:jc w:val="center"/>
        <w:rPr>
          <w:rFonts w:ascii="Georgia" w:hAnsi="Georgia" w:cs="Arial"/>
          <w:b/>
          <w:bCs/>
          <w:sz w:val="20"/>
          <w:szCs w:val="26"/>
          <w:lang w:val="es-CO"/>
        </w:rPr>
      </w:pPr>
    </w:p>
    <w:p w:rsidR="003913E3" w:rsidRPr="00484A74" w:rsidRDefault="003913E3" w:rsidP="00C55802">
      <w:pPr>
        <w:pStyle w:val="Textoindependiente"/>
        <w:spacing w:line="360" w:lineRule="auto"/>
        <w:ind w:left="1416"/>
        <w:rPr>
          <w:rFonts w:ascii="Georgia" w:hAnsi="Georgia"/>
          <w:sz w:val="22"/>
          <w:szCs w:val="22"/>
        </w:rPr>
      </w:pPr>
      <w:r w:rsidRPr="00484A74">
        <w:rPr>
          <w:rFonts w:ascii="Georgia" w:hAnsi="Georgia"/>
          <w:sz w:val="22"/>
          <w:szCs w:val="22"/>
        </w:rPr>
        <w:t>Asunto</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Sentencia de tutela en segunda instancia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Accionante</w:t>
      </w:r>
      <w:r w:rsidRPr="00484A74">
        <w:rPr>
          <w:rFonts w:ascii="Georgia" w:hAnsi="Georgia" w:cs="Arial"/>
          <w:sz w:val="22"/>
          <w:szCs w:val="22"/>
        </w:rPr>
        <w:tab/>
      </w:r>
      <w:r w:rsidRPr="00484A74">
        <w:rPr>
          <w:rFonts w:ascii="Georgia" w:hAnsi="Georgia" w:cs="Arial"/>
          <w:sz w:val="22"/>
          <w:szCs w:val="22"/>
        </w:rPr>
        <w:tab/>
        <w:t xml:space="preserve">: </w:t>
      </w:r>
      <w:r w:rsidR="003D75A8">
        <w:rPr>
          <w:rFonts w:ascii="Georgia" w:hAnsi="Georgia" w:cs="Arial"/>
          <w:sz w:val="22"/>
          <w:szCs w:val="22"/>
        </w:rPr>
        <w:t>Gloria Inés Espinosa Sánchez</w:t>
      </w:r>
    </w:p>
    <w:p w:rsidR="00586A21"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 xml:space="preserve">Accionado </w:t>
      </w:r>
      <w:r w:rsidRPr="00484A74">
        <w:rPr>
          <w:rFonts w:ascii="Georgia" w:hAnsi="Georgia" w:cs="Arial"/>
          <w:sz w:val="22"/>
          <w:szCs w:val="22"/>
        </w:rPr>
        <w:tab/>
      </w:r>
      <w:r w:rsidRPr="00484A74">
        <w:rPr>
          <w:rFonts w:ascii="Georgia" w:hAnsi="Georgia" w:cs="Arial"/>
          <w:sz w:val="22"/>
          <w:szCs w:val="22"/>
        </w:rPr>
        <w:tab/>
        <w:t xml:space="preserve">: Juzgado </w:t>
      </w:r>
      <w:r w:rsidR="003D75A8">
        <w:rPr>
          <w:rFonts w:ascii="Georgia" w:hAnsi="Georgia" w:cs="Arial"/>
          <w:sz w:val="22"/>
          <w:szCs w:val="22"/>
        </w:rPr>
        <w:t xml:space="preserve">1º </w:t>
      </w:r>
      <w:r w:rsidR="00F12EFF">
        <w:rPr>
          <w:rFonts w:ascii="Georgia" w:hAnsi="Georgia" w:cs="Arial"/>
          <w:sz w:val="22"/>
          <w:szCs w:val="22"/>
        </w:rPr>
        <w:t xml:space="preserve">Civil </w:t>
      </w:r>
      <w:r w:rsidR="002A7D9F" w:rsidRPr="00484A74">
        <w:rPr>
          <w:rFonts w:ascii="Georgia" w:hAnsi="Georgia" w:cs="Arial"/>
          <w:sz w:val="22"/>
          <w:szCs w:val="22"/>
        </w:rPr>
        <w:t xml:space="preserve">Municipal de </w:t>
      </w:r>
      <w:r w:rsidR="003D75A8">
        <w:rPr>
          <w:rFonts w:ascii="Georgia" w:hAnsi="Georgia" w:cs="Arial"/>
          <w:sz w:val="22"/>
          <w:szCs w:val="22"/>
        </w:rPr>
        <w:t>Dosquebradas</w:t>
      </w:r>
    </w:p>
    <w:p w:rsidR="003D75A8" w:rsidRPr="00484A74" w:rsidRDefault="003D75A8" w:rsidP="00586A21">
      <w:pPr>
        <w:pStyle w:val="Textoindependiente"/>
        <w:spacing w:line="360" w:lineRule="auto"/>
        <w:ind w:left="1416"/>
        <w:rPr>
          <w:rFonts w:ascii="Georgia" w:hAnsi="Georgia" w:cs="Arial"/>
          <w:sz w:val="22"/>
          <w:szCs w:val="22"/>
        </w:rPr>
      </w:pPr>
      <w:r>
        <w:rPr>
          <w:rFonts w:ascii="Georgia" w:hAnsi="Georgia" w:cs="Arial"/>
          <w:sz w:val="22"/>
          <w:szCs w:val="22"/>
        </w:rPr>
        <w:t>Vinculada</w:t>
      </w:r>
      <w:r>
        <w:rPr>
          <w:rFonts w:ascii="Georgia" w:hAnsi="Georgia" w:cs="Arial"/>
          <w:sz w:val="22"/>
          <w:szCs w:val="22"/>
        </w:rPr>
        <w:tab/>
      </w:r>
      <w:r>
        <w:rPr>
          <w:rFonts w:ascii="Georgia" w:hAnsi="Georgia" w:cs="Arial"/>
          <w:sz w:val="22"/>
          <w:szCs w:val="22"/>
        </w:rPr>
        <w:tab/>
        <w:t>: Quintas del Jardín Colonial PH y otro</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Procedencia</w:t>
      </w:r>
      <w:r w:rsidRPr="00484A74">
        <w:rPr>
          <w:rFonts w:ascii="Georgia" w:hAnsi="Georgia" w:cs="Arial"/>
          <w:sz w:val="22"/>
          <w:szCs w:val="22"/>
        </w:rPr>
        <w:tab/>
      </w:r>
      <w:r w:rsidRPr="00484A74">
        <w:rPr>
          <w:rFonts w:ascii="Georgia" w:hAnsi="Georgia" w:cs="Arial"/>
          <w:sz w:val="22"/>
          <w:szCs w:val="22"/>
        </w:rPr>
        <w:tab/>
        <w:t xml:space="preserve">: </w:t>
      </w:r>
      <w:r w:rsidR="003D75A8">
        <w:rPr>
          <w:rFonts w:ascii="Georgia" w:hAnsi="Georgia" w:cs="Arial"/>
          <w:sz w:val="22"/>
          <w:szCs w:val="22"/>
        </w:rPr>
        <w:t>Juzgado Civil del Circuito de Dosquebradas</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Radicación</w:t>
      </w:r>
      <w:r w:rsidRPr="00484A74">
        <w:rPr>
          <w:rFonts w:ascii="Georgia" w:hAnsi="Georgia" w:cs="Arial"/>
          <w:sz w:val="22"/>
          <w:szCs w:val="22"/>
        </w:rPr>
        <w:tab/>
      </w:r>
      <w:r w:rsidRPr="00484A74">
        <w:rPr>
          <w:rFonts w:ascii="Georgia" w:hAnsi="Georgia" w:cs="Arial"/>
          <w:sz w:val="22"/>
          <w:szCs w:val="22"/>
        </w:rPr>
        <w:tab/>
        <w:t xml:space="preserve">: </w:t>
      </w:r>
      <w:r w:rsidR="003D75A8">
        <w:rPr>
          <w:rFonts w:ascii="Georgia" w:hAnsi="Georgia" w:cs="Arial"/>
          <w:sz w:val="22"/>
          <w:szCs w:val="22"/>
        </w:rPr>
        <w:t>66170-31-03-001-2018-00023-01</w:t>
      </w:r>
    </w:p>
    <w:p w:rsidR="004A12F7" w:rsidRPr="00484A74" w:rsidRDefault="004A12F7" w:rsidP="004A12F7">
      <w:pPr>
        <w:pStyle w:val="Textoindependiente"/>
        <w:spacing w:line="360" w:lineRule="auto"/>
        <w:rPr>
          <w:rFonts w:ascii="Georgia" w:hAnsi="Georgia" w:cs="Arial"/>
          <w:sz w:val="22"/>
          <w:szCs w:val="22"/>
        </w:rPr>
      </w:pPr>
      <w:r w:rsidRPr="00484A74">
        <w:rPr>
          <w:rFonts w:ascii="Georgia" w:hAnsi="Georgia"/>
          <w:sz w:val="22"/>
          <w:szCs w:val="22"/>
        </w:rPr>
        <w:tab/>
      </w:r>
      <w:r w:rsidRPr="00484A74">
        <w:rPr>
          <w:rFonts w:ascii="Georgia" w:hAnsi="Georgia"/>
          <w:sz w:val="22"/>
          <w:szCs w:val="22"/>
        </w:rPr>
        <w:tab/>
      </w:r>
      <w:r w:rsidRPr="00CD5515">
        <w:rPr>
          <w:rFonts w:ascii="Georgia" w:hAnsi="Georgia"/>
          <w:sz w:val="22"/>
          <w:szCs w:val="22"/>
        </w:rPr>
        <w:t>Temas</w:t>
      </w:r>
      <w:r w:rsidRPr="00CD5515">
        <w:rPr>
          <w:rFonts w:ascii="Georgia" w:hAnsi="Georgia"/>
          <w:sz w:val="22"/>
          <w:szCs w:val="22"/>
        </w:rPr>
        <w:tab/>
      </w:r>
      <w:r w:rsidRPr="00CD5515">
        <w:rPr>
          <w:rFonts w:ascii="Georgia" w:hAnsi="Georgia"/>
          <w:sz w:val="22"/>
          <w:szCs w:val="22"/>
        </w:rPr>
        <w:tab/>
      </w:r>
      <w:r w:rsidRPr="00CD5515">
        <w:rPr>
          <w:rFonts w:ascii="Georgia" w:hAnsi="Georgia"/>
          <w:sz w:val="22"/>
          <w:szCs w:val="22"/>
        </w:rPr>
        <w:tab/>
        <w:t xml:space="preserve">: </w:t>
      </w:r>
      <w:r w:rsidR="00CB569A">
        <w:rPr>
          <w:rFonts w:ascii="Georgia" w:hAnsi="Georgia"/>
          <w:sz w:val="22"/>
          <w:szCs w:val="22"/>
        </w:rPr>
        <w:t>Defectos sustantivo y fáctico</w:t>
      </w:r>
    </w:p>
    <w:p w:rsidR="003913E3" w:rsidRPr="00484A74" w:rsidRDefault="004A12F7" w:rsidP="004A12F7">
      <w:pPr>
        <w:pStyle w:val="Textoindependiente"/>
        <w:spacing w:line="360" w:lineRule="auto"/>
        <w:ind w:left="708" w:hanging="708"/>
        <w:rPr>
          <w:rFonts w:ascii="Georgia" w:hAnsi="Georgia" w:cs="Arial"/>
          <w:smallCaps/>
          <w:sz w:val="22"/>
          <w:szCs w:val="22"/>
          <w:lang w:val="es-CO"/>
        </w:rPr>
      </w:pPr>
      <w:r w:rsidRPr="00484A74">
        <w:rPr>
          <w:rFonts w:ascii="Georgia" w:hAnsi="Georgia"/>
          <w:sz w:val="22"/>
          <w:szCs w:val="22"/>
        </w:rPr>
        <w:tab/>
      </w:r>
      <w:r w:rsidRPr="00484A74">
        <w:rPr>
          <w:rFonts w:ascii="Georgia" w:hAnsi="Georgia"/>
          <w:sz w:val="22"/>
          <w:szCs w:val="22"/>
        </w:rPr>
        <w:tab/>
      </w:r>
      <w:r w:rsidR="003913E3" w:rsidRPr="00484A74">
        <w:rPr>
          <w:rFonts w:ascii="Georgia" w:hAnsi="Georgia"/>
          <w:sz w:val="22"/>
          <w:szCs w:val="22"/>
        </w:rPr>
        <w:t>Magistrado Ponente</w:t>
      </w:r>
      <w:r w:rsidR="003913E3" w:rsidRPr="00484A74">
        <w:rPr>
          <w:rFonts w:ascii="Georgia" w:hAnsi="Georgia"/>
          <w:sz w:val="22"/>
          <w:szCs w:val="22"/>
        </w:rPr>
        <w:tab/>
        <w:t xml:space="preserve">: </w:t>
      </w:r>
      <w:proofErr w:type="spellStart"/>
      <w:r w:rsidR="003913E3" w:rsidRPr="00484A74">
        <w:rPr>
          <w:rFonts w:ascii="Georgia" w:hAnsi="Georgia" w:cs="Arial"/>
          <w:smallCaps/>
          <w:sz w:val="22"/>
          <w:szCs w:val="22"/>
          <w:lang w:val="es-CO"/>
        </w:rPr>
        <w:t>Duberney</w:t>
      </w:r>
      <w:proofErr w:type="spellEnd"/>
      <w:r w:rsidR="003913E3" w:rsidRPr="00484A74">
        <w:rPr>
          <w:rFonts w:ascii="Georgia" w:hAnsi="Georgia" w:cs="Arial"/>
          <w:smallCaps/>
          <w:sz w:val="22"/>
          <w:szCs w:val="22"/>
          <w:lang w:val="es-CO"/>
        </w:rPr>
        <w:t xml:space="preserve"> Grisales Herrera</w:t>
      </w:r>
    </w:p>
    <w:p w:rsidR="003913E3" w:rsidRPr="00484A74" w:rsidRDefault="003913E3" w:rsidP="00C55802">
      <w:pPr>
        <w:spacing w:line="360" w:lineRule="auto"/>
        <w:ind w:left="1416"/>
        <w:rPr>
          <w:rFonts w:ascii="Georgia" w:hAnsi="Georgia" w:cs="Arial"/>
          <w:b/>
          <w:bCs/>
          <w:sz w:val="22"/>
          <w:szCs w:val="22"/>
        </w:rPr>
      </w:pPr>
      <w:r w:rsidRPr="00484A74">
        <w:rPr>
          <w:rFonts w:ascii="Georgia" w:hAnsi="Georgia"/>
          <w:sz w:val="22"/>
          <w:szCs w:val="22"/>
        </w:rPr>
        <w:t>Acta número</w:t>
      </w:r>
      <w:r w:rsidRPr="00484A74">
        <w:rPr>
          <w:rFonts w:ascii="Georgia" w:hAnsi="Georgia"/>
          <w:sz w:val="22"/>
          <w:szCs w:val="22"/>
        </w:rPr>
        <w:tab/>
      </w:r>
      <w:r w:rsidRPr="00484A74">
        <w:rPr>
          <w:rFonts w:ascii="Georgia" w:hAnsi="Georgia"/>
          <w:sz w:val="22"/>
          <w:szCs w:val="22"/>
        </w:rPr>
        <w:tab/>
        <w:t xml:space="preserve">: </w:t>
      </w:r>
      <w:r w:rsidR="00B86F76">
        <w:rPr>
          <w:rFonts w:ascii="Georgia" w:hAnsi="Georgia"/>
          <w:sz w:val="22"/>
          <w:szCs w:val="22"/>
        </w:rPr>
        <w:t>245</w:t>
      </w:r>
      <w:r w:rsidR="003D75A8">
        <w:rPr>
          <w:rFonts w:ascii="Georgia" w:hAnsi="Georgia"/>
          <w:sz w:val="22"/>
          <w:szCs w:val="22"/>
        </w:rPr>
        <w:t xml:space="preserve"> </w:t>
      </w:r>
      <w:r w:rsidR="000F2638">
        <w:rPr>
          <w:rFonts w:ascii="Georgia" w:hAnsi="Georgia"/>
          <w:sz w:val="22"/>
          <w:szCs w:val="22"/>
        </w:rPr>
        <w:t xml:space="preserve">de </w:t>
      </w:r>
      <w:r w:rsidR="00B86F76">
        <w:rPr>
          <w:rFonts w:ascii="Georgia" w:hAnsi="Georgia"/>
          <w:sz w:val="22"/>
          <w:szCs w:val="22"/>
        </w:rPr>
        <w:t>10</w:t>
      </w:r>
      <w:r w:rsidR="000F2638">
        <w:rPr>
          <w:rFonts w:ascii="Georgia" w:hAnsi="Georgia"/>
          <w:sz w:val="22"/>
          <w:szCs w:val="22"/>
        </w:rPr>
        <w:t>-</w:t>
      </w:r>
      <w:r w:rsidR="0025563F">
        <w:rPr>
          <w:rFonts w:ascii="Georgia" w:hAnsi="Georgia"/>
          <w:sz w:val="22"/>
          <w:szCs w:val="22"/>
        </w:rPr>
        <w:t>0</w:t>
      </w:r>
      <w:r w:rsidR="003D75A8">
        <w:rPr>
          <w:rFonts w:ascii="Georgia" w:hAnsi="Georgia"/>
          <w:sz w:val="22"/>
          <w:szCs w:val="22"/>
        </w:rPr>
        <w:t>7</w:t>
      </w:r>
      <w:r w:rsidR="000F2638">
        <w:rPr>
          <w:rFonts w:ascii="Georgia" w:hAnsi="Georgia"/>
          <w:sz w:val="22"/>
          <w:szCs w:val="22"/>
        </w:rPr>
        <w:t>-</w:t>
      </w:r>
      <w:r w:rsidR="00F12EFF">
        <w:rPr>
          <w:rFonts w:ascii="Georgia" w:hAnsi="Georgia"/>
          <w:sz w:val="22"/>
          <w:szCs w:val="22"/>
        </w:rPr>
        <w:t>2018</w:t>
      </w:r>
    </w:p>
    <w:p w:rsidR="003913E3" w:rsidRPr="00484A74" w:rsidRDefault="003913E3" w:rsidP="00F839CE">
      <w:pPr>
        <w:pBdr>
          <w:bottom w:val="double" w:sz="6" w:space="1" w:color="auto"/>
        </w:pBdr>
        <w:spacing w:line="360" w:lineRule="auto"/>
        <w:jc w:val="center"/>
        <w:rPr>
          <w:rFonts w:ascii="Georgia" w:hAnsi="Georgia" w:cs="Arial"/>
          <w:b/>
          <w:bCs/>
          <w:sz w:val="14"/>
          <w:szCs w:val="22"/>
        </w:rPr>
      </w:pPr>
    </w:p>
    <w:p w:rsidR="003913E3" w:rsidRPr="00484A74" w:rsidRDefault="003913E3" w:rsidP="00F839CE">
      <w:pPr>
        <w:spacing w:line="360" w:lineRule="auto"/>
        <w:jc w:val="center"/>
        <w:rPr>
          <w:rFonts w:ascii="Georgia" w:hAnsi="Georgia" w:cs="Arial"/>
          <w:b/>
          <w:bCs/>
          <w:sz w:val="20"/>
          <w:szCs w:val="22"/>
        </w:rPr>
      </w:pPr>
    </w:p>
    <w:p w:rsidR="003913E3" w:rsidRPr="00DC6564" w:rsidRDefault="003913E3" w:rsidP="00DC6564">
      <w:pPr>
        <w:spacing w:line="360" w:lineRule="auto"/>
        <w:jc w:val="center"/>
        <w:rPr>
          <w:rFonts w:ascii="Georgia" w:hAnsi="Georgia" w:cs="Arial"/>
          <w:iCs/>
          <w:smallCaps/>
          <w:sz w:val="28"/>
          <w:szCs w:val="26"/>
          <w:lang w:val="es-CO"/>
        </w:rPr>
      </w:pPr>
      <w:r w:rsidRPr="00484A74">
        <w:rPr>
          <w:rFonts w:ascii="Georgia" w:hAnsi="Georgia" w:cs="Arial"/>
          <w:iCs/>
          <w:smallCaps/>
          <w:sz w:val="28"/>
          <w:szCs w:val="26"/>
          <w:lang w:val="es-CO"/>
        </w:rPr>
        <w:t>Pereira, R</w:t>
      </w:r>
      <w:r w:rsidR="001F3FA3" w:rsidRPr="00484A74">
        <w:rPr>
          <w:rFonts w:ascii="Georgia" w:hAnsi="Georgia" w:cs="Arial"/>
          <w:iCs/>
          <w:smallCaps/>
          <w:sz w:val="28"/>
          <w:szCs w:val="26"/>
          <w:lang w:val="es-CO"/>
        </w:rPr>
        <w:t>.</w:t>
      </w:r>
      <w:r w:rsidR="00C55802" w:rsidRPr="00484A74">
        <w:rPr>
          <w:rFonts w:ascii="Georgia" w:hAnsi="Georgia" w:cs="Arial"/>
          <w:iCs/>
          <w:smallCaps/>
          <w:sz w:val="28"/>
          <w:szCs w:val="26"/>
          <w:lang w:val="es-CO"/>
        </w:rPr>
        <w:t>,</w:t>
      </w:r>
      <w:r w:rsidRPr="00484A74">
        <w:rPr>
          <w:rFonts w:ascii="Georgia" w:hAnsi="Georgia" w:cs="Arial"/>
          <w:iCs/>
          <w:smallCaps/>
          <w:sz w:val="28"/>
          <w:szCs w:val="26"/>
          <w:lang w:val="es-CO"/>
        </w:rPr>
        <w:t xml:space="preserve"> </w:t>
      </w:r>
      <w:r w:rsidR="00B86F76">
        <w:rPr>
          <w:rFonts w:ascii="Georgia" w:hAnsi="Georgia" w:cs="Arial"/>
          <w:iCs/>
          <w:smallCaps/>
          <w:sz w:val="28"/>
          <w:szCs w:val="26"/>
          <w:lang w:val="es-CO"/>
        </w:rPr>
        <w:t>diez</w:t>
      </w:r>
      <w:r w:rsidR="003D75A8">
        <w:rPr>
          <w:rFonts w:ascii="Georgia" w:hAnsi="Georgia" w:cs="Arial"/>
          <w:iCs/>
          <w:smallCaps/>
          <w:sz w:val="28"/>
          <w:szCs w:val="26"/>
          <w:lang w:val="es-CO"/>
        </w:rPr>
        <w:t xml:space="preserve"> </w:t>
      </w:r>
      <w:r w:rsidRPr="00484A74">
        <w:rPr>
          <w:rFonts w:ascii="Georgia" w:hAnsi="Georgia" w:cs="Arial"/>
          <w:iCs/>
          <w:smallCaps/>
          <w:sz w:val="28"/>
          <w:szCs w:val="26"/>
          <w:lang w:val="es-CO"/>
        </w:rPr>
        <w:t>(</w:t>
      </w:r>
      <w:r w:rsidR="00B86F76">
        <w:rPr>
          <w:rFonts w:ascii="Georgia" w:hAnsi="Georgia" w:cs="Arial"/>
          <w:iCs/>
          <w:smallCaps/>
          <w:sz w:val="28"/>
          <w:szCs w:val="26"/>
          <w:lang w:val="es-CO"/>
        </w:rPr>
        <w:t>10</w:t>
      </w:r>
      <w:r w:rsidRPr="00484A74">
        <w:rPr>
          <w:rFonts w:ascii="Georgia" w:hAnsi="Georgia" w:cs="Arial"/>
          <w:iCs/>
          <w:smallCaps/>
          <w:sz w:val="28"/>
          <w:szCs w:val="26"/>
          <w:lang w:val="es-CO"/>
        </w:rPr>
        <w:t xml:space="preserve">) de </w:t>
      </w:r>
      <w:r w:rsidR="003D75A8">
        <w:rPr>
          <w:rFonts w:ascii="Georgia" w:hAnsi="Georgia" w:cs="Arial"/>
          <w:iCs/>
          <w:smallCaps/>
          <w:sz w:val="28"/>
          <w:szCs w:val="26"/>
          <w:lang w:val="es-CO"/>
        </w:rPr>
        <w:t xml:space="preserve">julio </w:t>
      </w:r>
      <w:r w:rsidRPr="00484A74">
        <w:rPr>
          <w:rFonts w:ascii="Georgia" w:hAnsi="Georgia" w:cs="Arial"/>
          <w:iCs/>
          <w:smallCaps/>
          <w:sz w:val="28"/>
          <w:szCs w:val="26"/>
          <w:lang w:val="es-CO"/>
        </w:rPr>
        <w:t xml:space="preserve">de dos mil </w:t>
      </w:r>
      <w:r w:rsidR="00F12EFF">
        <w:rPr>
          <w:rFonts w:ascii="Georgia" w:hAnsi="Georgia" w:cs="Arial"/>
          <w:iCs/>
          <w:smallCaps/>
          <w:sz w:val="28"/>
          <w:szCs w:val="26"/>
          <w:lang w:val="es-CO"/>
        </w:rPr>
        <w:t xml:space="preserve">dieciocho </w:t>
      </w:r>
      <w:r w:rsidRPr="00484A74">
        <w:rPr>
          <w:rFonts w:ascii="Georgia" w:hAnsi="Georgia" w:cs="Arial"/>
          <w:iCs/>
          <w:smallCaps/>
          <w:sz w:val="28"/>
          <w:szCs w:val="26"/>
          <w:lang w:val="es-CO"/>
        </w:rPr>
        <w:t>(</w:t>
      </w:r>
      <w:r w:rsidR="00F12EFF">
        <w:rPr>
          <w:rFonts w:ascii="Georgia" w:hAnsi="Georgia" w:cs="Arial"/>
          <w:iCs/>
          <w:smallCaps/>
          <w:sz w:val="28"/>
          <w:szCs w:val="26"/>
          <w:lang w:val="es-CO"/>
        </w:rPr>
        <w:t>2018</w:t>
      </w:r>
      <w:r w:rsidRPr="00484A74">
        <w:rPr>
          <w:rFonts w:ascii="Georgia" w:hAnsi="Georgia" w:cs="Arial"/>
          <w:iCs/>
          <w:smallCaps/>
          <w:sz w:val="28"/>
          <w:szCs w:val="26"/>
          <w:lang w:val="es-CO"/>
        </w:rPr>
        <w:t>)</w:t>
      </w:r>
      <w:r w:rsidRPr="00484A74">
        <w:rPr>
          <w:rFonts w:ascii="Georgia" w:hAnsi="Georgia" w:cs="Arial"/>
          <w:iCs/>
          <w:sz w:val="28"/>
          <w:szCs w:val="26"/>
          <w:lang w:val="es-CO"/>
        </w:rPr>
        <w:t>.</w:t>
      </w:r>
    </w:p>
    <w:p w:rsidR="003913E3" w:rsidRPr="00484A74" w:rsidRDefault="003913E3" w:rsidP="00F839CE">
      <w:pPr>
        <w:pStyle w:val="Textoindependiente"/>
        <w:spacing w:line="360" w:lineRule="auto"/>
        <w:rPr>
          <w:rFonts w:ascii="Georgia" w:hAnsi="Georgia" w:cs="Arial"/>
          <w:sz w:val="24"/>
          <w:szCs w:val="24"/>
          <w:lang w:val="es-CO"/>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t xml:space="preserve">La impugnación formulada </w:t>
      </w:r>
      <w:r w:rsidR="00F12EFF">
        <w:rPr>
          <w:rFonts w:ascii="Georgia" w:hAnsi="Georgia" w:cs="Arial"/>
          <w:sz w:val="24"/>
          <w:szCs w:val="24"/>
        </w:rPr>
        <w:t xml:space="preserve">por la parte actora </w:t>
      </w:r>
      <w:r w:rsidRPr="00484A74">
        <w:rPr>
          <w:rFonts w:ascii="Georgia" w:hAnsi="Georgia" w:cs="Arial"/>
          <w:sz w:val="24"/>
          <w:szCs w:val="24"/>
        </w:rPr>
        <w:t>dentro de la acción constituciona</w:t>
      </w:r>
      <w:r w:rsidR="00F12EFF">
        <w:rPr>
          <w:rFonts w:ascii="Georgia" w:hAnsi="Georgia" w:cs="Arial"/>
          <w:sz w:val="24"/>
          <w:szCs w:val="24"/>
        </w:rPr>
        <w:t xml:space="preserve">l referida, luego de surtida la </w:t>
      </w:r>
      <w:r w:rsidRPr="00484A74">
        <w:rPr>
          <w:rFonts w:ascii="Georgia" w:hAnsi="Georgia" w:cs="Arial"/>
          <w:sz w:val="24"/>
          <w:szCs w:val="24"/>
        </w:rPr>
        <w:t>actuación de primera instancia, sin avistar nulidades que la invaliden.</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484A74" w:rsidRDefault="003913E3" w:rsidP="00F839CE">
      <w:pPr>
        <w:pStyle w:val="Textoindependiente"/>
        <w:spacing w:line="360" w:lineRule="auto"/>
        <w:rPr>
          <w:rFonts w:ascii="Georgia" w:hAnsi="Georgia" w:cs="Arial"/>
          <w:sz w:val="24"/>
          <w:szCs w:val="24"/>
          <w:lang w:val="es-CO"/>
        </w:rPr>
      </w:pPr>
    </w:p>
    <w:p w:rsidR="00C83CEA" w:rsidRDefault="0025563F" w:rsidP="00F839CE">
      <w:pPr>
        <w:pStyle w:val="Textoindependiente"/>
        <w:spacing w:line="360" w:lineRule="auto"/>
        <w:rPr>
          <w:rFonts w:ascii="Georgia" w:hAnsi="Georgia" w:cs="Arial"/>
          <w:sz w:val="24"/>
          <w:szCs w:val="24"/>
        </w:rPr>
      </w:pPr>
      <w:r w:rsidRPr="009C472E">
        <w:rPr>
          <w:rFonts w:ascii="Georgia" w:hAnsi="Georgia" w:cs="Arial"/>
          <w:sz w:val="24"/>
          <w:szCs w:val="24"/>
        </w:rPr>
        <w:t>Expresó</w:t>
      </w:r>
      <w:r w:rsidR="00F12EFF" w:rsidRPr="009C472E">
        <w:rPr>
          <w:rFonts w:ascii="Georgia" w:hAnsi="Georgia" w:cs="Arial"/>
          <w:sz w:val="24"/>
          <w:szCs w:val="24"/>
        </w:rPr>
        <w:t xml:space="preserve"> </w:t>
      </w:r>
      <w:r w:rsidRPr="009C472E">
        <w:rPr>
          <w:rFonts w:ascii="Georgia" w:hAnsi="Georgia" w:cs="Arial"/>
          <w:sz w:val="24"/>
          <w:szCs w:val="24"/>
        </w:rPr>
        <w:t>la accionante</w:t>
      </w:r>
      <w:r w:rsidR="00F12EFF" w:rsidRPr="009C472E">
        <w:rPr>
          <w:rFonts w:ascii="Georgia" w:hAnsi="Georgia" w:cs="Arial"/>
          <w:sz w:val="24"/>
          <w:szCs w:val="24"/>
        </w:rPr>
        <w:t xml:space="preserve"> </w:t>
      </w:r>
      <w:r w:rsidR="00CC2AC2" w:rsidRPr="009C472E">
        <w:rPr>
          <w:rFonts w:ascii="Georgia" w:hAnsi="Georgia" w:cs="Arial"/>
          <w:sz w:val="24"/>
          <w:szCs w:val="24"/>
        </w:rPr>
        <w:t xml:space="preserve">que actúa como </w:t>
      </w:r>
      <w:r w:rsidRPr="009C472E">
        <w:rPr>
          <w:rFonts w:ascii="Georgia" w:hAnsi="Georgia" w:cs="Arial"/>
          <w:sz w:val="24"/>
          <w:szCs w:val="24"/>
        </w:rPr>
        <w:t xml:space="preserve">ejecutada </w:t>
      </w:r>
      <w:r w:rsidR="00F12EFF" w:rsidRPr="009C472E">
        <w:rPr>
          <w:rFonts w:ascii="Georgia" w:hAnsi="Georgia" w:cs="Arial"/>
          <w:sz w:val="24"/>
          <w:szCs w:val="24"/>
        </w:rPr>
        <w:t xml:space="preserve">en proceso </w:t>
      </w:r>
      <w:r w:rsidRPr="009C472E">
        <w:rPr>
          <w:rFonts w:ascii="Georgia" w:hAnsi="Georgia" w:cs="Arial"/>
          <w:sz w:val="24"/>
          <w:szCs w:val="24"/>
        </w:rPr>
        <w:t xml:space="preserve">ejecutivo </w:t>
      </w:r>
      <w:r w:rsidR="003D75A8">
        <w:rPr>
          <w:rFonts w:ascii="Georgia" w:hAnsi="Georgia" w:cs="Arial"/>
          <w:sz w:val="24"/>
          <w:szCs w:val="24"/>
        </w:rPr>
        <w:t xml:space="preserve">radicado al No.2017-00012-00 </w:t>
      </w:r>
      <w:r w:rsidR="00CC2AC2" w:rsidRPr="009C472E">
        <w:rPr>
          <w:rFonts w:ascii="Georgia" w:hAnsi="Georgia" w:cs="Arial"/>
          <w:sz w:val="24"/>
          <w:szCs w:val="24"/>
        </w:rPr>
        <w:t>que se adelanta en el juzgado accionado</w:t>
      </w:r>
      <w:r w:rsidR="00AE67C2" w:rsidRPr="009C472E">
        <w:rPr>
          <w:rFonts w:ascii="Georgia" w:hAnsi="Georgia" w:cs="Arial"/>
          <w:sz w:val="24"/>
          <w:szCs w:val="24"/>
        </w:rPr>
        <w:t xml:space="preserve">. </w:t>
      </w:r>
      <w:r w:rsidRPr="009C472E">
        <w:rPr>
          <w:rFonts w:ascii="Georgia" w:hAnsi="Georgia" w:cs="Arial"/>
          <w:sz w:val="24"/>
          <w:szCs w:val="24"/>
        </w:rPr>
        <w:t xml:space="preserve">Dijo que </w:t>
      </w:r>
      <w:r w:rsidR="003D75A8">
        <w:rPr>
          <w:rFonts w:ascii="Georgia" w:hAnsi="Georgia" w:cs="Arial"/>
          <w:sz w:val="24"/>
          <w:szCs w:val="24"/>
        </w:rPr>
        <w:t>en audiencia del 07-03-2018 se dictó sentencia que ordenó continuar con la ejecución</w:t>
      </w:r>
      <w:r w:rsidR="00C83CEA">
        <w:rPr>
          <w:rFonts w:ascii="Georgia" w:hAnsi="Georgia" w:cs="Arial"/>
          <w:sz w:val="24"/>
          <w:szCs w:val="24"/>
        </w:rPr>
        <w:t xml:space="preserve">, </w:t>
      </w:r>
      <w:r w:rsidR="003D75A8">
        <w:rPr>
          <w:rFonts w:ascii="Georgia" w:hAnsi="Georgia" w:cs="Arial"/>
          <w:sz w:val="24"/>
          <w:szCs w:val="24"/>
        </w:rPr>
        <w:t xml:space="preserve">sin tener en cuenta que el folio de matrícula inmobiliaria del predio de su propiedad </w:t>
      </w:r>
      <w:r w:rsidR="00C83CEA">
        <w:rPr>
          <w:rFonts w:ascii="Georgia" w:hAnsi="Georgia" w:cs="Arial"/>
          <w:sz w:val="24"/>
          <w:szCs w:val="24"/>
        </w:rPr>
        <w:t xml:space="preserve">no tiene </w:t>
      </w:r>
      <w:r w:rsidR="003D75A8">
        <w:rPr>
          <w:rFonts w:ascii="Georgia" w:hAnsi="Georgia" w:cs="Arial"/>
          <w:sz w:val="24"/>
          <w:szCs w:val="24"/>
        </w:rPr>
        <w:t xml:space="preserve">la anotación </w:t>
      </w:r>
      <w:r w:rsidR="00C83CEA">
        <w:rPr>
          <w:rFonts w:ascii="Georgia" w:hAnsi="Georgia" w:cs="Arial"/>
          <w:sz w:val="24"/>
          <w:szCs w:val="24"/>
          <w:lang w:val="es-CO"/>
        </w:rPr>
        <w:t xml:space="preserve">sobre la </w:t>
      </w:r>
      <w:r w:rsidR="00C83CEA">
        <w:rPr>
          <w:rFonts w:ascii="Georgia" w:hAnsi="Georgia" w:cs="Arial"/>
          <w:sz w:val="24"/>
          <w:szCs w:val="24"/>
        </w:rPr>
        <w:t>constitución de propiedad horizontal</w:t>
      </w:r>
      <w:r w:rsidR="00E6750E">
        <w:rPr>
          <w:rFonts w:ascii="Georgia" w:hAnsi="Georgia" w:cs="Arial"/>
          <w:sz w:val="24"/>
          <w:szCs w:val="24"/>
        </w:rPr>
        <w:t>, simplemente refirió que el Notario erró al dejar de exigir la presentación de los paz y salvos de cuotas de administración</w:t>
      </w:r>
      <w:r w:rsidR="00C83CEA">
        <w:rPr>
          <w:rFonts w:ascii="Georgia" w:hAnsi="Georgia" w:cs="Arial"/>
          <w:sz w:val="24"/>
          <w:szCs w:val="24"/>
        </w:rPr>
        <w:t xml:space="preserve">. </w:t>
      </w:r>
    </w:p>
    <w:p w:rsidR="00C83CEA" w:rsidRDefault="00C83CEA" w:rsidP="00F839CE">
      <w:pPr>
        <w:pStyle w:val="Textoindependiente"/>
        <w:spacing w:line="360" w:lineRule="auto"/>
        <w:rPr>
          <w:rFonts w:ascii="Georgia" w:hAnsi="Georgia" w:cs="Arial"/>
          <w:sz w:val="24"/>
          <w:szCs w:val="24"/>
        </w:rPr>
      </w:pPr>
    </w:p>
    <w:p w:rsidR="009423AF" w:rsidRDefault="00C83CEA" w:rsidP="00F839CE">
      <w:pPr>
        <w:pStyle w:val="Textoindependiente"/>
        <w:spacing w:line="360" w:lineRule="auto"/>
        <w:rPr>
          <w:rFonts w:ascii="Georgia" w:hAnsi="Georgia" w:cs="Arial"/>
          <w:sz w:val="24"/>
          <w:szCs w:val="24"/>
        </w:rPr>
      </w:pPr>
      <w:r>
        <w:rPr>
          <w:rFonts w:ascii="Georgia" w:hAnsi="Georgia" w:cs="Arial"/>
          <w:sz w:val="24"/>
          <w:szCs w:val="24"/>
        </w:rPr>
        <w:t xml:space="preserve">La ausencia de anotación le permitió comprar el bien sin necesidad de presentar los paz y salvos de administración ante la Notaría, por lo tanto, </w:t>
      </w:r>
      <w:r w:rsidR="00E6750E">
        <w:rPr>
          <w:rFonts w:ascii="Georgia" w:hAnsi="Georgia" w:cs="Arial"/>
          <w:sz w:val="24"/>
          <w:szCs w:val="24"/>
        </w:rPr>
        <w:t xml:space="preserve">carece </w:t>
      </w:r>
      <w:r>
        <w:rPr>
          <w:rFonts w:ascii="Georgia" w:hAnsi="Georgia" w:cs="Arial"/>
          <w:sz w:val="24"/>
          <w:szCs w:val="24"/>
        </w:rPr>
        <w:t>de legitimación por pasiva para asumir la obligación cobrada;</w:t>
      </w:r>
      <w:r w:rsidR="00E6750E">
        <w:rPr>
          <w:rFonts w:ascii="Georgia" w:hAnsi="Georgia" w:cs="Arial"/>
          <w:sz w:val="24"/>
          <w:szCs w:val="24"/>
        </w:rPr>
        <w:t xml:space="preserve"> y </w:t>
      </w:r>
      <w:r>
        <w:rPr>
          <w:rFonts w:ascii="Georgia" w:hAnsi="Georgia" w:cs="Arial"/>
          <w:sz w:val="24"/>
          <w:szCs w:val="24"/>
        </w:rPr>
        <w:t>tampoco fu</w:t>
      </w:r>
      <w:r w:rsidR="00E6750E">
        <w:rPr>
          <w:rFonts w:ascii="Georgia" w:hAnsi="Georgia" w:cs="Arial"/>
          <w:sz w:val="24"/>
          <w:szCs w:val="24"/>
        </w:rPr>
        <w:t>e</w:t>
      </w:r>
      <w:r>
        <w:rPr>
          <w:rFonts w:ascii="Georgia" w:hAnsi="Georgia" w:cs="Arial"/>
          <w:sz w:val="24"/>
          <w:szCs w:val="24"/>
        </w:rPr>
        <w:t xml:space="preserve"> constituida en mora como requisito para presentar </w:t>
      </w:r>
      <w:r w:rsidR="00E6750E">
        <w:rPr>
          <w:rFonts w:ascii="Georgia" w:hAnsi="Georgia" w:cs="Arial"/>
          <w:sz w:val="24"/>
          <w:szCs w:val="24"/>
        </w:rPr>
        <w:t>demanda</w:t>
      </w:r>
      <w:r>
        <w:rPr>
          <w:rFonts w:ascii="Georgia" w:hAnsi="Georgia" w:cs="Arial"/>
          <w:sz w:val="24"/>
          <w:szCs w:val="24"/>
        </w:rPr>
        <w:t xml:space="preserve"> </w:t>
      </w:r>
      <w:r w:rsidR="009C472E">
        <w:rPr>
          <w:rFonts w:ascii="Georgia" w:hAnsi="Georgia" w:cs="Arial"/>
          <w:sz w:val="24"/>
          <w:szCs w:val="24"/>
        </w:rPr>
        <w:t xml:space="preserve">(Folios </w:t>
      </w:r>
      <w:r w:rsidR="00A51B75">
        <w:rPr>
          <w:rFonts w:ascii="Georgia" w:hAnsi="Georgia" w:cs="Arial"/>
          <w:sz w:val="24"/>
          <w:szCs w:val="24"/>
        </w:rPr>
        <w:t>85 a 94</w:t>
      </w:r>
      <w:r w:rsidR="009C472E">
        <w:rPr>
          <w:rFonts w:ascii="Georgia" w:hAnsi="Georgia" w:cs="Arial"/>
          <w:sz w:val="24"/>
          <w:szCs w:val="24"/>
        </w:rPr>
        <w:t>, cuaderno principal)</w:t>
      </w:r>
      <w:r w:rsidR="005A302E" w:rsidRPr="009C472E">
        <w:rPr>
          <w:rFonts w:ascii="Georgia" w:hAnsi="Georgia" w:cs="Arial"/>
          <w:sz w:val="24"/>
          <w:szCs w:val="24"/>
        </w:rPr>
        <w:t>.</w:t>
      </w:r>
      <w:r w:rsidR="00AE67C2">
        <w:rPr>
          <w:rFonts w:ascii="Georgia" w:hAnsi="Georgia" w:cs="Arial"/>
          <w:sz w:val="24"/>
          <w:szCs w:val="24"/>
        </w:rPr>
        <w:t xml:space="preserve"> </w:t>
      </w:r>
    </w:p>
    <w:p w:rsidR="009423AF" w:rsidRDefault="009423AF" w:rsidP="00F839CE">
      <w:pPr>
        <w:pStyle w:val="Textoindependiente"/>
        <w:spacing w:line="360" w:lineRule="auto"/>
        <w:rPr>
          <w:rFonts w:ascii="Georgia" w:hAnsi="Georgia" w:cs="Arial"/>
          <w:sz w:val="24"/>
          <w:szCs w:val="24"/>
        </w:rPr>
      </w:pPr>
    </w:p>
    <w:p w:rsidR="003913E3" w:rsidRPr="00484A74" w:rsidRDefault="00BB305B"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E</w:t>
      </w:r>
      <w:r w:rsidR="00790907" w:rsidRPr="00484A74">
        <w:rPr>
          <w:rFonts w:ascii="Georgia" w:hAnsi="Georgia" w:cs="Arial"/>
          <w:sz w:val="24"/>
          <w:szCs w:val="24"/>
        </w:rPr>
        <w:t>L</w:t>
      </w:r>
      <w:r w:rsidRPr="00484A74">
        <w:rPr>
          <w:rFonts w:ascii="Georgia" w:hAnsi="Georgia" w:cs="Arial"/>
          <w:sz w:val="24"/>
          <w:szCs w:val="24"/>
        </w:rPr>
        <w:t xml:space="preserve"> DERECHO INVOCADO</w:t>
      </w:r>
    </w:p>
    <w:p w:rsidR="00B978A7" w:rsidRPr="00484A74" w:rsidRDefault="00B978A7" w:rsidP="00B978A7">
      <w:pPr>
        <w:pStyle w:val="Textoindependiente"/>
        <w:spacing w:line="360" w:lineRule="auto"/>
        <w:ind w:left="360"/>
        <w:rPr>
          <w:rFonts w:ascii="Georgia" w:hAnsi="Georgia" w:cs="Arial"/>
          <w:sz w:val="24"/>
          <w:szCs w:val="24"/>
        </w:rPr>
      </w:pPr>
    </w:p>
    <w:p w:rsidR="003913E3" w:rsidRDefault="00BB305B"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En el petitorio de tutela se invoca</w:t>
      </w:r>
      <w:r w:rsidR="00A51B75">
        <w:rPr>
          <w:rFonts w:ascii="Georgia" w:hAnsi="Georgia" w:cs="Arial"/>
          <w:sz w:val="24"/>
          <w:szCs w:val="24"/>
        </w:rPr>
        <w:t>n</w:t>
      </w:r>
      <w:r w:rsidRPr="00484A74">
        <w:rPr>
          <w:rFonts w:ascii="Georgia" w:hAnsi="Georgia" w:cs="Arial"/>
          <w:sz w:val="24"/>
          <w:szCs w:val="24"/>
        </w:rPr>
        <w:t xml:space="preserve"> </w:t>
      </w:r>
      <w:r w:rsidR="00A51B75">
        <w:rPr>
          <w:rFonts w:ascii="Georgia" w:hAnsi="Georgia" w:cs="Arial"/>
          <w:sz w:val="24"/>
          <w:szCs w:val="24"/>
        </w:rPr>
        <w:t xml:space="preserve">los </w:t>
      </w:r>
      <w:r w:rsidRPr="00484A74">
        <w:rPr>
          <w:rFonts w:ascii="Georgia" w:hAnsi="Georgia" w:cs="Arial"/>
          <w:sz w:val="24"/>
          <w:szCs w:val="24"/>
        </w:rPr>
        <w:t>derecho</w:t>
      </w:r>
      <w:r w:rsidR="00A51B75">
        <w:rPr>
          <w:rFonts w:ascii="Georgia" w:hAnsi="Georgia" w:cs="Arial"/>
          <w:sz w:val="24"/>
          <w:szCs w:val="24"/>
        </w:rPr>
        <w:t>s</w:t>
      </w:r>
      <w:r w:rsidRPr="00484A74">
        <w:rPr>
          <w:rFonts w:ascii="Georgia" w:hAnsi="Georgia" w:cs="Arial"/>
          <w:sz w:val="24"/>
          <w:szCs w:val="24"/>
        </w:rPr>
        <w:t xml:space="preserve"> al </w:t>
      </w:r>
      <w:r w:rsidR="001024AA" w:rsidRPr="00484A74">
        <w:rPr>
          <w:rFonts w:ascii="Georgia" w:hAnsi="Georgia" w:cs="Arial"/>
          <w:sz w:val="24"/>
          <w:szCs w:val="24"/>
        </w:rPr>
        <w:t>debido proceso</w:t>
      </w:r>
      <w:r w:rsidR="00A51B75">
        <w:rPr>
          <w:rFonts w:ascii="Georgia" w:hAnsi="Georgia" w:cs="Arial"/>
          <w:sz w:val="24"/>
          <w:szCs w:val="24"/>
        </w:rPr>
        <w:t xml:space="preserve">, defensa, doble instancia, acceso a la administración de justicia e igualdad y el principio de confianza legítima </w:t>
      </w:r>
      <w:r w:rsidR="003913E3" w:rsidRPr="00484A74">
        <w:rPr>
          <w:rFonts w:ascii="Georgia" w:hAnsi="Georgia" w:cs="Arial"/>
          <w:sz w:val="24"/>
          <w:szCs w:val="24"/>
        </w:rPr>
        <w:t>(Folio</w:t>
      </w:r>
      <w:r w:rsidR="00B978A7" w:rsidRPr="00484A74">
        <w:rPr>
          <w:rFonts w:ascii="Georgia" w:hAnsi="Georgia" w:cs="Arial"/>
          <w:sz w:val="24"/>
          <w:szCs w:val="24"/>
        </w:rPr>
        <w:t xml:space="preserve"> </w:t>
      </w:r>
      <w:r w:rsidR="00A51B75">
        <w:rPr>
          <w:rFonts w:ascii="Georgia" w:hAnsi="Georgia" w:cs="Arial"/>
          <w:sz w:val="24"/>
          <w:szCs w:val="24"/>
        </w:rPr>
        <w:t>93</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cuaderno </w:t>
      </w:r>
      <w:r w:rsidR="009C472E">
        <w:rPr>
          <w:rFonts w:ascii="Georgia" w:hAnsi="Georgia" w:cs="Arial"/>
          <w:color w:val="000000"/>
          <w:sz w:val="24"/>
          <w:szCs w:val="24"/>
          <w:lang w:val="es-CO"/>
        </w:rPr>
        <w:t>principal</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484A74" w:rsidRDefault="000F2638" w:rsidP="00F839CE">
      <w:pPr>
        <w:pStyle w:val="Textoindependiente"/>
        <w:widowControl w:val="0"/>
        <w:spacing w:line="360" w:lineRule="auto"/>
        <w:rPr>
          <w:rFonts w:ascii="Georgia" w:hAnsi="Georgia" w:cs="Arial"/>
          <w:sz w:val="24"/>
          <w:szCs w:val="24"/>
        </w:rPr>
      </w:pPr>
    </w:p>
    <w:p w:rsidR="00BB305B" w:rsidRPr="00484A74" w:rsidRDefault="00BB305B" w:rsidP="00BB305B">
      <w:pPr>
        <w:pStyle w:val="Textoindependien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BB305B" w:rsidRPr="00484A74" w:rsidRDefault="00BB305B" w:rsidP="00BB305B">
      <w:pPr>
        <w:pStyle w:val="Sinespaciado"/>
        <w:spacing w:line="360" w:lineRule="auto"/>
        <w:jc w:val="both"/>
        <w:rPr>
          <w:rFonts w:ascii="Georgia" w:hAnsi="Georgia" w:cs="Arial"/>
          <w:sz w:val="24"/>
          <w:szCs w:val="24"/>
        </w:rPr>
      </w:pPr>
    </w:p>
    <w:p w:rsidR="00A51B75" w:rsidRDefault="00BB305B" w:rsidP="00BB305B">
      <w:pPr>
        <w:pStyle w:val="Sinespaciado"/>
        <w:spacing w:line="360" w:lineRule="auto"/>
        <w:jc w:val="both"/>
        <w:rPr>
          <w:rFonts w:ascii="Georgia" w:hAnsi="Georgia" w:cs="Arial"/>
          <w:sz w:val="24"/>
          <w:szCs w:val="24"/>
        </w:rPr>
      </w:pPr>
      <w:r w:rsidRPr="00484A74">
        <w:rPr>
          <w:rFonts w:ascii="Georgia" w:hAnsi="Georgia" w:cs="Arial"/>
          <w:sz w:val="24"/>
          <w:szCs w:val="24"/>
        </w:rPr>
        <w:t>Se pretende que: (i) Se ampare</w:t>
      </w:r>
      <w:r w:rsidR="00A51B75">
        <w:rPr>
          <w:rFonts w:ascii="Georgia" w:hAnsi="Georgia" w:cs="Arial"/>
          <w:sz w:val="24"/>
          <w:szCs w:val="24"/>
        </w:rPr>
        <w:t>n</w:t>
      </w:r>
      <w:r w:rsidRPr="00484A74">
        <w:rPr>
          <w:rFonts w:ascii="Georgia" w:hAnsi="Georgia" w:cs="Arial"/>
          <w:sz w:val="24"/>
          <w:szCs w:val="24"/>
        </w:rPr>
        <w:t xml:space="preserve"> </w:t>
      </w:r>
      <w:r w:rsidR="00A51B75">
        <w:rPr>
          <w:rFonts w:ascii="Georgia" w:hAnsi="Georgia" w:cs="Arial"/>
          <w:sz w:val="24"/>
          <w:szCs w:val="24"/>
        </w:rPr>
        <w:t xml:space="preserve">los </w:t>
      </w:r>
      <w:r w:rsidRPr="00484A74">
        <w:rPr>
          <w:rFonts w:ascii="Georgia" w:hAnsi="Georgia" w:cs="Arial"/>
          <w:sz w:val="24"/>
          <w:szCs w:val="24"/>
        </w:rPr>
        <w:t>derecho</w:t>
      </w:r>
      <w:r w:rsidR="00A51B75">
        <w:rPr>
          <w:rFonts w:ascii="Georgia" w:hAnsi="Georgia" w:cs="Arial"/>
          <w:sz w:val="24"/>
          <w:szCs w:val="24"/>
        </w:rPr>
        <w:t>s</w:t>
      </w:r>
      <w:r w:rsidRPr="00484A74">
        <w:rPr>
          <w:rFonts w:ascii="Georgia" w:hAnsi="Georgia" w:cs="Arial"/>
          <w:sz w:val="24"/>
          <w:szCs w:val="24"/>
        </w:rPr>
        <w:t xml:space="preserve"> </w:t>
      </w:r>
      <w:r w:rsidR="009C472E">
        <w:rPr>
          <w:rFonts w:ascii="Georgia" w:hAnsi="Georgia" w:cs="Arial"/>
          <w:sz w:val="24"/>
          <w:szCs w:val="24"/>
        </w:rPr>
        <w:t>invocado</w:t>
      </w:r>
      <w:r w:rsidR="00A51B75">
        <w:rPr>
          <w:rFonts w:ascii="Georgia" w:hAnsi="Georgia" w:cs="Arial"/>
          <w:sz w:val="24"/>
          <w:szCs w:val="24"/>
        </w:rPr>
        <w:t>s</w:t>
      </w:r>
      <w:r w:rsidRPr="00484A74">
        <w:rPr>
          <w:rFonts w:ascii="Georgia" w:hAnsi="Georgia" w:cs="Arial"/>
          <w:sz w:val="24"/>
          <w:szCs w:val="24"/>
        </w:rPr>
        <w:t>;</w:t>
      </w:r>
      <w:r w:rsidR="0097314A">
        <w:rPr>
          <w:rFonts w:ascii="Georgia" w:hAnsi="Georgia" w:cs="Arial"/>
          <w:sz w:val="24"/>
          <w:szCs w:val="24"/>
        </w:rPr>
        <w:t xml:space="preserve"> </w:t>
      </w:r>
      <w:r w:rsidRPr="00484A74">
        <w:rPr>
          <w:rFonts w:ascii="Georgia" w:hAnsi="Georgia" w:cs="Arial"/>
          <w:sz w:val="24"/>
          <w:szCs w:val="24"/>
        </w:rPr>
        <w:t xml:space="preserve">(ii) Se </w:t>
      </w:r>
      <w:r w:rsidR="0097314A">
        <w:rPr>
          <w:rFonts w:ascii="Georgia" w:hAnsi="Georgia" w:cs="Arial"/>
          <w:sz w:val="24"/>
          <w:szCs w:val="24"/>
        </w:rPr>
        <w:t xml:space="preserve">deje sin efectos la sentencia dictada en el proceso </w:t>
      </w:r>
      <w:r w:rsidR="00136A4F">
        <w:rPr>
          <w:rFonts w:ascii="Georgia" w:hAnsi="Georgia" w:cs="Arial"/>
          <w:sz w:val="24"/>
          <w:szCs w:val="24"/>
        </w:rPr>
        <w:t>ejecutivo</w:t>
      </w:r>
      <w:r w:rsidR="0097314A">
        <w:rPr>
          <w:rFonts w:ascii="Georgia" w:hAnsi="Georgia" w:cs="Arial"/>
          <w:sz w:val="24"/>
          <w:szCs w:val="24"/>
        </w:rPr>
        <w:t xml:space="preserve">; (iii) Se ordene </w:t>
      </w:r>
      <w:r w:rsidR="00A51B75">
        <w:rPr>
          <w:rFonts w:ascii="Georgia" w:hAnsi="Georgia" w:cs="Arial"/>
          <w:sz w:val="24"/>
          <w:szCs w:val="24"/>
        </w:rPr>
        <w:t>a Quintas de Jardín Colonial PH expedir paz y salvo por cuotas de administración y demás expensas correspondientes al predio de su propiedad</w:t>
      </w:r>
      <w:r w:rsidR="00136A4F">
        <w:rPr>
          <w:rFonts w:ascii="Georgia" w:hAnsi="Georgia" w:cs="Arial"/>
          <w:sz w:val="24"/>
          <w:szCs w:val="24"/>
        </w:rPr>
        <w:t xml:space="preserve">, </w:t>
      </w:r>
      <w:r w:rsidR="00136A4F" w:rsidRPr="00136A4F">
        <w:rPr>
          <w:rFonts w:ascii="Georgia" w:hAnsi="Georgia" w:cs="Arial"/>
          <w:i/>
          <w:szCs w:val="24"/>
        </w:rPr>
        <w:t>“(…) lo anterior para evitar que la no inscripción del acto de constitución de la propiedad horizontal, se siga presentando a futuro”</w:t>
      </w:r>
      <w:r w:rsidR="00136A4F">
        <w:rPr>
          <w:rFonts w:ascii="Georgia" w:hAnsi="Georgia" w:cs="Arial"/>
          <w:sz w:val="24"/>
          <w:szCs w:val="24"/>
        </w:rPr>
        <w:t xml:space="preserve"> (¿?); y, (iv) Se declare la terminación del proceso con la correspondiente condena en costas a quien deba asumirlas (Folios 93 y 94, ib.). </w:t>
      </w:r>
    </w:p>
    <w:p w:rsidR="00A51B75" w:rsidRDefault="00A51B75" w:rsidP="00BB305B">
      <w:pPr>
        <w:pStyle w:val="Sinespaciado"/>
        <w:spacing w:line="360" w:lineRule="auto"/>
        <w:jc w:val="both"/>
        <w:rPr>
          <w:rFonts w:ascii="Georgia" w:hAnsi="Georgia" w:cs="Arial"/>
          <w:sz w:val="24"/>
          <w:szCs w:val="24"/>
        </w:rPr>
      </w:pPr>
    </w:p>
    <w:p w:rsidR="003913E3" w:rsidRPr="00484A74" w:rsidRDefault="00790907" w:rsidP="00F839CE">
      <w:pPr>
        <w:pStyle w:val="Textoindependien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484A74" w:rsidRDefault="003913E3" w:rsidP="00B942B6">
      <w:pPr>
        <w:pStyle w:val="Textoindependiente"/>
        <w:spacing w:line="360" w:lineRule="auto"/>
        <w:rPr>
          <w:rFonts w:ascii="Georgia" w:hAnsi="Georgia" w:cs="Arial"/>
          <w:sz w:val="22"/>
          <w:szCs w:val="24"/>
        </w:rPr>
      </w:pPr>
    </w:p>
    <w:p w:rsidR="004B3407" w:rsidRPr="00484A74" w:rsidRDefault="00790907" w:rsidP="004B3407">
      <w:pPr>
        <w:pStyle w:val="Textoindependiente"/>
        <w:widowControl w:val="0"/>
        <w:spacing w:line="360" w:lineRule="auto"/>
        <w:rPr>
          <w:rFonts w:ascii="Georgia" w:hAnsi="Georgia"/>
          <w:sz w:val="24"/>
        </w:rPr>
      </w:pPr>
      <w:r w:rsidRPr="00484A74">
        <w:rPr>
          <w:rFonts w:ascii="Georgia" w:hAnsi="Georgia"/>
          <w:sz w:val="24"/>
        </w:rPr>
        <w:t xml:space="preserve">El </w:t>
      </w:r>
      <w:r w:rsidR="00136A4F">
        <w:rPr>
          <w:rFonts w:ascii="Georgia" w:hAnsi="Georgia"/>
          <w:sz w:val="24"/>
        </w:rPr>
        <w:t>03</w:t>
      </w:r>
      <w:r w:rsidR="00906F05">
        <w:rPr>
          <w:rFonts w:ascii="Georgia" w:hAnsi="Georgia"/>
          <w:sz w:val="24"/>
        </w:rPr>
        <w:t>-</w:t>
      </w:r>
      <w:r w:rsidR="00136A4F">
        <w:rPr>
          <w:rFonts w:ascii="Georgia" w:hAnsi="Georgia"/>
          <w:sz w:val="24"/>
        </w:rPr>
        <w:t>05</w:t>
      </w:r>
      <w:r w:rsidR="00906F05">
        <w:rPr>
          <w:rFonts w:ascii="Georgia" w:hAnsi="Georgia"/>
          <w:sz w:val="24"/>
        </w:rPr>
        <w:t xml:space="preserve">-2018 </w:t>
      </w:r>
      <w:r w:rsidR="00136A4F">
        <w:rPr>
          <w:rFonts w:ascii="Georgia" w:hAnsi="Georgia"/>
          <w:sz w:val="24"/>
        </w:rPr>
        <w:t xml:space="preserve">el </w:t>
      </w:r>
      <w:r w:rsidR="00136A4F" w:rsidRPr="00136A4F">
        <w:rPr>
          <w:rFonts w:ascii="Georgia" w:hAnsi="Georgia"/>
          <w:i/>
          <w:sz w:val="24"/>
        </w:rPr>
        <w:t>a quo</w:t>
      </w:r>
      <w:r w:rsidR="00136A4F">
        <w:rPr>
          <w:rFonts w:ascii="Georgia" w:hAnsi="Georgia"/>
          <w:sz w:val="24"/>
        </w:rPr>
        <w:t xml:space="preserve"> </w:t>
      </w:r>
      <w:r w:rsidR="004B3407" w:rsidRPr="00484A74">
        <w:rPr>
          <w:rFonts w:ascii="Georgia" w:hAnsi="Georgia"/>
          <w:sz w:val="24"/>
        </w:rPr>
        <w:t>admitió</w:t>
      </w:r>
      <w:r w:rsidR="00136A4F">
        <w:rPr>
          <w:rFonts w:ascii="Georgia" w:hAnsi="Georgia"/>
          <w:sz w:val="24"/>
        </w:rPr>
        <w:t xml:space="preserve"> la tutela</w:t>
      </w:r>
      <w:r w:rsidR="004E39D7" w:rsidRPr="00484A74">
        <w:rPr>
          <w:rFonts w:ascii="Georgia" w:hAnsi="Georgia"/>
          <w:sz w:val="24"/>
        </w:rPr>
        <w:t>,</w:t>
      </w:r>
      <w:r w:rsidR="004B3407" w:rsidRPr="00484A74">
        <w:rPr>
          <w:rFonts w:ascii="Georgia" w:hAnsi="Georgia"/>
          <w:sz w:val="24"/>
        </w:rPr>
        <w:t xml:space="preserv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a quien</w:t>
      </w:r>
      <w:r w:rsidR="00136A4F">
        <w:rPr>
          <w:rFonts w:ascii="Georgia" w:hAnsi="Georgia"/>
          <w:sz w:val="24"/>
          <w:szCs w:val="24"/>
          <w:lang w:val="es-CO"/>
        </w:rPr>
        <w:t>es</w:t>
      </w:r>
      <w:r w:rsidR="00BD3C04" w:rsidRPr="00484A74">
        <w:rPr>
          <w:rFonts w:ascii="Georgia" w:hAnsi="Georgia"/>
          <w:sz w:val="24"/>
          <w:szCs w:val="24"/>
          <w:lang w:val="es-CO"/>
        </w:rPr>
        <w:t xml:space="preserve"> estimó conveniente </w:t>
      </w:r>
      <w:r w:rsidR="004E39D7" w:rsidRPr="00484A74">
        <w:rPr>
          <w:rFonts w:ascii="Georgia" w:hAnsi="Georgia"/>
          <w:sz w:val="24"/>
          <w:szCs w:val="24"/>
          <w:lang w:val="es-CO"/>
        </w:rPr>
        <w:t xml:space="preserve">y dispuso </w:t>
      </w:r>
      <w:r w:rsidRPr="00484A74">
        <w:rPr>
          <w:rFonts w:ascii="Georgia" w:hAnsi="Georgia"/>
          <w:sz w:val="24"/>
          <w:szCs w:val="24"/>
          <w:lang w:val="es-CO"/>
        </w:rPr>
        <w:lastRenderedPageBreak/>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136A4F">
        <w:rPr>
          <w:rFonts w:ascii="Georgia" w:hAnsi="Georgia"/>
          <w:sz w:val="24"/>
        </w:rPr>
        <w:t>96</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4B3407" w:rsidRPr="00484A74">
        <w:rPr>
          <w:rFonts w:ascii="Georgia" w:hAnsi="Georgia"/>
          <w:sz w:val="24"/>
        </w:rPr>
        <w:t xml:space="preserve">). </w:t>
      </w:r>
      <w:r w:rsidR="00906F05">
        <w:rPr>
          <w:rFonts w:ascii="Georgia" w:hAnsi="Georgia"/>
          <w:sz w:val="24"/>
        </w:rPr>
        <w:t xml:space="preserve">El </w:t>
      </w:r>
      <w:r w:rsidR="00136A4F">
        <w:rPr>
          <w:rFonts w:ascii="Georgia" w:hAnsi="Georgia"/>
          <w:sz w:val="24"/>
        </w:rPr>
        <w:t xml:space="preserve">07-05-2018 </w:t>
      </w:r>
      <w:r w:rsidR="004B3407" w:rsidRPr="00484A74">
        <w:rPr>
          <w:rFonts w:ascii="Georgia" w:hAnsi="Georgia"/>
          <w:sz w:val="24"/>
        </w:rPr>
        <w:t xml:space="preserve">se practicó </w:t>
      </w:r>
      <w:r w:rsidR="00BD3C04" w:rsidRPr="00484A74">
        <w:rPr>
          <w:rFonts w:ascii="Georgia" w:hAnsi="Georgia"/>
          <w:sz w:val="24"/>
        </w:rPr>
        <w:t xml:space="preserve">la </w:t>
      </w:r>
      <w:r w:rsidR="004B3407" w:rsidRPr="00484A74">
        <w:rPr>
          <w:rFonts w:ascii="Georgia" w:hAnsi="Georgia"/>
          <w:sz w:val="24"/>
        </w:rPr>
        <w:t xml:space="preserve">inspección judicial </w:t>
      </w:r>
      <w:r w:rsidR="00BD3C04" w:rsidRPr="00484A74">
        <w:rPr>
          <w:rFonts w:ascii="Georgia" w:hAnsi="Georgia"/>
          <w:sz w:val="24"/>
        </w:rPr>
        <w:t xml:space="preserve">(Folio </w:t>
      </w:r>
      <w:r w:rsidR="00136A4F">
        <w:rPr>
          <w:rFonts w:ascii="Georgia" w:hAnsi="Georgia"/>
          <w:sz w:val="24"/>
        </w:rPr>
        <w:t>102</w:t>
      </w:r>
      <w:r w:rsidR="004B3407" w:rsidRPr="00484A74">
        <w:rPr>
          <w:rFonts w:ascii="Georgia" w:hAnsi="Georgia"/>
          <w:sz w:val="24"/>
        </w:rPr>
        <w:t>, ibídem)</w:t>
      </w:r>
      <w:r w:rsidR="0097314A">
        <w:rPr>
          <w:rFonts w:ascii="Georgia" w:hAnsi="Georgia"/>
          <w:sz w:val="24"/>
        </w:rPr>
        <w:t>.</w:t>
      </w:r>
      <w:r w:rsidR="00BD3C04" w:rsidRPr="00484A74">
        <w:rPr>
          <w:rFonts w:ascii="Georgia" w:hAnsi="Georgia"/>
          <w:sz w:val="24"/>
        </w:rPr>
        <w:t xml:space="preserve"> </w:t>
      </w:r>
      <w:r w:rsidR="0097314A">
        <w:rPr>
          <w:rFonts w:ascii="Georgia" w:hAnsi="Georgia"/>
          <w:sz w:val="24"/>
        </w:rPr>
        <w:t>E</w:t>
      </w:r>
      <w:r w:rsidR="004B3407" w:rsidRPr="00484A74">
        <w:rPr>
          <w:rFonts w:ascii="Georgia" w:hAnsi="Georgia"/>
          <w:sz w:val="24"/>
        </w:rPr>
        <w:t xml:space="preserve">l </w:t>
      </w:r>
      <w:r w:rsidR="00136A4F">
        <w:rPr>
          <w:rFonts w:ascii="Georgia" w:hAnsi="Georgia"/>
          <w:sz w:val="24"/>
        </w:rPr>
        <w:t>16</w:t>
      </w:r>
      <w:r w:rsidR="0097314A">
        <w:rPr>
          <w:rFonts w:ascii="Georgia" w:hAnsi="Georgia"/>
          <w:sz w:val="24"/>
        </w:rPr>
        <w:t xml:space="preserve">-05-2018 </w:t>
      </w:r>
      <w:r w:rsidR="004B3407" w:rsidRPr="00484A74">
        <w:rPr>
          <w:rFonts w:ascii="Georgia" w:hAnsi="Georgia"/>
          <w:sz w:val="24"/>
        </w:rPr>
        <w:t xml:space="preserve">se emitió el fallo (Folios </w:t>
      </w:r>
      <w:r w:rsidR="00136A4F">
        <w:rPr>
          <w:rFonts w:ascii="Georgia" w:hAnsi="Georgia"/>
          <w:sz w:val="24"/>
        </w:rPr>
        <w:t>189 a 191</w:t>
      </w:r>
      <w:r w:rsidR="004B3407" w:rsidRPr="00484A74">
        <w:rPr>
          <w:rFonts w:ascii="Georgia" w:hAnsi="Georgia"/>
          <w:sz w:val="24"/>
        </w:rPr>
        <w:t xml:space="preserve">, </w:t>
      </w:r>
      <w:r w:rsidR="00906F05">
        <w:rPr>
          <w:rFonts w:ascii="Georgia" w:hAnsi="Georgia"/>
          <w:sz w:val="24"/>
        </w:rPr>
        <w:t>ibídem</w:t>
      </w:r>
      <w:r w:rsidR="004B3407" w:rsidRPr="00484A74">
        <w:rPr>
          <w:rFonts w:ascii="Georgia" w:hAnsi="Georgia"/>
          <w:sz w:val="24"/>
        </w:rPr>
        <w:t xml:space="preserve">); </w:t>
      </w:r>
      <w:r w:rsidR="00BD3C04" w:rsidRPr="00484A74">
        <w:rPr>
          <w:rFonts w:ascii="Georgia" w:hAnsi="Georgia"/>
          <w:sz w:val="24"/>
        </w:rPr>
        <w:t>y</w:t>
      </w:r>
      <w:r w:rsidR="004B3407" w:rsidRPr="00484A74">
        <w:rPr>
          <w:rFonts w:ascii="Georgia" w:hAnsi="Georgia"/>
          <w:sz w:val="24"/>
        </w:rPr>
        <w:t xml:space="preserve">, con proveído del </w:t>
      </w:r>
      <w:r w:rsidR="00136A4F">
        <w:rPr>
          <w:rFonts w:ascii="Georgia" w:hAnsi="Georgia"/>
          <w:sz w:val="24"/>
        </w:rPr>
        <w:t>31</w:t>
      </w:r>
      <w:r w:rsidR="0097314A">
        <w:rPr>
          <w:rFonts w:ascii="Georgia" w:hAnsi="Georgia"/>
          <w:sz w:val="24"/>
        </w:rPr>
        <w:t xml:space="preserve">-05-2018 </w:t>
      </w:r>
      <w:r w:rsidR="004B3407" w:rsidRPr="00484A74">
        <w:rPr>
          <w:rFonts w:ascii="Georgia" w:hAnsi="Georgia"/>
          <w:sz w:val="24"/>
        </w:rPr>
        <w:t xml:space="preserve">se concedió la impugnación formulada por la parte </w:t>
      </w:r>
      <w:r w:rsidR="00906F05">
        <w:rPr>
          <w:rFonts w:ascii="Georgia" w:hAnsi="Georgia"/>
          <w:sz w:val="24"/>
        </w:rPr>
        <w:t xml:space="preserve">actora </w:t>
      </w:r>
      <w:r w:rsidR="004B3407" w:rsidRPr="00484A74">
        <w:rPr>
          <w:rFonts w:ascii="Georgia" w:hAnsi="Georgia"/>
          <w:sz w:val="24"/>
        </w:rPr>
        <w:t xml:space="preserve">(Folio </w:t>
      </w:r>
      <w:r w:rsidR="00136A4F">
        <w:rPr>
          <w:rFonts w:ascii="Georgia" w:hAnsi="Georgia"/>
          <w:sz w:val="24"/>
        </w:rPr>
        <w:t>205</w:t>
      </w:r>
      <w:r w:rsidR="004B3407" w:rsidRPr="00484A74">
        <w:rPr>
          <w:rFonts w:ascii="Georgia" w:hAnsi="Georgia"/>
          <w:sz w:val="24"/>
        </w:rPr>
        <w:t xml:space="preserve">, </w:t>
      </w:r>
      <w:r w:rsidR="009A65A1" w:rsidRPr="00484A74">
        <w:rPr>
          <w:rFonts w:ascii="Georgia" w:hAnsi="Georgia"/>
          <w:sz w:val="24"/>
        </w:rPr>
        <w:t>ib.</w:t>
      </w:r>
      <w:r w:rsidR="004B3407" w:rsidRPr="00484A74">
        <w:rPr>
          <w:rFonts w:ascii="Georgia" w:hAnsi="Georgia"/>
          <w:sz w:val="24"/>
        </w:rPr>
        <w:t xml:space="preserve">). </w:t>
      </w:r>
    </w:p>
    <w:p w:rsidR="006F03E2" w:rsidRPr="00484A74" w:rsidRDefault="006F03E2" w:rsidP="006F03E2">
      <w:pPr>
        <w:spacing w:line="360" w:lineRule="auto"/>
        <w:jc w:val="both"/>
        <w:rPr>
          <w:rFonts w:ascii="Georgia" w:hAnsi="Georgia" w:cs="Arial"/>
          <w:sz w:val="22"/>
          <w:lang w:val="es-ES_tradnl"/>
        </w:rPr>
      </w:pPr>
    </w:p>
    <w:p w:rsidR="009A65A1" w:rsidRPr="00484A74" w:rsidRDefault="009A65A1"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se </w:t>
      </w:r>
      <w:r w:rsidR="00906F05">
        <w:rPr>
          <w:rFonts w:ascii="Georgia" w:hAnsi="Georgia" w:cs="Arial"/>
          <w:sz w:val="24"/>
          <w:szCs w:val="24"/>
        </w:rPr>
        <w:t xml:space="preserve">negó </w:t>
      </w:r>
      <w:r w:rsidR="00136A4F">
        <w:rPr>
          <w:rFonts w:ascii="Georgia" w:hAnsi="Georgia" w:cs="Arial"/>
          <w:sz w:val="24"/>
          <w:szCs w:val="24"/>
        </w:rPr>
        <w:t xml:space="preserve">por improcedente (Sic) </w:t>
      </w:r>
      <w:r w:rsidR="00906F05">
        <w:rPr>
          <w:rFonts w:ascii="Georgia" w:hAnsi="Georgia" w:cs="Arial"/>
          <w:sz w:val="24"/>
          <w:szCs w:val="24"/>
        </w:rPr>
        <w:t xml:space="preserve">el amparo constitucional, </w:t>
      </w:r>
      <w:r w:rsidR="00AF541D">
        <w:rPr>
          <w:rFonts w:ascii="Georgia" w:hAnsi="Georgia" w:cs="Arial"/>
          <w:sz w:val="24"/>
          <w:szCs w:val="24"/>
        </w:rPr>
        <w:t xml:space="preserve">porque </w:t>
      </w:r>
      <w:r w:rsidR="002218B3">
        <w:rPr>
          <w:rFonts w:ascii="Georgia" w:hAnsi="Georgia" w:cs="Arial"/>
          <w:sz w:val="24"/>
          <w:szCs w:val="24"/>
        </w:rPr>
        <w:t xml:space="preserve">las actuaciones del </w:t>
      </w:r>
      <w:r w:rsidR="0097314A">
        <w:rPr>
          <w:rFonts w:ascii="Georgia" w:hAnsi="Georgia" w:cs="Arial"/>
          <w:sz w:val="24"/>
          <w:szCs w:val="24"/>
        </w:rPr>
        <w:t xml:space="preserve">despacho judicial accionado </w:t>
      </w:r>
      <w:r w:rsidR="002218B3">
        <w:rPr>
          <w:rFonts w:ascii="Georgia" w:hAnsi="Georgia" w:cs="Arial"/>
          <w:sz w:val="24"/>
          <w:szCs w:val="24"/>
        </w:rPr>
        <w:t>se acogieron a las normas que rigen el proceso ejecutivo. Si la actora pretendía atacar los requisitos formales de la demanda debió hacerlo mediante reposición contra el mandamiento de pago y no como excepción de mérito</w:t>
      </w:r>
      <w:r w:rsidR="0097314A">
        <w:rPr>
          <w:rFonts w:ascii="Georgia" w:hAnsi="Georgia" w:cs="Arial"/>
          <w:sz w:val="24"/>
          <w:szCs w:val="24"/>
        </w:rPr>
        <w:t xml:space="preserve"> </w:t>
      </w:r>
      <w:r w:rsidRPr="00484A74">
        <w:rPr>
          <w:rFonts w:ascii="Georgia" w:hAnsi="Georgia" w:cs="Arial"/>
          <w:sz w:val="24"/>
          <w:szCs w:val="24"/>
        </w:rPr>
        <w:t xml:space="preserve">(Folios </w:t>
      </w:r>
      <w:r w:rsidR="002218B3">
        <w:rPr>
          <w:rFonts w:ascii="Georgia" w:hAnsi="Georgia" w:cs="Arial"/>
          <w:sz w:val="24"/>
          <w:szCs w:val="24"/>
        </w:rPr>
        <w:t>189 a 191</w:t>
      </w:r>
      <w:r w:rsidRPr="00484A74">
        <w:rPr>
          <w:rFonts w:ascii="Georgia" w:hAnsi="Georgia" w:cs="Arial"/>
          <w:sz w:val="24"/>
          <w:szCs w:val="24"/>
        </w:rPr>
        <w:t>, ib.).</w:t>
      </w:r>
    </w:p>
    <w:p w:rsidR="009A65A1" w:rsidRPr="00484A74" w:rsidRDefault="009A65A1" w:rsidP="00F839CE">
      <w:pPr>
        <w:pStyle w:val="Textoindependiente"/>
        <w:widowControl w:val="0"/>
        <w:spacing w:line="360" w:lineRule="auto"/>
        <w:rPr>
          <w:rFonts w:ascii="Georgia" w:hAnsi="Georgia" w:cs="Arial"/>
          <w:sz w:val="24"/>
          <w:szCs w:val="24"/>
        </w:rPr>
      </w:pPr>
    </w:p>
    <w:p w:rsidR="003913E3" w:rsidRPr="00F35B54" w:rsidRDefault="00A25F69" w:rsidP="00F839CE">
      <w:pPr>
        <w:pStyle w:val="Textoindependiente"/>
        <w:widowControl w:val="0"/>
        <w:spacing w:line="360" w:lineRule="auto"/>
        <w:rPr>
          <w:rFonts w:ascii="Georgia" w:hAnsi="Georgia"/>
          <w:sz w:val="24"/>
          <w:szCs w:val="24"/>
          <w:lang w:val="es-CO"/>
        </w:rPr>
      </w:pPr>
      <w:r>
        <w:rPr>
          <w:rFonts w:ascii="Georgia" w:hAnsi="Georgia"/>
          <w:sz w:val="24"/>
          <w:szCs w:val="24"/>
          <w:lang w:val="es-CO"/>
        </w:rPr>
        <w:t xml:space="preserve">Se </w:t>
      </w:r>
      <w:r w:rsidR="009A65A1" w:rsidRPr="00484A74">
        <w:rPr>
          <w:rFonts w:ascii="Georgia" w:hAnsi="Georgia"/>
          <w:sz w:val="24"/>
          <w:szCs w:val="24"/>
          <w:lang w:val="es-CO"/>
        </w:rPr>
        <w:t xml:space="preserve">discrepa de la decisión </w:t>
      </w:r>
      <w:r w:rsidR="002218B3">
        <w:rPr>
          <w:rFonts w:ascii="Georgia" w:hAnsi="Georgia"/>
          <w:sz w:val="24"/>
          <w:szCs w:val="24"/>
          <w:lang w:val="es-CO"/>
        </w:rPr>
        <w:t>con idénticos argumentos a los expuesto en libelo, esto es, (i) el accionado hizo una apreciación subjetiva sobre la falta exigencia por parte del Notario de los paz y salvos de cuotas de administración; (ii) la ausencia de legitimación por pasiva; (iii) la carencia de solidaridad en la obligación; (iv) la inexistencia de anotación en registro</w:t>
      </w:r>
      <w:r w:rsidR="005C397A">
        <w:rPr>
          <w:rFonts w:ascii="Georgia" w:hAnsi="Georgia"/>
          <w:sz w:val="24"/>
          <w:szCs w:val="24"/>
          <w:lang w:val="es-CO"/>
        </w:rPr>
        <w:t xml:space="preserve">; y, (v) el perjuicio pecuniario futuro por la </w:t>
      </w:r>
      <w:proofErr w:type="spellStart"/>
      <w:r w:rsidR="005C397A">
        <w:rPr>
          <w:rFonts w:ascii="Georgia" w:hAnsi="Georgia"/>
          <w:sz w:val="24"/>
          <w:szCs w:val="24"/>
          <w:lang w:val="es-CO"/>
        </w:rPr>
        <w:t>causación</w:t>
      </w:r>
      <w:proofErr w:type="spellEnd"/>
      <w:r w:rsidR="005C397A">
        <w:rPr>
          <w:rFonts w:ascii="Georgia" w:hAnsi="Georgia"/>
          <w:sz w:val="24"/>
          <w:szCs w:val="24"/>
          <w:lang w:val="es-CO"/>
        </w:rPr>
        <w:t xml:space="preserve"> de cuotas de administración sobre un predio que no se encuentra bajo el régimen de propiedad horizontal </w:t>
      </w:r>
      <w:r w:rsidR="00406DD3">
        <w:rPr>
          <w:rFonts w:ascii="Georgia" w:hAnsi="Georgia" w:cs="Arial"/>
          <w:sz w:val="24"/>
          <w:szCs w:val="24"/>
        </w:rPr>
        <w:t xml:space="preserve">(Folios </w:t>
      </w:r>
      <w:r w:rsidR="005C397A">
        <w:rPr>
          <w:rFonts w:ascii="Georgia" w:hAnsi="Georgia" w:cs="Arial"/>
          <w:sz w:val="24"/>
          <w:szCs w:val="24"/>
        </w:rPr>
        <w:t>196 a 205</w:t>
      </w:r>
      <w:r w:rsidR="00C53548" w:rsidRPr="00484A74">
        <w:rPr>
          <w:rFonts w:ascii="Georgia" w:hAnsi="Georgia" w:cs="Arial"/>
          <w:sz w:val="24"/>
          <w:szCs w:val="24"/>
        </w:rPr>
        <w:t xml:space="preserve">, </w:t>
      </w:r>
      <w:r w:rsidR="007B4AD7" w:rsidRPr="00484A74">
        <w:rPr>
          <w:rFonts w:ascii="Georgia" w:hAnsi="Georgia" w:cs="Arial"/>
          <w:sz w:val="24"/>
          <w:szCs w:val="24"/>
        </w:rPr>
        <w:t>ib.</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484A74" w:rsidRDefault="000D01DC" w:rsidP="00F839CE">
      <w:pPr>
        <w:pStyle w:val="Textoindependiente"/>
        <w:widowControl w:val="0"/>
        <w:spacing w:line="360" w:lineRule="auto"/>
        <w:rPr>
          <w:rFonts w:ascii="Georgia" w:hAnsi="Georgia" w:cs="Arial"/>
          <w:sz w:val="22"/>
          <w:szCs w:val="24"/>
        </w:rPr>
      </w:pPr>
    </w:p>
    <w:p w:rsidR="00484A74" w:rsidRPr="00484A74"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Default="00484A74" w:rsidP="00CC7903">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sidR="005C397A">
        <w:rPr>
          <w:rFonts w:ascii="Georgia" w:hAnsi="Georgia" w:cs="Arial"/>
          <w:sz w:val="24"/>
          <w:szCs w:val="24"/>
        </w:rPr>
        <w:t>Dosquebradas</w:t>
      </w:r>
      <w:r w:rsidRPr="00484A74">
        <w:rPr>
          <w:rFonts w:ascii="Georgia" w:hAnsi="Georgia" w:cs="Arial"/>
          <w:sz w:val="24"/>
          <w:szCs w:val="24"/>
        </w:rPr>
        <w:t xml:space="preserve">, según la impugnación presentada por la parte </w:t>
      </w:r>
      <w:r>
        <w:rPr>
          <w:rFonts w:ascii="Georgia" w:hAnsi="Georgia" w:cs="Arial"/>
          <w:sz w:val="24"/>
          <w:szCs w:val="24"/>
        </w:rPr>
        <w:t>vinculada</w:t>
      </w:r>
      <w:r w:rsidRPr="00484A74">
        <w:rPr>
          <w:rFonts w:ascii="Georgia" w:hAnsi="Georgia" w:cs="Arial"/>
          <w:sz w:val="24"/>
          <w:szCs w:val="24"/>
        </w:rPr>
        <w:t xml:space="preserve">? </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0F2638"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0F2638" w:rsidRPr="00CC68E1" w:rsidRDefault="000F2638" w:rsidP="000F2638">
      <w:pPr>
        <w:pStyle w:val="Textoindependiente"/>
        <w:tabs>
          <w:tab w:val="clear" w:pos="708"/>
          <w:tab w:val="clear" w:pos="1416"/>
          <w:tab w:val="left" w:pos="709"/>
          <w:tab w:val="left" w:pos="1418"/>
        </w:tabs>
        <w:spacing w:line="360" w:lineRule="auto"/>
        <w:rPr>
          <w:rFonts w:ascii="Georgia" w:hAnsi="Georgia"/>
          <w:smallCaps/>
          <w:szCs w:val="24"/>
        </w:rPr>
      </w:pPr>
    </w:p>
    <w:p w:rsidR="00350325" w:rsidRPr="00484A74" w:rsidRDefault="00484A74" w:rsidP="00CC7903">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2"/>
          <w:szCs w:val="24"/>
        </w:rPr>
        <w:t>La legitimación en la causa</w:t>
      </w:r>
      <w:r w:rsidRPr="00484A74">
        <w:rPr>
          <w:rFonts w:ascii="Georgia" w:hAnsi="Georgia" w:cs="Arial"/>
          <w:smallCaps/>
          <w:sz w:val="24"/>
          <w:szCs w:val="24"/>
        </w:rPr>
        <w:t>.</w:t>
      </w: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 xml:space="preserve">gitimación por activa dado que </w:t>
      </w:r>
      <w:r w:rsidR="00F35B54">
        <w:rPr>
          <w:rFonts w:ascii="Georgia" w:hAnsi="Georgia" w:cs="Arial"/>
          <w:sz w:val="24"/>
          <w:szCs w:val="24"/>
        </w:rPr>
        <w:t xml:space="preserve">la señora </w:t>
      </w:r>
      <w:r w:rsidR="005C397A">
        <w:rPr>
          <w:rFonts w:ascii="Georgia" w:hAnsi="Georgia" w:cs="Arial"/>
          <w:sz w:val="24"/>
          <w:szCs w:val="24"/>
        </w:rPr>
        <w:t xml:space="preserve">Gloria Inés Espinosa Sánchez </w:t>
      </w:r>
      <w:r w:rsidR="00F35B54">
        <w:rPr>
          <w:rFonts w:ascii="Georgia" w:hAnsi="Georgia" w:cs="Arial"/>
          <w:sz w:val="24"/>
          <w:szCs w:val="24"/>
        </w:rPr>
        <w:t xml:space="preserve">interviene como ejecutada </w:t>
      </w:r>
      <w:r w:rsidR="00654233" w:rsidRPr="00484A74">
        <w:rPr>
          <w:rFonts w:ascii="Georgia" w:hAnsi="Georgia" w:cs="Arial"/>
          <w:sz w:val="24"/>
          <w:szCs w:val="24"/>
        </w:rPr>
        <w:t xml:space="preserve">en el proceso </w:t>
      </w:r>
      <w:r w:rsidR="00F35B54">
        <w:rPr>
          <w:rFonts w:ascii="Georgia" w:hAnsi="Georgia" w:cs="Arial"/>
          <w:sz w:val="24"/>
          <w:szCs w:val="24"/>
        </w:rPr>
        <w:t xml:space="preserve">ejecutivo </w:t>
      </w:r>
      <w:r w:rsidR="005E222A" w:rsidRPr="005E222A">
        <w:rPr>
          <w:rFonts w:ascii="Georgia" w:hAnsi="Georgia" w:cs="Arial"/>
          <w:sz w:val="24"/>
          <w:szCs w:val="24"/>
          <w:lang w:val="es-ES"/>
        </w:rPr>
        <w:t>donde se reprocha la falta al debido proceso</w:t>
      </w:r>
      <w:r w:rsidR="00350325" w:rsidRPr="00484A74">
        <w:rPr>
          <w:rFonts w:ascii="Georgia" w:hAnsi="Georgia" w:cs="Arial"/>
          <w:sz w:val="24"/>
          <w:szCs w:val="24"/>
        </w:rPr>
        <w:t xml:space="preserve">.  Y por pasiva, lo es el Juzgado </w:t>
      </w:r>
      <w:r w:rsidR="005C397A">
        <w:rPr>
          <w:rFonts w:ascii="Georgia" w:hAnsi="Georgia" w:cs="Arial"/>
          <w:sz w:val="24"/>
          <w:szCs w:val="24"/>
        </w:rPr>
        <w:t xml:space="preserve">Primero </w:t>
      </w:r>
      <w:r>
        <w:rPr>
          <w:rFonts w:ascii="Georgia" w:hAnsi="Georgia" w:cs="Arial"/>
          <w:sz w:val="24"/>
          <w:szCs w:val="24"/>
        </w:rPr>
        <w:t xml:space="preserve">Civil </w:t>
      </w:r>
      <w:r w:rsidR="00350325" w:rsidRPr="00484A74">
        <w:rPr>
          <w:rFonts w:ascii="Georgia" w:hAnsi="Georgia" w:cs="Arial"/>
          <w:sz w:val="24"/>
          <w:szCs w:val="24"/>
        </w:rPr>
        <w:t>Municipal</w:t>
      </w:r>
      <w:r w:rsidR="006F52BC" w:rsidRPr="00484A74">
        <w:rPr>
          <w:rFonts w:ascii="Georgia" w:hAnsi="Georgia" w:cs="Arial"/>
          <w:sz w:val="24"/>
          <w:szCs w:val="24"/>
        </w:rPr>
        <w:t xml:space="preserve"> de </w:t>
      </w:r>
      <w:r w:rsidR="005C397A">
        <w:rPr>
          <w:rFonts w:ascii="Georgia" w:hAnsi="Georgia" w:cs="Arial"/>
          <w:sz w:val="24"/>
          <w:szCs w:val="24"/>
        </w:rPr>
        <w:t>Dosquebradas</w:t>
      </w:r>
      <w:r w:rsidR="00350325"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00350325" w:rsidRPr="00484A74">
        <w:rPr>
          <w:rFonts w:ascii="Georgia" w:hAnsi="Georgia" w:cs="Arial"/>
          <w:sz w:val="24"/>
          <w:szCs w:val="24"/>
        </w:rPr>
        <w:t xml:space="preserve">conoce del </w:t>
      </w:r>
      <w:r w:rsidR="005E222A">
        <w:rPr>
          <w:rFonts w:ascii="Georgia" w:hAnsi="Georgia" w:cs="Arial"/>
          <w:sz w:val="24"/>
          <w:szCs w:val="24"/>
        </w:rPr>
        <w:t>juicio</w:t>
      </w:r>
      <w:r w:rsidR="006C593B" w:rsidRPr="00484A74">
        <w:rPr>
          <w:rFonts w:ascii="Georgia" w:hAnsi="Georgia" w:cs="Arial"/>
          <w:sz w:val="24"/>
          <w:szCs w:val="24"/>
        </w:rPr>
        <w:t>.</w:t>
      </w:r>
    </w:p>
    <w:p w:rsidR="00350325" w:rsidRPr="00484A74" w:rsidRDefault="00350325" w:rsidP="00350325">
      <w:pPr>
        <w:pStyle w:val="Textoindependiente"/>
        <w:spacing w:line="360" w:lineRule="auto"/>
        <w:rPr>
          <w:rFonts w:ascii="Georgia" w:hAnsi="Georgia" w:cs="Arial"/>
          <w:sz w:val="24"/>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CB569A"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CB569A">
        <w:rPr>
          <w:rFonts w:ascii="Georgia" w:hAnsi="Georgia" w:cs="Arial"/>
          <w:smallCaps/>
          <w:sz w:val="24"/>
          <w:szCs w:val="24"/>
        </w:rPr>
        <w:t>Las sub-reglas de análisis en la procedibilidad frente a decisiones judiciales</w:t>
      </w:r>
    </w:p>
    <w:p w:rsidR="004453AC" w:rsidRPr="00CB569A" w:rsidRDefault="004453AC" w:rsidP="004453AC">
      <w:pPr>
        <w:pStyle w:val="Textoindependiente"/>
        <w:spacing w:line="360" w:lineRule="auto"/>
        <w:rPr>
          <w:rFonts w:ascii="Georgia" w:hAnsi="Georgia" w:cs="Arial"/>
          <w:szCs w:val="24"/>
        </w:rPr>
      </w:pPr>
    </w:p>
    <w:p w:rsidR="005E222A" w:rsidRPr="00CB569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w:t>
      </w:r>
      <w:r w:rsidRPr="00CB569A">
        <w:rPr>
          <w:rFonts w:ascii="Georgia" w:hAnsi="Georgia" w:cs="Arial"/>
          <w:spacing w:val="-3"/>
          <w:lang w:val="es-ES_tradnl"/>
        </w:rPr>
        <w:lastRenderedPageBreak/>
        <w:t>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5E222A" w:rsidRPr="00CB569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CB569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5E222A" w:rsidRPr="00CB569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CB569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5E222A" w:rsidRP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6F6A20" w:rsidRDefault="006F6A20" w:rsidP="006F6A20">
      <w:pPr>
        <w:widowControl/>
        <w:spacing w:line="360" w:lineRule="auto"/>
        <w:jc w:val="both"/>
        <w:rPr>
          <w:rFonts w:ascii="Arial" w:hAnsi="Arial"/>
          <w:lang w:val="es-CO"/>
        </w:rPr>
      </w:pPr>
    </w:p>
    <w:p w:rsidR="00CB569A" w:rsidRPr="00926444" w:rsidRDefault="00CB569A" w:rsidP="00CB569A">
      <w:pPr>
        <w:pStyle w:val="Textoindependiente"/>
        <w:numPr>
          <w:ilvl w:val="1"/>
          <w:numId w:val="41"/>
        </w:numPr>
        <w:shd w:val="clear" w:color="auto" w:fill="FFFFFF" w:themeFill="background1"/>
        <w:spacing w:line="360" w:lineRule="auto"/>
        <w:rPr>
          <w:rFonts w:ascii="Georgia" w:hAnsi="Georgia" w:cs="Arial"/>
          <w:sz w:val="24"/>
          <w:szCs w:val="24"/>
        </w:rPr>
      </w:pPr>
      <w:r w:rsidRPr="00926444">
        <w:rPr>
          <w:rFonts w:ascii="Georgia" w:hAnsi="Georgia"/>
          <w:smallCaps/>
          <w:sz w:val="24"/>
          <w:szCs w:val="24"/>
        </w:rPr>
        <w:t>El defecto sustantivo o material</w:t>
      </w:r>
    </w:p>
    <w:p w:rsidR="00CB569A" w:rsidRPr="00926444" w:rsidRDefault="00CB569A" w:rsidP="00CB569A">
      <w:pPr>
        <w:spacing w:line="360" w:lineRule="auto"/>
        <w:ind w:right="22"/>
        <w:jc w:val="both"/>
        <w:rPr>
          <w:rFonts w:ascii="Georgia" w:hAnsi="Georgia" w:cs="Arial"/>
          <w:szCs w:val="22"/>
          <w:lang w:val="es-ES_tradnl"/>
        </w:rPr>
      </w:pPr>
    </w:p>
    <w:p w:rsidR="00CB569A" w:rsidRDefault="00CB569A" w:rsidP="00CB569A">
      <w:pPr>
        <w:spacing w:line="360" w:lineRule="auto"/>
        <w:ind w:right="22"/>
        <w:jc w:val="both"/>
        <w:rPr>
          <w:rFonts w:ascii="Georgia" w:hAnsi="Georgia" w:cs="Arial"/>
          <w:szCs w:val="22"/>
          <w:lang w:val="es-ES_tradnl"/>
        </w:rPr>
      </w:pPr>
      <w:r w:rsidRPr="003A0558">
        <w:rPr>
          <w:rFonts w:ascii="Georgia" w:hAnsi="Georgia" w:cs="Arial"/>
          <w:szCs w:val="22"/>
          <w:lang w:val="es-ES_tradnl"/>
        </w:rPr>
        <w:t xml:space="preserve">La doctrina constitucional, a lo largo de su evolución, ha definido aquellos eventos en los cuales se comete tal anomalía, y ha dicho que consiste en una decisión fundada en normas </w:t>
      </w:r>
      <w:r w:rsidRPr="003A0558">
        <w:rPr>
          <w:rFonts w:ascii="Georgia" w:hAnsi="Georgia" w:cs="Arial"/>
          <w:szCs w:val="22"/>
          <w:lang w:val="es-ES_tradnl"/>
        </w:rPr>
        <w:lastRenderedPageBreak/>
        <w:t>indiscutiblemente inaplicables</w:t>
      </w:r>
      <w:r w:rsidRPr="003A0558">
        <w:rPr>
          <w:rStyle w:val="Refdenotaalpie"/>
          <w:rFonts w:ascii="Georgia" w:hAnsi="Georgia"/>
          <w:szCs w:val="22"/>
        </w:rPr>
        <w:footnoteReference w:id="9"/>
      </w:r>
      <w:r w:rsidRPr="003A0558">
        <w:rPr>
          <w:rFonts w:ascii="Georgia" w:hAnsi="Georgia" w:cs="Arial"/>
          <w:szCs w:val="22"/>
          <w:lang w:val="es-ES_tradnl"/>
        </w:rPr>
        <w:t>, luego en otra decisión</w:t>
      </w:r>
      <w:r w:rsidRPr="003A0558">
        <w:rPr>
          <w:rStyle w:val="Refdenotaalpie"/>
          <w:rFonts w:ascii="Georgia" w:hAnsi="Georgia"/>
          <w:szCs w:val="22"/>
        </w:rPr>
        <w:footnoteReference w:id="10"/>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1"/>
      </w:r>
      <w:r w:rsidRPr="003A0558">
        <w:rPr>
          <w:rFonts w:ascii="Georgia" w:hAnsi="Georgia" w:cs="Arial"/>
          <w:szCs w:val="22"/>
          <w:lang w:val="es-ES_tradnl"/>
        </w:rPr>
        <w:t>, al efecto tiene precisadas distintas variables:</w:t>
      </w:r>
    </w:p>
    <w:p w:rsidR="00CB569A" w:rsidRPr="009404D7" w:rsidRDefault="00CB569A" w:rsidP="00CB569A">
      <w:pPr>
        <w:spacing w:line="360" w:lineRule="auto"/>
        <w:ind w:right="22"/>
        <w:jc w:val="both"/>
        <w:rPr>
          <w:rFonts w:ascii="Georgia" w:hAnsi="Georgia" w:cs="Arial"/>
          <w:sz w:val="20"/>
          <w:szCs w:val="22"/>
          <w:lang w:val="es-ES_tradnl"/>
        </w:rPr>
      </w:pPr>
    </w:p>
    <w:p w:rsidR="00CB569A" w:rsidRPr="003A0558" w:rsidRDefault="00CB569A" w:rsidP="00CB569A">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2"/>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3"/>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4"/>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CB569A" w:rsidRPr="003A0558" w:rsidRDefault="00CB569A" w:rsidP="00CB569A">
      <w:pPr>
        <w:ind w:left="567" w:right="567"/>
        <w:jc w:val="both"/>
        <w:rPr>
          <w:rFonts w:ascii="Georgia" w:hAnsi="Georgia" w:cs="Arial"/>
        </w:rPr>
      </w:pPr>
      <w:r w:rsidRPr="003A0558">
        <w:rPr>
          <w:rStyle w:val="Refdenotaalpie"/>
          <w:rFonts w:ascii="Georgia" w:hAnsi="Georgia"/>
          <w:iCs/>
        </w:rPr>
        <w:footnoteReference w:id="15"/>
      </w:r>
      <w:r w:rsidRPr="003A0558">
        <w:rPr>
          <w:rFonts w:ascii="Georgia" w:hAnsi="Georgia" w:cs="Arial"/>
          <w:iCs/>
        </w:rPr>
        <w:t>.</w:t>
      </w:r>
    </w:p>
    <w:p w:rsidR="00CB569A" w:rsidRPr="00926444" w:rsidRDefault="00CB569A" w:rsidP="00CB569A">
      <w:pPr>
        <w:pStyle w:val="Textoindependiente"/>
        <w:spacing w:line="360" w:lineRule="auto"/>
        <w:rPr>
          <w:rFonts w:ascii="Georgia" w:hAnsi="Georgia" w:cs="Arial"/>
          <w:sz w:val="24"/>
        </w:rPr>
      </w:pPr>
    </w:p>
    <w:p w:rsidR="00CB569A" w:rsidRPr="00926444" w:rsidRDefault="00CB569A" w:rsidP="00CB569A">
      <w:pPr>
        <w:pStyle w:val="Textoindependiente"/>
        <w:spacing w:line="360" w:lineRule="auto"/>
        <w:rPr>
          <w:rFonts w:ascii="Georgia" w:hAnsi="Georgia" w:cs="Arial"/>
          <w:sz w:val="24"/>
        </w:rPr>
      </w:pPr>
      <w:r w:rsidRPr="00926444">
        <w:rPr>
          <w:rFonts w:ascii="Georgia" w:hAnsi="Georgia" w:cs="Arial"/>
          <w:sz w:val="24"/>
        </w:rPr>
        <w:t>Así mismo el alto Tribunal Constitucional</w:t>
      </w:r>
      <w:r w:rsidRPr="00926444">
        <w:rPr>
          <w:rStyle w:val="Refdenotaalpie"/>
          <w:rFonts w:ascii="Georgia" w:hAnsi="Georgia"/>
          <w:sz w:val="24"/>
        </w:rPr>
        <w:footnoteReference w:id="16"/>
      </w:r>
      <w:r w:rsidRPr="00926444">
        <w:rPr>
          <w:rFonts w:ascii="Georgia" w:hAnsi="Georgia" w:cs="Arial"/>
          <w:sz w:val="24"/>
        </w:rPr>
        <w:t xml:space="preserve">, señaló: </w:t>
      </w:r>
    </w:p>
    <w:p w:rsidR="00CB569A" w:rsidRPr="009404D7" w:rsidRDefault="00CB569A" w:rsidP="00CB569A">
      <w:pPr>
        <w:ind w:left="567" w:right="567"/>
        <w:jc w:val="both"/>
        <w:rPr>
          <w:rFonts w:ascii="Georgia" w:hAnsi="Georgia" w:cs="Arial"/>
          <w:sz w:val="22"/>
        </w:rPr>
      </w:pPr>
    </w:p>
    <w:p w:rsidR="00CB569A" w:rsidRPr="003A0558" w:rsidRDefault="00CB569A" w:rsidP="00CB569A">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CB569A" w:rsidRPr="00926444" w:rsidRDefault="00CB569A" w:rsidP="00CB569A">
      <w:pPr>
        <w:pStyle w:val="Textoindependiente"/>
        <w:spacing w:line="240" w:lineRule="auto"/>
        <w:rPr>
          <w:rFonts w:ascii="Georgia" w:hAnsi="Georgia" w:cs="Arial"/>
          <w:sz w:val="22"/>
        </w:rPr>
      </w:pPr>
    </w:p>
    <w:p w:rsidR="00CB569A" w:rsidRPr="00926444" w:rsidRDefault="00CB569A" w:rsidP="00CB569A">
      <w:pPr>
        <w:pStyle w:val="Textoindependiente"/>
        <w:spacing w:line="240" w:lineRule="auto"/>
        <w:ind w:left="567" w:right="567"/>
        <w:rPr>
          <w:rFonts w:ascii="Georgia" w:hAnsi="Georgia" w:cs="Arial"/>
          <w:spacing w:val="0"/>
          <w:sz w:val="24"/>
          <w:szCs w:val="24"/>
          <w:lang w:val="es-ES"/>
        </w:rPr>
      </w:pPr>
      <w:r w:rsidRPr="00926444">
        <w:rPr>
          <w:rFonts w:ascii="Georgia" w:hAnsi="Georgia" w:cs="Arial"/>
          <w:spacing w:val="0"/>
          <w:sz w:val="24"/>
          <w:szCs w:val="24"/>
          <w:lang w:val="es-ES"/>
        </w:rPr>
        <w:t>Así las cosas, constituye un defecto material o sustantivo la decisión judicial que se funda en una interpretación indebida de una disposición legal.  (</w:t>
      </w:r>
      <w:proofErr w:type="spellStart"/>
      <w:r w:rsidRPr="00926444">
        <w:rPr>
          <w:rFonts w:ascii="Georgia" w:hAnsi="Georgia" w:cs="Arial"/>
          <w:spacing w:val="0"/>
          <w:sz w:val="24"/>
          <w:szCs w:val="24"/>
          <w:lang w:val="es-ES"/>
        </w:rPr>
        <w:t>Sublínea</w:t>
      </w:r>
      <w:proofErr w:type="spellEnd"/>
      <w:r w:rsidRPr="00926444">
        <w:rPr>
          <w:rFonts w:ascii="Georgia" w:hAnsi="Georgia" w:cs="Arial"/>
          <w:spacing w:val="0"/>
          <w:sz w:val="24"/>
          <w:szCs w:val="24"/>
          <w:lang w:val="es-ES"/>
        </w:rPr>
        <w:t xml:space="preserve"> fuera de texto).</w:t>
      </w:r>
    </w:p>
    <w:p w:rsidR="00CB569A" w:rsidRPr="00926444" w:rsidRDefault="00CB569A" w:rsidP="00CB569A">
      <w:pPr>
        <w:spacing w:line="360" w:lineRule="auto"/>
        <w:jc w:val="both"/>
        <w:rPr>
          <w:rFonts w:ascii="Georgia" w:hAnsi="Georgia" w:cs="Arial"/>
          <w:sz w:val="28"/>
          <w:lang w:val="es-ES_tradnl"/>
        </w:rPr>
      </w:pPr>
    </w:p>
    <w:p w:rsidR="00CB569A" w:rsidRPr="003A0558" w:rsidRDefault="00CB569A" w:rsidP="00CB569A">
      <w:pPr>
        <w:spacing w:line="360" w:lineRule="auto"/>
        <w:jc w:val="both"/>
        <w:rPr>
          <w:rFonts w:ascii="Georgia" w:hAnsi="Georgia" w:cs="Arial"/>
          <w:lang w:val="es-ES_tradnl"/>
        </w:rPr>
      </w:pPr>
      <w:r w:rsidRPr="003A0558">
        <w:rPr>
          <w:rFonts w:ascii="Georgia" w:hAnsi="Georgia" w:cs="Arial"/>
          <w:lang w:val="es-ES_tradnl"/>
        </w:rPr>
        <w:t>Criterio reiterado en varias y recientes decisiones</w:t>
      </w:r>
      <w:r w:rsidRPr="003A0558">
        <w:rPr>
          <w:rStyle w:val="Refdenotaalpie"/>
          <w:rFonts w:ascii="Georgia" w:hAnsi="Georgia"/>
        </w:rPr>
        <w:footnoteReference w:id="17"/>
      </w:r>
      <w:r w:rsidRPr="003A0558">
        <w:rPr>
          <w:rFonts w:ascii="Georgia" w:hAnsi="Georgia" w:cs="Arial"/>
          <w:lang w:val="es-ES_tradnl"/>
        </w:rPr>
        <w:t>, según el análisis de la línea decisional sobre el tema.</w:t>
      </w:r>
    </w:p>
    <w:p w:rsidR="00CB569A" w:rsidRPr="00622049" w:rsidRDefault="00CB569A" w:rsidP="006F6A20">
      <w:pPr>
        <w:widowControl/>
        <w:spacing w:line="360" w:lineRule="auto"/>
        <w:jc w:val="both"/>
        <w:rPr>
          <w:rFonts w:ascii="Arial" w:hAnsi="Arial"/>
          <w:lang w:val="es-CO"/>
        </w:rPr>
      </w:pPr>
    </w:p>
    <w:p w:rsidR="00DB34BE" w:rsidRPr="00DB34BE" w:rsidRDefault="00DB34BE" w:rsidP="002C3144">
      <w:pPr>
        <w:pStyle w:val="Prrafodelista"/>
        <w:numPr>
          <w:ilvl w:val="1"/>
          <w:numId w:val="41"/>
        </w:numPr>
        <w:spacing w:after="0" w:line="360" w:lineRule="auto"/>
        <w:ind w:right="51"/>
        <w:jc w:val="both"/>
        <w:rPr>
          <w:rFonts w:ascii="Georgia" w:hAnsi="Georgia"/>
          <w:smallCaps/>
          <w:lang w:val="es-ES_tradnl"/>
        </w:rPr>
      </w:pPr>
      <w:r w:rsidRPr="00DB34BE">
        <w:rPr>
          <w:rFonts w:ascii="Georgia" w:hAnsi="Georgia" w:cs="Arial"/>
          <w:smallCaps/>
        </w:rPr>
        <w:t xml:space="preserve">El defecto fáctico </w:t>
      </w:r>
    </w:p>
    <w:p w:rsidR="00DB34BE" w:rsidRPr="00715A6F" w:rsidRDefault="00DB34BE" w:rsidP="002C3144">
      <w:pPr>
        <w:spacing w:line="360" w:lineRule="auto"/>
        <w:ind w:right="51"/>
        <w:jc w:val="both"/>
        <w:rPr>
          <w:rFonts w:ascii="Georgia" w:hAnsi="Georgia"/>
          <w:lang w:val="es-ES_tradnl"/>
        </w:rPr>
      </w:pPr>
    </w:p>
    <w:p w:rsidR="00DB34BE" w:rsidRPr="00DB34BE" w:rsidRDefault="00DB34BE" w:rsidP="002C3144">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DB34BE">
        <w:rPr>
          <w:rFonts w:ascii="Georgia" w:hAnsi="Georgia" w:cs="Arial"/>
          <w:szCs w:val="22"/>
        </w:rPr>
        <w:t>La doctrina constitucional</w:t>
      </w:r>
      <w:r w:rsidRPr="00DB34BE">
        <w:rPr>
          <w:rStyle w:val="Refdenotaalpie"/>
          <w:rFonts w:ascii="Georgia" w:hAnsi="Georgia"/>
          <w:szCs w:val="22"/>
        </w:rPr>
        <w:footnoteReference w:id="18"/>
      </w:r>
      <w:r w:rsidRPr="00DB34BE">
        <w:rPr>
          <w:rFonts w:ascii="Georgia" w:hAnsi="Georgia" w:cs="Arial"/>
          <w:szCs w:val="22"/>
        </w:rPr>
        <w:t xml:space="preserve"> sobre esta específica causal de procedibilidad tiene dicho que: </w:t>
      </w:r>
      <w:r w:rsidRPr="00DB34BE">
        <w:rPr>
          <w:rFonts w:ascii="Georgia" w:hAnsi="Georgia"/>
          <w:szCs w:val="22"/>
          <w:lang w:val="es-ES_tradnl"/>
        </w:rPr>
        <w:t>“</w:t>
      </w:r>
      <w:r w:rsidRPr="00DB34BE">
        <w:rPr>
          <w:rFonts w:ascii="Georgia" w:hAnsi="Georgia"/>
          <w:i/>
          <w:sz w:val="22"/>
          <w:szCs w:val="22"/>
          <w:lang w:val="es-ES_tradnl"/>
        </w:rPr>
        <w:t xml:space="preserve">(…) </w:t>
      </w:r>
      <w:r w:rsidRPr="00DB34BE">
        <w:rPr>
          <w:rFonts w:ascii="Georgia" w:hAnsi="Georgia" w:cs="Arial"/>
          <w:i/>
          <w:sz w:val="22"/>
          <w:szCs w:val="22"/>
        </w:rPr>
        <w:t>se produce cuando el juez toma una decisión sin que se encuentren plenamente comprobados los hechos que legalmente la determinan</w:t>
      </w:r>
      <w:r w:rsidRPr="00DB34BE">
        <w:rPr>
          <w:rStyle w:val="Refdenotaalpie"/>
          <w:rFonts w:ascii="Georgia" w:hAnsi="Georgia" w:cs="Arial"/>
          <w:i/>
          <w:sz w:val="22"/>
          <w:szCs w:val="22"/>
        </w:rPr>
        <w:footnoteReference w:id="19"/>
      </w:r>
      <w:r w:rsidRPr="00DB34BE">
        <w:rPr>
          <w:rFonts w:ascii="Georgia" w:hAnsi="Georgia" w:cs="Arial"/>
          <w:i/>
          <w:sz w:val="22"/>
          <w:szCs w:val="22"/>
        </w:rPr>
        <w:t xml:space="preserve">, como consecuencia de una omisión en </w:t>
      </w:r>
      <w:r w:rsidRPr="00DB34BE">
        <w:rPr>
          <w:rFonts w:ascii="Georgia" w:hAnsi="Georgia" w:cs="Arial"/>
          <w:i/>
          <w:sz w:val="22"/>
          <w:szCs w:val="22"/>
        </w:rPr>
        <w:lastRenderedPageBreak/>
        <w:t>el decreto o valoración de las pruebas</w:t>
      </w:r>
      <w:r w:rsidRPr="00DB34BE">
        <w:rPr>
          <w:rStyle w:val="Refdenotaalpie"/>
          <w:rFonts w:ascii="Georgia" w:hAnsi="Georgia" w:cs="Arial"/>
          <w:i/>
          <w:sz w:val="22"/>
          <w:szCs w:val="22"/>
        </w:rPr>
        <w:footnoteReference w:id="20"/>
      </w:r>
      <w:r w:rsidRPr="00DB34BE">
        <w:rPr>
          <w:rFonts w:ascii="Georgia" w:hAnsi="Georgia" w:cs="Arial"/>
          <w:i/>
          <w:sz w:val="22"/>
          <w:szCs w:val="22"/>
        </w:rPr>
        <w:t>, la valoración irrazonable o contra evidente de los medios probatorios, o la suposición de pruebas.</w:t>
      </w:r>
      <w:r w:rsidRPr="00DB34BE">
        <w:rPr>
          <w:rFonts w:ascii="Georgia" w:hAnsi="Georgia" w:cs="Arial"/>
          <w:szCs w:val="28"/>
        </w:rPr>
        <w:t>”</w:t>
      </w:r>
      <w:r w:rsidRPr="00DB34BE">
        <w:rPr>
          <w:rFonts w:ascii="Georgia" w:hAnsi="Georgia"/>
          <w:szCs w:val="20"/>
          <w:lang w:val="es-ES_tradnl"/>
        </w:rPr>
        <w:t>,</w:t>
      </w:r>
      <w:r w:rsidRPr="00DB34BE">
        <w:rPr>
          <w:rFonts w:ascii="Georgia" w:hAnsi="Georgia"/>
          <w:sz w:val="22"/>
          <w:szCs w:val="20"/>
          <w:lang w:val="es-ES_tradnl"/>
        </w:rPr>
        <w:t xml:space="preserve"> </w:t>
      </w:r>
      <w:r w:rsidRPr="00DB34BE">
        <w:rPr>
          <w:rFonts w:ascii="Georgia" w:hAnsi="Georgia"/>
          <w:szCs w:val="20"/>
          <w:lang w:val="es-ES_tradnl"/>
        </w:rPr>
        <w:t>luego en otra decisión se precisó</w:t>
      </w:r>
      <w:r w:rsidRPr="00DB34BE">
        <w:rPr>
          <w:rStyle w:val="Refdenotaalpie"/>
          <w:rFonts w:ascii="Georgia" w:hAnsi="Georgia"/>
          <w:sz w:val="22"/>
          <w:szCs w:val="20"/>
          <w:lang w:val="es-ES_tradnl"/>
        </w:rPr>
        <w:footnoteReference w:id="21"/>
      </w:r>
      <w:r w:rsidRPr="00DB34BE">
        <w:rPr>
          <w:rFonts w:ascii="Georgia" w:hAnsi="Georgia" w:cs="Arial"/>
          <w:szCs w:val="22"/>
        </w:rPr>
        <w:t>:</w:t>
      </w:r>
    </w:p>
    <w:p w:rsidR="00DB34BE" w:rsidRPr="002C3144" w:rsidRDefault="00DB34BE" w:rsidP="00DB34BE">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lang w:val="es-ES_tradnl"/>
        </w:rPr>
        <w:t>Ahora bien, para mayor ilustración se tiene que en la valoración de las pruebas puede ocurrir: “</w:t>
      </w:r>
      <w:r w:rsidRPr="00DB34BE">
        <w:rPr>
          <w:rFonts w:ascii="Georgia" w:hAnsi="Georgia"/>
          <w:szCs w:val="22"/>
          <w:u w:val="single"/>
          <w:lang w:val="es-ES_tradnl"/>
        </w:rPr>
        <w:t>defecto fáctico por omisión en el decreto y práctica de pruebas</w:t>
      </w:r>
      <w:r w:rsidRPr="00DB34BE">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 xml:space="preserve">Defecto fáctico por la no valoración del acervo probatorio: </w:t>
      </w:r>
      <w:r w:rsidRPr="00DB34BE">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Defecto fáctico por valoración defectuosa del material probatorio:</w:t>
      </w:r>
      <w:r w:rsidRPr="00DB34BE">
        <w:rPr>
          <w:rFonts w:ascii="Georgia" w:hAnsi="Georgia"/>
          <w:szCs w:val="22"/>
          <w:lang w:val="es-ES_tradnl"/>
        </w:rPr>
        <w:t xml:space="preserve">1) el funcionario judicial, en contra de la evidencia probatoria, decide separarse por completo de los hechos, </w:t>
      </w:r>
      <w:r w:rsidRPr="00DB34BE">
        <w:rPr>
          <w:rFonts w:ascii="Georgia" w:hAnsi="Georgia"/>
          <w:szCs w:val="22"/>
          <w:u w:val="single"/>
          <w:lang w:val="es-ES_tradnl"/>
        </w:rPr>
        <w:t>debidamente probados</w:t>
      </w:r>
      <w:r w:rsidRPr="00DB34BE">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DB34BE">
        <w:rPr>
          <w:rFonts w:ascii="Georgia" w:hAnsi="Georgia"/>
          <w:i/>
          <w:szCs w:val="22"/>
          <w:lang w:val="es-ES_tradnl"/>
        </w:rPr>
        <w:t xml:space="preserve">  </w:t>
      </w:r>
      <w:r w:rsidRPr="00DB34BE">
        <w:rPr>
          <w:rFonts w:ascii="Georgia" w:hAnsi="Georgia"/>
          <w:szCs w:val="22"/>
          <w:lang w:val="es-ES_tradnl"/>
        </w:rPr>
        <w:t>El resaltado es de este Tribunal.</w:t>
      </w:r>
    </w:p>
    <w:p w:rsidR="00DB34BE" w:rsidRPr="002C3144" w:rsidRDefault="00DB34BE" w:rsidP="00DB34BE">
      <w:pPr>
        <w:pStyle w:val="Textoindependiente"/>
        <w:spacing w:line="360" w:lineRule="auto"/>
        <w:rPr>
          <w:rFonts w:ascii="Georgia" w:hAnsi="Georgia" w:cs="Arial"/>
          <w:sz w:val="32"/>
          <w:szCs w:val="24"/>
        </w:rPr>
      </w:pPr>
    </w:p>
    <w:p w:rsidR="00DB34BE" w:rsidRDefault="00DB34BE" w:rsidP="00DB34BE">
      <w:pPr>
        <w:pStyle w:val="Textoindependiente"/>
        <w:spacing w:line="360" w:lineRule="auto"/>
        <w:rPr>
          <w:rFonts w:ascii="Georgia" w:hAnsi="Georgia" w:cs="Arial"/>
          <w:i/>
          <w:sz w:val="22"/>
          <w:szCs w:val="24"/>
        </w:rPr>
      </w:pPr>
      <w:r w:rsidRPr="00DB34BE">
        <w:rPr>
          <w:rFonts w:ascii="Georgia" w:hAnsi="Georgia" w:cs="Arial"/>
          <w:sz w:val="24"/>
          <w:szCs w:val="24"/>
        </w:rPr>
        <w:t>En todo caso, debe relievarse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DB34BE">
        <w:rPr>
          <w:rStyle w:val="Refdenotaalpie"/>
          <w:rFonts w:ascii="Georgia" w:hAnsi="Georgia"/>
          <w:sz w:val="24"/>
          <w:szCs w:val="24"/>
        </w:rPr>
        <w:footnoteReference w:id="22"/>
      </w:r>
      <w:r w:rsidR="0051245D">
        <w:rPr>
          <w:rFonts w:ascii="Georgia" w:hAnsi="Georgia" w:cs="Arial"/>
          <w:sz w:val="24"/>
          <w:szCs w:val="24"/>
        </w:rPr>
        <w:t xml:space="preserve">: </w:t>
      </w:r>
      <w:r w:rsidR="00B82C49">
        <w:rPr>
          <w:rFonts w:ascii="Georgia" w:hAnsi="Georgia" w:cs="Arial"/>
          <w:sz w:val="24"/>
          <w:szCs w:val="24"/>
        </w:rPr>
        <w:t>“</w:t>
      </w:r>
      <w:r w:rsidR="0051245D">
        <w:rPr>
          <w:rFonts w:ascii="Georgia" w:hAnsi="Georgia" w:cs="Arial"/>
          <w:sz w:val="24"/>
          <w:szCs w:val="24"/>
        </w:rPr>
        <w:t xml:space="preserve">(…) </w:t>
      </w:r>
      <w:r w:rsidR="0051245D" w:rsidRPr="0051245D">
        <w:rPr>
          <w:rFonts w:ascii="Georgia" w:hAnsi="Georgia" w:cs="Arial"/>
          <w:i/>
          <w:sz w:val="22"/>
          <w:szCs w:val="24"/>
          <w:lang w:val="es-ES"/>
        </w:rPr>
        <w:t>la autoridad constitucional no puede realizar un nuevo examen del material probatorio como si se tratara de una instancia judicial adicional,</w:t>
      </w:r>
      <w:r w:rsidR="0051245D" w:rsidRPr="0051245D">
        <w:rPr>
          <w:rFonts w:ascii="Georgia" w:hAnsi="Georgia" w:cs="Arial"/>
          <w:i/>
          <w:sz w:val="22"/>
          <w:szCs w:val="24"/>
          <w:vertAlign w:val="superscript"/>
          <w:lang w:val="es-ES"/>
        </w:rPr>
        <w:footnoteReference w:id="23"/>
      </w:r>
      <w:r w:rsidR="0051245D">
        <w:rPr>
          <w:rFonts w:ascii="Georgia" w:hAnsi="Georgia" w:cs="Arial"/>
          <w:i/>
          <w:sz w:val="22"/>
          <w:szCs w:val="24"/>
          <w:lang w:val="es-ES"/>
        </w:rPr>
        <w:t xml:space="preserve"> su función se ciñe</w:t>
      </w:r>
      <w:r w:rsidR="0051245D" w:rsidRPr="0051245D">
        <w:rPr>
          <w:rFonts w:ascii="Georgia" w:hAnsi="Georgia" w:cs="Arial"/>
          <w:i/>
          <w:sz w:val="22"/>
          <w:szCs w:val="24"/>
          <w:lang w:val="es-ES"/>
        </w:rPr>
        <w:t xml:space="preserve"> verificar que la solución de los procesos judiciales sea coherente con la valoración ponderada de las pruebas recaudadas por el juez y aportadas por los intervinientes</w:t>
      </w:r>
      <w:r w:rsidR="0051245D" w:rsidRPr="0051245D">
        <w:rPr>
          <w:rFonts w:ascii="Georgia" w:hAnsi="Georgia" w:cs="Arial"/>
          <w:i/>
          <w:sz w:val="22"/>
          <w:szCs w:val="24"/>
          <w:vertAlign w:val="superscript"/>
          <w:lang w:val="es-ES"/>
        </w:rPr>
        <w:footnoteReference w:id="24"/>
      </w:r>
      <w:r w:rsidR="0051245D">
        <w:rPr>
          <w:rFonts w:ascii="Georgia" w:hAnsi="Georgia" w:cs="Arial"/>
          <w:i/>
          <w:sz w:val="22"/>
          <w:szCs w:val="24"/>
          <w:lang w:val="es-ES"/>
        </w:rPr>
        <w:t xml:space="preserve"> (…)</w:t>
      </w:r>
      <w:r w:rsidR="00B82C49">
        <w:rPr>
          <w:rFonts w:ascii="Georgia" w:hAnsi="Georgia" w:cs="Arial"/>
          <w:i/>
          <w:sz w:val="22"/>
          <w:szCs w:val="24"/>
          <w:lang w:val="es-ES"/>
        </w:rPr>
        <w:t>”</w:t>
      </w:r>
      <w:r w:rsidRPr="0051245D">
        <w:rPr>
          <w:rFonts w:ascii="Georgia" w:hAnsi="Georgia" w:cs="Arial"/>
          <w:i/>
          <w:sz w:val="22"/>
          <w:szCs w:val="24"/>
        </w:rPr>
        <w:t>.</w:t>
      </w:r>
    </w:p>
    <w:p w:rsidR="00CC5214" w:rsidRDefault="00CC5214" w:rsidP="00CC52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5A4814" w:rsidRDefault="00283803" w:rsidP="00090C9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5A4814">
        <w:rPr>
          <w:rFonts w:ascii="Georgia" w:hAnsi="Georgia" w:cs="Arial"/>
          <w:sz w:val="24"/>
          <w:szCs w:val="24"/>
        </w:rPr>
        <w:t>EL CASO CONCRETO QUE SE ANALIZA</w:t>
      </w:r>
    </w:p>
    <w:p w:rsidR="005A4814" w:rsidRPr="005A4814" w:rsidRDefault="005A4814" w:rsidP="005A48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CC5214" w:rsidRDefault="00CC5214" w:rsidP="0051245D">
      <w:pPr>
        <w:spacing w:line="360" w:lineRule="auto"/>
        <w:ind w:right="51"/>
        <w:jc w:val="both"/>
        <w:rPr>
          <w:rFonts w:ascii="Georgia" w:hAnsi="Georgia"/>
        </w:rPr>
      </w:pPr>
      <w:r>
        <w:rPr>
          <w:rFonts w:ascii="Georgia" w:hAnsi="Georgia"/>
        </w:rPr>
        <w:t xml:space="preserve">En lo atinente al pedimento encauzado a rebatir </w:t>
      </w:r>
      <w:r w:rsidR="00CB569A">
        <w:rPr>
          <w:rFonts w:ascii="Georgia" w:hAnsi="Georgia"/>
        </w:rPr>
        <w:t xml:space="preserve">la aplicación normativa y </w:t>
      </w:r>
      <w:r>
        <w:rPr>
          <w:rFonts w:ascii="Georgia" w:hAnsi="Georgia"/>
        </w:rPr>
        <w:t xml:space="preserve">la valoración probatoria del </w:t>
      </w:r>
      <w:r w:rsidRPr="00CC5214">
        <w:rPr>
          <w:rFonts w:ascii="Georgia" w:hAnsi="Georgia"/>
          <w:i/>
        </w:rPr>
        <w:t>a quo</w:t>
      </w:r>
      <w:r>
        <w:rPr>
          <w:rFonts w:ascii="Georgia" w:hAnsi="Georgia"/>
        </w:rPr>
        <w:t xml:space="preserve"> respecto de la excepción de </w:t>
      </w:r>
      <w:r w:rsidR="00CB569A" w:rsidRPr="00CB569A">
        <w:rPr>
          <w:rFonts w:ascii="Georgia" w:hAnsi="Georgia"/>
          <w:i/>
        </w:rPr>
        <w:t>“cobro de lo no debido”</w:t>
      </w:r>
      <w:r>
        <w:rPr>
          <w:rFonts w:ascii="Georgia" w:hAnsi="Georgia"/>
        </w:rPr>
        <w:t xml:space="preserve">, esta Sala </w:t>
      </w:r>
      <w:r w:rsidR="004453AC" w:rsidRPr="00484A74">
        <w:rPr>
          <w:rFonts w:ascii="Georgia" w:hAnsi="Georgia"/>
        </w:rPr>
        <w:t xml:space="preserve">advierte cumplidos </w:t>
      </w:r>
      <w:r>
        <w:rPr>
          <w:rFonts w:ascii="Georgia" w:hAnsi="Georgia"/>
        </w:rPr>
        <w:t xml:space="preserve">todos </w:t>
      </w:r>
      <w:r w:rsidR="004453AC" w:rsidRPr="00484A74">
        <w:rPr>
          <w:rFonts w:ascii="Georgia" w:hAnsi="Georgia"/>
        </w:rPr>
        <w:t xml:space="preserve">los presupuestos generales de procedibilidad.  </w:t>
      </w:r>
    </w:p>
    <w:p w:rsidR="00CC5214" w:rsidRDefault="00CC5214" w:rsidP="0051245D">
      <w:pPr>
        <w:spacing w:line="360" w:lineRule="auto"/>
        <w:ind w:right="51"/>
        <w:jc w:val="both"/>
        <w:rPr>
          <w:rFonts w:ascii="Georgia" w:hAnsi="Georgia"/>
        </w:rPr>
      </w:pPr>
    </w:p>
    <w:p w:rsidR="00CC7903" w:rsidRDefault="004453AC" w:rsidP="0051245D">
      <w:pPr>
        <w:spacing w:line="360" w:lineRule="auto"/>
        <w:ind w:right="51"/>
        <w:jc w:val="both"/>
        <w:rPr>
          <w:rFonts w:ascii="Georgia" w:hAnsi="Georgia"/>
        </w:rPr>
      </w:pPr>
      <w:r w:rsidRPr="00484A74">
        <w:rPr>
          <w:rFonts w:ascii="Georgia" w:hAnsi="Georgia"/>
        </w:rPr>
        <w:t xml:space="preserve">En efecto, se tiene que en tratándose del derecho al debido proceso, es evidente que tiene relevancia constitucional; la subsidiariedad, porque la decisión cuestionada </w:t>
      </w:r>
      <w:r w:rsidR="00D4476A">
        <w:rPr>
          <w:rFonts w:ascii="Georgia" w:hAnsi="Georgia"/>
        </w:rPr>
        <w:t xml:space="preserve">se tomó en </w:t>
      </w:r>
      <w:r w:rsidR="00D4476A">
        <w:rPr>
          <w:rFonts w:ascii="Georgia" w:hAnsi="Georgia"/>
        </w:rPr>
        <w:lastRenderedPageBreak/>
        <w:t xml:space="preserve">una asunto </w:t>
      </w:r>
      <w:r w:rsidR="00D4476A" w:rsidRPr="00CC7903">
        <w:rPr>
          <w:rFonts w:ascii="Georgia" w:hAnsi="Georgia"/>
        </w:rPr>
        <w:t xml:space="preserve">de única instancia y </w:t>
      </w:r>
      <w:r w:rsidRPr="00CC7903">
        <w:rPr>
          <w:rFonts w:ascii="Georgia" w:hAnsi="Georgia"/>
        </w:rPr>
        <w:t>es irrecurrible</w:t>
      </w:r>
      <w:r w:rsidR="00CC5214">
        <w:rPr>
          <w:rFonts w:ascii="Georgia" w:hAnsi="Georgia"/>
        </w:rPr>
        <w:t xml:space="preserve"> (Ejecutivo de mínima cuantía)</w:t>
      </w:r>
      <w:r w:rsidRPr="00CC7903">
        <w:rPr>
          <w:rFonts w:ascii="Georgia" w:hAnsi="Georgia"/>
        </w:rPr>
        <w:t xml:space="preserve">; no se trata de una sentencia de tutela; hay inmediatez porque la </w:t>
      </w:r>
      <w:r w:rsidR="0051245D" w:rsidRPr="00CC7903">
        <w:rPr>
          <w:rFonts w:ascii="Georgia" w:hAnsi="Georgia"/>
        </w:rPr>
        <w:t xml:space="preserve">decisión </w:t>
      </w:r>
      <w:r w:rsidR="003E26F1" w:rsidRPr="00CC7903">
        <w:rPr>
          <w:rFonts w:ascii="Georgia" w:hAnsi="Georgia"/>
        </w:rPr>
        <w:t xml:space="preserve">cuestionada data del </w:t>
      </w:r>
      <w:r w:rsidR="00CB569A">
        <w:rPr>
          <w:rFonts w:ascii="Georgia" w:hAnsi="Georgia"/>
        </w:rPr>
        <w:t xml:space="preserve">07-03-2018 </w:t>
      </w:r>
      <w:r w:rsidR="0051245D" w:rsidRPr="00CC7903">
        <w:rPr>
          <w:rFonts w:ascii="Georgia" w:hAnsi="Georgia"/>
        </w:rPr>
        <w:t>(</w:t>
      </w:r>
      <w:r w:rsidR="00CC5214">
        <w:rPr>
          <w:rFonts w:ascii="Georgia" w:hAnsi="Georgia"/>
        </w:rPr>
        <w:t>F</w:t>
      </w:r>
      <w:r w:rsidR="0051245D" w:rsidRPr="00CC7903">
        <w:rPr>
          <w:rFonts w:ascii="Georgia" w:hAnsi="Georgia"/>
        </w:rPr>
        <w:t xml:space="preserve">olio </w:t>
      </w:r>
      <w:r w:rsidR="00F242B5">
        <w:rPr>
          <w:rFonts w:ascii="Georgia" w:hAnsi="Georgia"/>
        </w:rPr>
        <w:t>8 vuelto</w:t>
      </w:r>
      <w:r w:rsidR="0051245D" w:rsidRPr="00CC7903">
        <w:rPr>
          <w:rFonts w:ascii="Georgia" w:hAnsi="Georgia"/>
        </w:rPr>
        <w:t xml:space="preserve">, </w:t>
      </w:r>
      <w:r w:rsidR="00F242B5">
        <w:rPr>
          <w:rFonts w:ascii="Georgia" w:hAnsi="Georgia"/>
        </w:rPr>
        <w:t xml:space="preserve">este </w:t>
      </w:r>
      <w:r w:rsidR="0051245D" w:rsidRPr="00CC7903">
        <w:rPr>
          <w:rFonts w:ascii="Georgia" w:hAnsi="Georgia"/>
        </w:rPr>
        <w:t xml:space="preserve">cuaderno) </w:t>
      </w:r>
      <w:r w:rsidR="003E26F1" w:rsidRPr="00CC7903">
        <w:rPr>
          <w:rFonts w:ascii="Georgia" w:hAnsi="Georgia"/>
        </w:rPr>
        <w:t xml:space="preserve">y la acción se presentó el </w:t>
      </w:r>
      <w:r w:rsidR="00CB569A">
        <w:rPr>
          <w:rFonts w:ascii="Georgia" w:hAnsi="Georgia"/>
        </w:rPr>
        <w:t xml:space="preserve">02-05-2018 </w:t>
      </w:r>
      <w:r w:rsidR="0051245D" w:rsidRPr="00CC7903">
        <w:rPr>
          <w:rFonts w:ascii="Georgia" w:hAnsi="Georgia"/>
        </w:rPr>
        <w:t>(Folio</w:t>
      </w:r>
      <w:r w:rsidRPr="00CC7903">
        <w:rPr>
          <w:rFonts w:ascii="Georgia" w:hAnsi="Georgia"/>
        </w:rPr>
        <w:t xml:space="preserve"> </w:t>
      </w:r>
      <w:r w:rsidR="00CB569A">
        <w:rPr>
          <w:rFonts w:ascii="Georgia" w:hAnsi="Georgia"/>
        </w:rPr>
        <w:t>95</w:t>
      </w:r>
      <w:r w:rsidR="0051245D" w:rsidRPr="00CC7903">
        <w:rPr>
          <w:rFonts w:ascii="Georgia" w:hAnsi="Georgia"/>
        </w:rPr>
        <w:t xml:space="preserve">, </w:t>
      </w:r>
      <w:r w:rsidR="00CB569A">
        <w:rPr>
          <w:rFonts w:ascii="Georgia" w:hAnsi="Georgia"/>
        </w:rPr>
        <w:t>ibídem</w:t>
      </w:r>
      <w:r w:rsidRPr="00CC7903">
        <w:rPr>
          <w:rFonts w:ascii="Georgia" w:hAnsi="Georgia"/>
        </w:rPr>
        <w:t>);</w:t>
      </w:r>
      <w:r w:rsidR="003E26F1" w:rsidRPr="00CC7903">
        <w:rPr>
          <w:rFonts w:ascii="Georgia" w:hAnsi="Georgia"/>
          <w:szCs w:val="22"/>
          <w:lang w:val="es-ES_tradnl"/>
        </w:rPr>
        <w:t xml:space="preserve"> la</w:t>
      </w:r>
      <w:r w:rsidR="0051245D" w:rsidRPr="00CC7903">
        <w:rPr>
          <w:rFonts w:ascii="Georgia" w:hAnsi="Georgia"/>
          <w:szCs w:val="22"/>
          <w:lang w:val="es-ES_tradnl"/>
        </w:rPr>
        <w:t>s</w:t>
      </w:r>
      <w:r w:rsidR="003E26F1" w:rsidRPr="00CC7903">
        <w:rPr>
          <w:rFonts w:ascii="Georgia" w:hAnsi="Georgia"/>
          <w:szCs w:val="22"/>
          <w:lang w:val="es-ES_tradnl"/>
        </w:rPr>
        <w:t xml:space="preserve"> irregularidad</w:t>
      </w:r>
      <w:r w:rsidR="0051245D" w:rsidRPr="00CC7903">
        <w:rPr>
          <w:rFonts w:ascii="Georgia" w:hAnsi="Georgia"/>
          <w:szCs w:val="22"/>
          <w:lang w:val="es-ES_tradnl"/>
        </w:rPr>
        <w:t>es</w:t>
      </w:r>
      <w:r w:rsidR="003E26F1" w:rsidRPr="00CC7903">
        <w:rPr>
          <w:rFonts w:ascii="Georgia" w:hAnsi="Georgia"/>
          <w:szCs w:val="22"/>
          <w:lang w:val="es-ES_tradnl"/>
        </w:rPr>
        <w:t xml:space="preserve"> realzada</w:t>
      </w:r>
      <w:r w:rsidR="0051245D" w:rsidRPr="00CC7903">
        <w:rPr>
          <w:rFonts w:ascii="Georgia" w:hAnsi="Georgia"/>
          <w:szCs w:val="22"/>
          <w:lang w:val="es-ES_tradnl"/>
        </w:rPr>
        <w:t xml:space="preserve">s son </w:t>
      </w:r>
      <w:r w:rsidR="003E26F1" w:rsidRPr="00CC7903">
        <w:rPr>
          <w:rFonts w:ascii="Georgia" w:hAnsi="Georgia"/>
          <w:szCs w:val="22"/>
          <w:lang w:val="es-ES_tradnl"/>
        </w:rPr>
        <w:t>trascendente</w:t>
      </w:r>
      <w:r w:rsidR="0051245D" w:rsidRPr="00CC7903">
        <w:rPr>
          <w:rFonts w:ascii="Georgia" w:hAnsi="Georgia"/>
          <w:szCs w:val="22"/>
          <w:lang w:val="es-ES_tradnl"/>
        </w:rPr>
        <w:t>s</w:t>
      </w:r>
      <w:r w:rsidR="003E26F1" w:rsidRPr="00CC7903">
        <w:rPr>
          <w:rFonts w:ascii="Georgia" w:hAnsi="Georgia"/>
          <w:szCs w:val="22"/>
          <w:lang w:val="es-ES_tradnl"/>
        </w:rPr>
        <w:t xml:space="preserve"> para el desarrollo de la </w:t>
      </w:r>
      <w:proofErr w:type="spellStart"/>
      <w:r w:rsidR="003E26F1" w:rsidRPr="00CC7903">
        <w:rPr>
          <w:rFonts w:ascii="Georgia" w:hAnsi="Georgia"/>
          <w:szCs w:val="22"/>
          <w:lang w:val="es-ES_tradnl"/>
        </w:rPr>
        <w:t>litis</w:t>
      </w:r>
      <w:proofErr w:type="spellEnd"/>
      <w:r w:rsidR="00CC5214">
        <w:rPr>
          <w:rFonts w:ascii="Georgia" w:hAnsi="Georgia"/>
          <w:szCs w:val="22"/>
          <w:lang w:val="es-ES_tradnl"/>
        </w:rPr>
        <w:t xml:space="preserve">; </w:t>
      </w:r>
      <w:r w:rsidR="00CC5214" w:rsidRPr="00BC6976">
        <w:rPr>
          <w:rFonts w:ascii="Georgia" w:hAnsi="Georgia" w:cs="Arial"/>
          <w:spacing w:val="-3"/>
          <w:lang w:val="es-ES_tradnl"/>
        </w:rPr>
        <w:t>y se identificaron los hechos generadores de la vulneración</w:t>
      </w:r>
      <w:r w:rsidR="00CC7903">
        <w:rPr>
          <w:rFonts w:ascii="Georgia" w:hAnsi="Georgia"/>
        </w:rPr>
        <w:t>.</w:t>
      </w:r>
    </w:p>
    <w:p w:rsidR="00CC7903" w:rsidRDefault="00CC7903" w:rsidP="0051245D">
      <w:pPr>
        <w:spacing w:line="360" w:lineRule="auto"/>
        <w:ind w:right="51"/>
        <w:jc w:val="both"/>
        <w:rPr>
          <w:rFonts w:ascii="Georgia" w:hAnsi="Georgia"/>
        </w:rPr>
      </w:pPr>
    </w:p>
    <w:p w:rsidR="00674C19" w:rsidRDefault="00674C19" w:rsidP="0051245D">
      <w:pPr>
        <w:spacing w:line="360" w:lineRule="auto"/>
        <w:ind w:right="51"/>
        <w:jc w:val="both"/>
        <w:rPr>
          <w:rFonts w:ascii="Georgia" w:hAnsi="Georgia"/>
        </w:rPr>
      </w:pPr>
      <w:r>
        <w:rPr>
          <w:rFonts w:ascii="Georgia" w:hAnsi="Georgia"/>
        </w:rPr>
        <w:t xml:space="preserve">Discrepa esta Sala del superficial análisis de procedibilidad general (Subsidiariedad) realizado en la sentencia opugnada, pues se pasó por inadvertido que la ejecutada sí ejercitó el mecanismo de defensa con que contaba, esto es, la excepción de mérito que denominó </w:t>
      </w:r>
      <w:r w:rsidRPr="00BB0953">
        <w:rPr>
          <w:rFonts w:ascii="Georgia" w:hAnsi="Georgia"/>
          <w:i/>
        </w:rPr>
        <w:t>“cobro de lo no debido”</w:t>
      </w:r>
      <w:r>
        <w:rPr>
          <w:rFonts w:ascii="Georgia" w:hAnsi="Georgia"/>
        </w:rPr>
        <w:t>, resuelta en la decisión atacada.</w:t>
      </w:r>
    </w:p>
    <w:p w:rsidR="00674C19" w:rsidRDefault="00674C19" w:rsidP="0051245D">
      <w:pPr>
        <w:spacing w:line="360" w:lineRule="auto"/>
        <w:ind w:right="51"/>
        <w:jc w:val="both"/>
        <w:rPr>
          <w:rFonts w:ascii="Georgia" w:hAnsi="Georgia"/>
        </w:rPr>
      </w:pPr>
    </w:p>
    <w:p w:rsidR="00F242B5" w:rsidRDefault="00484D05" w:rsidP="005A4814">
      <w:pPr>
        <w:spacing w:line="360" w:lineRule="auto"/>
        <w:ind w:right="51"/>
        <w:jc w:val="both"/>
        <w:rPr>
          <w:rFonts w:ascii="Georgia" w:hAnsi="Georgia"/>
        </w:rPr>
      </w:pPr>
      <w:r>
        <w:rPr>
          <w:rFonts w:ascii="Georgia" w:hAnsi="Georgia"/>
        </w:rPr>
        <w:t>E</w:t>
      </w:r>
      <w:r w:rsidR="004453AC" w:rsidRPr="00CC7903">
        <w:rPr>
          <w:rFonts w:ascii="Georgia" w:hAnsi="Georgia"/>
        </w:rPr>
        <w:t xml:space="preserve">n lo tocante </w:t>
      </w:r>
      <w:r w:rsidR="00BB0953">
        <w:rPr>
          <w:rFonts w:ascii="Georgia" w:hAnsi="Georgia"/>
        </w:rPr>
        <w:t xml:space="preserve">con </w:t>
      </w:r>
      <w:r w:rsidR="004453AC" w:rsidRPr="00CC7903">
        <w:rPr>
          <w:rFonts w:ascii="Georgia" w:hAnsi="Georgia"/>
        </w:rPr>
        <w:t xml:space="preserve">la identificación </w:t>
      </w:r>
      <w:r w:rsidR="0051245D" w:rsidRPr="00CC7903">
        <w:rPr>
          <w:rFonts w:ascii="Georgia" w:hAnsi="Georgia"/>
        </w:rPr>
        <w:t xml:space="preserve">de los </w:t>
      </w:r>
      <w:r w:rsidR="004453AC" w:rsidRPr="00CC7903">
        <w:rPr>
          <w:rFonts w:ascii="Georgia" w:hAnsi="Georgia"/>
        </w:rPr>
        <w:t>defecto</w:t>
      </w:r>
      <w:r w:rsidR="0051245D" w:rsidRPr="00CC7903">
        <w:rPr>
          <w:rFonts w:ascii="Georgia" w:hAnsi="Georgia"/>
        </w:rPr>
        <w:t>s</w:t>
      </w:r>
      <w:r w:rsidR="004453AC" w:rsidRPr="00CC7903">
        <w:rPr>
          <w:rFonts w:ascii="Georgia" w:hAnsi="Georgia"/>
        </w:rPr>
        <w:t xml:space="preserve">, la parte accionante se duele de </w:t>
      </w:r>
      <w:r w:rsidR="003E26F1" w:rsidRPr="00CC7903">
        <w:rPr>
          <w:rFonts w:ascii="Georgia" w:hAnsi="Georgia"/>
        </w:rPr>
        <w:t xml:space="preserve">la </w:t>
      </w:r>
      <w:r w:rsidR="00D4476A" w:rsidRPr="00CC7903">
        <w:rPr>
          <w:rFonts w:ascii="Georgia" w:hAnsi="Georgia"/>
        </w:rPr>
        <w:t>falta de valoración integral probatoria</w:t>
      </w:r>
      <w:r w:rsidR="00C44389">
        <w:rPr>
          <w:rFonts w:ascii="Georgia" w:hAnsi="Georgia"/>
        </w:rPr>
        <w:t xml:space="preserve"> </w:t>
      </w:r>
      <w:r w:rsidR="00CB569A" w:rsidRPr="00CC7903">
        <w:rPr>
          <w:rFonts w:ascii="Georgia" w:hAnsi="Georgia"/>
        </w:rPr>
        <w:t>(Defecto fáctico)</w:t>
      </w:r>
      <w:r w:rsidR="00CB569A">
        <w:rPr>
          <w:rFonts w:ascii="Georgia" w:hAnsi="Georgia"/>
        </w:rPr>
        <w:t>,</w:t>
      </w:r>
      <w:r w:rsidR="004453AC" w:rsidRPr="00CC7903">
        <w:rPr>
          <w:rFonts w:ascii="Georgia" w:hAnsi="Georgia"/>
        </w:rPr>
        <w:t xml:space="preserve"> </w:t>
      </w:r>
      <w:r w:rsidR="00CB569A">
        <w:rPr>
          <w:rFonts w:ascii="Georgia" w:hAnsi="Georgia"/>
        </w:rPr>
        <w:t xml:space="preserve">circunstancia que repercutió </w:t>
      </w:r>
      <w:r w:rsidR="004453AC" w:rsidRPr="00CC7903">
        <w:rPr>
          <w:rFonts w:ascii="Georgia" w:hAnsi="Georgia"/>
        </w:rPr>
        <w:t xml:space="preserve"> en </w:t>
      </w:r>
      <w:r w:rsidR="00D4476A" w:rsidRPr="00CC7903">
        <w:rPr>
          <w:rFonts w:ascii="Georgia" w:hAnsi="Georgia"/>
        </w:rPr>
        <w:t>que fuera</w:t>
      </w:r>
      <w:r w:rsidR="00C44389">
        <w:rPr>
          <w:rFonts w:ascii="Georgia" w:hAnsi="Georgia"/>
        </w:rPr>
        <w:t xml:space="preserve"> declarada impróspera la excepción incoada; </w:t>
      </w:r>
      <w:r w:rsidR="00F242B5">
        <w:rPr>
          <w:rFonts w:ascii="Georgia" w:hAnsi="Georgia"/>
        </w:rPr>
        <w:t xml:space="preserve">alude a la ausencia </w:t>
      </w:r>
      <w:r w:rsidR="00CB569A">
        <w:rPr>
          <w:rFonts w:ascii="Georgia" w:hAnsi="Georgia"/>
        </w:rPr>
        <w:t xml:space="preserve">de anotación </w:t>
      </w:r>
      <w:r w:rsidR="00F242B5">
        <w:rPr>
          <w:rFonts w:ascii="Georgia" w:hAnsi="Georgia"/>
        </w:rPr>
        <w:t xml:space="preserve">del reglamento de propiedad horizontal que impide el cobro de las cuotas de administración y la falta de exigencia por el </w:t>
      </w:r>
      <w:r w:rsidR="00BB0953">
        <w:rPr>
          <w:rFonts w:ascii="Georgia" w:hAnsi="Georgia"/>
        </w:rPr>
        <w:t>n</w:t>
      </w:r>
      <w:r w:rsidR="00F242B5">
        <w:rPr>
          <w:rFonts w:ascii="Georgia" w:hAnsi="Georgia"/>
        </w:rPr>
        <w:t xml:space="preserve">otario ante quien suscribió la escritura de compraventa de los paz y salvos de administración que repercute en la inexistencia de solidaridad como deudora de las cuotas anteriores a la compra. También, someramente, </w:t>
      </w:r>
      <w:r w:rsidR="00BB0953">
        <w:rPr>
          <w:rFonts w:ascii="Georgia" w:hAnsi="Georgia"/>
        </w:rPr>
        <w:t xml:space="preserve">expuso </w:t>
      </w:r>
      <w:r w:rsidR="00F242B5">
        <w:rPr>
          <w:rFonts w:ascii="Georgia" w:hAnsi="Georgia"/>
        </w:rPr>
        <w:t>la inobservancia de la Ley 675</w:t>
      </w:r>
      <w:r w:rsidR="00F242B5" w:rsidRPr="00CC7903">
        <w:rPr>
          <w:rFonts w:ascii="Georgia" w:hAnsi="Georgia"/>
        </w:rPr>
        <w:t xml:space="preserve"> (Defecto </w:t>
      </w:r>
      <w:r w:rsidR="00F242B5">
        <w:rPr>
          <w:rFonts w:ascii="Georgia" w:hAnsi="Georgia"/>
        </w:rPr>
        <w:t>sustantivo</w:t>
      </w:r>
      <w:r w:rsidR="00F242B5" w:rsidRPr="00CC7903">
        <w:rPr>
          <w:rFonts w:ascii="Georgia" w:hAnsi="Georgia"/>
        </w:rPr>
        <w:t>)</w:t>
      </w:r>
      <w:r w:rsidR="00F242B5">
        <w:rPr>
          <w:rFonts w:ascii="Georgia" w:hAnsi="Georgia"/>
        </w:rPr>
        <w:t>.</w:t>
      </w:r>
    </w:p>
    <w:p w:rsidR="00F242B5" w:rsidRDefault="00F242B5" w:rsidP="005A4814">
      <w:pPr>
        <w:spacing w:line="360" w:lineRule="auto"/>
        <w:ind w:right="51"/>
        <w:jc w:val="both"/>
        <w:rPr>
          <w:rFonts w:ascii="Georgia" w:hAnsi="Georgia"/>
        </w:rPr>
      </w:pPr>
    </w:p>
    <w:p w:rsidR="007409B3" w:rsidRDefault="00CC7903" w:rsidP="00F77083">
      <w:pPr>
        <w:spacing w:line="360" w:lineRule="auto"/>
        <w:ind w:right="51"/>
        <w:jc w:val="both"/>
        <w:rPr>
          <w:rFonts w:ascii="Georgia" w:hAnsi="Georgia" w:cs="Arial"/>
          <w:lang w:val="es-ES_tradnl"/>
        </w:rPr>
      </w:pPr>
      <w:r w:rsidRPr="00B82C49">
        <w:rPr>
          <w:rFonts w:ascii="Georgia" w:hAnsi="Georgia" w:cs="Arial"/>
          <w:lang w:val="es-ES_tradnl"/>
        </w:rPr>
        <w:t xml:space="preserve">Ahora, el juez de la causa en </w:t>
      </w:r>
      <w:r w:rsidR="00C747E3">
        <w:rPr>
          <w:rFonts w:ascii="Georgia" w:hAnsi="Georgia" w:cs="Arial"/>
          <w:lang w:val="es-ES_tradnl"/>
        </w:rPr>
        <w:t xml:space="preserve">la sentencia rebatida </w:t>
      </w:r>
      <w:r w:rsidRPr="00B82C49">
        <w:rPr>
          <w:rFonts w:ascii="Georgia" w:hAnsi="Georgia" w:cs="Arial"/>
          <w:lang w:val="es-ES_tradnl"/>
        </w:rPr>
        <w:t>expuso</w:t>
      </w:r>
      <w:r w:rsidR="00634B5B" w:rsidRPr="00B82C49">
        <w:rPr>
          <w:rFonts w:ascii="Georgia" w:hAnsi="Georgia" w:cs="Arial"/>
          <w:lang w:val="es-ES_tradnl"/>
        </w:rPr>
        <w:t>:</w:t>
      </w:r>
      <w:r w:rsidRPr="00B82C49">
        <w:rPr>
          <w:rFonts w:ascii="Georgia" w:hAnsi="Georgia" w:cs="Arial"/>
          <w:lang w:val="es-ES_tradnl"/>
        </w:rPr>
        <w:t xml:space="preserve"> </w:t>
      </w:r>
      <w:r w:rsidR="00F77083" w:rsidRPr="00F77083">
        <w:rPr>
          <w:rFonts w:ascii="Georgia" w:hAnsi="Georgia" w:cs="Arial"/>
          <w:i/>
          <w:lang w:val="es-ES_tradnl"/>
        </w:rPr>
        <w:t>“</w:t>
      </w:r>
      <w:r w:rsidR="00F77083" w:rsidRPr="00F77083">
        <w:rPr>
          <w:rFonts w:ascii="Georgia" w:hAnsi="Georgia" w:cs="Arial"/>
          <w:i/>
          <w:sz w:val="22"/>
          <w:lang w:val="es-ES_tradnl"/>
        </w:rPr>
        <w:t>(</w:t>
      </w:r>
      <w:r w:rsidR="00D35FF6" w:rsidRPr="00F77083">
        <w:rPr>
          <w:rFonts w:ascii="Georgia" w:hAnsi="Georgia" w:cs="Arial"/>
          <w:i/>
          <w:sz w:val="22"/>
          <w:lang w:val="es-ES_tradnl"/>
        </w:rPr>
        <w:t>…</w:t>
      </w:r>
      <w:r w:rsidR="00F77083" w:rsidRPr="00F77083">
        <w:rPr>
          <w:rFonts w:ascii="Georgia" w:hAnsi="Georgia" w:cs="Arial"/>
          <w:i/>
          <w:sz w:val="22"/>
          <w:lang w:val="es-ES_tradnl"/>
        </w:rPr>
        <w:t>)</w:t>
      </w:r>
      <w:r w:rsidR="00D35FF6" w:rsidRPr="00F77083">
        <w:rPr>
          <w:rFonts w:ascii="Georgia" w:hAnsi="Georgia" w:cs="Arial"/>
          <w:i/>
          <w:sz w:val="22"/>
          <w:lang w:val="es-ES_tradnl"/>
        </w:rPr>
        <w:t xml:space="preserve"> </w:t>
      </w:r>
      <w:r w:rsidR="00F242B5" w:rsidRPr="00F77083">
        <w:rPr>
          <w:rFonts w:ascii="Georgia" w:hAnsi="Georgia" w:cs="Arial"/>
          <w:i/>
          <w:sz w:val="22"/>
          <w:lang w:val="es-ES_tradnl"/>
        </w:rPr>
        <w:t xml:space="preserve">el Juzgado va a empezar a resolver las excepciones </w:t>
      </w:r>
      <w:r w:rsidR="00F242B5" w:rsidRPr="00674C19">
        <w:rPr>
          <w:rFonts w:ascii="Georgia" w:hAnsi="Georgia" w:cs="Arial"/>
          <w:i/>
          <w:sz w:val="22"/>
          <w:lang w:val="es-ES_tradnl"/>
        </w:rPr>
        <w:t>comenzando por la última</w:t>
      </w:r>
      <w:r w:rsidR="00674C19" w:rsidRPr="00674C19">
        <w:rPr>
          <w:rFonts w:ascii="Georgia" w:hAnsi="Georgia" w:cs="Arial"/>
          <w:i/>
          <w:sz w:val="22"/>
          <w:lang w:val="es-ES_tradnl"/>
        </w:rPr>
        <w:t xml:space="preserve"> </w:t>
      </w:r>
      <w:r w:rsidR="00674C19" w:rsidRPr="00674C19">
        <w:rPr>
          <w:rFonts w:ascii="Georgia" w:hAnsi="Georgia" w:cs="Arial"/>
          <w:i/>
          <w:sz w:val="22"/>
          <w:shd w:val="clear" w:color="auto" w:fill="FFFFFF"/>
        </w:rPr>
        <w:t>[cobro de lo no debido]</w:t>
      </w:r>
      <w:r w:rsidR="00F242B5" w:rsidRPr="00674C19">
        <w:rPr>
          <w:rFonts w:ascii="Georgia" w:hAnsi="Georgia" w:cs="Arial"/>
          <w:i/>
          <w:sz w:val="22"/>
          <w:lang w:val="es-ES_tradnl"/>
        </w:rPr>
        <w:t xml:space="preserve">, porque </w:t>
      </w:r>
      <w:r w:rsidR="00F242B5" w:rsidRPr="00F77083">
        <w:rPr>
          <w:rFonts w:ascii="Georgia" w:hAnsi="Georgia" w:cs="Arial"/>
          <w:i/>
          <w:sz w:val="22"/>
          <w:lang w:val="es-ES_tradnl"/>
        </w:rPr>
        <w:t xml:space="preserve">es precisamente aquella mediante la cual se niega la totalidad de la obligación en cuanto lo ratificado en el alegato de conclusión </w:t>
      </w:r>
      <w:r w:rsidR="002A61AA" w:rsidRPr="00F77083">
        <w:rPr>
          <w:rFonts w:ascii="Georgia" w:hAnsi="Georgia" w:cs="Arial"/>
          <w:i/>
          <w:sz w:val="22"/>
          <w:lang w:val="es-ES_tradnl"/>
        </w:rPr>
        <w:t xml:space="preserve">que </w:t>
      </w:r>
      <w:r w:rsidR="00F242B5" w:rsidRPr="00F77083">
        <w:rPr>
          <w:rFonts w:ascii="Georgia" w:hAnsi="Georgia" w:cs="Arial"/>
          <w:i/>
          <w:sz w:val="22"/>
          <w:lang w:val="es-ES_tradnl"/>
        </w:rPr>
        <w:t xml:space="preserve">dice que no aparece en la oficina de instrumentos públicos el inmueble registrado como de la propiedad horizontal, esto es, que desconoce </w:t>
      </w:r>
      <w:r w:rsidR="002A61AA" w:rsidRPr="00F77083">
        <w:rPr>
          <w:rFonts w:ascii="Georgia" w:hAnsi="Georgia" w:cs="Arial"/>
          <w:i/>
          <w:sz w:val="22"/>
          <w:lang w:val="es-ES_tradnl"/>
        </w:rPr>
        <w:t xml:space="preserve">su </w:t>
      </w:r>
      <w:r w:rsidR="00F242B5" w:rsidRPr="00F77083">
        <w:rPr>
          <w:rFonts w:ascii="Georgia" w:hAnsi="Georgia" w:cs="Arial"/>
          <w:i/>
          <w:sz w:val="22"/>
          <w:lang w:val="es-ES_tradnl"/>
        </w:rPr>
        <w:t xml:space="preserve">pertenencia </w:t>
      </w:r>
      <w:r w:rsidR="002A61AA" w:rsidRPr="00F77083">
        <w:rPr>
          <w:rFonts w:ascii="Georgia" w:hAnsi="Georgia" w:cs="Arial"/>
          <w:i/>
          <w:sz w:val="22"/>
          <w:lang w:val="es-ES_tradnl"/>
        </w:rPr>
        <w:t xml:space="preserve">a </w:t>
      </w:r>
      <w:r w:rsidR="00F242B5" w:rsidRPr="00F77083">
        <w:rPr>
          <w:rFonts w:ascii="Georgia" w:hAnsi="Georgia" w:cs="Arial"/>
          <w:i/>
          <w:sz w:val="22"/>
          <w:lang w:val="es-ES_tradnl"/>
        </w:rPr>
        <w:t xml:space="preserve">esa propiedad horizontal según el escrito de excepciones </w:t>
      </w:r>
      <w:r w:rsidR="007409B3" w:rsidRPr="00F77083">
        <w:rPr>
          <w:rFonts w:ascii="Georgia" w:hAnsi="Georgia" w:cs="Arial"/>
          <w:i/>
          <w:sz w:val="22"/>
          <w:lang w:val="es-ES_tradnl"/>
        </w:rPr>
        <w:t>formulado con la demanda (Sic)</w:t>
      </w:r>
      <w:r w:rsidR="00F77083" w:rsidRPr="00F77083">
        <w:rPr>
          <w:rFonts w:ascii="Georgia" w:hAnsi="Georgia" w:cs="Arial"/>
          <w:i/>
          <w:sz w:val="22"/>
          <w:lang w:val="es-ES_tradnl"/>
        </w:rPr>
        <w:t xml:space="preserve"> (</w:t>
      </w:r>
      <w:r w:rsidR="002A61AA" w:rsidRPr="00F77083">
        <w:rPr>
          <w:rFonts w:ascii="Georgia" w:hAnsi="Georgia" w:cs="Arial"/>
          <w:i/>
          <w:sz w:val="22"/>
          <w:lang w:val="es-ES_tradnl"/>
        </w:rPr>
        <w:t>…</w:t>
      </w:r>
      <w:r w:rsidR="00F77083" w:rsidRPr="00F77083">
        <w:rPr>
          <w:rFonts w:ascii="Georgia" w:hAnsi="Georgia" w:cs="Arial"/>
          <w:i/>
          <w:sz w:val="22"/>
          <w:lang w:val="es-ES_tradnl"/>
        </w:rPr>
        <w:t>)</w:t>
      </w:r>
      <w:r w:rsidR="007409B3">
        <w:rPr>
          <w:rFonts w:ascii="Georgia" w:hAnsi="Georgia" w:cs="Arial"/>
          <w:lang w:val="es-ES_tradnl"/>
        </w:rPr>
        <w:t xml:space="preserve"> (Tiempo 37:26 a 37:58, disco compacto visible a folio 8 vuelto, ib.). </w:t>
      </w:r>
    </w:p>
    <w:p w:rsidR="007409B3" w:rsidRPr="00484D05" w:rsidRDefault="007409B3" w:rsidP="00F242B5">
      <w:pPr>
        <w:ind w:left="567" w:right="618"/>
        <w:jc w:val="both"/>
        <w:rPr>
          <w:rFonts w:ascii="Georgia" w:hAnsi="Georgia" w:cs="Arial"/>
          <w:lang w:val="es-CO"/>
        </w:rPr>
      </w:pPr>
    </w:p>
    <w:p w:rsidR="00F77083" w:rsidRDefault="00F77083" w:rsidP="00484D05">
      <w:pPr>
        <w:ind w:right="51"/>
        <w:jc w:val="both"/>
        <w:rPr>
          <w:rFonts w:ascii="Georgia" w:hAnsi="Georgia" w:cs="Arial"/>
          <w:lang w:val="es-ES_tradnl"/>
        </w:rPr>
      </w:pPr>
      <w:r>
        <w:rPr>
          <w:rFonts w:ascii="Georgia" w:hAnsi="Georgia" w:cs="Arial"/>
          <w:lang w:val="es-ES_tradnl"/>
        </w:rPr>
        <w:t xml:space="preserve">Seguidamente, </w:t>
      </w:r>
      <w:r w:rsidR="00484D05">
        <w:rPr>
          <w:rFonts w:ascii="Georgia" w:hAnsi="Georgia" w:cs="Arial"/>
          <w:lang w:val="es-ES_tradnl"/>
        </w:rPr>
        <w:t xml:space="preserve"> </w:t>
      </w:r>
      <w:r>
        <w:rPr>
          <w:rFonts w:ascii="Georgia" w:hAnsi="Georgia" w:cs="Arial"/>
          <w:lang w:val="es-ES_tradnl"/>
        </w:rPr>
        <w:t xml:space="preserve">en </w:t>
      </w:r>
      <w:r w:rsidR="00484D05">
        <w:rPr>
          <w:rFonts w:ascii="Georgia" w:hAnsi="Georgia" w:cs="Arial"/>
          <w:lang w:val="es-ES_tradnl"/>
        </w:rPr>
        <w:t xml:space="preserve"> </w:t>
      </w:r>
      <w:r>
        <w:rPr>
          <w:rFonts w:ascii="Georgia" w:hAnsi="Georgia" w:cs="Arial"/>
          <w:lang w:val="es-ES_tradnl"/>
        </w:rPr>
        <w:t xml:space="preserve">lo </w:t>
      </w:r>
      <w:r w:rsidR="00484D05">
        <w:rPr>
          <w:rFonts w:ascii="Georgia" w:hAnsi="Georgia" w:cs="Arial"/>
          <w:lang w:val="es-ES_tradnl"/>
        </w:rPr>
        <w:t xml:space="preserve"> </w:t>
      </w:r>
      <w:r>
        <w:rPr>
          <w:rFonts w:ascii="Georgia" w:hAnsi="Georgia" w:cs="Arial"/>
          <w:lang w:val="es-ES_tradnl"/>
        </w:rPr>
        <w:t xml:space="preserve">atinente </w:t>
      </w:r>
      <w:r w:rsidR="00484D05">
        <w:rPr>
          <w:rFonts w:ascii="Georgia" w:hAnsi="Georgia" w:cs="Arial"/>
          <w:lang w:val="es-ES_tradnl"/>
        </w:rPr>
        <w:t xml:space="preserve"> </w:t>
      </w:r>
      <w:r w:rsidR="00674C19">
        <w:rPr>
          <w:rFonts w:ascii="Georgia" w:hAnsi="Georgia" w:cs="Arial"/>
          <w:lang w:val="es-ES_tradnl"/>
        </w:rPr>
        <w:t xml:space="preserve">al </w:t>
      </w:r>
      <w:r>
        <w:rPr>
          <w:rFonts w:ascii="Georgia" w:hAnsi="Georgia" w:cs="Arial"/>
          <w:lang w:val="es-ES_tradnl"/>
        </w:rPr>
        <w:t xml:space="preserve">análisis </w:t>
      </w:r>
      <w:r w:rsidR="00484D05">
        <w:rPr>
          <w:rFonts w:ascii="Georgia" w:hAnsi="Georgia" w:cs="Arial"/>
          <w:lang w:val="es-ES_tradnl"/>
        </w:rPr>
        <w:t xml:space="preserve"> </w:t>
      </w:r>
      <w:r>
        <w:rPr>
          <w:rFonts w:ascii="Georgia" w:hAnsi="Georgia" w:cs="Arial"/>
          <w:lang w:val="es-ES_tradnl"/>
        </w:rPr>
        <w:t xml:space="preserve">probatorio </w:t>
      </w:r>
      <w:r w:rsidR="00484D05">
        <w:rPr>
          <w:rFonts w:ascii="Georgia" w:hAnsi="Georgia" w:cs="Arial"/>
          <w:lang w:val="es-ES_tradnl"/>
        </w:rPr>
        <w:t xml:space="preserve"> </w:t>
      </w:r>
      <w:r>
        <w:rPr>
          <w:rFonts w:ascii="Georgia" w:hAnsi="Georgia" w:cs="Arial"/>
          <w:lang w:val="es-ES_tradnl"/>
        </w:rPr>
        <w:t xml:space="preserve">sobre </w:t>
      </w:r>
      <w:r w:rsidR="00484D05">
        <w:rPr>
          <w:rFonts w:ascii="Georgia" w:hAnsi="Georgia" w:cs="Arial"/>
          <w:lang w:val="es-ES_tradnl"/>
        </w:rPr>
        <w:t xml:space="preserve"> </w:t>
      </w:r>
      <w:r>
        <w:rPr>
          <w:rFonts w:ascii="Georgia" w:hAnsi="Georgia" w:cs="Arial"/>
          <w:lang w:val="es-ES_tradnl"/>
        </w:rPr>
        <w:t xml:space="preserve">la existencia de </w:t>
      </w:r>
      <w:r w:rsidR="00484D05">
        <w:rPr>
          <w:rFonts w:ascii="Georgia" w:hAnsi="Georgia" w:cs="Arial"/>
          <w:lang w:val="es-ES_tradnl"/>
        </w:rPr>
        <w:t xml:space="preserve">la </w:t>
      </w:r>
      <w:r>
        <w:rPr>
          <w:rFonts w:ascii="Georgia" w:hAnsi="Georgia" w:cs="Arial"/>
          <w:lang w:val="es-ES_tradnl"/>
        </w:rPr>
        <w:t xml:space="preserve">propiedad horizontal anotó: </w:t>
      </w:r>
    </w:p>
    <w:p w:rsidR="00F77083" w:rsidRPr="00F77083" w:rsidRDefault="00F77083" w:rsidP="00F77083">
      <w:pPr>
        <w:ind w:right="618"/>
        <w:jc w:val="both"/>
        <w:rPr>
          <w:rFonts w:ascii="Georgia" w:hAnsi="Georgia" w:cs="Arial"/>
          <w:sz w:val="32"/>
          <w:lang w:val="es-ES_tradnl"/>
        </w:rPr>
      </w:pPr>
    </w:p>
    <w:p w:rsidR="007409B3" w:rsidRDefault="00F77083" w:rsidP="00F77083">
      <w:pPr>
        <w:ind w:left="567" w:right="618"/>
        <w:jc w:val="both"/>
        <w:rPr>
          <w:rFonts w:ascii="Georgia" w:hAnsi="Georgia" w:cs="Arial"/>
          <w:lang w:val="es-CO"/>
        </w:rPr>
      </w:pPr>
      <w:r>
        <w:rPr>
          <w:rFonts w:ascii="Georgia" w:hAnsi="Georgia" w:cs="Arial"/>
          <w:lang w:val="es-ES_tradnl"/>
        </w:rPr>
        <w:t xml:space="preserve"> </w:t>
      </w:r>
      <w:r w:rsidR="007409B3">
        <w:rPr>
          <w:rFonts w:ascii="Georgia" w:hAnsi="Georgia" w:cs="Arial"/>
          <w:lang w:val="es-ES_tradnl"/>
        </w:rPr>
        <w:t xml:space="preserve">… </w:t>
      </w:r>
      <w:r w:rsidR="00D26556">
        <w:rPr>
          <w:rFonts w:ascii="Georgia" w:hAnsi="Georgia" w:cs="Arial"/>
          <w:lang w:val="es-ES_tradnl"/>
        </w:rPr>
        <w:t>En cuanto a la segunda pregunta, si es cierto o no que la señora representante autorizó fotocopiar el reglamento que le entregó a la hoy demandada un sinnúmero de fotocopias en donde termina este paquete sin firmas ni del señor Notario ni de persona alguna que lo suscribe como un documento totalmente apócrifo</w:t>
      </w:r>
      <w:r w:rsidR="007409B3">
        <w:rPr>
          <w:rFonts w:ascii="Georgia" w:hAnsi="Georgia" w:cs="Arial"/>
          <w:lang w:val="es-ES_tradnl"/>
        </w:rPr>
        <w:t>,</w:t>
      </w:r>
      <w:r w:rsidR="00D26556">
        <w:rPr>
          <w:rFonts w:ascii="Georgia" w:hAnsi="Georgia" w:cs="Arial"/>
          <w:lang w:val="es-ES_tradnl"/>
        </w:rPr>
        <w:t xml:space="preserve"> que es precisamente de lo que se ha valido para alegar de conclusión indicando que debe negársele todo valor probatorio, probablemente puede ser así, pero las copias que acercó la parte demandada a este asunto al absolver el interrogatorio tiene</w:t>
      </w:r>
      <w:r>
        <w:rPr>
          <w:rFonts w:ascii="Georgia" w:hAnsi="Georgia" w:cs="Arial"/>
          <w:lang w:val="es-ES_tradnl"/>
        </w:rPr>
        <w:t>n</w:t>
      </w:r>
      <w:r w:rsidR="00D26556">
        <w:rPr>
          <w:rFonts w:ascii="Georgia" w:hAnsi="Georgia" w:cs="Arial"/>
          <w:lang w:val="es-ES_tradnl"/>
        </w:rPr>
        <w:t xml:space="preserve"> plena validez para el juzgado, </w:t>
      </w:r>
      <w:r w:rsidR="00D26556" w:rsidRPr="007409B3">
        <w:rPr>
          <w:rFonts w:ascii="Georgia" w:hAnsi="Georgia" w:cs="Arial"/>
          <w:u w:val="single"/>
          <w:lang w:val="es-ES_tradnl"/>
        </w:rPr>
        <w:t>ello tanto en cuanto la misma demandada al absolver el interrogatorio fue conteste al manifestar que su inmueble sí se encontraba de hecho dentro de los que conforman la propiedad horizontal</w:t>
      </w:r>
      <w:r>
        <w:rPr>
          <w:rFonts w:ascii="Georgia" w:hAnsi="Georgia" w:cs="Arial"/>
          <w:u w:val="single"/>
          <w:lang w:val="es-ES_tradnl"/>
        </w:rPr>
        <w:t>;</w:t>
      </w:r>
      <w:r w:rsidR="00D26556" w:rsidRPr="007409B3">
        <w:rPr>
          <w:rFonts w:ascii="Georgia" w:hAnsi="Georgia" w:cs="Arial"/>
          <w:u w:val="single"/>
          <w:lang w:val="es-ES_tradnl"/>
        </w:rPr>
        <w:t xml:space="preserve"> que no haya sido formalmente o formalizado ese inmueble por cualquier circunstancia que se haya dado ante la oficina de registro de instrumentos públicos</w:t>
      </w:r>
      <w:r>
        <w:rPr>
          <w:rFonts w:ascii="Georgia" w:hAnsi="Georgia" w:cs="Arial"/>
          <w:u w:val="single"/>
          <w:lang w:val="es-ES_tradnl"/>
        </w:rPr>
        <w:t>,</w:t>
      </w:r>
      <w:r w:rsidR="00D26556" w:rsidRPr="007409B3">
        <w:rPr>
          <w:rFonts w:ascii="Georgia" w:hAnsi="Georgia" w:cs="Arial"/>
          <w:u w:val="single"/>
          <w:lang w:val="es-ES_tradnl"/>
        </w:rPr>
        <w:t xml:space="preserve"> no le quita mérito o no le resta mérito a que ese inmueble si forme parte de la propiedad </w:t>
      </w:r>
      <w:r w:rsidR="00D26556" w:rsidRPr="007409B3">
        <w:rPr>
          <w:rFonts w:ascii="Georgia" w:hAnsi="Georgia" w:cs="Arial"/>
          <w:u w:val="single"/>
          <w:lang w:val="es-CO"/>
        </w:rPr>
        <w:t xml:space="preserve">horizontal, máxime </w:t>
      </w:r>
      <w:r w:rsidR="00D26556" w:rsidRPr="007409B3">
        <w:rPr>
          <w:rFonts w:ascii="Georgia" w:hAnsi="Georgia" w:cs="Arial"/>
          <w:u w:val="single"/>
          <w:lang w:val="es-CO"/>
        </w:rPr>
        <w:lastRenderedPageBreak/>
        <w:t xml:space="preserve">cuando la misma demandada ha confesado que se ha servido de todos los </w:t>
      </w:r>
      <w:r w:rsidR="007409B3">
        <w:rPr>
          <w:rFonts w:ascii="Georgia" w:hAnsi="Georgia" w:cs="Arial"/>
          <w:u w:val="single"/>
          <w:lang w:val="es-CO"/>
        </w:rPr>
        <w:t xml:space="preserve"> </w:t>
      </w:r>
      <w:r w:rsidR="00D26556" w:rsidRPr="007409B3">
        <w:rPr>
          <w:rFonts w:ascii="Georgia" w:hAnsi="Georgia" w:cs="Arial"/>
          <w:u w:val="single"/>
          <w:lang w:val="es-CO"/>
        </w:rPr>
        <w:t>servicios que para las zonas comunes se prestan en la misma</w:t>
      </w:r>
      <w:r w:rsidR="007409B3">
        <w:rPr>
          <w:rFonts w:ascii="Georgia" w:hAnsi="Georgia" w:cs="Arial"/>
          <w:lang w:val="es-CO"/>
        </w:rPr>
        <w:t xml:space="preserve">… </w:t>
      </w:r>
      <w:r>
        <w:rPr>
          <w:rFonts w:ascii="Georgia" w:hAnsi="Georgia" w:cs="Arial"/>
          <w:lang w:val="es-CO"/>
        </w:rPr>
        <w:t xml:space="preserve">(Tiempo </w:t>
      </w:r>
      <w:r w:rsidR="007409B3">
        <w:rPr>
          <w:rFonts w:ascii="Georgia" w:hAnsi="Georgia" w:cs="Arial"/>
          <w:lang w:val="es-CO"/>
        </w:rPr>
        <w:t>39:13</w:t>
      </w:r>
      <w:r>
        <w:rPr>
          <w:rFonts w:ascii="Georgia" w:hAnsi="Georgia" w:cs="Arial"/>
          <w:lang w:val="es-CO"/>
        </w:rPr>
        <w:t xml:space="preserve"> a 40:40, disco compacto ibídem).</w:t>
      </w:r>
    </w:p>
    <w:p w:rsidR="007409B3" w:rsidRDefault="007409B3" w:rsidP="00F242B5">
      <w:pPr>
        <w:ind w:left="567" w:right="618"/>
        <w:jc w:val="both"/>
        <w:rPr>
          <w:rFonts w:ascii="Georgia" w:hAnsi="Georgia" w:cs="Arial"/>
          <w:lang w:val="es-CO"/>
        </w:rPr>
      </w:pPr>
    </w:p>
    <w:p w:rsidR="00F242B5" w:rsidRDefault="00F77083" w:rsidP="00F242B5">
      <w:pPr>
        <w:ind w:left="567" w:right="618"/>
        <w:jc w:val="both"/>
        <w:rPr>
          <w:rFonts w:ascii="Georgia" w:hAnsi="Georgia" w:cs="Arial"/>
          <w:lang w:val="es-ES_tradnl"/>
        </w:rPr>
      </w:pPr>
      <w:r>
        <w:rPr>
          <w:rFonts w:ascii="Georgia" w:hAnsi="Georgia" w:cs="Arial"/>
          <w:lang w:val="es-CO"/>
        </w:rPr>
        <w:t>…</w:t>
      </w:r>
      <w:r w:rsidR="00E94130">
        <w:rPr>
          <w:rFonts w:ascii="Georgia" w:hAnsi="Georgia" w:cs="Arial"/>
          <w:lang w:val="es-CO"/>
        </w:rPr>
        <w:t xml:space="preserve"> es dable iterar entonces que habiendo confesado la misma demandada que es conocedora de que su inmueble se encuentra dentro de la propiedad horizontal</w:t>
      </w:r>
      <w:r>
        <w:rPr>
          <w:rFonts w:ascii="Georgia" w:hAnsi="Georgia" w:cs="Arial"/>
          <w:lang w:val="es-CO"/>
        </w:rPr>
        <w:t>,</w:t>
      </w:r>
      <w:r w:rsidR="00E94130">
        <w:rPr>
          <w:rFonts w:ascii="Georgia" w:hAnsi="Georgia" w:cs="Arial"/>
          <w:lang w:val="es-CO"/>
        </w:rPr>
        <w:t xml:space="preserve"> y que se sirve, que se beneficia de los servicios que la misma persona jurídica le presta a ella como propietaria de una unidad inmobiliaria de carácter privado</w:t>
      </w:r>
      <w:r w:rsidR="007409B3">
        <w:rPr>
          <w:rFonts w:ascii="Georgia" w:hAnsi="Georgia" w:cs="Arial"/>
          <w:lang w:val="es-CO"/>
        </w:rPr>
        <w:t>,</w:t>
      </w:r>
      <w:r w:rsidR="00E94130">
        <w:rPr>
          <w:rFonts w:ascii="Georgia" w:hAnsi="Georgia" w:cs="Arial"/>
          <w:lang w:val="es-CO"/>
        </w:rPr>
        <w:t xml:space="preserve"> da lugar</w:t>
      </w:r>
      <w:r>
        <w:rPr>
          <w:rFonts w:ascii="Georgia" w:hAnsi="Georgia" w:cs="Arial"/>
          <w:lang w:val="es-CO"/>
        </w:rPr>
        <w:t>,</w:t>
      </w:r>
      <w:r w:rsidR="00E94130">
        <w:rPr>
          <w:rFonts w:ascii="Georgia" w:hAnsi="Georgia" w:cs="Arial"/>
          <w:lang w:val="es-CO"/>
        </w:rPr>
        <w:t xml:space="preserve"> nada </w:t>
      </w:r>
      <w:r w:rsidR="002A61AA">
        <w:rPr>
          <w:rFonts w:ascii="Georgia" w:hAnsi="Georgia" w:cs="Arial"/>
          <w:lang w:val="es-CO"/>
        </w:rPr>
        <w:t>más</w:t>
      </w:r>
      <w:r w:rsidR="00E94130">
        <w:rPr>
          <w:rFonts w:ascii="Georgia" w:hAnsi="Georgia" w:cs="Arial"/>
          <w:lang w:val="es-CO"/>
        </w:rPr>
        <w:t xml:space="preserve"> y nada menos</w:t>
      </w:r>
      <w:r>
        <w:rPr>
          <w:rFonts w:ascii="Georgia" w:hAnsi="Georgia" w:cs="Arial"/>
          <w:lang w:val="es-CO"/>
        </w:rPr>
        <w:t>,</w:t>
      </w:r>
      <w:r w:rsidR="00E94130">
        <w:rPr>
          <w:rFonts w:ascii="Georgia" w:hAnsi="Georgia" w:cs="Arial"/>
          <w:lang w:val="es-CO"/>
        </w:rPr>
        <w:t xml:space="preserve"> a que se corrobore lo que señala la escritura pública No.205 del 4 de enero de 2013, que por el solo hecho que le falten las firmas no quiere decir que puede ser desconocida, </w:t>
      </w:r>
      <w:r w:rsidR="00E94130" w:rsidRPr="007409B3">
        <w:rPr>
          <w:rFonts w:ascii="Georgia" w:hAnsi="Georgia" w:cs="Arial"/>
          <w:u w:val="single"/>
          <w:lang w:val="es-CO"/>
        </w:rPr>
        <w:t>la misma demandante admite, vuelvo y reitero, que ese documento</w:t>
      </w:r>
      <w:r>
        <w:rPr>
          <w:rFonts w:ascii="Georgia" w:hAnsi="Georgia" w:cs="Arial"/>
          <w:u w:val="single"/>
          <w:lang w:val="es-CO"/>
        </w:rPr>
        <w:t>,</w:t>
      </w:r>
      <w:r w:rsidR="00E94130" w:rsidRPr="007409B3">
        <w:rPr>
          <w:rFonts w:ascii="Georgia" w:hAnsi="Georgia" w:cs="Arial"/>
          <w:u w:val="single"/>
          <w:lang w:val="es-CO"/>
        </w:rPr>
        <w:t xml:space="preserve"> que ese inmueble aparece como efectivamente lo está en la anotación No.</w:t>
      </w:r>
      <w:r>
        <w:rPr>
          <w:rFonts w:ascii="Georgia" w:hAnsi="Georgia" w:cs="Arial"/>
          <w:u w:val="single"/>
          <w:lang w:val="es-CO"/>
        </w:rPr>
        <w:t>265 o la numero de</w:t>
      </w:r>
      <w:r w:rsidR="002A61AA" w:rsidRPr="007409B3">
        <w:rPr>
          <w:rFonts w:ascii="Georgia" w:hAnsi="Georgia" w:cs="Arial"/>
          <w:u w:val="single"/>
          <w:lang w:val="es-CO"/>
        </w:rPr>
        <w:t xml:space="preserve"> la matrícula inmobiliaria de la casa B6</w:t>
      </w:r>
      <w:r w:rsidR="00B86F76">
        <w:rPr>
          <w:rFonts w:ascii="Georgia" w:hAnsi="Georgia" w:cs="Arial"/>
          <w:u w:val="single"/>
          <w:lang w:val="es-CO"/>
        </w:rPr>
        <w:t>,</w:t>
      </w:r>
      <w:r w:rsidR="002A61AA" w:rsidRPr="007409B3">
        <w:rPr>
          <w:rFonts w:ascii="Georgia" w:hAnsi="Georgia" w:cs="Arial"/>
          <w:u w:val="single"/>
          <w:lang w:val="es-CO"/>
        </w:rPr>
        <w:t xml:space="preserve"> como ella lo ha manifestado</w:t>
      </w:r>
      <w:r w:rsidR="00B86F76">
        <w:rPr>
          <w:rFonts w:ascii="Georgia" w:hAnsi="Georgia" w:cs="Arial"/>
          <w:u w:val="single"/>
          <w:lang w:val="es-CO"/>
        </w:rPr>
        <w:t>,</w:t>
      </w:r>
      <w:r w:rsidR="002A61AA" w:rsidRPr="007409B3">
        <w:rPr>
          <w:rFonts w:ascii="Georgia" w:hAnsi="Georgia" w:cs="Arial"/>
          <w:u w:val="single"/>
          <w:lang w:val="es-CO"/>
        </w:rPr>
        <w:t xml:space="preserve"> aparece</w:t>
      </w:r>
      <w:r>
        <w:rPr>
          <w:rFonts w:ascii="Georgia" w:hAnsi="Georgia" w:cs="Arial"/>
          <w:u w:val="single"/>
          <w:lang w:val="es-CO"/>
        </w:rPr>
        <w:t>.</w:t>
      </w:r>
      <w:r w:rsidR="002A61AA" w:rsidRPr="007409B3">
        <w:rPr>
          <w:rFonts w:ascii="Georgia" w:hAnsi="Georgia" w:cs="Arial"/>
          <w:u w:val="single"/>
          <w:lang w:val="es-CO"/>
        </w:rPr>
        <w:t xml:space="preserve"> </w:t>
      </w:r>
      <w:r>
        <w:rPr>
          <w:rFonts w:ascii="Georgia" w:hAnsi="Georgia" w:cs="Arial"/>
          <w:u w:val="single"/>
          <w:lang w:val="es-CO"/>
        </w:rPr>
        <w:t>Q</w:t>
      </w:r>
      <w:r w:rsidR="002A61AA" w:rsidRPr="007409B3">
        <w:rPr>
          <w:rFonts w:ascii="Georgia" w:hAnsi="Georgia" w:cs="Arial"/>
          <w:u w:val="single"/>
          <w:lang w:val="es-CO"/>
        </w:rPr>
        <w:t>ue aparezca o no que haya sido registrada en la oficina de instrumentos públicos puede obedecer</w:t>
      </w:r>
      <w:r w:rsidR="007409B3">
        <w:rPr>
          <w:rFonts w:ascii="Georgia" w:hAnsi="Georgia" w:cs="Arial"/>
          <w:u w:val="single"/>
          <w:lang w:val="es-CO"/>
        </w:rPr>
        <w:t xml:space="preserve"> más a un error</w:t>
      </w:r>
      <w:r w:rsidR="002A61AA" w:rsidRPr="007409B3">
        <w:rPr>
          <w:rFonts w:ascii="Georgia" w:hAnsi="Georgia" w:cs="Arial"/>
          <w:u w:val="single"/>
          <w:lang w:val="es-CO"/>
        </w:rPr>
        <w:t>, pero eso no le quita a que la propiedad horizontal pueda conseguir las cuotas que no se han pagado</w:t>
      </w:r>
      <w:r w:rsidR="007409B3">
        <w:rPr>
          <w:rFonts w:ascii="Georgia" w:hAnsi="Georgia" w:cs="Arial"/>
          <w:lang w:val="es-CO"/>
        </w:rPr>
        <w:t>…</w:t>
      </w:r>
      <w:r>
        <w:rPr>
          <w:rFonts w:ascii="Georgia" w:hAnsi="Georgia" w:cs="Arial"/>
          <w:lang w:val="es-CO"/>
        </w:rPr>
        <w:t xml:space="preserve"> (Tiempo 45-05 a 46:21, disco compacto ib.)</w:t>
      </w:r>
    </w:p>
    <w:p w:rsidR="00F242B5" w:rsidRDefault="00F242B5" w:rsidP="00C747E3">
      <w:pPr>
        <w:ind w:left="567" w:right="618"/>
        <w:jc w:val="both"/>
        <w:rPr>
          <w:rFonts w:ascii="Georgia" w:hAnsi="Georgia" w:cs="Arial"/>
          <w:lang w:val="es-ES_tradnl"/>
        </w:rPr>
      </w:pPr>
    </w:p>
    <w:p w:rsidR="002A61AA" w:rsidRDefault="00F77083" w:rsidP="00C747E3">
      <w:pPr>
        <w:ind w:left="567" w:right="618"/>
        <w:jc w:val="both"/>
        <w:rPr>
          <w:rFonts w:ascii="Georgia" w:hAnsi="Georgia" w:cs="Arial"/>
          <w:lang w:val="es-ES_tradnl"/>
        </w:rPr>
      </w:pPr>
      <w:r>
        <w:rPr>
          <w:rFonts w:ascii="Georgia" w:hAnsi="Georgia" w:cs="Arial"/>
          <w:lang w:val="es-ES_tradnl"/>
        </w:rPr>
        <w:t>…</w:t>
      </w:r>
      <w:r w:rsidR="002A61AA">
        <w:rPr>
          <w:rFonts w:ascii="Georgia" w:hAnsi="Georgia" w:cs="Arial"/>
          <w:lang w:val="es-ES_tradnl"/>
        </w:rPr>
        <w:t xml:space="preserve"> reitero</w:t>
      </w:r>
      <w:r>
        <w:rPr>
          <w:rFonts w:ascii="Georgia" w:hAnsi="Georgia" w:cs="Arial"/>
          <w:lang w:val="es-ES_tradnl"/>
        </w:rPr>
        <w:t>,</w:t>
      </w:r>
      <w:r w:rsidR="002A61AA">
        <w:rPr>
          <w:rFonts w:ascii="Georgia" w:hAnsi="Georgia" w:cs="Arial"/>
          <w:lang w:val="es-ES_tradnl"/>
        </w:rPr>
        <w:t xml:space="preserve"> entonces</w:t>
      </w:r>
      <w:r>
        <w:rPr>
          <w:rFonts w:ascii="Georgia" w:hAnsi="Georgia" w:cs="Arial"/>
          <w:lang w:val="es-ES_tradnl"/>
        </w:rPr>
        <w:t>,</w:t>
      </w:r>
      <w:r w:rsidR="002A61AA">
        <w:rPr>
          <w:rFonts w:ascii="Georgia" w:hAnsi="Georgia" w:cs="Arial"/>
          <w:lang w:val="es-ES_tradnl"/>
        </w:rPr>
        <w:t xml:space="preserve"> la casa de habitación con matrícula inmobiliaria No.294-46528 de la IIPP forma parte de la “unidad inmobiliaria cerrada” conjunto jardín colonial, entonces, como lógica consecuencia no es cierto que no esté obligada al pago</w:t>
      </w:r>
      <w:r>
        <w:rPr>
          <w:rFonts w:ascii="Georgia" w:hAnsi="Georgia" w:cs="Arial"/>
          <w:lang w:val="es-ES_tradnl"/>
        </w:rPr>
        <w:t xml:space="preserve"> de las expensas comunes</w:t>
      </w:r>
      <w:r w:rsidR="002A61AA">
        <w:rPr>
          <w:rFonts w:ascii="Georgia" w:hAnsi="Georgia" w:cs="Arial"/>
          <w:lang w:val="es-ES_tradnl"/>
        </w:rPr>
        <w:t xml:space="preserve">… </w:t>
      </w:r>
      <w:r>
        <w:rPr>
          <w:rFonts w:ascii="Georgia" w:hAnsi="Georgia" w:cs="Arial"/>
          <w:lang w:val="es-ES_tradnl"/>
        </w:rPr>
        <w:t xml:space="preserve">(Tiempo 47:47 a </w:t>
      </w:r>
      <w:r w:rsidR="002A61AA">
        <w:rPr>
          <w:rFonts w:ascii="Georgia" w:hAnsi="Georgia" w:cs="Arial"/>
          <w:lang w:val="es-ES_tradnl"/>
        </w:rPr>
        <w:t>48-06</w:t>
      </w:r>
      <w:r>
        <w:rPr>
          <w:rFonts w:ascii="Georgia" w:hAnsi="Georgia" w:cs="Arial"/>
          <w:lang w:val="es-ES_tradnl"/>
        </w:rPr>
        <w:t>, disco compacto ib.).</w:t>
      </w:r>
      <w:r w:rsidR="002A61AA">
        <w:rPr>
          <w:rFonts w:ascii="Georgia" w:hAnsi="Georgia" w:cs="Arial"/>
          <w:lang w:val="es-ES_tradnl"/>
        </w:rPr>
        <w:t xml:space="preserve">   </w:t>
      </w:r>
    </w:p>
    <w:p w:rsidR="00EA78A4" w:rsidRPr="0030167A" w:rsidRDefault="00EA78A4" w:rsidP="00CC7903">
      <w:pPr>
        <w:spacing w:line="360" w:lineRule="auto"/>
        <w:ind w:right="51"/>
        <w:jc w:val="both"/>
        <w:rPr>
          <w:rFonts w:ascii="Georgia" w:hAnsi="Georgia" w:cs="Arial"/>
          <w:i/>
          <w:sz w:val="32"/>
          <w:lang w:val="es-ES_tradnl"/>
        </w:rPr>
      </w:pPr>
    </w:p>
    <w:p w:rsidR="0030167A" w:rsidRDefault="00561786" w:rsidP="0030167A">
      <w:pPr>
        <w:pStyle w:val="NormalWeb"/>
        <w:shd w:val="clear" w:color="auto" w:fill="FFFFFF"/>
        <w:spacing w:before="0" w:after="0" w:line="360" w:lineRule="auto"/>
        <w:jc w:val="both"/>
        <w:rPr>
          <w:rFonts w:ascii="Georgia" w:hAnsi="Georgia" w:cs="Arial"/>
          <w:color w:val="auto"/>
        </w:rPr>
      </w:pPr>
      <w:r w:rsidRPr="00561786">
        <w:rPr>
          <w:rFonts w:ascii="Georgia" w:hAnsi="Georgia" w:cs="Arial"/>
          <w:color w:val="auto"/>
        </w:rPr>
        <w:t xml:space="preserve">La Ley 675 </w:t>
      </w:r>
      <w:r w:rsidRPr="00561786">
        <w:rPr>
          <w:rFonts w:ascii="Georgia" w:eastAsia="Times New Roman" w:hAnsi="Georgia" w:cs="Arial"/>
          <w:bCs/>
          <w:color w:val="auto"/>
          <w:lang w:eastAsia="es-ES"/>
        </w:rPr>
        <w:t>por medio de la cual se expide el régimen de propiedad horizontal</w:t>
      </w:r>
      <w:r w:rsidRPr="00561786">
        <w:rPr>
          <w:rFonts w:ascii="Georgia" w:hAnsi="Georgia" w:cs="Arial"/>
          <w:bCs/>
          <w:color w:val="auto"/>
        </w:rPr>
        <w:t xml:space="preserve"> en su artículos 4º refiere que se constituirá </w:t>
      </w:r>
      <w:r w:rsidRPr="0030167A">
        <w:rPr>
          <w:rFonts w:ascii="Georgia" w:hAnsi="Georgia" w:cs="Arial"/>
          <w:bCs/>
          <w:i/>
          <w:color w:val="auto"/>
          <w:sz w:val="22"/>
        </w:rPr>
        <w:t xml:space="preserve">“(…) </w:t>
      </w:r>
      <w:r w:rsidRPr="0030167A">
        <w:rPr>
          <w:rFonts w:ascii="Georgia" w:hAnsi="Georgia" w:cs="Arial"/>
          <w:bCs/>
          <w:i/>
          <w:color w:val="auto"/>
          <w:sz w:val="22"/>
          <w:u w:val="single"/>
        </w:rPr>
        <w:t>mediante escritura pública registrada en la Oficina de Instrumentos Públicos. Realizada esta inscripción, surge la persona jurídica a que se refiere esta ley</w:t>
      </w:r>
      <w:r w:rsidR="0030167A">
        <w:rPr>
          <w:rFonts w:ascii="Georgia" w:hAnsi="Georgia" w:cs="Arial"/>
          <w:bCs/>
          <w:i/>
          <w:color w:val="auto"/>
          <w:sz w:val="22"/>
          <w:u w:val="single"/>
        </w:rPr>
        <w:t>.</w:t>
      </w:r>
      <w:r w:rsidR="0030167A" w:rsidRPr="0030167A">
        <w:rPr>
          <w:rFonts w:ascii="Georgia" w:hAnsi="Georgia" w:cs="Arial"/>
          <w:bCs/>
          <w:i/>
          <w:color w:val="auto"/>
          <w:sz w:val="22"/>
        </w:rPr>
        <w:t>”</w:t>
      </w:r>
      <w:r w:rsidRPr="0030167A">
        <w:rPr>
          <w:rFonts w:ascii="Georgia" w:hAnsi="Georgia" w:cs="Arial"/>
          <w:bCs/>
          <w:i/>
          <w:color w:val="auto"/>
          <w:sz w:val="22"/>
        </w:rPr>
        <w:t>.</w:t>
      </w:r>
      <w:r w:rsidRPr="00561786">
        <w:rPr>
          <w:rFonts w:ascii="Georgia" w:hAnsi="Georgia" w:cs="Arial"/>
          <w:bCs/>
          <w:color w:val="auto"/>
        </w:rPr>
        <w:t xml:space="preserve"> </w:t>
      </w:r>
      <w:proofErr w:type="spellStart"/>
      <w:r w:rsidRPr="00561786">
        <w:rPr>
          <w:rFonts w:ascii="Georgia" w:hAnsi="Georgia" w:cs="Arial"/>
          <w:bCs/>
          <w:color w:val="auto"/>
        </w:rPr>
        <w:t>Sublínea</w:t>
      </w:r>
      <w:proofErr w:type="spellEnd"/>
      <w:r w:rsidRPr="00561786">
        <w:rPr>
          <w:rFonts w:ascii="Georgia" w:hAnsi="Georgia" w:cs="Arial"/>
          <w:bCs/>
          <w:color w:val="auto"/>
        </w:rPr>
        <w:t xml:space="preserve"> extra-textual. Respecto de la certificación sobre existencia y representación el artículo 8º</w:t>
      </w:r>
      <w:r w:rsidR="00B86F76">
        <w:rPr>
          <w:rFonts w:ascii="Georgia" w:hAnsi="Georgia" w:cs="Arial"/>
          <w:bCs/>
          <w:color w:val="auto"/>
        </w:rPr>
        <w:t>,</w:t>
      </w:r>
      <w:r>
        <w:rPr>
          <w:rFonts w:ascii="Georgia" w:hAnsi="Georgia" w:cs="Arial"/>
          <w:bCs/>
          <w:color w:val="auto"/>
        </w:rPr>
        <w:t xml:space="preserve"> inciso</w:t>
      </w:r>
      <w:r w:rsidR="00917222">
        <w:rPr>
          <w:rFonts w:ascii="Georgia" w:hAnsi="Georgia" w:cs="Arial"/>
          <w:bCs/>
          <w:color w:val="auto"/>
        </w:rPr>
        <w:t xml:space="preserve"> </w:t>
      </w:r>
      <w:r>
        <w:rPr>
          <w:rFonts w:ascii="Georgia" w:hAnsi="Georgia" w:cs="Arial"/>
          <w:bCs/>
          <w:color w:val="auto"/>
        </w:rPr>
        <w:t>2</w:t>
      </w:r>
      <w:r w:rsidR="00917222">
        <w:rPr>
          <w:rFonts w:ascii="Georgia" w:hAnsi="Georgia" w:cs="Arial"/>
          <w:bCs/>
          <w:color w:val="auto"/>
        </w:rPr>
        <w:t>º</w:t>
      </w:r>
      <w:r>
        <w:rPr>
          <w:rFonts w:ascii="Georgia" w:hAnsi="Georgia" w:cs="Arial"/>
          <w:bCs/>
          <w:color w:val="auto"/>
        </w:rPr>
        <w:t>, ibídem,</w:t>
      </w:r>
      <w:r w:rsidRPr="00561786">
        <w:rPr>
          <w:rFonts w:ascii="Georgia" w:hAnsi="Georgia" w:cs="Arial"/>
          <w:bCs/>
          <w:color w:val="auto"/>
        </w:rPr>
        <w:t xml:space="preserve"> establece: </w:t>
      </w:r>
      <w:r w:rsidRPr="00561786">
        <w:rPr>
          <w:rFonts w:ascii="Georgia" w:eastAsia="Times New Roman" w:hAnsi="Georgia" w:cs="Arial"/>
          <w:i/>
          <w:color w:val="auto"/>
          <w:sz w:val="22"/>
          <w:lang w:val="es-ES" w:eastAsia="es-ES"/>
        </w:rPr>
        <w:t>“</w:t>
      </w:r>
      <w:r w:rsidRPr="00561786">
        <w:rPr>
          <w:rFonts w:ascii="Georgia" w:hAnsi="Georgia" w:cs="Arial"/>
          <w:i/>
          <w:color w:val="auto"/>
          <w:sz w:val="22"/>
        </w:rPr>
        <w:t xml:space="preserve">La inscripción se realizará mediante la presentación ante el funcionario o entidad competente </w:t>
      </w:r>
      <w:r w:rsidRPr="00561786">
        <w:rPr>
          <w:rFonts w:ascii="Georgia" w:hAnsi="Georgia" w:cs="Arial"/>
          <w:i/>
          <w:color w:val="auto"/>
          <w:sz w:val="22"/>
          <w:u w:val="single"/>
        </w:rPr>
        <w:t>de la escritura registrada de constitución del régimen de propiedad horizontal</w:t>
      </w:r>
      <w:r w:rsidRPr="00561786">
        <w:rPr>
          <w:rFonts w:ascii="Georgia" w:hAnsi="Georgia" w:cs="Arial"/>
          <w:i/>
          <w:color w:val="auto"/>
          <w:sz w:val="22"/>
        </w:rPr>
        <w:t xml:space="preserve"> </w:t>
      </w:r>
      <w:r w:rsidRPr="00561786">
        <w:rPr>
          <w:rFonts w:ascii="Georgia" w:hAnsi="Georgia" w:cs="Arial"/>
          <w:i/>
          <w:color w:val="auto"/>
          <w:sz w:val="22"/>
          <w:lang w:val="es-ES"/>
        </w:rPr>
        <w:t xml:space="preserve">y los documentos que acrediten los nombramientos y aceptaciones de quienes ejerzan la representación legal y del revisor fiscal. </w:t>
      </w:r>
      <w:r w:rsidRPr="00561786">
        <w:rPr>
          <w:rFonts w:ascii="Georgia" w:hAnsi="Georgia" w:cs="Arial"/>
          <w:i/>
          <w:color w:val="auto"/>
          <w:sz w:val="22"/>
        </w:rPr>
        <w:t>(…)”</w:t>
      </w:r>
      <w:r w:rsidR="0030167A">
        <w:rPr>
          <w:rFonts w:ascii="Georgia" w:hAnsi="Georgia" w:cs="Arial"/>
          <w:color w:val="auto"/>
        </w:rPr>
        <w:t xml:space="preserve">. Por último, conforme los artículos 50 y 51-10º, ib., la representación legal es ejercida por el administrador. </w:t>
      </w:r>
    </w:p>
    <w:p w:rsidR="0030167A" w:rsidRDefault="0030167A" w:rsidP="0030167A">
      <w:pPr>
        <w:pStyle w:val="NormalWeb"/>
        <w:shd w:val="clear" w:color="auto" w:fill="FFFFFF"/>
        <w:spacing w:before="0" w:after="0" w:line="360" w:lineRule="auto"/>
        <w:jc w:val="both"/>
        <w:rPr>
          <w:rFonts w:ascii="Georgia" w:hAnsi="Georgia" w:cs="Arial"/>
          <w:color w:val="auto"/>
        </w:rPr>
      </w:pPr>
    </w:p>
    <w:p w:rsidR="0030167A" w:rsidRDefault="0030167A" w:rsidP="00561786">
      <w:pPr>
        <w:spacing w:line="360" w:lineRule="auto"/>
        <w:ind w:right="51"/>
        <w:jc w:val="both"/>
        <w:rPr>
          <w:rFonts w:ascii="Georgia" w:hAnsi="Georgia" w:cs="Arial"/>
          <w:bCs/>
          <w:szCs w:val="20"/>
        </w:rPr>
      </w:pPr>
      <w:r>
        <w:rPr>
          <w:rFonts w:ascii="Georgia" w:hAnsi="Georgia" w:cs="Arial"/>
          <w:bCs/>
          <w:szCs w:val="20"/>
        </w:rPr>
        <w:t xml:space="preserve">De acuerdo con lo reseñado, para esta Magistratura luce evidente la incursión del </w:t>
      </w:r>
      <w:r w:rsidRPr="0030167A">
        <w:rPr>
          <w:rFonts w:ascii="Georgia" w:hAnsi="Georgia" w:cs="Arial"/>
          <w:bCs/>
          <w:i/>
          <w:szCs w:val="20"/>
        </w:rPr>
        <w:t>a quo</w:t>
      </w:r>
      <w:r w:rsidR="00674C19">
        <w:rPr>
          <w:rFonts w:ascii="Georgia" w:hAnsi="Georgia" w:cs="Arial"/>
          <w:bCs/>
          <w:i/>
          <w:szCs w:val="20"/>
        </w:rPr>
        <w:t>,</w:t>
      </w:r>
      <w:r>
        <w:rPr>
          <w:rFonts w:ascii="Georgia" w:hAnsi="Georgia" w:cs="Arial"/>
          <w:bCs/>
          <w:szCs w:val="20"/>
        </w:rPr>
        <w:t xml:space="preserve"> en la decisión cuestionada</w:t>
      </w:r>
      <w:r w:rsidR="00674C19">
        <w:rPr>
          <w:rFonts w:ascii="Georgia" w:hAnsi="Georgia" w:cs="Arial"/>
          <w:bCs/>
          <w:szCs w:val="20"/>
        </w:rPr>
        <w:t>,</w:t>
      </w:r>
      <w:r>
        <w:rPr>
          <w:rFonts w:ascii="Georgia" w:hAnsi="Georgia" w:cs="Arial"/>
          <w:bCs/>
          <w:szCs w:val="20"/>
        </w:rPr>
        <w:t xml:space="preserve"> en los defectos sustantivo y fáctico. Concluyó que el inmueble de la accionante estaba sometido al régimen de propiedad horizontal con fundamento en el interrogatorio de parte donde reconoció que materialmente se encuentra al interior del conjunto residencial y en copias simples e incompletas de la escritura que</w:t>
      </w:r>
      <w:r w:rsidR="00674C19">
        <w:rPr>
          <w:rFonts w:ascii="Georgia" w:hAnsi="Georgia" w:cs="Arial"/>
          <w:bCs/>
          <w:szCs w:val="20"/>
        </w:rPr>
        <w:t>,</w:t>
      </w:r>
      <w:r>
        <w:rPr>
          <w:rFonts w:ascii="Georgia" w:hAnsi="Georgia" w:cs="Arial"/>
          <w:bCs/>
          <w:szCs w:val="20"/>
        </w:rPr>
        <w:t xml:space="preserve"> supue</w:t>
      </w:r>
      <w:r w:rsidR="00BB0953">
        <w:rPr>
          <w:rFonts w:ascii="Georgia" w:hAnsi="Georgia" w:cs="Arial"/>
          <w:bCs/>
          <w:szCs w:val="20"/>
        </w:rPr>
        <w:t>stamente</w:t>
      </w:r>
      <w:r w:rsidR="00674C19">
        <w:rPr>
          <w:rFonts w:ascii="Georgia" w:hAnsi="Georgia" w:cs="Arial"/>
          <w:bCs/>
          <w:szCs w:val="20"/>
        </w:rPr>
        <w:t>,</w:t>
      </w:r>
      <w:r w:rsidR="00BB0953">
        <w:rPr>
          <w:rFonts w:ascii="Georgia" w:hAnsi="Georgia" w:cs="Arial"/>
          <w:bCs/>
          <w:szCs w:val="20"/>
        </w:rPr>
        <w:t xml:space="preserve"> contiene</w:t>
      </w:r>
      <w:r>
        <w:rPr>
          <w:rFonts w:ascii="Georgia" w:hAnsi="Georgia" w:cs="Arial"/>
          <w:bCs/>
          <w:szCs w:val="20"/>
        </w:rPr>
        <w:t xml:space="preserve"> el reglamento, sin tener presente que para ese evento en particular el medio de prueba es solemne y lo constituye</w:t>
      </w:r>
      <w:r w:rsidR="00674C19">
        <w:rPr>
          <w:rFonts w:ascii="Georgia" w:hAnsi="Georgia" w:cs="Arial"/>
          <w:bCs/>
          <w:szCs w:val="20"/>
        </w:rPr>
        <w:t>,</w:t>
      </w:r>
      <w:r>
        <w:rPr>
          <w:rFonts w:ascii="Georgia" w:hAnsi="Georgia" w:cs="Arial"/>
          <w:bCs/>
          <w:szCs w:val="20"/>
        </w:rPr>
        <w:t xml:space="preserve"> única y exclusivamente</w:t>
      </w:r>
      <w:r w:rsidR="00674C19">
        <w:rPr>
          <w:rFonts w:ascii="Georgia" w:hAnsi="Georgia" w:cs="Arial"/>
          <w:bCs/>
          <w:szCs w:val="20"/>
        </w:rPr>
        <w:t>,</w:t>
      </w:r>
      <w:r>
        <w:rPr>
          <w:rFonts w:ascii="Georgia" w:hAnsi="Georgia" w:cs="Arial"/>
          <w:bCs/>
          <w:szCs w:val="20"/>
        </w:rPr>
        <w:t xml:space="preserve"> el certificado de tradición en el que conste su inscripción. </w:t>
      </w:r>
    </w:p>
    <w:p w:rsidR="00917222" w:rsidRDefault="00917222" w:rsidP="00561786">
      <w:pPr>
        <w:spacing w:line="360" w:lineRule="auto"/>
        <w:ind w:right="51"/>
        <w:jc w:val="both"/>
        <w:rPr>
          <w:rFonts w:ascii="Georgia" w:hAnsi="Georgia" w:cs="Arial"/>
          <w:bCs/>
          <w:szCs w:val="20"/>
        </w:rPr>
      </w:pPr>
    </w:p>
    <w:p w:rsidR="00B86F76" w:rsidRDefault="0030167A" w:rsidP="00917222">
      <w:pPr>
        <w:spacing w:line="360" w:lineRule="auto"/>
        <w:ind w:right="51"/>
        <w:jc w:val="both"/>
        <w:rPr>
          <w:rFonts w:ascii="Georgia" w:hAnsi="Georgia" w:cs="Arial"/>
          <w:bCs/>
          <w:szCs w:val="20"/>
        </w:rPr>
      </w:pPr>
      <w:r>
        <w:rPr>
          <w:rFonts w:ascii="Georgia" w:hAnsi="Georgia" w:cs="Arial"/>
          <w:bCs/>
          <w:szCs w:val="20"/>
        </w:rPr>
        <w:t>La parte ejecutada adjuntó con el escrito de excepciones copia del folio de matrícula inmobiliaria No.294-46528</w:t>
      </w:r>
      <w:r w:rsidR="00917222">
        <w:rPr>
          <w:rFonts w:ascii="Georgia" w:hAnsi="Georgia" w:cs="Arial"/>
          <w:bCs/>
          <w:szCs w:val="20"/>
        </w:rPr>
        <w:t xml:space="preserve"> (Folios 19 a 24 y 83 a 84, cuaderno principal) que da</w:t>
      </w:r>
      <w:r w:rsidR="00BB0953">
        <w:rPr>
          <w:rFonts w:ascii="Georgia" w:hAnsi="Georgia" w:cs="Arial"/>
          <w:bCs/>
          <w:szCs w:val="20"/>
        </w:rPr>
        <w:t>ba</w:t>
      </w:r>
      <w:r w:rsidR="00917222">
        <w:rPr>
          <w:rFonts w:ascii="Georgia" w:hAnsi="Georgia" w:cs="Arial"/>
          <w:bCs/>
          <w:szCs w:val="20"/>
        </w:rPr>
        <w:t xml:space="preserve"> cuenta </w:t>
      </w:r>
      <w:r w:rsidR="00917222">
        <w:rPr>
          <w:rFonts w:ascii="Georgia" w:hAnsi="Georgia" w:cs="Arial"/>
          <w:bCs/>
          <w:szCs w:val="20"/>
        </w:rPr>
        <w:lastRenderedPageBreak/>
        <w:t>que ese inmueble no se enc</w:t>
      </w:r>
      <w:r w:rsidR="00BB0953">
        <w:rPr>
          <w:rFonts w:ascii="Georgia" w:hAnsi="Georgia" w:cs="Arial"/>
          <w:bCs/>
          <w:szCs w:val="20"/>
        </w:rPr>
        <w:t xml:space="preserve">ontraba </w:t>
      </w:r>
      <w:r w:rsidR="00917222">
        <w:rPr>
          <w:rFonts w:ascii="Georgia" w:hAnsi="Georgia" w:cs="Arial"/>
          <w:bCs/>
          <w:szCs w:val="20"/>
        </w:rPr>
        <w:t>sometido al régimen de propiedad horizontal; circunstancia de hecho relevante para un proceso ejecutivo en el que se cobran cuotas de administración certificadas por el representante legal (Artículo 48, Ley 675). Notorio es el defecto fáctico por la defectuosa valoración probatoria.</w:t>
      </w:r>
      <w:r w:rsidR="00BB0953">
        <w:rPr>
          <w:rFonts w:ascii="Georgia" w:hAnsi="Georgia" w:cs="Arial"/>
          <w:bCs/>
          <w:szCs w:val="20"/>
        </w:rPr>
        <w:t xml:space="preserve"> </w:t>
      </w:r>
    </w:p>
    <w:p w:rsidR="00B86F76" w:rsidRDefault="00B86F76" w:rsidP="00917222">
      <w:pPr>
        <w:spacing w:line="360" w:lineRule="auto"/>
        <w:ind w:right="51"/>
        <w:jc w:val="both"/>
        <w:rPr>
          <w:rFonts w:ascii="Georgia" w:hAnsi="Georgia" w:cs="Arial"/>
          <w:bCs/>
          <w:szCs w:val="20"/>
        </w:rPr>
      </w:pPr>
    </w:p>
    <w:p w:rsidR="00917222" w:rsidRPr="00917222" w:rsidRDefault="00917222" w:rsidP="00917222">
      <w:pPr>
        <w:spacing w:line="360" w:lineRule="auto"/>
        <w:ind w:right="51"/>
        <w:jc w:val="both"/>
        <w:rPr>
          <w:rFonts w:ascii="Georgia" w:hAnsi="Georgia" w:cs="Arial"/>
          <w:bCs/>
          <w:szCs w:val="20"/>
          <w:lang w:val="es-ES_tradnl"/>
        </w:rPr>
      </w:pPr>
      <w:r>
        <w:rPr>
          <w:rFonts w:ascii="Georgia" w:hAnsi="Georgia" w:cs="Arial"/>
          <w:bCs/>
          <w:szCs w:val="20"/>
        </w:rPr>
        <w:t>Asimismo, es palmario el defecto sustantivo por</w:t>
      </w:r>
      <w:r w:rsidR="00BB0953">
        <w:rPr>
          <w:rFonts w:ascii="Georgia" w:hAnsi="Georgia" w:cs="Arial"/>
          <w:bCs/>
          <w:szCs w:val="20"/>
        </w:rPr>
        <w:t>que</w:t>
      </w:r>
      <w:r>
        <w:rPr>
          <w:rFonts w:ascii="Georgia" w:hAnsi="Georgia" w:cs="Arial"/>
          <w:bCs/>
          <w:szCs w:val="20"/>
        </w:rPr>
        <w:t xml:space="preserve"> se dejó de aplicar el artículo 4º, Ley 675, norma especial, que en caso de haber sido advertida, hubiese variado sustancialmente la resolución del </w:t>
      </w:r>
      <w:r w:rsidRPr="00917222">
        <w:rPr>
          <w:rFonts w:ascii="Georgia" w:hAnsi="Georgia" w:cs="Arial"/>
          <w:bCs/>
          <w:szCs w:val="20"/>
          <w:lang w:val="es-ES_tradnl"/>
        </w:rPr>
        <w:t>asunto jurídico deb</w:t>
      </w:r>
      <w:r w:rsidR="00B86F76">
        <w:rPr>
          <w:rFonts w:ascii="Georgia" w:hAnsi="Georgia" w:cs="Arial"/>
          <w:bCs/>
          <w:szCs w:val="20"/>
          <w:lang w:val="es-ES_tradnl"/>
        </w:rPr>
        <w:t>atido</w:t>
      </w:r>
      <w:r w:rsidR="00555207">
        <w:rPr>
          <w:rFonts w:ascii="Georgia" w:hAnsi="Georgia" w:cs="Arial"/>
          <w:bCs/>
          <w:szCs w:val="20"/>
          <w:lang w:val="es-ES_tradnl"/>
        </w:rPr>
        <w:t>.</w:t>
      </w:r>
      <w:r w:rsidR="00B86F76">
        <w:rPr>
          <w:rFonts w:ascii="Georgia" w:hAnsi="Georgia" w:cs="Arial"/>
          <w:bCs/>
          <w:szCs w:val="20"/>
          <w:lang w:val="es-ES_tradnl"/>
        </w:rPr>
        <w:t xml:space="preserve"> También, el artículo 29, ibídem, </w:t>
      </w:r>
      <w:r w:rsidR="00555207">
        <w:rPr>
          <w:rFonts w:ascii="Georgia" w:hAnsi="Georgia" w:cs="Arial"/>
          <w:bCs/>
          <w:szCs w:val="20"/>
          <w:lang w:val="es-ES_tradnl"/>
        </w:rPr>
        <w:t xml:space="preserve">en cuanto a que </w:t>
      </w:r>
      <w:r w:rsidR="007B1C48">
        <w:rPr>
          <w:rFonts w:ascii="Georgia" w:hAnsi="Georgia" w:cs="Arial"/>
          <w:bCs/>
          <w:szCs w:val="20"/>
          <w:lang w:val="es-ES_tradnl"/>
        </w:rPr>
        <w:t>a</w:t>
      </w:r>
      <w:r w:rsidR="00B86F76">
        <w:rPr>
          <w:rFonts w:ascii="Georgia" w:hAnsi="Georgia" w:cs="Arial"/>
          <w:bCs/>
          <w:szCs w:val="20"/>
          <w:lang w:val="es-ES_tradnl"/>
        </w:rPr>
        <w:t>l Notario</w:t>
      </w:r>
      <w:r w:rsidR="00555207">
        <w:rPr>
          <w:rFonts w:ascii="Georgia" w:hAnsi="Georgia" w:cs="Arial"/>
          <w:bCs/>
          <w:szCs w:val="20"/>
          <w:lang w:val="es-ES_tradnl"/>
        </w:rPr>
        <w:t>,</w:t>
      </w:r>
      <w:r w:rsidR="00B86F76">
        <w:rPr>
          <w:rFonts w:ascii="Georgia" w:hAnsi="Georgia" w:cs="Arial"/>
          <w:bCs/>
          <w:szCs w:val="20"/>
          <w:lang w:val="es-ES_tradnl"/>
        </w:rPr>
        <w:t xml:space="preserve"> ante quien se suscribió la compraventa, </w:t>
      </w:r>
      <w:r w:rsidR="00555207">
        <w:rPr>
          <w:rFonts w:ascii="Georgia" w:hAnsi="Georgia" w:cs="Arial"/>
          <w:bCs/>
          <w:szCs w:val="20"/>
          <w:lang w:val="es-ES_tradnl"/>
        </w:rPr>
        <w:t xml:space="preserve">le era imposible </w:t>
      </w:r>
      <w:r w:rsidR="00B86F76">
        <w:rPr>
          <w:rFonts w:ascii="Georgia" w:hAnsi="Georgia" w:cs="Arial"/>
          <w:bCs/>
          <w:szCs w:val="20"/>
          <w:lang w:val="es-ES_tradnl"/>
        </w:rPr>
        <w:t xml:space="preserve">exigir los paz y salvos de administración, o en su defecto, dejar constancia sobre la solidaridad del nuevo propietario, por la falta </w:t>
      </w:r>
      <w:r w:rsidR="00555207">
        <w:rPr>
          <w:rFonts w:ascii="Georgia" w:hAnsi="Georgia" w:cs="Arial"/>
          <w:bCs/>
          <w:szCs w:val="20"/>
          <w:lang w:val="es-ES_tradnl"/>
        </w:rPr>
        <w:t xml:space="preserve">de publicidad en el folio de matrícula inmobiliaria del bien de la actora sobre su afectación a </w:t>
      </w:r>
      <w:r w:rsidR="00B86F76">
        <w:rPr>
          <w:rFonts w:ascii="Georgia" w:hAnsi="Georgia" w:cs="Arial"/>
          <w:bCs/>
          <w:szCs w:val="20"/>
          <w:lang w:val="es-ES_tradnl"/>
        </w:rPr>
        <w:t xml:space="preserve">propiedad horizontal.  </w:t>
      </w:r>
    </w:p>
    <w:p w:rsidR="00917222" w:rsidRDefault="00917222" w:rsidP="00917222">
      <w:pPr>
        <w:spacing w:line="360" w:lineRule="auto"/>
        <w:ind w:right="51"/>
        <w:jc w:val="both"/>
        <w:rPr>
          <w:rFonts w:ascii="Georgia" w:hAnsi="Georgia" w:cs="Arial"/>
          <w:bCs/>
          <w:sz w:val="28"/>
          <w:szCs w:val="20"/>
          <w:u w:val="single"/>
          <w:lang w:val="es-ES_tradnl"/>
        </w:rPr>
      </w:pPr>
    </w:p>
    <w:p w:rsidR="00BD76B4" w:rsidRDefault="00BD76B4" w:rsidP="00BD76B4">
      <w:pPr>
        <w:autoSpaceDE/>
        <w:autoSpaceDN/>
        <w:adjustRightInd/>
        <w:spacing w:line="360" w:lineRule="auto"/>
        <w:jc w:val="both"/>
        <w:rPr>
          <w:rFonts w:ascii="Georgia" w:hAnsi="Georgia" w:cs="Arial"/>
        </w:rPr>
      </w:pPr>
      <w:r>
        <w:rPr>
          <w:rFonts w:ascii="Georgia" w:hAnsi="Georgia" w:cs="Arial"/>
        </w:rPr>
        <w:t xml:space="preserve">Es cierto que los jueces en el ejercicio de su jurisdicción y los principios de autonomía e independencia judicial pueden interpretar y aplicar razonadamente las normas jurídicas: </w:t>
      </w:r>
      <w:r w:rsidRPr="00706A6F">
        <w:rPr>
          <w:rFonts w:ascii="Georgia" w:hAnsi="Georgia" w:cs="Arial"/>
          <w:i/>
          <w:sz w:val="22"/>
        </w:rPr>
        <w:t>“(…) el administrador de justicia tiene entera libertad para realizar una apreciación autónoma y reflexiva de los medios demostrativos a partir de los cuales debe formar su convencimiento, y aplicar al asunto razonamientos de orden jurídico, sin incurrir, desde luego, en desviación ostensible del ordenamiento legal al interpretar las normas que regulan la temática de la discusión procesal, (…), por lo que le está vedado al juez del amparo interferir en la labor acometida bajo los principios de autonomía e independencia que demarcan la función judicial (…)”</w:t>
      </w:r>
      <w:r>
        <w:rPr>
          <w:rStyle w:val="Refdenotaalpie"/>
          <w:rFonts w:ascii="Georgia" w:hAnsi="Georgia"/>
          <w:i/>
          <w:sz w:val="22"/>
        </w:rPr>
        <w:footnoteReference w:id="25"/>
      </w:r>
      <w:r w:rsidRPr="00BD76B4">
        <w:rPr>
          <w:rFonts w:ascii="Georgia" w:hAnsi="Georgia" w:cs="Arial"/>
        </w:rPr>
        <w:t xml:space="preserve">, </w:t>
      </w:r>
      <w:r>
        <w:rPr>
          <w:rFonts w:ascii="Georgia" w:hAnsi="Georgia" w:cs="Arial"/>
        </w:rPr>
        <w:t>también que el juez constitucional no puede orientar las decisiones cuestionadas aun cuando no las comparta, dado el control de validez que ejerce, empero la desatención normativa y la errada valoración probatoria aquí observada da pábulo a la intervención en sede de tutela con el consecuente amparo de los derechos</w:t>
      </w:r>
      <w:r w:rsidRPr="00BD76B4">
        <w:rPr>
          <w:rFonts w:ascii="Georgia" w:hAnsi="Georgia" w:cs="Arial"/>
        </w:rPr>
        <w:t>.</w:t>
      </w:r>
    </w:p>
    <w:p w:rsidR="00BD76B4" w:rsidRPr="004945F3" w:rsidRDefault="00BD76B4" w:rsidP="00917222">
      <w:pPr>
        <w:spacing w:line="360" w:lineRule="auto"/>
        <w:ind w:right="51"/>
        <w:jc w:val="both"/>
        <w:rPr>
          <w:rFonts w:ascii="Georgia" w:hAnsi="Georgia" w:cs="Arial"/>
          <w:bCs/>
          <w:szCs w:val="20"/>
          <w:u w:val="single"/>
          <w:lang w:val="es-ES_tradnl"/>
        </w:rPr>
      </w:pPr>
    </w:p>
    <w:p w:rsidR="00BD76B4" w:rsidRDefault="00674C19" w:rsidP="00BB0953">
      <w:pPr>
        <w:spacing w:line="360" w:lineRule="auto"/>
        <w:ind w:right="51"/>
        <w:jc w:val="both"/>
        <w:rPr>
          <w:rFonts w:ascii="Georgia" w:hAnsi="Georgia"/>
        </w:rPr>
      </w:pPr>
      <w:r>
        <w:rPr>
          <w:rFonts w:ascii="Georgia" w:hAnsi="Georgia"/>
        </w:rPr>
        <w:t xml:space="preserve">No comparte esta Corporación la conclusión del juez de primera instancia al acotar con </w:t>
      </w:r>
      <w:r w:rsidR="00BB0953">
        <w:rPr>
          <w:rFonts w:ascii="Georgia" w:hAnsi="Georgia"/>
        </w:rPr>
        <w:t xml:space="preserve">simpleza que el accionado escuchó a la ejecutada, decretó y analizó las pruebas y resolvió las excepciones </w:t>
      </w:r>
      <w:r w:rsidR="00BD76B4" w:rsidRPr="00BD76B4">
        <w:rPr>
          <w:rFonts w:ascii="Georgia" w:hAnsi="Georgia"/>
          <w:i/>
          <w:sz w:val="22"/>
        </w:rPr>
        <w:t>“(…) de la forma que legalmente se deben analizar (…)”</w:t>
      </w:r>
      <w:r w:rsidR="00BD76B4">
        <w:rPr>
          <w:rFonts w:ascii="Georgia" w:hAnsi="Georgia"/>
          <w:i/>
          <w:sz w:val="22"/>
        </w:rPr>
        <w:t xml:space="preserve"> </w:t>
      </w:r>
      <w:r w:rsidR="00BD76B4" w:rsidRPr="00BD76B4">
        <w:rPr>
          <w:rFonts w:ascii="Georgia" w:hAnsi="Georgia"/>
        </w:rPr>
        <w:t>(Folio 191, cuaderno principal)</w:t>
      </w:r>
      <w:r>
        <w:rPr>
          <w:rFonts w:ascii="Georgia" w:hAnsi="Georgia"/>
        </w:rPr>
        <w:t>; análisis general que le impidió advertir el yerro constitucional endilgado.</w:t>
      </w:r>
      <w:r w:rsidR="00BD76B4">
        <w:rPr>
          <w:rFonts w:ascii="Georgia" w:hAnsi="Georgia"/>
        </w:rPr>
        <w:t xml:space="preserve"> </w:t>
      </w:r>
    </w:p>
    <w:p w:rsidR="00BD76B4" w:rsidRDefault="00BD76B4" w:rsidP="00BB0953">
      <w:pPr>
        <w:spacing w:line="360" w:lineRule="auto"/>
        <w:ind w:right="51"/>
        <w:jc w:val="both"/>
        <w:rPr>
          <w:rFonts w:ascii="Georgia" w:hAnsi="Georgia"/>
        </w:rPr>
      </w:pPr>
    </w:p>
    <w:p w:rsidR="004945F3" w:rsidRDefault="004945F3" w:rsidP="004945F3">
      <w:pPr>
        <w:spacing w:line="360" w:lineRule="auto"/>
        <w:ind w:right="51"/>
        <w:jc w:val="both"/>
        <w:rPr>
          <w:rFonts w:ascii="Georgia" w:hAnsi="Georgia" w:cs="Arial"/>
          <w:lang w:val="es-CO"/>
        </w:rPr>
      </w:pPr>
      <w:r>
        <w:rPr>
          <w:rFonts w:ascii="Georgia" w:hAnsi="Georgia" w:cs="Arial"/>
          <w:spacing w:val="-3"/>
          <w:lang w:val="es-ES_tradnl"/>
        </w:rPr>
        <w:t>Por último</w:t>
      </w:r>
      <w:r w:rsidRPr="001C6D17">
        <w:rPr>
          <w:rFonts w:ascii="Georgia" w:hAnsi="Georgia" w:cs="Arial"/>
          <w:spacing w:val="-3"/>
          <w:lang w:val="es-ES_tradnl"/>
        </w:rPr>
        <w:t>,</w:t>
      </w:r>
      <w:r>
        <w:rPr>
          <w:rFonts w:ascii="Georgia" w:hAnsi="Georgia" w:cs="Arial"/>
          <w:spacing w:val="-3"/>
          <w:lang w:val="es-ES_tradnl"/>
        </w:rPr>
        <w:t xml:space="preserv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w:t>
      </w:r>
      <w:r>
        <w:rPr>
          <w:rFonts w:ascii="Georgia" w:hAnsi="Georgia" w:cs="Arial"/>
          <w:lang w:val="es-CO"/>
        </w:rPr>
        <w:t xml:space="preserve">de la sentencia de primera instancia, </w:t>
      </w:r>
      <w:r w:rsidRPr="001C6D17">
        <w:rPr>
          <w:rFonts w:ascii="Georgia" w:hAnsi="Georgia" w:cs="Arial"/>
          <w:lang w:val="es-CO"/>
        </w:rPr>
        <w:t>en cuanto que</w:t>
      </w:r>
      <w:r>
        <w:rPr>
          <w:rFonts w:ascii="Georgia" w:hAnsi="Georgia" w:cs="Arial"/>
          <w:lang w:val="es-CO"/>
        </w:rPr>
        <w:t>,</w:t>
      </w:r>
      <w:r w:rsidRPr="001C6D17">
        <w:rPr>
          <w:rFonts w:ascii="Georgia" w:hAnsi="Georgia" w:cs="Arial"/>
          <w:lang w:val="es-CO"/>
        </w:rPr>
        <w:t xml:space="preserve"> si era inexistente defecto alguno en las actuaciones del estrado judicial accionado, debió simplemente negarse la tutela y no </w:t>
      </w:r>
      <w:r>
        <w:rPr>
          <w:rFonts w:ascii="Georgia" w:hAnsi="Georgia" w:cs="Arial"/>
          <w:lang w:val="es-CO"/>
        </w:rPr>
        <w:t xml:space="preserve">“negarse por </w:t>
      </w:r>
      <w:r w:rsidRPr="001C6D17">
        <w:rPr>
          <w:rFonts w:ascii="Georgia" w:hAnsi="Georgia" w:cs="Arial"/>
          <w:lang w:val="es-CO"/>
        </w:rPr>
        <w:t>improcedente</w:t>
      </w:r>
      <w:r>
        <w:rPr>
          <w:rFonts w:ascii="Georgia" w:hAnsi="Georgia" w:cs="Arial"/>
          <w:lang w:val="es-CO"/>
        </w:rPr>
        <w:t>”</w:t>
      </w:r>
      <w:r w:rsidRPr="001C6D17">
        <w:rPr>
          <w:rFonts w:ascii="Georgia" w:hAnsi="Georgia" w:cs="Arial"/>
          <w:lang w:val="es-CO"/>
        </w:rPr>
        <w:t>. Así lo ha dicho la doctrina nacional</w:t>
      </w:r>
      <w:r w:rsidRPr="001C6D17">
        <w:rPr>
          <w:rStyle w:val="Refdenotaalpie"/>
          <w:rFonts w:ascii="Georgia" w:hAnsi="Georgia"/>
          <w:lang w:val="es-CO"/>
        </w:rPr>
        <w:footnoteReference w:id="26"/>
      </w:r>
      <w:r w:rsidRPr="001C6D17">
        <w:rPr>
          <w:rFonts w:ascii="Georgia" w:hAnsi="Georgia" w:cs="Arial"/>
          <w:lang w:val="es-CO"/>
        </w:rPr>
        <w:t xml:space="preserve"> y jurisprudencia del Alto Tribunal Constitucional</w:t>
      </w:r>
      <w:r w:rsidRPr="001C6D17">
        <w:rPr>
          <w:rStyle w:val="Refdenotaalpie"/>
          <w:rFonts w:ascii="Georgia" w:hAnsi="Georgia"/>
          <w:lang w:val="es-CO"/>
        </w:rPr>
        <w:footnoteReference w:id="27"/>
      </w:r>
      <w:r w:rsidRPr="001C6D17">
        <w:rPr>
          <w:rFonts w:ascii="Georgia" w:hAnsi="Georgia" w:cs="Arial"/>
          <w:lang w:val="es-CO"/>
        </w:rPr>
        <w:t>:</w:t>
      </w:r>
    </w:p>
    <w:p w:rsidR="004945F3" w:rsidRDefault="004945F3" w:rsidP="004945F3">
      <w:pPr>
        <w:spacing w:line="360" w:lineRule="auto"/>
        <w:ind w:right="51"/>
        <w:jc w:val="both"/>
        <w:rPr>
          <w:rFonts w:ascii="Georgia" w:hAnsi="Georgia" w:cs="Arial"/>
          <w:lang w:val="es-CO"/>
        </w:rPr>
      </w:pPr>
    </w:p>
    <w:p w:rsidR="004945F3" w:rsidRDefault="004945F3" w:rsidP="004945F3">
      <w:pPr>
        <w:pStyle w:val="Textoindependiente"/>
        <w:tabs>
          <w:tab w:val="clear" w:pos="708"/>
          <w:tab w:val="clear" w:pos="1416"/>
          <w:tab w:val="left" w:pos="709"/>
          <w:tab w:val="left" w:pos="1418"/>
        </w:tabs>
        <w:spacing w:line="240" w:lineRule="auto"/>
        <w:ind w:left="567" w:right="567"/>
        <w:rPr>
          <w:rFonts w:ascii="Georgia" w:hAnsi="Georgia" w:cs="Arial"/>
          <w:color w:val="000000"/>
          <w:sz w:val="24"/>
          <w:szCs w:val="24"/>
          <w:shd w:val="clear" w:color="auto" w:fill="FFFFFF"/>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4945F3" w:rsidRPr="004945F3" w:rsidRDefault="004945F3" w:rsidP="004945F3">
      <w:pPr>
        <w:pStyle w:val="Textoindependiente"/>
        <w:tabs>
          <w:tab w:val="clear" w:pos="708"/>
          <w:tab w:val="clear" w:pos="1416"/>
          <w:tab w:val="left" w:pos="709"/>
          <w:tab w:val="left" w:pos="1418"/>
        </w:tabs>
        <w:spacing w:line="240" w:lineRule="auto"/>
        <w:ind w:left="567" w:right="567"/>
        <w:rPr>
          <w:rFonts w:ascii="Georgia" w:hAnsi="Georgia" w:cs="Arial"/>
          <w:color w:val="000000"/>
          <w:szCs w:val="24"/>
          <w:shd w:val="clear" w:color="auto" w:fill="FFFFFF"/>
        </w:rPr>
      </w:pPr>
    </w:p>
    <w:p w:rsidR="004945F3" w:rsidRPr="004945F3" w:rsidRDefault="004945F3" w:rsidP="004945F3">
      <w:pPr>
        <w:pStyle w:val="Textoindependiente"/>
        <w:tabs>
          <w:tab w:val="clear" w:pos="708"/>
          <w:tab w:val="clear" w:pos="1416"/>
          <w:tab w:val="left" w:pos="709"/>
          <w:tab w:val="left" w:pos="1418"/>
        </w:tabs>
        <w:spacing w:line="240" w:lineRule="auto"/>
        <w:ind w:left="567" w:right="567"/>
        <w:rPr>
          <w:rFonts w:ascii="Georgia" w:hAnsi="Georgia" w:cs="Arial"/>
          <w:sz w:val="28"/>
          <w:szCs w:val="24"/>
          <w:lang w:val="es-CO"/>
        </w:rPr>
      </w:pPr>
    </w:p>
    <w:p w:rsidR="004945F3" w:rsidRPr="009E44DE" w:rsidRDefault="004945F3" w:rsidP="004945F3">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sidRPr="009E44DE">
        <w:rPr>
          <w:rFonts w:ascii="Georgia" w:hAnsi="Georgia" w:cs="Arial"/>
          <w:sz w:val="24"/>
          <w:szCs w:val="24"/>
          <w:lang w:val="es-CO"/>
        </w:rPr>
        <w:t>Conforme a lo expuesto, diferencia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sidRPr="009E44DE">
        <w:rPr>
          <w:rStyle w:val="Refdenotaalpie"/>
          <w:rFonts w:ascii="Georgia" w:hAnsi="Georgia"/>
          <w:sz w:val="24"/>
          <w:szCs w:val="24"/>
          <w:lang w:val="es-CO"/>
        </w:rPr>
        <w:footnoteReference w:id="28"/>
      </w:r>
      <w:r w:rsidRPr="009E44DE">
        <w:rPr>
          <w:rFonts w:ascii="Georgia" w:hAnsi="Georgia" w:cs="Arial"/>
          <w:sz w:val="24"/>
          <w:szCs w:val="24"/>
          <w:lang w:val="es-CO"/>
        </w:rPr>
        <w:t>.</w:t>
      </w:r>
    </w:p>
    <w:p w:rsidR="004945F3" w:rsidRDefault="004945F3" w:rsidP="00BB0953">
      <w:pPr>
        <w:spacing w:line="360" w:lineRule="auto"/>
        <w:ind w:right="51"/>
        <w:jc w:val="both"/>
        <w:rPr>
          <w:rFonts w:ascii="Georgia" w:hAnsi="Georgia"/>
        </w:rPr>
      </w:pPr>
    </w:p>
    <w:p w:rsidR="008C50CD" w:rsidRPr="00D57D3E"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sz w:val="24"/>
          <w:szCs w:val="24"/>
          <w:lang w:val="es-ES"/>
        </w:rPr>
      </w:pPr>
      <w:r w:rsidRPr="00D57D3E">
        <w:rPr>
          <w:rFonts w:ascii="Georgia" w:hAnsi="Georgia" w:cs="Arial"/>
          <w:sz w:val="24"/>
          <w:szCs w:val="24"/>
        </w:rPr>
        <w:t xml:space="preserve">LAS CONCLUSIONES </w:t>
      </w:r>
    </w:p>
    <w:p w:rsidR="008D6E5A" w:rsidRPr="00715A6F" w:rsidRDefault="008D6E5A" w:rsidP="0087196E">
      <w:pPr>
        <w:pStyle w:val="Textoindependiente"/>
        <w:tabs>
          <w:tab w:val="clear" w:pos="0"/>
          <w:tab w:val="clear" w:pos="708"/>
          <w:tab w:val="clear" w:pos="1416"/>
          <w:tab w:val="left" w:pos="426"/>
        </w:tabs>
        <w:spacing w:line="360" w:lineRule="auto"/>
        <w:rPr>
          <w:rFonts w:ascii="Georgia" w:hAnsi="Georgia"/>
          <w:sz w:val="24"/>
          <w:szCs w:val="24"/>
          <w:lang w:val="es-CO"/>
        </w:rPr>
      </w:pPr>
    </w:p>
    <w:p w:rsidR="00236282" w:rsidRDefault="00C032BF" w:rsidP="00236282">
      <w:pPr>
        <w:spacing w:line="360" w:lineRule="auto"/>
        <w:jc w:val="both"/>
        <w:rPr>
          <w:rFonts w:ascii="Georgia" w:hAnsi="Georgia" w:cs="Arial"/>
          <w:color w:val="000000" w:themeColor="text1"/>
        </w:rPr>
      </w:pPr>
      <w:r w:rsidRPr="00D57D3E">
        <w:rPr>
          <w:rFonts w:ascii="Georgia" w:hAnsi="Georgia"/>
          <w:lang w:val="es-CO"/>
        </w:rPr>
        <w:t>En armonía con lo expresado</w:t>
      </w:r>
      <w:r w:rsidR="00D44F62">
        <w:rPr>
          <w:rFonts w:ascii="Georgia" w:hAnsi="Georgia"/>
          <w:lang w:val="es-CO"/>
        </w:rPr>
        <w:t>: (i) S</w:t>
      </w:r>
      <w:r w:rsidR="00D57D3E">
        <w:rPr>
          <w:rFonts w:ascii="Georgia" w:hAnsi="Georgia"/>
          <w:lang w:val="es-CO"/>
        </w:rPr>
        <w:t xml:space="preserve">e </w:t>
      </w:r>
      <w:r w:rsidR="00BB0953">
        <w:rPr>
          <w:rFonts w:ascii="Georgia" w:hAnsi="Georgia"/>
          <w:lang w:val="es-CO"/>
        </w:rPr>
        <w:t xml:space="preserve">revocará </w:t>
      </w:r>
      <w:r w:rsidR="0092283B">
        <w:rPr>
          <w:rFonts w:ascii="Georgia" w:hAnsi="Georgia" w:cs="Arial"/>
        </w:rPr>
        <w:t>la sentencia de primera instancia</w:t>
      </w:r>
      <w:r w:rsidR="00D44F62">
        <w:rPr>
          <w:rFonts w:ascii="Georgia" w:hAnsi="Georgia" w:cs="Arial"/>
        </w:rPr>
        <w:t xml:space="preserve">; </w:t>
      </w:r>
      <w:r w:rsidR="00BD76B4">
        <w:rPr>
          <w:rFonts w:ascii="Georgia" w:hAnsi="Georgia" w:cs="Arial"/>
        </w:rPr>
        <w:t xml:space="preserve">en su lugar, </w:t>
      </w:r>
      <w:r w:rsidR="00D44F62">
        <w:rPr>
          <w:rFonts w:ascii="Georgia" w:hAnsi="Georgia" w:cs="Arial"/>
        </w:rPr>
        <w:t>(</w:t>
      </w:r>
      <w:r w:rsidR="00946049">
        <w:rPr>
          <w:rFonts w:ascii="Georgia" w:hAnsi="Georgia" w:cs="Arial"/>
        </w:rPr>
        <w:t xml:space="preserve">ii) </w:t>
      </w:r>
      <w:r w:rsidR="00BD76B4">
        <w:rPr>
          <w:rFonts w:ascii="Georgia" w:hAnsi="Georgia" w:cs="Arial"/>
        </w:rPr>
        <w:t>Se concederá el amparo del derecho al debido proceso</w:t>
      </w:r>
      <w:r w:rsidR="00D70BAE">
        <w:rPr>
          <w:rFonts w:ascii="Georgia" w:hAnsi="Georgia" w:cs="Arial"/>
        </w:rPr>
        <w:t>.</w:t>
      </w:r>
    </w:p>
    <w:p w:rsidR="00DC6564" w:rsidRPr="00D57D3E" w:rsidRDefault="00DC6564" w:rsidP="00236282">
      <w:pPr>
        <w:spacing w:line="360" w:lineRule="auto"/>
        <w:jc w:val="both"/>
        <w:rPr>
          <w:rFonts w:ascii="Georgia" w:hAnsi="Georgia"/>
          <w:color w:val="000000" w:themeColor="text1"/>
          <w:lang w:eastAsia="es-CO"/>
        </w:rPr>
      </w:pPr>
    </w:p>
    <w:p w:rsidR="00C032BF" w:rsidRDefault="00C032BF" w:rsidP="00C032BF">
      <w:pPr>
        <w:tabs>
          <w:tab w:val="left" w:pos="-720"/>
        </w:tabs>
        <w:suppressAutoHyphens/>
        <w:spacing w:line="360" w:lineRule="auto"/>
        <w:jc w:val="both"/>
        <w:rPr>
          <w:rFonts w:ascii="Georgia" w:hAnsi="Georgia" w:cs="Arial"/>
        </w:rPr>
      </w:pPr>
      <w:r w:rsidRPr="00484A74">
        <w:rPr>
          <w:rFonts w:ascii="Georgia" w:hAnsi="Georgia" w:cs="Arial"/>
        </w:rPr>
        <w:t xml:space="preserve">En mérito de lo razonado, el </w:t>
      </w:r>
      <w:r w:rsidRPr="00484A74">
        <w:rPr>
          <w:rFonts w:ascii="Georgia" w:hAnsi="Georgia" w:cs="Arial"/>
          <w:bCs/>
          <w:smallCaps/>
        </w:rPr>
        <w:t>Tribunal Superior del Distrito Judicial de Pereira, Sala de Decisión Civil - Familia</w:t>
      </w:r>
      <w:r w:rsidRPr="00484A74">
        <w:rPr>
          <w:rFonts w:ascii="Georgia" w:hAnsi="Georgia" w:cs="Arial"/>
        </w:rPr>
        <w:t xml:space="preserve">, administrando Justicia, en nombre de la República </w:t>
      </w:r>
      <w:r w:rsidR="00D44F62">
        <w:rPr>
          <w:rFonts w:ascii="Georgia" w:hAnsi="Georgia" w:cs="Arial"/>
        </w:rPr>
        <w:t xml:space="preserve">de Colombia </w:t>
      </w:r>
      <w:r w:rsidRPr="00484A74">
        <w:rPr>
          <w:rFonts w:ascii="Georgia" w:hAnsi="Georgia" w:cs="Arial"/>
        </w:rPr>
        <w:t>y por autoridad de la Ley,</w:t>
      </w:r>
    </w:p>
    <w:p w:rsidR="00C032BF" w:rsidRPr="00484A74" w:rsidRDefault="00C032BF" w:rsidP="00C032BF">
      <w:pPr>
        <w:pStyle w:val="Textoindependiente"/>
        <w:tabs>
          <w:tab w:val="left" w:pos="3155"/>
          <w:tab w:val="center" w:pos="4703"/>
        </w:tabs>
        <w:spacing w:line="360" w:lineRule="auto"/>
        <w:jc w:val="center"/>
        <w:rPr>
          <w:rFonts w:ascii="Georgia" w:hAnsi="Georgia" w:cs="Arial"/>
          <w:bCs/>
          <w:smallCaps/>
          <w:sz w:val="24"/>
          <w:szCs w:val="24"/>
        </w:rPr>
      </w:pPr>
      <w:r w:rsidRPr="00484A74">
        <w:rPr>
          <w:rFonts w:ascii="Georgia" w:hAnsi="Georgia" w:cs="Arial"/>
          <w:bCs/>
          <w:smallCaps/>
          <w:sz w:val="24"/>
          <w:szCs w:val="24"/>
        </w:rPr>
        <w:t xml:space="preserve">F A L </w:t>
      </w:r>
      <w:proofErr w:type="spellStart"/>
      <w:r w:rsidRPr="00484A74">
        <w:rPr>
          <w:rFonts w:ascii="Georgia" w:hAnsi="Georgia" w:cs="Arial"/>
          <w:bCs/>
          <w:smallCaps/>
          <w:sz w:val="24"/>
          <w:szCs w:val="24"/>
        </w:rPr>
        <w:t>L</w:t>
      </w:r>
      <w:proofErr w:type="spellEnd"/>
      <w:r w:rsidRPr="00484A74">
        <w:rPr>
          <w:rFonts w:ascii="Georgia" w:hAnsi="Georgia" w:cs="Arial"/>
          <w:bCs/>
          <w:smallCaps/>
          <w:sz w:val="24"/>
          <w:szCs w:val="24"/>
        </w:rPr>
        <w:t xml:space="preserve"> A,</w:t>
      </w:r>
    </w:p>
    <w:p w:rsidR="004945F3" w:rsidRDefault="004945F3" w:rsidP="004945F3">
      <w:pPr>
        <w:pStyle w:val="Textoindependiente"/>
        <w:tabs>
          <w:tab w:val="clear" w:pos="708"/>
          <w:tab w:val="clear" w:pos="1416"/>
          <w:tab w:val="left" w:pos="426"/>
        </w:tabs>
        <w:spacing w:line="360" w:lineRule="auto"/>
        <w:ind w:left="426"/>
        <w:rPr>
          <w:rFonts w:ascii="Georgia" w:hAnsi="Georgia"/>
          <w:sz w:val="24"/>
          <w:szCs w:val="24"/>
        </w:rPr>
      </w:pPr>
    </w:p>
    <w:p w:rsidR="004945F3" w:rsidRDefault="00D70BAE" w:rsidP="004945F3">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4945F3">
        <w:rPr>
          <w:rFonts w:ascii="Georgia" w:hAnsi="Georgia"/>
          <w:sz w:val="24"/>
          <w:szCs w:val="24"/>
        </w:rPr>
        <w:t xml:space="preserve">REVOCAR </w:t>
      </w:r>
      <w:r w:rsidR="004945F3">
        <w:rPr>
          <w:rFonts w:ascii="Georgia" w:hAnsi="Georgia"/>
          <w:sz w:val="24"/>
          <w:szCs w:val="24"/>
        </w:rPr>
        <w:t xml:space="preserve"> </w:t>
      </w:r>
      <w:r w:rsidR="008D6E5A" w:rsidRPr="004945F3">
        <w:rPr>
          <w:rFonts w:ascii="Georgia" w:hAnsi="Georgia"/>
          <w:sz w:val="24"/>
          <w:szCs w:val="24"/>
        </w:rPr>
        <w:t xml:space="preserve">la </w:t>
      </w:r>
      <w:r w:rsidR="004945F3">
        <w:rPr>
          <w:rFonts w:ascii="Georgia" w:hAnsi="Georgia"/>
          <w:sz w:val="24"/>
          <w:szCs w:val="24"/>
        </w:rPr>
        <w:t xml:space="preserve"> </w:t>
      </w:r>
      <w:r w:rsidR="008D6E5A" w:rsidRPr="004945F3">
        <w:rPr>
          <w:rFonts w:ascii="Georgia" w:hAnsi="Georgia"/>
          <w:sz w:val="24"/>
          <w:szCs w:val="24"/>
        </w:rPr>
        <w:t xml:space="preserve">sentencia </w:t>
      </w:r>
      <w:r w:rsidR="004945F3">
        <w:rPr>
          <w:rFonts w:ascii="Georgia" w:hAnsi="Georgia"/>
          <w:sz w:val="24"/>
          <w:szCs w:val="24"/>
        </w:rPr>
        <w:t xml:space="preserve"> </w:t>
      </w:r>
      <w:r w:rsidRPr="004945F3">
        <w:rPr>
          <w:rFonts w:ascii="Georgia" w:hAnsi="Georgia"/>
          <w:sz w:val="24"/>
          <w:szCs w:val="24"/>
        </w:rPr>
        <w:t xml:space="preserve">dictada </w:t>
      </w:r>
      <w:r w:rsidR="004945F3">
        <w:rPr>
          <w:rFonts w:ascii="Georgia" w:hAnsi="Georgia"/>
          <w:sz w:val="24"/>
          <w:szCs w:val="24"/>
        </w:rPr>
        <w:t xml:space="preserve"> </w:t>
      </w:r>
      <w:r w:rsidRPr="004945F3">
        <w:rPr>
          <w:rFonts w:ascii="Georgia" w:hAnsi="Georgia"/>
          <w:sz w:val="24"/>
          <w:szCs w:val="24"/>
        </w:rPr>
        <w:t xml:space="preserve">el </w:t>
      </w:r>
      <w:r w:rsidR="004945F3">
        <w:rPr>
          <w:rFonts w:ascii="Georgia" w:hAnsi="Georgia"/>
          <w:sz w:val="24"/>
          <w:szCs w:val="24"/>
        </w:rPr>
        <w:t xml:space="preserve"> </w:t>
      </w:r>
      <w:r w:rsidRPr="004945F3">
        <w:rPr>
          <w:rFonts w:ascii="Georgia" w:hAnsi="Georgia"/>
          <w:sz w:val="24"/>
          <w:szCs w:val="24"/>
        </w:rPr>
        <w:t xml:space="preserve">16-05-2018 </w:t>
      </w:r>
      <w:r w:rsidR="004945F3">
        <w:rPr>
          <w:rFonts w:ascii="Georgia" w:hAnsi="Georgia"/>
          <w:sz w:val="24"/>
          <w:szCs w:val="24"/>
        </w:rPr>
        <w:t xml:space="preserve"> </w:t>
      </w:r>
      <w:r w:rsidR="00D44F62" w:rsidRPr="004945F3">
        <w:rPr>
          <w:rFonts w:ascii="Georgia" w:hAnsi="Georgia"/>
          <w:sz w:val="24"/>
          <w:szCs w:val="24"/>
        </w:rPr>
        <w:t xml:space="preserve">por </w:t>
      </w:r>
      <w:r w:rsidR="004945F3">
        <w:rPr>
          <w:rFonts w:ascii="Georgia" w:hAnsi="Georgia"/>
          <w:sz w:val="24"/>
          <w:szCs w:val="24"/>
        </w:rPr>
        <w:t xml:space="preserve"> </w:t>
      </w:r>
      <w:r w:rsidR="00D44F62" w:rsidRPr="004945F3">
        <w:rPr>
          <w:rFonts w:ascii="Georgia" w:hAnsi="Georgia"/>
          <w:sz w:val="24"/>
          <w:szCs w:val="24"/>
        </w:rPr>
        <w:t xml:space="preserve">el </w:t>
      </w:r>
      <w:r w:rsidR="004945F3">
        <w:rPr>
          <w:rFonts w:ascii="Georgia" w:hAnsi="Georgia"/>
          <w:sz w:val="24"/>
          <w:szCs w:val="24"/>
        </w:rPr>
        <w:t xml:space="preserve"> </w:t>
      </w:r>
      <w:r w:rsidR="00D57D3E" w:rsidRPr="004945F3">
        <w:rPr>
          <w:rFonts w:ascii="Georgia" w:hAnsi="Georgia"/>
          <w:sz w:val="24"/>
          <w:szCs w:val="24"/>
        </w:rPr>
        <w:t xml:space="preserve">Juzgado </w:t>
      </w:r>
      <w:r w:rsidR="004945F3">
        <w:rPr>
          <w:rFonts w:ascii="Georgia" w:hAnsi="Georgia"/>
          <w:sz w:val="24"/>
          <w:szCs w:val="24"/>
        </w:rPr>
        <w:t xml:space="preserve"> </w:t>
      </w:r>
      <w:r w:rsidR="00D57D3E" w:rsidRPr="004945F3">
        <w:rPr>
          <w:rFonts w:ascii="Georgia" w:hAnsi="Georgia"/>
          <w:sz w:val="24"/>
          <w:szCs w:val="24"/>
        </w:rPr>
        <w:t xml:space="preserve">Civil </w:t>
      </w:r>
      <w:r w:rsidR="004945F3">
        <w:rPr>
          <w:rFonts w:ascii="Georgia" w:hAnsi="Georgia"/>
          <w:sz w:val="24"/>
          <w:szCs w:val="24"/>
        </w:rPr>
        <w:t xml:space="preserve"> </w:t>
      </w:r>
      <w:r w:rsidR="00D57D3E" w:rsidRPr="004945F3">
        <w:rPr>
          <w:rFonts w:ascii="Georgia" w:hAnsi="Georgia"/>
          <w:sz w:val="24"/>
          <w:szCs w:val="24"/>
        </w:rPr>
        <w:t xml:space="preserve">del </w:t>
      </w:r>
      <w:r w:rsidR="004945F3">
        <w:rPr>
          <w:rFonts w:ascii="Georgia" w:hAnsi="Georgia"/>
          <w:sz w:val="24"/>
          <w:szCs w:val="24"/>
        </w:rPr>
        <w:t xml:space="preserve"> </w:t>
      </w:r>
      <w:r w:rsidR="00D57D3E" w:rsidRPr="004945F3">
        <w:rPr>
          <w:rFonts w:ascii="Georgia" w:hAnsi="Georgia"/>
          <w:sz w:val="24"/>
          <w:szCs w:val="24"/>
        </w:rPr>
        <w:t xml:space="preserve">Circuito </w:t>
      </w:r>
      <w:r w:rsidR="004945F3">
        <w:rPr>
          <w:rFonts w:ascii="Georgia" w:hAnsi="Georgia"/>
          <w:sz w:val="24"/>
          <w:szCs w:val="24"/>
        </w:rPr>
        <w:t xml:space="preserve"> </w:t>
      </w:r>
      <w:r w:rsidR="00D57D3E" w:rsidRPr="004945F3">
        <w:rPr>
          <w:rFonts w:ascii="Georgia" w:hAnsi="Georgia"/>
          <w:sz w:val="24"/>
          <w:szCs w:val="24"/>
        </w:rPr>
        <w:t xml:space="preserve">de </w:t>
      </w:r>
    </w:p>
    <w:p w:rsidR="00D70BAE" w:rsidRPr="004945F3" w:rsidRDefault="00D70BAE" w:rsidP="004945F3">
      <w:pPr>
        <w:pStyle w:val="Textoindependiente"/>
        <w:tabs>
          <w:tab w:val="clear" w:pos="708"/>
          <w:tab w:val="clear" w:pos="1416"/>
          <w:tab w:val="left" w:pos="426"/>
        </w:tabs>
        <w:spacing w:line="360" w:lineRule="auto"/>
        <w:ind w:left="426"/>
        <w:rPr>
          <w:rFonts w:ascii="Georgia" w:hAnsi="Georgia"/>
          <w:sz w:val="24"/>
          <w:szCs w:val="24"/>
        </w:rPr>
      </w:pPr>
      <w:r w:rsidRPr="004945F3">
        <w:rPr>
          <w:rFonts w:ascii="Georgia" w:hAnsi="Georgia"/>
          <w:sz w:val="24"/>
          <w:szCs w:val="24"/>
        </w:rPr>
        <w:t>Dosquebradas</w:t>
      </w:r>
      <w:r w:rsidR="00C032BF" w:rsidRPr="004945F3">
        <w:rPr>
          <w:rFonts w:ascii="Georgia" w:hAnsi="Georgia"/>
          <w:sz w:val="24"/>
          <w:szCs w:val="24"/>
        </w:rPr>
        <w:t>.</w:t>
      </w:r>
    </w:p>
    <w:p w:rsidR="00D70BAE" w:rsidRPr="001B2D58" w:rsidRDefault="00D70BAE" w:rsidP="00D70BAE">
      <w:pPr>
        <w:pStyle w:val="Textoindependiente"/>
        <w:tabs>
          <w:tab w:val="clear" w:pos="708"/>
          <w:tab w:val="clear" w:pos="1416"/>
          <w:tab w:val="left" w:pos="426"/>
        </w:tabs>
        <w:spacing w:line="360" w:lineRule="auto"/>
        <w:ind w:left="426"/>
        <w:rPr>
          <w:rFonts w:ascii="Georgia" w:hAnsi="Georgia"/>
          <w:szCs w:val="24"/>
        </w:rPr>
      </w:pPr>
    </w:p>
    <w:p w:rsidR="00D70BAE" w:rsidRPr="00D70BAE"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70BAE">
        <w:rPr>
          <w:rFonts w:ascii="Georgia" w:hAnsi="Georgia"/>
          <w:sz w:val="24"/>
          <w:szCs w:val="24"/>
        </w:rPr>
        <w:t xml:space="preserve">CONCEDER la acción de tutela </w:t>
      </w:r>
      <w:r w:rsidRPr="00D70BAE">
        <w:rPr>
          <w:rFonts w:ascii="Georgia" w:hAnsi="Georgia" w:cs="Arial"/>
          <w:sz w:val="24"/>
          <w:szCs w:val="24"/>
          <w:lang w:val="es-ES"/>
        </w:rPr>
        <w:t xml:space="preserve">presentada por la señora </w:t>
      </w:r>
      <w:r w:rsidRPr="00D70BAE">
        <w:rPr>
          <w:rFonts w:ascii="Georgia" w:hAnsi="Georgia"/>
          <w:sz w:val="24"/>
          <w:szCs w:val="24"/>
        </w:rPr>
        <w:t>Gloria Inés Espinosa Sánchez contra el Juzgado Primero Civil Municipal de Dosquebradas.</w:t>
      </w:r>
    </w:p>
    <w:p w:rsidR="00D70BAE" w:rsidRPr="001B2D58" w:rsidRDefault="00D70BAE" w:rsidP="00D70BAE">
      <w:pPr>
        <w:pStyle w:val="Prrafodelista"/>
        <w:spacing w:after="0" w:line="360" w:lineRule="auto"/>
        <w:rPr>
          <w:rFonts w:ascii="Georgia" w:hAnsi="Georgia" w:cs="Arial"/>
          <w:sz w:val="20"/>
          <w:szCs w:val="24"/>
        </w:rPr>
      </w:pPr>
    </w:p>
    <w:p w:rsidR="00D70BAE" w:rsidRPr="00D70BAE"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70BAE">
        <w:rPr>
          <w:rFonts w:ascii="Georgia" w:hAnsi="Georgia" w:cs="Arial"/>
          <w:sz w:val="24"/>
          <w:szCs w:val="24"/>
        </w:rPr>
        <w:t>DECLARAR, en consecuencia, sin efectos la sentencia dictada el 07-03-2018 en el proceso ejecutivo No.2017-00012-00.</w:t>
      </w:r>
    </w:p>
    <w:p w:rsidR="00D70BAE" w:rsidRPr="001B2D58" w:rsidRDefault="00D70BAE" w:rsidP="00D70BAE">
      <w:pPr>
        <w:pStyle w:val="Prrafodelista"/>
        <w:spacing w:after="0" w:line="360" w:lineRule="auto"/>
        <w:rPr>
          <w:rFonts w:ascii="Georgia" w:hAnsi="Georgia"/>
          <w:sz w:val="20"/>
          <w:szCs w:val="24"/>
        </w:rPr>
      </w:pPr>
    </w:p>
    <w:p w:rsidR="00D70BAE" w:rsidRPr="00D70BAE"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70BAE">
        <w:rPr>
          <w:rFonts w:ascii="Georgia" w:hAnsi="Georgia"/>
          <w:sz w:val="24"/>
          <w:szCs w:val="24"/>
        </w:rPr>
        <w:t>ORDENAR Al Juzgado accionado</w:t>
      </w:r>
      <w:r w:rsidRPr="00D70BAE">
        <w:rPr>
          <w:rFonts w:ascii="Georgia" w:hAnsi="Georgia" w:cs="Arial"/>
          <w:sz w:val="24"/>
          <w:szCs w:val="24"/>
        </w:rPr>
        <w:t>, que en el perentorio término de las cuarenta y ocho (48) horas, siguientes a la notificación de esta providencia, profiera una nueva decisión en la ejecución referida, con estricta observancia de las consideraciones jurídicas aquí planteadas.</w:t>
      </w:r>
    </w:p>
    <w:p w:rsidR="00715A6F" w:rsidRPr="001B2D58" w:rsidRDefault="00715A6F" w:rsidP="00D70BAE">
      <w:pPr>
        <w:pStyle w:val="Textoindependiente"/>
        <w:tabs>
          <w:tab w:val="clear" w:pos="708"/>
          <w:tab w:val="clear" w:pos="1416"/>
          <w:tab w:val="left" w:pos="426"/>
        </w:tabs>
        <w:spacing w:line="360" w:lineRule="auto"/>
        <w:ind w:left="426"/>
        <w:rPr>
          <w:rFonts w:ascii="Georgia" w:hAnsi="Georgia"/>
          <w:szCs w:val="24"/>
        </w:rPr>
      </w:pPr>
    </w:p>
    <w:p w:rsidR="00C032BF" w:rsidRPr="00D70BAE" w:rsidRDefault="00C032BF" w:rsidP="00D70BA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70BAE">
        <w:rPr>
          <w:rFonts w:ascii="Georgia" w:hAnsi="Georgia"/>
          <w:color w:val="000000" w:themeColor="text1"/>
          <w:sz w:val="24"/>
          <w:szCs w:val="24"/>
        </w:rPr>
        <w:t xml:space="preserve">REMITIR este expediente a la </w:t>
      </w:r>
      <w:r w:rsidR="000F2638" w:rsidRPr="00D70BAE">
        <w:rPr>
          <w:rFonts w:ascii="Georgia" w:hAnsi="Georgia"/>
          <w:color w:val="000000" w:themeColor="text1"/>
          <w:sz w:val="24"/>
          <w:szCs w:val="24"/>
        </w:rPr>
        <w:t>CC</w:t>
      </w:r>
      <w:r w:rsidRPr="00D70BAE">
        <w:rPr>
          <w:rFonts w:ascii="Georgia" w:hAnsi="Georgia"/>
          <w:color w:val="000000" w:themeColor="text1"/>
          <w:sz w:val="24"/>
          <w:szCs w:val="24"/>
        </w:rPr>
        <w:t xml:space="preserve"> para su eventual revisión.</w:t>
      </w:r>
    </w:p>
    <w:p w:rsidR="003913E3" w:rsidRPr="004142CD"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6"/>
          <w:lang w:val="es-ES_tradnl"/>
        </w:rPr>
      </w:pPr>
    </w:p>
    <w:p w:rsidR="003913E3" w:rsidRDefault="000F2638" w:rsidP="00F839CE">
      <w:pPr>
        <w:pStyle w:val="Textoindependiente"/>
        <w:spacing w:line="360" w:lineRule="auto"/>
        <w:jc w:val="center"/>
        <w:rPr>
          <w:rFonts w:ascii="Georgia" w:hAnsi="Georgia"/>
          <w:smallCaps/>
          <w:sz w:val="24"/>
          <w:szCs w:val="24"/>
          <w:lang w:val="en-US"/>
        </w:rPr>
      </w:pPr>
      <w:r w:rsidRPr="00484A74">
        <w:rPr>
          <w:rFonts w:ascii="Georgia" w:hAnsi="Georgia"/>
          <w:smallCaps/>
          <w:sz w:val="24"/>
          <w:szCs w:val="24"/>
          <w:lang w:val="en-US"/>
        </w:rPr>
        <w:t>NOTIFÍQUESE,</w:t>
      </w:r>
    </w:p>
    <w:p w:rsidR="00C747E3" w:rsidRDefault="00C747E3" w:rsidP="00F839CE">
      <w:pPr>
        <w:pStyle w:val="Textoindependiente"/>
        <w:spacing w:line="360" w:lineRule="auto"/>
        <w:jc w:val="center"/>
        <w:rPr>
          <w:rFonts w:ascii="Georgia" w:hAnsi="Georgia"/>
          <w:smallCaps/>
          <w:sz w:val="22"/>
          <w:szCs w:val="24"/>
          <w:lang w:val="en-US"/>
        </w:rPr>
      </w:pPr>
    </w:p>
    <w:p w:rsidR="001B2D58" w:rsidRPr="00C747E3" w:rsidRDefault="001B2D58" w:rsidP="00F839CE">
      <w:pPr>
        <w:pStyle w:val="Textoindependiente"/>
        <w:spacing w:line="360" w:lineRule="auto"/>
        <w:jc w:val="center"/>
        <w:rPr>
          <w:rFonts w:ascii="Georgia" w:hAnsi="Georgia"/>
          <w:smallCaps/>
          <w:sz w:val="22"/>
          <w:szCs w:val="24"/>
          <w:lang w:val="en-US"/>
        </w:rPr>
      </w:pPr>
    </w:p>
    <w:p w:rsidR="004945F3" w:rsidRDefault="004945F3"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szCs w:val="18"/>
          <w:lang w:val="en-US"/>
        </w:rPr>
      </w:pPr>
    </w:p>
    <w:p w:rsidR="00F72D3F" w:rsidRPr="0092283B"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4945F3" w:rsidRDefault="004945F3" w:rsidP="004945F3">
      <w:pPr>
        <w:pStyle w:val="Textoindependiente"/>
        <w:spacing w:line="360" w:lineRule="auto"/>
        <w:jc w:val="center"/>
        <w:rPr>
          <w:rFonts w:ascii="Georgia" w:hAnsi="Georgia"/>
          <w:smallCaps/>
          <w:sz w:val="22"/>
          <w:szCs w:val="24"/>
          <w:lang w:val="en-US"/>
        </w:rPr>
      </w:pPr>
    </w:p>
    <w:p w:rsidR="004945F3" w:rsidRPr="00C747E3" w:rsidRDefault="004945F3" w:rsidP="004945F3">
      <w:pPr>
        <w:pStyle w:val="Textoindependiente"/>
        <w:spacing w:line="360" w:lineRule="auto"/>
        <w:jc w:val="center"/>
        <w:rPr>
          <w:rFonts w:ascii="Georgia" w:hAnsi="Georgia"/>
          <w:smallCaps/>
          <w:sz w:val="22"/>
          <w:szCs w:val="24"/>
          <w:lang w:val="en-US"/>
        </w:rPr>
      </w:pPr>
    </w:p>
    <w:p w:rsidR="004945F3" w:rsidRDefault="004945F3" w:rsidP="004945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szCs w:val="18"/>
          <w:lang w:val="en-US"/>
        </w:rPr>
      </w:pPr>
    </w:p>
    <w:p w:rsidR="00F72D3F" w:rsidRPr="0092283B"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2A61AA"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p w:rsidR="002C169D" w:rsidRDefault="002C169D"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2C169D" w:rsidRPr="002C169D" w:rsidRDefault="002C169D" w:rsidP="002C16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2C169D">
        <w:rPr>
          <w:rFonts w:ascii="Georgia" w:hAnsi="Georgia" w:cs="Arial"/>
          <w:i/>
          <w:w w:val="150"/>
          <w:sz w:val="12"/>
          <w:lang w:val="en-GB"/>
        </w:rPr>
        <w:t>DGH/ODCD/2018</w:t>
      </w:r>
    </w:p>
    <w:p w:rsidR="002C169D" w:rsidRPr="002C169D" w:rsidRDefault="002C16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p>
    <w:sectPr w:rsidR="002C169D" w:rsidRPr="002C169D" w:rsidSect="00826E17">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E8" w:rsidRDefault="000443E8" w:rsidP="002F20AB">
      <w:r>
        <w:separator/>
      </w:r>
    </w:p>
  </w:endnote>
  <w:endnote w:type="continuationSeparator" w:id="0">
    <w:p w:rsidR="000443E8" w:rsidRDefault="000443E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Pr="00DB34BE" w:rsidRDefault="002A61AA">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2A61AA" w:rsidRPr="00DB34BE" w:rsidRDefault="002A61AA">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Pr="000F2638" w:rsidRDefault="002A61AA" w:rsidP="00A67268">
    <w:pPr>
      <w:pStyle w:val="Piedepgina"/>
      <w:pBdr>
        <w:bottom w:val="double" w:sz="6" w:space="1" w:color="auto"/>
      </w:pBdr>
      <w:spacing w:line="360" w:lineRule="auto"/>
      <w:rPr>
        <w:rFonts w:ascii="Georgia" w:hAnsi="Georgia" w:cs="Arial"/>
        <w:spacing w:val="20"/>
        <w:w w:val="200"/>
        <w:sz w:val="2"/>
        <w:szCs w:val="10"/>
        <w:lang w:val="es-ES"/>
      </w:rPr>
    </w:pPr>
  </w:p>
  <w:p w:rsidR="002A61AA" w:rsidRPr="00DB34BE" w:rsidRDefault="002A61AA" w:rsidP="00751EE2">
    <w:pPr>
      <w:pStyle w:val="Piedepgina"/>
      <w:spacing w:line="360" w:lineRule="auto"/>
      <w:jc w:val="right"/>
      <w:rPr>
        <w:rFonts w:ascii="Georgia" w:hAnsi="Georgia" w:cs="Arial"/>
        <w:spacing w:val="20"/>
        <w:w w:val="200"/>
        <w:sz w:val="14"/>
        <w:szCs w:val="10"/>
      </w:rPr>
    </w:pPr>
  </w:p>
  <w:p w:rsidR="002A61AA" w:rsidRPr="00DB34BE" w:rsidRDefault="002A61AA"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2A61AA" w:rsidRPr="00DB34BE" w:rsidRDefault="002A61AA"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Pr="00C53999" w:rsidRDefault="002A61AA"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2A61AA" w:rsidRPr="00213147" w:rsidRDefault="002A61AA"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E8" w:rsidRDefault="000443E8" w:rsidP="002F20AB">
      <w:r>
        <w:separator/>
      </w:r>
    </w:p>
  </w:footnote>
  <w:footnote w:type="continuationSeparator" w:id="0">
    <w:p w:rsidR="000443E8" w:rsidRDefault="000443E8" w:rsidP="002F20AB">
      <w:r>
        <w:continuationSeparator/>
      </w:r>
    </w:p>
  </w:footnote>
  <w:footnote w:id="1">
    <w:p w:rsidR="002A61AA" w:rsidRDefault="002A61AA" w:rsidP="005E222A">
      <w:pPr>
        <w:pStyle w:val="Textonotapie"/>
        <w:jc w:val="both"/>
      </w:pPr>
      <w:r w:rsidRPr="001A1A2B">
        <w:rPr>
          <w:rStyle w:val="Refdenotaalpie"/>
        </w:rPr>
        <w:footnoteRef/>
      </w:r>
      <w:r w:rsidRPr="001A1A2B">
        <w:t xml:space="preserve"> </w:t>
      </w:r>
      <w:proofErr w:type="spellStart"/>
      <w:r w:rsidRPr="001A1A2B">
        <w:t>QUINCHE</w:t>
      </w:r>
      <w:proofErr w:type="spellEnd"/>
      <w:r w:rsidRPr="001A1A2B">
        <w:t xml:space="preserve"> R., Manuel F. </w:t>
      </w:r>
      <w:proofErr w:type="spellStart"/>
      <w:r w:rsidRPr="001A1A2B">
        <w:t>Vías</w:t>
      </w:r>
      <w:proofErr w:type="spellEnd"/>
      <w:r w:rsidRPr="001A1A2B">
        <w:t xml:space="preserve"> de </w:t>
      </w:r>
      <w:proofErr w:type="spellStart"/>
      <w:r w:rsidRPr="001A1A2B">
        <w:t>hecho</w:t>
      </w:r>
      <w:proofErr w:type="spellEnd"/>
      <w:r w:rsidRPr="001A1A2B">
        <w:t xml:space="preserve">, </w:t>
      </w:r>
      <w:proofErr w:type="spellStart"/>
      <w:r w:rsidRPr="001A1A2B">
        <w:t>acción</w:t>
      </w:r>
      <w:proofErr w:type="spellEnd"/>
      <w:r w:rsidRPr="001A1A2B">
        <w:t xml:space="preserve"> de </w:t>
      </w:r>
      <w:proofErr w:type="spellStart"/>
      <w:r w:rsidRPr="001A1A2B">
        <w:t>tutela</w:t>
      </w:r>
      <w:proofErr w:type="spellEnd"/>
      <w:r w:rsidRPr="001A1A2B">
        <w:t xml:space="preserve"> contra </w:t>
      </w:r>
      <w:proofErr w:type="spellStart"/>
      <w:r w:rsidRPr="001A1A2B">
        <w:t>providencias</w:t>
      </w:r>
      <w:proofErr w:type="spellEnd"/>
      <w:r w:rsidRPr="001A1A2B">
        <w:t xml:space="preserve">, </w:t>
      </w:r>
      <w:proofErr w:type="spellStart"/>
      <w:r w:rsidRPr="001A1A2B">
        <w:t>Temis</w:t>
      </w:r>
      <w:proofErr w:type="spellEnd"/>
      <w:r w:rsidRPr="001A1A2B">
        <w:t xml:space="preserve"> SA, Bogotá, 2013, p.103.</w:t>
      </w:r>
    </w:p>
  </w:footnote>
  <w:footnote w:id="2">
    <w:p w:rsidR="002A61AA" w:rsidRDefault="002A61AA" w:rsidP="005E222A">
      <w:pPr>
        <w:pStyle w:val="Textonotapie"/>
        <w:jc w:val="both"/>
      </w:pPr>
      <w:r w:rsidRPr="001A1A2B">
        <w:rPr>
          <w:rStyle w:val="Refdenotaalpie"/>
        </w:rPr>
        <w:footnoteRef/>
      </w:r>
      <w:r w:rsidRPr="001A1A2B">
        <w:t xml:space="preserve"> QUIROGA N., </w:t>
      </w:r>
      <w:proofErr w:type="spellStart"/>
      <w:r w:rsidRPr="001A1A2B">
        <w:t>Édgar</w:t>
      </w:r>
      <w:proofErr w:type="spellEnd"/>
      <w:r w:rsidRPr="001A1A2B">
        <w:t xml:space="preserve"> A. </w:t>
      </w:r>
      <w:proofErr w:type="spellStart"/>
      <w:r w:rsidRPr="001A1A2B">
        <w:t>Tutela</w:t>
      </w:r>
      <w:proofErr w:type="spellEnd"/>
      <w:r w:rsidRPr="001A1A2B">
        <w:t xml:space="preserve"> contra </w:t>
      </w:r>
      <w:proofErr w:type="spellStart"/>
      <w:r w:rsidRPr="001A1A2B">
        <w:t>decisiones</w:t>
      </w:r>
      <w:proofErr w:type="spellEnd"/>
      <w:r w:rsidRPr="001A1A2B">
        <w:t xml:space="preserve"> </w:t>
      </w:r>
      <w:proofErr w:type="spellStart"/>
      <w:r w:rsidRPr="001A1A2B">
        <w:t>judiciales</w:t>
      </w:r>
      <w:proofErr w:type="spellEnd"/>
      <w:r w:rsidRPr="001A1A2B">
        <w:t xml:space="preserve">, Universidad Santo </w:t>
      </w:r>
      <w:proofErr w:type="spellStart"/>
      <w:r w:rsidRPr="001A1A2B">
        <w:t>Tomás</w:t>
      </w:r>
      <w:proofErr w:type="spellEnd"/>
      <w:r w:rsidRPr="001A1A2B">
        <w:t xml:space="preserve"> y editorial Ibáñez, Bogotá DC, 2014, p.83.</w:t>
      </w:r>
    </w:p>
  </w:footnote>
  <w:footnote w:id="3">
    <w:p w:rsidR="002A61AA" w:rsidRDefault="002A61AA" w:rsidP="005E222A">
      <w:pPr>
        <w:pStyle w:val="Textonotapie"/>
        <w:jc w:val="both"/>
      </w:pPr>
      <w:r w:rsidRPr="001A1A2B">
        <w:rPr>
          <w:rStyle w:val="Refdenotaalpie"/>
        </w:rPr>
        <w:footnoteRef/>
      </w:r>
      <w:r w:rsidRPr="001A1A2B">
        <w:t xml:space="preserve"> </w:t>
      </w:r>
      <w:r w:rsidRPr="001A1A2B">
        <w:rPr>
          <w:lang w:val="es-MX"/>
        </w:rPr>
        <w:t>CC. T-917 de 2011.</w:t>
      </w:r>
    </w:p>
  </w:footnote>
  <w:footnote w:id="4">
    <w:p w:rsidR="002A61AA" w:rsidRDefault="002A61AA" w:rsidP="005E222A">
      <w:pPr>
        <w:pStyle w:val="Textonotapie"/>
        <w:jc w:val="both"/>
      </w:pPr>
      <w:r w:rsidRPr="001A1A2B">
        <w:rPr>
          <w:rStyle w:val="Refdenotaalpie"/>
        </w:rPr>
        <w:footnoteRef/>
      </w:r>
      <w:r w:rsidRPr="001A1A2B">
        <w:rPr>
          <w:lang w:val="es-MX"/>
        </w:rPr>
        <w:t xml:space="preserve"> CC. C-590 de 2005.</w:t>
      </w:r>
    </w:p>
  </w:footnote>
  <w:footnote w:id="5">
    <w:p w:rsidR="002A61AA" w:rsidRDefault="002A61AA" w:rsidP="005E222A">
      <w:pPr>
        <w:pStyle w:val="Textonotapie"/>
        <w:jc w:val="both"/>
      </w:pPr>
      <w:r w:rsidRPr="00F35B54">
        <w:rPr>
          <w:rStyle w:val="Refdenotaalpie"/>
        </w:rPr>
        <w:footnoteRef/>
      </w:r>
      <w:r w:rsidRPr="00F35B54">
        <w:rPr>
          <w:lang w:val="es-MX"/>
        </w:rPr>
        <w:t xml:space="preserve"> CC.</w:t>
      </w:r>
      <w:r>
        <w:rPr>
          <w:lang w:val="es-MX"/>
        </w:rPr>
        <w:t xml:space="preserve"> </w:t>
      </w:r>
      <w:r w:rsidR="006E54D6" w:rsidRPr="006E54D6">
        <w:rPr>
          <w:bCs/>
          <w:lang w:val="es-ES"/>
        </w:rPr>
        <w:t>SU</w:t>
      </w:r>
      <w:r w:rsidR="006E54D6">
        <w:rPr>
          <w:bCs/>
          <w:lang w:val="es-ES"/>
        </w:rPr>
        <w:t>-</w:t>
      </w:r>
      <w:r w:rsidR="006E54D6" w:rsidRPr="006E54D6">
        <w:rPr>
          <w:bCs/>
          <w:lang w:val="es-ES"/>
        </w:rPr>
        <w:t>056</w:t>
      </w:r>
      <w:r w:rsidR="006E54D6">
        <w:rPr>
          <w:bCs/>
          <w:lang w:val="es-ES"/>
        </w:rPr>
        <w:t xml:space="preserve"> de 20</w:t>
      </w:r>
      <w:r w:rsidR="006E54D6" w:rsidRPr="006E54D6">
        <w:rPr>
          <w:bCs/>
          <w:lang w:val="es-ES"/>
        </w:rPr>
        <w:t>18</w:t>
      </w:r>
      <w:r>
        <w:rPr>
          <w:lang w:val="es-MX"/>
        </w:rPr>
        <w:t>,</w:t>
      </w:r>
      <w:r w:rsidRPr="00F35B54">
        <w:rPr>
          <w:lang w:val="es-MX"/>
        </w:rPr>
        <w:t xml:space="preserve"> </w:t>
      </w:r>
      <w:hyperlink r:id="rId1" w:history="1">
        <w:r w:rsidRPr="00F35B54">
          <w:rPr>
            <w:rStyle w:val="Hipervnculo"/>
            <w:bCs/>
            <w:color w:val="000000"/>
            <w:u w:val="none"/>
          </w:rPr>
          <w:t>SU-336 de 2017</w:t>
        </w:r>
      </w:hyperlink>
      <w:r w:rsidRPr="00F35B54">
        <w:rPr>
          <w:bCs/>
          <w:color w:val="000000"/>
        </w:rPr>
        <w:t>, </w:t>
      </w:r>
      <w:hyperlink r:id="rId2" w:history="1">
        <w:r w:rsidRPr="00F35B54">
          <w:rPr>
            <w:rStyle w:val="Hipervnculo"/>
            <w:bCs/>
            <w:color w:val="000000"/>
            <w:u w:val="none"/>
          </w:rPr>
          <w:t>SU-354 de 2017</w:t>
        </w:r>
      </w:hyperlink>
      <w:r w:rsidRPr="00F35B54">
        <w:rPr>
          <w:bCs/>
          <w:color w:val="000000"/>
          <w:lang w:val="es-ES_tradnl"/>
        </w:rPr>
        <w:t xml:space="preserve">, </w:t>
      </w:r>
      <w:r w:rsidRPr="001A1A2B">
        <w:rPr>
          <w:bCs/>
          <w:lang w:val="es-ES_tradnl"/>
        </w:rPr>
        <w:t>T-137 de 2017</w:t>
      </w:r>
      <w:r>
        <w:rPr>
          <w:bCs/>
          <w:lang w:val="es-ES_tradnl"/>
        </w:rPr>
        <w:t xml:space="preserve"> y </w:t>
      </w:r>
      <w:r w:rsidRPr="001A1A2B">
        <w:rPr>
          <w:bCs/>
        </w:rPr>
        <w:t>SU-222 de 2016</w:t>
      </w:r>
      <w:r w:rsidRPr="001A1A2B">
        <w:rPr>
          <w:lang w:val="es-MX"/>
        </w:rPr>
        <w:t>.</w:t>
      </w:r>
    </w:p>
  </w:footnote>
  <w:footnote w:id="6">
    <w:p w:rsidR="002A61AA" w:rsidRDefault="002A61AA" w:rsidP="005E222A">
      <w:pPr>
        <w:pStyle w:val="Textonotapie"/>
      </w:pPr>
      <w:r w:rsidRPr="001A1A2B">
        <w:rPr>
          <w:rStyle w:val="Refdenotaalpie"/>
        </w:rPr>
        <w:footnoteRef/>
      </w:r>
      <w:r w:rsidRPr="001A1A2B">
        <w:t xml:space="preserve"> </w:t>
      </w:r>
      <w:r w:rsidRPr="001A1A2B">
        <w:rPr>
          <w:lang w:val="es-MX"/>
        </w:rPr>
        <w:t>CC. T-307 de 2015.</w:t>
      </w:r>
    </w:p>
  </w:footnote>
  <w:footnote w:id="7">
    <w:p w:rsidR="002A61AA" w:rsidRDefault="002A61AA" w:rsidP="005E222A">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2A61AA" w:rsidRPr="00F35B54" w:rsidRDefault="002A61AA" w:rsidP="005E222A">
      <w:pPr>
        <w:pStyle w:val="Textonotapie"/>
        <w:jc w:val="both"/>
      </w:pPr>
      <w:r w:rsidRPr="001A1A2B">
        <w:rPr>
          <w:rStyle w:val="Refdenotaalpie"/>
        </w:rPr>
        <w:footnoteRef/>
      </w:r>
      <w:r w:rsidRPr="001A1A2B">
        <w:t xml:space="preserve"> QUINCH</w:t>
      </w:r>
      <w:r w:rsidRPr="00F35B54">
        <w:t xml:space="preserve">E R., Manuel F. La </w:t>
      </w:r>
      <w:proofErr w:type="spellStart"/>
      <w:r w:rsidRPr="00F35B54">
        <w:t>acción</w:t>
      </w:r>
      <w:proofErr w:type="spellEnd"/>
      <w:r w:rsidRPr="00F35B54">
        <w:t xml:space="preserve"> de </w:t>
      </w:r>
      <w:proofErr w:type="spellStart"/>
      <w:r w:rsidRPr="00F35B54">
        <w:t>tutela</w:t>
      </w:r>
      <w:proofErr w:type="spellEnd"/>
      <w:r w:rsidRPr="00F35B54">
        <w:t xml:space="preserve">, el </w:t>
      </w:r>
      <w:proofErr w:type="spellStart"/>
      <w:r w:rsidRPr="00F35B54">
        <w:t>amparo</w:t>
      </w:r>
      <w:proofErr w:type="spellEnd"/>
      <w:r w:rsidRPr="00F35B54">
        <w:t xml:space="preserve"> en Colombia, Bogotá DC, 2011, p.233-285.</w:t>
      </w:r>
    </w:p>
  </w:footnote>
  <w:footnote w:id="9">
    <w:p w:rsidR="002A61AA" w:rsidRPr="00FE5CDD" w:rsidRDefault="002A61AA" w:rsidP="00CB569A">
      <w:pPr>
        <w:pStyle w:val="Textonotapie"/>
        <w:jc w:val="both"/>
      </w:pPr>
      <w:r w:rsidRPr="00FE5CDD">
        <w:rPr>
          <w:rStyle w:val="Refdenotaalpie"/>
        </w:rPr>
        <w:footnoteRef/>
      </w:r>
      <w:r w:rsidRPr="00FE5CDD">
        <w:rPr>
          <w:lang w:val="es-MX"/>
        </w:rPr>
        <w:t xml:space="preserve"> CC. T-231 de 1994.</w:t>
      </w:r>
    </w:p>
  </w:footnote>
  <w:footnote w:id="10">
    <w:p w:rsidR="002A61AA" w:rsidRPr="00FE5CDD" w:rsidRDefault="002A61AA" w:rsidP="00CB569A">
      <w:pPr>
        <w:pStyle w:val="Textonotapie"/>
        <w:jc w:val="both"/>
      </w:pPr>
      <w:r w:rsidRPr="00FE5CDD">
        <w:rPr>
          <w:rStyle w:val="Refdenotaalpie"/>
        </w:rPr>
        <w:footnoteRef/>
      </w:r>
      <w:r w:rsidRPr="00FE5CDD">
        <w:t xml:space="preserve"> </w:t>
      </w:r>
      <w:r w:rsidRPr="00FE5CDD">
        <w:rPr>
          <w:lang w:val="es-MX"/>
        </w:rPr>
        <w:t>CC. T-831 de 2012.</w:t>
      </w:r>
    </w:p>
  </w:footnote>
  <w:footnote w:id="11">
    <w:p w:rsidR="002A61AA" w:rsidRPr="00FE5CDD" w:rsidRDefault="002A61AA" w:rsidP="00CB569A">
      <w:pPr>
        <w:pStyle w:val="Textonotapie"/>
        <w:jc w:val="both"/>
      </w:pPr>
      <w:r w:rsidRPr="00FE5CDD">
        <w:rPr>
          <w:rStyle w:val="Refdenotaalpie"/>
        </w:rPr>
        <w:footnoteRef/>
      </w:r>
      <w:r w:rsidRPr="00FE5CDD">
        <w:t xml:space="preserve"> QUINCHE RAMÍREZ, Manuel Fernando. La </w:t>
      </w:r>
      <w:proofErr w:type="spellStart"/>
      <w:r w:rsidRPr="00FE5CDD">
        <w:t>acción</w:t>
      </w:r>
      <w:proofErr w:type="spellEnd"/>
      <w:r w:rsidRPr="00FE5CDD">
        <w:t xml:space="preserve"> de </w:t>
      </w:r>
      <w:proofErr w:type="spellStart"/>
      <w:r w:rsidRPr="00FE5CDD">
        <w:t>tutela</w:t>
      </w:r>
      <w:proofErr w:type="spellEnd"/>
      <w:r w:rsidRPr="00FE5CDD">
        <w:t xml:space="preserve">, el </w:t>
      </w:r>
      <w:proofErr w:type="spellStart"/>
      <w:r w:rsidRPr="00FE5CDD">
        <w:t>amparo</w:t>
      </w:r>
      <w:proofErr w:type="spellEnd"/>
      <w:r w:rsidRPr="00FE5CDD">
        <w:t xml:space="preserve"> en Colombia, Bogotá DC, 2011, p.268.</w:t>
      </w:r>
    </w:p>
  </w:footnote>
  <w:footnote w:id="12">
    <w:p w:rsidR="002A61AA" w:rsidRPr="00FE5CDD" w:rsidRDefault="002A61AA" w:rsidP="00CB569A">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3">
    <w:p w:rsidR="002A61AA" w:rsidRPr="00FE5CDD" w:rsidRDefault="002A61AA" w:rsidP="00CB569A">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14">
    <w:p w:rsidR="002A61AA" w:rsidRPr="00FE5CDD" w:rsidRDefault="002A61AA" w:rsidP="00CB569A">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15">
    <w:p w:rsidR="002A61AA" w:rsidRPr="00FE5CDD" w:rsidRDefault="002A61AA" w:rsidP="00CB569A">
      <w:pPr>
        <w:pStyle w:val="Textonotapie"/>
      </w:pPr>
      <w:r w:rsidRPr="00FE5CDD">
        <w:rPr>
          <w:rStyle w:val="Refdenotaalpie"/>
        </w:rPr>
        <w:footnoteRef/>
      </w:r>
      <w:r w:rsidRPr="00FE5CDD">
        <w:t xml:space="preserve"> </w:t>
      </w:r>
      <w:r w:rsidRPr="00FE5CDD">
        <w:rPr>
          <w:lang w:val="es-MX"/>
        </w:rPr>
        <w:t>CC. SU-949 de 2014 y T-192 de 2015.</w:t>
      </w:r>
    </w:p>
  </w:footnote>
  <w:footnote w:id="16">
    <w:p w:rsidR="002A61AA" w:rsidRPr="00FE5CDD" w:rsidRDefault="002A61AA" w:rsidP="00CB569A">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17">
    <w:p w:rsidR="002A61AA" w:rsidRPr="00FE5CDD" w:rsidRDefault="002A61AA" w:rsidP="00CB569A">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18">
    <w:p w:rsidR="002A61AA" w:rsidRPr="00F35B54" w:rsidRDefault="002A61AA" w:rsidP="00DB34BE">
      <w:pPr>
        <w:pStyle w:val="Textonotapie"/>
        <w:jc w:val="both"/>
        <w:rPr>
          <w:lang w:val="es-CO"/>
        </w:rPr>
      </w:pPr>
      <w:r w:rsidRPr="00F35B54">
        <w:rPr>
          <w:rStyle w:val="Refdenotaalpie"/>
          <w:lang w:val="es-CO"/>
        </w:rPr>
        <w:footnoteRef/>
      </w:r>
      <w:r w:rsidRPr="00F35B54">
        <w:rPr>
          <w:lang w:val="es-CO"/>
        </w:rPr>
        <w:t xml:space="preserve"> CC. SU-222 de 2016.</w:t>
      </w:r>
    </w:p>
  </w:footnote>
  <w:footnote w:id="19">
    <w:p w:rsidR="002A61AA" w:rsidRPr="00F35B54" w:rsidRDefault="002A61AA" w:rsidP="00DB34BE">
      <w:pPr>
        <w:pStyle w:val="Textonotapie"/>
        <w:jc w:val="both"/>
        <w:rPr>
          <w:lang w:val="es-CO"/>
        </w:rPr>
      </w:pPr>
      <w:r w:rsidRPr="00F35B54">
        <w:rPr>
          <w:rStyle w:val="Refdenotaalpie"/>
          <w:lang w:val="es-CO"/>
        </w:rPr>
        <w:footnoteRef/>
      </w:r>
      <w:r w:rsidRPr="00F35B54">
        <w:rPr>
          <w:lang w:val="es-CO"/>
        </w:rPr>
        <w:t xml:space="preserve"> Así, por ejemplo, en la SU-159 de 2002, se define el defecto fáctico como “la aplicación del derecho sin contar con el apoyo de los hechos determinantes del supuesto legal a partir de pruebas válidas”.</w:t>
      </w:r>
    </w:p>
  </w:footnote>
  <w:footnote w:id="20">
    <w:p w:rsidR="002A61AA" w:rsidRPr="00F35B54" w:rsidRDefault="002A61AA" w:rsidP="00DB34BE">
      <w:pPr>
        <w:pStyle w:val="Textonotapie"/>
        <w:jc w:val="both"/>
      </w:pPr>
      <w:r w:rsidRPr="00F35B54">
        <w:rPr>
          <w:rStyle w:val="Refdenotaalpie"/>
          <w:lang w:val="es-CO"/>
        </w:rPr>
        <w:footnoteRef/>
      </w:r>
      <w:r w:rsidRPr="00F35B54">
        <w:rPr>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21">
    <w:p w:rsidR="002A61AA" w:rsidRPr="00F35B54" w:rsidRDefault="002A61AA" w:rsidP="00DB34BE">
      <w:pPr>
        <w:pStyle w:val="Textonotapie"/>
        <w:jc w:val="both"/>
      </w:pPr>
      <w:r w:rsidRPr="00F35B54">
        <w:rPr>
          <w:rStyle w:val="Refdenotaalpie"/>
        </w:rPr>
        <w:footnoteRef/>
      </w:r>
      <w:r w:rsidRPr="00F35B54">
        <w:t xml:space="preserve"> </w:t>
      </w:r>
      <w:r w:rsidRPr="00F35B54">
        <w:rPr>
          <w:lang w:val="es-MX"/>
        </w:rPr>
        <w:t xml:space="preserve">CC. </w:t>
      </w:r>
      <w:r w:rsidRPr="00F35B54">
        <w:t>T-902 de 2005.</w:t>
      </w:r>
    </w:p>
  </w:footnote>
  <w:footnote w:id="22">
    <w:p w:rsidR="002A61AA" w:rsidRPr="00F35B54" w:rsidRDefault="002A61AA" w:rsidP="00DB34BE">
      <w:pPr>
        <w:pStyle w:val="Textonotapie"/>
      </w:pPr>
      <w:r w:rsidRPr="00F35B54">
        <w:rPr>
          <w:rStyle w:val="Refdenotaalpie"/>
        </w:rPr>
        <w:footnoteRef/>
      </w:r>
      <w:r w:rsidRPr="00F35B54">
        <w:t xml:space="preserve"> </w:t>
      </w:r>
      <w:r w:rsidRPr="00F35B54">
        <w:rPr>
          <w:lang w:val="es-MX"/>
        </w:rPr>
        <w:t>CC. T-459 de 2017, SU649 de 2017</w:t>
      </w:r>
      <w:r>
        <w:rPr>
          <w:lang w:val="es-MX"/>
        </w:rPr>
        <w:t xml:space="preserve"> y SU396-2017</w:t>
      </w:r>
      <w:r w:rsidRPr="00F35B54">
        <w:rPr>
          <w:lang w:val="es-MX"/>
        </w:rPr>
        <w:t>.</w:t>
      </w:r>
    </w:p>
  </w:footnote>
  <w:footnote w:id="23">
    <w:p w:rsidR="002A61AA" w:rsidRPr="00F35B54" w:rsidRDefault="002A61AA" w:rsidP="0051245D">
      <w:pPr>
        <w:pStyle w:val="Textonotapie"/>
        <w:spacing w:line="240" w:lineRule="atLeast"/>
        <w:jc w:val="both"/>
      </w:pPr>
      <w:r w:rsidRPr="00F35B54">
        <w:rPr>
          <w:rStyle w:val="Refdenotaalpie"/>
        </w:rPr>
        <w:footnoteRef/>
      </w:r>
      <w:r w:rsidRPr="00F35B54">
        <w:t xml:space="preserve"> CC. T-625 de 2016.</w:t>
      </w:r>
    </w:p>
  </w:footnote>
  <w:footnote w:id="24">
    <w:p w:rsidR="002A61AA" w:rsidRPr="00F35B54" w:rsidRDefault="002A61AA" w:rsidP="0051245D">
      <w:pPr>
        <w:pStyle w:val="Textonotapie"/>
        <w:spacing w:line="240" w:lineRule="atLeast"/>
        <w:jc w:val="both"/>
      </w:pPr>
      <w:r w:rsidRPr="00F35B54">
        <w:rPr>
          <w:rStyle w:val="Refdenotaalpie"/>
        </w:rPr>
        <w:footnoteRef/>
      </w:r>
      <w:r w:rsidRPr="00F35B54">
        <w:t xml:space="preserve"> CC. T-454 de 2015.</w:t>
      </w:r>
    </w:p>
  </w:footnote>
  <w:footnote w:id="25">
    <w:p w:rsidR="00BD76B4" w:rsidRPr="00706A6F" w:rsidRDefault="00BD76B4" w:rsidP="00BD76B4">
      <w:pPr>
        <w:pStyle w:val="Textonotapie"/>
        <w:rPr>
          <w:lang w:val="es-CO"/>
        </w:rPr>
      </w:pPr>
      <w:r>
        <w:rPr>
          <w:rStyle w:val="Refdenotaalpie"/>
        </w:rPr>
        <w:footnoteRef/>
      </w:r>
      <w:r>
        <w:t xml:space="preserve"> </w:t>
      </w:r>
      <w:r>
        <w:rPr>
          <w:lang w:val="es-CO"/>
        </w:rPr>
        <w:t>CSJ. STC8938-2017, reiterada en la STC7442-2018.</w:t>
      </w:r>
    </w:p>
  </w:footnote>
  <w:footnote w:id="26">
    <w:p w:rsidR="004945F3" w:rsidRDefault="004945F3" w:rsidP="004945F3">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27">
    <w:p w:rsidR="004945F3" w:rsidRDefault="004945F3" w:rsidP="004945F3">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Pr>
          <w:bCs/>
          <w:lang w:val="es-CO"/>
        </w:rPr>
        <w:t>.</w:t>
      </w:r>
    </w:p>
  </w:footnote>
  <w:footnote w:id="28">
    <w:p w:rsidR="004945F3" w:rsidRDefault="004945F3" w:rsidP="004945F3">
      <w:pPr>
        <w:pStyle w:val="Textoindependiente"/>
        <w:spacing w:line="240" w:lineRule="auto"/>
      </w:pPr>
      <w:r w:rsidRPr="001C6D17">
        <w:rPr>
          <w:rStyle w:val="Refdenotaalpie"/>
          <w:rFonts w:ascii="Times New Roman" w:hAnsi="Times New Roman"/>
        </w:rPr>
        <w:footnoteRef/>
      </w:r>
      <w:r w:rsidRPr="001C6D17">
        <w:rPr>
          <w:rFonts w:ascii="Times New Roman" w:hAnsi="Times New Roman"/>
        </w:rPr>
        <w:t xml:space="preserve"> </w:t>
      </w:r>
      <w:r w:rsidRPr="001C6D17">
        <w:rPr>
          <w:rFonts w:ascii="Times New Roman" w:hAnsi="Times New Roman"/>
          <w:lang w:val="es-CO"/>
        </w:rPr>
        <w:t xml:space="preserve">TS, Pereira, Civil-Familia. Sentencia del 27-07-2017; MP: Grisales H., </w:t>
      </w:r>
      <w:r w:rsidRPr="001C6D17">
        <w:rPr>
          <w:rFonts w:ascii="Times New Roman" w:hAnsi="Times New Roman"/>
        </w:rPr>
        <w:t>2017-00018-02</w:t>
      </w:r>
      <w:r>
        <w:rPr>
          <w:rFonts w:ascii="Times New Roman" w:hAnsi="Times New Roman"/>
        </w:rPr>
        <w:t xml:space="preserve"> y sentencia de 22-01-2018</w:t>
      </w:r>
      <w:r w:rsidRPr="001C6D17">
        <w:rPr>
          <w:rFonts w:ascii="Times New Roman" w:hAnsi="Times New Roman"/>
          <w:lang w:val="es-CO"/>
        </w:rPr>
        <w:t xml:space="preserve">; MP: Grisales H., </w:t>
      </w:r>
      <w:r w:rsidRPr="001C6D17">
        <w:rPr>
          <w:rFonts w:ascii="Times New Roman" w:hAnsi="Times New Roman"/>
        </w:rPr>
        <w:t>2017-</w:t>
      </w:r>
      <w:r>
        <w:rPr>
          <w:rFonts w:ascii="Times New Roman" w:hAnsi="Times New Roman"/>
        </w:rPr>
        <w:t>00100-01,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Default="002A61A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2A61AA" w:rsidRDefault="002A61A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Pr="00DB34BE" w:rsidRDefault="002A61AA">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F61E8A">
      <w:rPr>
        <w:rFonts w:ascii="Georgia" w:hAnsi="Georgia"/>
        <w:noProof/>
        <w:sz w:val="22"/>
        <w:lang w:val="es-CO"/>
      </w:rPr>
      <w:t>11</w:t>
    </w:r>
    <w:r w:rsidRPr="00DB34BE">
      <w:rPr>
        <w:rFonts w:ascii="Georgia" w:hAnsi="Georgia"/>
        <w:sz w:val="22"/>
        <w:lang w:val="es-CO"/>
      </w:rPr>
      <w:fldChar w:fldCharType="end"/>
    </w:r>
  </w:p>
  <w:p w:rsidR="002A61AA" w:rsidRPr="00F12EFF" w:rsidRDefault="002A61AA" w:rsidP="006F562A">
    <w:pPr>
      <w:pStyle w:val="Encabezado"/>
      <w:ind w:right="360"/>
      <w:jc w:val="both"/>
      <w:rPr>
        <w:rFonts w:ascii="Georgia" w:hAnsi="Georgia" w:cs="Calibri"/>
        <w:i/>
        <w:sz w:val="20"/>
        <w:szCs w:val="20"/>
      </w:rPr>
    </w:pPr>
    <w:r w:rsidRPr="00DB34BE">
      <w:rPr>
        <w:rFonts w:ascii="Georgia" w:hAnsi="Georgia" w:cs="Calibri"/>
        <w:i/>
        <w:sz w:val="20"/>
        <w:szCs w:val="20"/>
      </w:rPr>
      <w:t>EXPEDIENTE No.</w:t>
    </w:r>
    <w:r>
      <w:rPr>
        <w:rFonts w:ascii="Georgia" w:hAnsi="Georgia" w:cs="Calibri"/>
        <w:i/>
        <w:sz w:val="20"/>
        <w:szCs w:val="20"/>
      </w:rPr>
      <w:t>2018-00023-01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A" w:rsidRPr="0092089F" w:rsidRDefault="002A61AA">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2A61AA" w:rsidRDefault="002A61AA"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0"/>
  </w:num>
  <w:num w:numId="3">
    <w:abstractNumId w:val="23"/>
  </w:num>
  <w:num w:numId="4">
    <w:abstractNumId w:val="20"/>
  </w:num>
  <w:num w:numId="5">
    <w:abstractNumId w:val="35"/>
  </w:num>
  <w:num w:numId="6">
    <w:abstractNumId w:val="21"/>
  </w:num>
  <w:num w:numId="7">
    <w:abstractNumId w:val="3"/>
  </w:num>
  <w:num w:numId="8">
    <w:abstractNumId w:val="16"/>
  </w:num>
  <w:num w:numId="9">
    <w:abstractNumId w:val="17"/>
  </w:num>
  <w:num w:numId="10">
    <w:abstractNumId w:val="2"/>
  </w:num>
  <w:num w:numId="11">
    <w:abstractNumId w:val="29"/>
  </w:num>
  <w:num w:numId="12">
    <w:abstractNumId w:val="12"/>
  </w:num>
  <w:num w:numId="13">
    <w:abstractNumId w:val="19"/>
  </w:num>
  <w:num w:numId="14">
    <w:abstractNumId w:val="38"/>
  </w:num>
  <w:num w:numId="15">
    <w:abstractNumId w:val="26"/>
  </w:num>
  <w:num w:numId="16">
    <w:abstractNumId w:val="1"/>
  </w:num>
  <w:num w:numId="17">
    <w:abstractNumId w:val="40"/>
  </w:num>
  <w:num w:numId="18">
    <w:abstractNumId w:val="27"/>
  </w:num>
  <w:num w:numId="19">
    <w:abstractNumId w:val="37"/>
  </w:num>
  <w:num w:numId="20">
    <w:abstractNumId w:val="36"/>
  </w:num>
  <w:num w:numId="21">
    <w:abstractNumId w:val="6"/>
  </w:num>
  <w:num w:numId="22">
    <w:abstractNumId w:val="0"/>
  </w:num>
  <w:num w:numId="23">
    <w:abstractNumId w:val="42"/>
  </w:num>
  <w:num w:numId="24">
    <w:abstractNumId w:val="24"/>
  </w:num>
  <w:num w:numId="25">
    <w:abstractNumId w:val="14"/>
  </w:num>
  <w:num w:numId="26">
    <w:abstractNumId w:val="18"/>
  </w:num>
  <w:num w:numId="27">
    <w:abstractNumId w:val="4"/>
  </w:num>
  <w:num w:numId="28">
    <w:abstractNumId w:val="34"/>
  </w:num>
  <w:num w:numId="29">
    <w:abstractNumId w:val="22"/>
  </w:num>
  <w:num w:numId="30">
    <w:abstractNumId w:val="13"/>
  </w:num>
  <w:num w:numId="31">
    <w:abstractNumId w:val="41"/>
  </w:num>
  <w:num w:numId="32">
    <w:abstractNumId w:val="28"/>
  </w:num>
  <w:num w:numId="33">
    <w:abstractNumId w:val="9"/>
  </w:num>
  <w:num w:numId="34">
    <w:abstractNumId w:val="32"/>
  </w:num>
  <w:num w:numId="35">
    <w:abstractNumId w:val="10"/>
  </w:num>
  <w:num w:numId="36">
    <w:abstractNumId w:val="31"/>
  </w:num>
  <w:num w:numId="37">
    <w:abstractNumId w:val="25"/>
  </w:num>
  <w:num w:numId="38">
    <w:abstractNumId w:val="5"/>
  </w:num>
  <w:num w:numId="39">
    <w:abstractNumId w:val="11"/>
  </w:num>
  <w:num w:numId="40">
    <w:abstractNumId w:val="33"/>
  </w:num>
  <w:num w:numId="41">
    <w:abstractNumId w:val="8"/>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43E8"/>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0C94"/>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1A1"/>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6A4F"/>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67CF0"/>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2D58"/>
    <w:rsid w:val="001B47F2"/>
    <w:rsid w:val="001B4E5A"/>
    <w:rsid w:val="001B5C6F"/>
    <w:rsid w:val="001B6B9C"/>
    <w:rsid w:val="001B78D2"/>
    <w:rsid w:val="001C1259"/>
    <w:rsid w:val="001C1611"/>
    <w:rsid w:val="001C2101"/>
    <w:rsid w:val="001C3246"/>
    <w:rsid w:val="001C3537"/>
    <w:rsid w:val="001C5D56"/>
    <w:rsid w:val="001D06DC"/>
    <w:rsid w:val="001D0A6A"/>
    <w:rsid w:val="001D14A5"/>
    <w:rsid w:val="001D2702"/>
    <w:rsid w:val="001D3D53"/>
    <w:rsid w:val="001D5B0F"/>
    <w:rsid w:val="001D6658"/>
    <w:rsid w:val="001D6840"/>
    <w:rsid w:val="001D76C4"/>
    <w:rsid w:val="001E0D19"/>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8B3"/>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63F"/>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4404"/>
    <w:rsid w:val="002A5547"/>
    <w:rsid w:val="002A61AA"/>
    <w:rsid w:val="002A7D9F"/>
    <w:rsid w:val="002B0529"/>
    <w:rsid w:val="002B2E94"/>
    <w:rsid w:val="002B2FD8"/>
    <w:rsid w:val="002B33C0"/>
    <w:rsid w:val="002B503F"/>
    <w:rsid w:val="002B6043"/>
    <w:rsid w:val="002B7A49"/>
    <w:rsid w:val="002C169D"/>
    <w:rsid w:val="002C2796"/>
    <w:rsid w:val="002C3144"/>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67A"/>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6B"/>
    <w:rsid w:val="00333F8D"/>
    <w:rsid w:val="0033413E"/>
    <w:rsid w:val="00335459"/>
    <w:rsid w:val="003357EB"/>
    <w:rsid w:val="00336B42"/>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D75A8"/>
    <w:rsid w:val="003D7CED"/>
    <w:rsid w:val="003E18D8"/>
    <w:rsid w:val="003E26F1"/>
    <w:rsid w:val="003E6D15"/>
    <w:rsid w:val="003F01EC"/>
    <w:rsid w:val="003F0C87"/>
    <w:rsid w:val="003F10B4"/>
    <w:rsid w:val="003F162E"/>
    <w:rsid w:val="003F298D"/>
    <w:rsid w:val="003F6CA6"/>
    <w:rsid w:val="0040074A"/>
    <w:rsid w:val="004017E5"/>
    <w:rsid w:val="00403DD1"/>
    <w:rsid w:val="004046B5"/>
    <w:rsid w:val="00404829"/>
    <w:rsid w:val="00406DD3"/>
    <w:rsid w:val="00406F7C"/>
    <w:rsid w:val="0041105C"/>
    <w:rsid w:val="004134D8"/>
    <w:rsid w:val="0041414C"/>
    <w:rsid w:val="004142CD"/>
    <w:rsid w:val="004163D7"/>
    <w:rsid w:val="00416E8B"/>
    <w:rsid w:val="0041757E"/>
    <w:rsid w:val="00417661"/>
    <w:rsid w:val="00417DA3"/>
    <w:rsid w:val="00421D69"/>
    <w:rsid w:val="00422105"/>
    <w:rsid w:val="0042362D"/>
    <w:rsid w:val="004259A6"/>
    <w:rsid w:val="00425E9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4A74"/>
    <w:rsid w:val="00484D05"/>
    <w:rsid w:val="00485811"/>
    <w:rsid w:val="004858D6"/>
    <w:rsid w:val="00486576"/>
    <w:rsid w:val="00487F35"/>
    <w:rsid w:val="0049109E"/>
    <w:rsid w:val="0049174B"/>
    <w:rsid w:val="004930CF"/>
    <w:rsid w:val="004945F3"/>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4EA9"/>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4564"/>
    <w:rsid w:val="004F5D30"/>
    <w:rsid w:val="004F6583"/>
    <w:rsid w:val="004F6D6A"/>
    <w:rsid w:val="00502776"/>
    <w:rsid w:val="00503BF5"/>
    <w:rsid w:val="00505776"/>
    <w:rsid w:val="005069CE"/>
    <w:rsid w:val="0050717C"/>
    <w:rsid w:val="0050752F"/>
    <w:rsid w:val="0051036C"/>
    <w:rsid w:val="0051162B"/>
    <w:rsid w:val="0051245D"/>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5207"/>
    <w:rsid w:val="005565BB"/>
    <w:rsid w:val="00557BCF"/>
    <w:rsid w:val="00561786"/>
    <w:rsid w:val="00562995"/>
    <w:rsid w:val="00563DAB"/>
    <w:rsid w:val="00565175"/>
    <w:rsid w:val="00565450"/>
    <w:rsid w:val="005660B9"/>
    <w:rsid w:val="00567F1D"/>
    <w:rsid w:val="00570C27"/>
    <w:rsid w:val="00571181"/>
    <w:rsid w:val="005719BA"/>
    <w:rsid w:val="00571A04"/>
    <w:rsid w:val="00571FE4"/>
    <w:rsid w:val="00573E29"/>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02E"/>
    <w:rsid w:val="005A38DD"/>
    <w:rsid w:val="005A3B1D"/>
    <w:rsid w:val="005A3C01"/>
    <w:rsid w:val="005A4153"/>
    <w:rsid w:val="005A461E"/>
    <w:rsid w:val="005A4814"/>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97A"/>
    <w:rsid w:val="005C3B96"/>
    <w:rsid w:val="005C458F"/>
    <w:rsid w:val="005C592D"/>
    <w:rsid w:val="005C6722"/>
    <w:rsid w:val="005C7391"/>
    <w:rsid w:val="005C7936"/>
    <w:rsid w:val="005D1620"/>
    <w:rsid w:val="005D1B2D"/>
    <w:rsid w:val="005D269F"/>
    <w:rsid w:val="005D29AD"/>
    <w:rsid w:val="005D3CD3"/>
    <w:rsid w:val="005D5B8A"/>
    <w:rsid w:val="005E0152"/>
    <w:rsid w:val="005E0DC3"/>
    <w:rsid w:val="005E14BE"/>
    <w:rsid w:val="005E222A"/>
    <w:rsid w:val="005E25A0"/>
    <w:rsid w:val="005E2B24"/>
    <w:rsid w:val="005E3018"/>
    <w:rsid w:val="005E45DD"/>
    <w:rsid w:val="005E799C"/>
    <w:rsid w:val="005F0B6E"/>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3225"/>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2049"/>
    <w:rsid w:val="0062319B"/>
    <w:rsid w:val="006255B8"/>
    <w:rsid w:val="00625F77"/>
    <w:rsid w:val="0062698A"/>
    <w:rsid w:val="00630A34"/>
    <w:rsid w:val="0063138C"/>
    <w:rsid w:val="00631D04"/>
    <w:rsid w:val="00634B5B"/>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4C19"/>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C6311"/>
    <w:rsid w:val="006D1B00"/>
    <w:rsid w:val="006D3B8F"/>
    <w:rsid w:val="006D5236"/>
    <w:rsid w:val="006D5C64"/>
    <w:rsid w:val="006D5F62"/>
    <w:rsid w:val="006D6BA1"/>
    <w:rsid w:val="006D7214"/>
    <w:rsid w:val="006E1334"/>
    <w:rsid w:val="006E1629"/>
    <w:rsid w:val="006E1832"/>
    <w:rsid w:val="006E4489"/>
    <w:rsid w:val="006E54D6"/>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6A20"/>
    <w:rsid w:val="006F7014"/>
    <w:rsid w:val="0070021E"/>
    <w:rsid w:val="0070102D"/>
    <w:rsid w:val="00701835"/>
    <w:rsid w:val="00701A66"/>
    <w:rsid w:val="00705145"/>
    <w:rsid w:val="00705675"/>
    <w:rsid w:val="007064AF"/>
    <w:rsid w:val="00707B4A"/>
    <w:rsid w:val="007117A0"/>
    <w:rsid w:val="007118A0"/>
    <w:rsid w:val="00715A6F"/>
    <w:rsid w:val="00716B70"/>
    <w:rsid w:val="007201D5"/>
    <w:rsid w:val="0072020C"/>
    <w:rsid w:val="00720D87"/>
    <w:rsid w:val="00721DF2"/>
    <w:rsid w:val="0072250C"/>
    <w:rsid w:val="007239AD"/>
    <w:rsid w:val="00723D3C"/>
    <w:rsid w:val="00723F96"/>
    <w:rsid w:val="00725A38"/>
    <w:rsid w:val="007264AB"/>
    <w:rsid w:val="00726989"/>
    <w:rsid w:val="0073192F"/>
    <w:rsid w:val="00731B65"/>
    <w:rsid w:val="00731CB2"/>
    <w:rsid w:val="00732403"/>
    <w:rsid w:val="007328DA"/>
    <w:rsid w:val="0073555B"/>
    <w:rsid w:val="00735CD2"/>
    <w:rsid w:val="00740778"/>
    <w:rsid w:val="007409B3"/>
    <w:rsid w:val="00740AD8"/>
    <w:rsid w:val="00741889"/>
    <w:rsid w:val="00741C26"/>
    <w:rsid w:val="00742102"/>
    <w:rsid w:val="00743286"/>
    <w:rsid w:val="007460BC"/>
    <w:rsid w:val="00746214"/>
    <w:rsid w:val="007469AE"/>
    <w:rsid w:val="007470B5"/>
    <w:rsid w:val="00747531"/>
    <w:rsid w:val="007479D0"/>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3AE"/>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1C48"/>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26E1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6873"/>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0DB"/>
    <w:rsid w:val="008B3C3E"/>
    <w:rsid w:val="008B615C"/>
    <w:rsid w:val="008B7331"/>
    <w:rsid w:val="008B7F8A"/>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6F05"/>
    <w:rsid w:val="009076CC"/>
    <w:rsid w:val="009079F3"/>
    <w:rsid w:val="00907B47"/>
    <w:rsid w:val="0091177C"/>
    <w:rsid w:val="00913716"/>
    <w:rsid w:val="00913B35"/>
    <w:rsid w:val="00915C81"/>
    <w:rsid w:val="00916708"/>
    <w:rsid w:val="00916BD5"/>
    <w:rsid w:val="00917222"/>
    <w:rsid w:val="0091769E"/>
    <w:rsid w:val="00917999"/>
    <w:rsid w:val="00917BF8"/>
    <w:rsid w:val="00920009"/>
    <w:rsid w:val="0092089F"/>
    <w:rsid w:val="009222E2"/>
    <w:rsid w:val="0092283B"/>
    <w:rsid w:val="00922E55"/>
    <w:rsid w:val="0092352E"/>
    <w:rsid w:val="00926197"/>
    <w:rsid w:val="009262D5"/>
    <w:rsid w:val="00926444"/>
    <w:rsid w:val="00927162"/>
    <w:rsid w:val="0092748E"/>
    <w:rsid w:val="00931691"/>
    <w:rsid w:val="0093403F"/>
    <w:rsid w:val="00935A47"/>
    <w:rsid w:val="0094060D"/>
    <w:rsid w:val="00940B55"/>
    <w:rsid w:val="00940B61"/>
    <w:rsid w:val="00940C53"/>
    <w:rsid w:val="00940FE3"/>
    <w:rsid w:val="009414D2"/>
    <w:rsid w:val="009423AF"/>
    <w:rsid w:val="009429E1"/>
    <w:rsid w:val="00942D80"/>
    <w:rsid w:val="00943BD1"/>
    <w:rsid w:val="0094583E"/>
    <w:rsid w:val="0094602E"/>
    <w:rsid w:val="00946049"/>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314A"/>
    <w:rsid w:val="00974030"/>
    <w:rsid w:val="00975546"/>
    <w:rsid w:val="009758F3"/>
    <w:rsid w:val="00977C42"/>
    <w:rsid w:val="00980038"/>
    <w:rsid w:val="00980916"/>
    <w:rsid w:val="00983599"/>
    <w:rsid w:val="009843A2"/>
    <w:rsid w:val="00985901"/>
    <w:rsid w:val="0098633C"/>
    <w:rsid w:val="00986544"/>
    <w:rsid w:val="0098678D"/>
    <w:rsid w:val="009872AB"/>
    <w:rsid w:val="00987869"/>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472E"/>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86A"/>
    <w:rsid w:val="00A14E56"/>
    <w:rsid w:val="00A16E76"/>
    <w:rsid w:val="00A21281"/>
    <w:rsid w:val="00A231EF"/>
    <w:rsid w:val="00A23B0E"/>
    <w:rsid w:val="00A23C49"/>
    <w:rsid w:val="00A24DF3"/>
    <w:rsid w:val="00A25327"/>
    <w:rsid w:val="00A25584"/>
    <w:rsid w:val="00A25EB0"/>
    <w:rsid w:val="00A25EF0"/>
    <w:rsid w:val="00A25F69"/>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B75"/>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189A"/>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7C2"/>
    <w:rsid w:val="00AE6C6B"/>
    <w:rsid w:val="00AE7D08"/>
    <w:rsid w:val="00AF0BF5"/>
    <w:rsid w:val="00AF0C41"/>
    <w:rsid w:val="00AF2401"/>
    <w:rsid w:val="00AF3435"/>
    <w:rsid w:val="00AF48A5"/>
    <w:rsid w:val="00AF541D"/>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373B5"/>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49"/>
    <w:rsid w:val="00B82C68"/>
    <w:rsid w:val="00B8424E"/>
    <w:rsid w:val="00B85821"/>
    <w:rsid w:val="00B86F76"/>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953"/>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6B4"/>
    <w:rsid w:val="00BD7D7B"/>
    <w:rsid w:val="00BE0BEF"/>
    <w:rsid w:val="00BE1A6B"/>
    <w:rsid w:val="00BE210F"/>
    <w:rsid w:val="00BE2865"/>
    <w:rsid w:val="00BE36BE"/>
    <w:rsid w:val="00BE4C4D"/>
    <w:rsid w:val="00BE7E1A"/>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5B9"/>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389"/>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47E3"/>
    <w:rsid w:val="00C7546E"/>
    <w:rsid w:val="00C76997"/>
    <w:rsid w:val="00C80540"/>
    <w:rsid w:val="00C8203C"/>
    <w:rsid w:val="00C8302F"/>
    <w:rsid w:val="00C83CEA"/>
    <w:rsid w:val="00C85FFF"/>
    <w:rsid w:val="00C862D7"/>
    <w:rsid w:val="00C873CC"/>
    <w:rsid w:val="00C91BBB"/>
    <w:rsid w:val="00C928C0"/>
    <w:rsid w:val="00C93B2A"/>
    <w:rsid w:val="00C95350"/>
    <w:rsid w:val="00C959B4"/>
    <w:rsid w:val="00C961BD"/>
    <w:rsid w:val="00C96B2D"/>
    <w:rsid w:val="00C96C85"/>
    <w:rsid w:val="00C97DFA"/>
    <w:rsid w:val="00CA0962"/>
    <w:rsid w:val="00CA284D"/>
    <w:rsid w:val="00CA3EAD"/>
    <w:rsid w:val="00CA5580"/>
    <w:rsid w:val="00CA5F8D"/>
    <w:rsid w:val="00CA67C7"/>
    <w:rsid w:val="00CA7384"/>
    <w:rsid w:val="00CB150D"/>
    <w:rsid w:val="00CB1751"/>
    <w:rsid w:val="00CB3A58"/>
    <w:rsid w:val="00CB5041"/>
    <w:rsid w:val="00CB569A"/>
    <w:rsid w:val="00CB6E2C"/>
    <w:rsid w:val="00CB7701"/>
    <w:rsid w:val="00CC2AC2"/>
    <w:rsid w:val="00CC39CD"/>
    <w:rsid w:val="00CC3BCB"/>
    <w:rsid w:val="00CC42E9"/>
    <w:rsid w:val="00CC5214"/>
    <w:rsid w:val="00CC7903"/>
    <w:rsid w:val="00CC7DFC"/>
    <w:rsid w:val="00CD09F7"/>
    <w:rsid w:val="00CD0DCC"/>
    <w:rsid w:val="00CD1570"/>
    <w:rsid w:val="00CD2CB0"/>
    <w:rsid w:val="00CD354D"/>
    <w:rsid w:val="00CD3E8C"/>
    <w:rsid w:val="00CD43FC"/>
    <w:rsid w:val="00CD461C"/>
    <w:rsid w:val="00CD4C65"/>
    <w:rsid w:val="00CD5515"/>
    <w:rsid w:val="00CD57FB"/>
    <w:rsid w:val="00CE2B49"/>
    <w:rsid w:val="00CE2BDD"/>
    <w:rsid w:val="00CE2F87"/>
    <w:rsid w:val="00CE3C23"/>
    <w:rsid w:val="00CE3DD8"/>
    <w:rsid w:val="00CF03D1"/>
    <w:rsid w:val="00CF0562"/>
    <w:rsid w:val="00CF0884"/>
    <w:rsid w:val="00CF1FFC"/>
    <w:rsid w:val="00CF3971"/>
    <w:rsid w:val="00CF4D81"/>
    <w:rsid w:val="00CF51B4"/>
    <w:rsid w:val="00CF5E40"/>
    <w:rsid w:val="00CF667A"/>
    <w:rsid w:val="00D0039D"/>
    <w:rsid w:val="00D0089D"/>
    <w:rsid w:val="00D04012"/>
    <w:rsid w:val="00D067E0"/>
    <w:rsid w:val="00D0757E"/>
    <w:rsid w:val="00D108C2"/>
    <w:rsid w:val="00D11813"/>
    <w:rsid w:val="00D1298B"/>
    <w:rsid w:val="00D12F43"/>
    <w:rsid w:val="00D13B9F"/>
    <w:rsid w:val="00D157DB"/>
    <w:rsid w:val="00D1751E"/>
    <w:rsid w:val="00D2051D"/>
    <w:rsid w:val="00D2069B"/>
    <w:rsid w:val="00D210AD"/>
    <w:rsid w:val="00D21EEA"/>
    <w:rsid w:val="00D22184"/>
    <w:rsid w:val="00D22801"/>
    <w:rsid w:val="00D2288E"/>
    <w:rsid w:val="00D23191"/>
    <w:rsid w:val="00D2373A"/>
    <w:rsid w:val="00D23AC0"/>
    <w:rsid w:val="00D247B1"/>
    <w:rsid w:val="00D254F9"/>
    <w:rsid w:val="00D26556"/>
    <w:rsid w:val="00D2683E"/>
    <w:rsid w:val="00D31364"/>
    <w:rsid w:val="00D32E88"/>
    <w:rsid w:val="00D33D3F"/>
    <w:rsid w:val="00D33D52"/>
    <w:rsid w:val="00D35921"/>
    <w:rsid w:val="00D35FF6"/>
    <w:rsid w:val="00D37757"/>
    <w:rsid w:val="00D42F40"/>
    <w:rsid w:val="00D43C0E"/>
    <w:rsid w:val="00D4476A"/>
    <w:rsid w:val="00D44CED"/>
    <w:rsid w:val="00D44F62"/>
    <w:rsid w:val="00D460F2"/>
    <w:rsid w:val="00D47861"/>
    <w:rsid w:val="00D50671"/>
    <w:rsid w:val="00D506A1"/>
    <w:rsid w:val="00D5296C"/>
    <w:rsid w:val="00D53AEF"/>
    <w:rsid w:val="00D54BF8"/>
    <w:rsid w:val="00D55245"/>
    <w:rsid w:val="00D55820"/>
    <w:rsid w:val="00D57987"/>
    <w:rsid w:val="00D57D3E"/>
    <w:rsid w:val="00D6104D"/>
    <w:rsid w:val="00D64217"/>
    <w:rsid w:val="00D648BB"/>
    <w:rsid w:val="00D64C08"/>
    <w:rsid w:val="00D66124"/>
    <w:rsid w:val="00D66C88"/>
    <w:rsid w:val="00D70BAE"/>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22B3"/>
    <w:rsid w:val="00DC5255"/>
    <w:rsid w:val="00DC5F9B"/>
    <w:rsid w:val="00DC624E"/>
    <w:rsid w:val="00DC6564"/>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AB8"/>
    <w:rsid w:val="00E21F2B"/>
    <w:rsid w:val="00E22306"/>
    <w:rsid w:val="00E22A58"/>
    <w:rsid w:val="00E24161"/>
    <w:rsid w:val="00E24C10"/>
    <w:rsid w:val="00E24FB8"/>
    <w:rsid w:val="00E26A5B"/>
    <w:rsid w:val="00E27190"/>
    <w:rsid w:val="00E27F84"/>
    <w:rsid w:val="00E3227E"/>
    <w:rsid w:val="00E32841"/>
    <w:rsid w:val="00E333BA"/>
    <w:rsid w:val="00E341D8"/>
    <w:rsid w:val="00E34A00"/>
    <w:rsid w:val="00E35452"/>
    <w:rsid w:val="00E357E0"/>
    <w:rsid w:val="00E366A3"/>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08CA"/>
    <w:rsid w:val="00E6111C"/>
    <w:rsid w:val="00E615FF"/>
    <w:rsid w:val="00E62EE0"/>
    <w:rsid w:val="00E631F7"/>
    <w:rsid w:val="00E64553"/>
    <w:rsid w:val="00E651D2"/>
    <w:rsid w:val="00E654A0"/>
    <w:rsid w:val="00E66AB4"/>
    <w:rsid w:val="00E66BFB"/>
    <w:rsid w:val="00E6750E"/>
    <w:rsid w:val="00E67FC4"/>
    <w:rsid w:val="00E70A23"/>
    <w:rsid w:val="00E72A3A"/>
    <w:rsid w:val="00E75008"/>
    <w:rsid w:val="00E7584C"/>
    <w:rsid w:val="00E76350"/>
    <w:rsid w:val="00E76D99"/>
    <w:rsid w:val="00E77549"/>
    <w:rsid w:val="00E77947"/>
    <w:rsid w:val="00E77D52"/>
    <w:rsid w:val="00E815F5"/>
    <w:rsid w:val="00E82C3B"/>
    <w:rsid w:val="00E82CE1"/>
    <w:rsid w:val="00E838E0"/>
    <w:rsid w:val="00E85616"/>
    <w:rsid w:val="00E86D69"/>
    <w:rsid w:val="00E91010"/>
    <w:rsid w:val="00E91403"/>
    <w:rsid w:val="00E91D64"/>
    <w:rsid w:val="00E9207C"/>
    <w:rsid w:val="00E9348C"/>
    <w:rsid w:val="00E94130"/>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8A4"/>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EF5B58"/>
    <w:rsid w:val="00EF63B7"/>
    <w:rsid w:val="00F01E2F"/>
    <w:rsid w:val="00F02D6F"/>
    <w:rsid w:val="00F02F49"/>
    <w:rsid w:val="00F051FB"/>
    <w:rsid w:val="00F05B49"/>
    <w:rsid w:val="00F07649"/>
    <w:rsid w:val="00F12EFF"/>
    <w:rsid w:val="00F1453B"/>
    <w:rsid w:val="00F14A50"/>
    <w:rsid w:val="00F15030"/>
    <w:rsid w:val="00F17B33"/>
    <w:rsid w:val="00F20799"/>
    <w:rsid w:val="00F21D34"/>
    <w:rsid w:val="00F22DA4"/>
    <w:rsid w:val="00F242B5"/>
    <w:rsid w:val="00F2520B"/>
    <w:rsid w:val="00F25E55"/>
    <w:rsid w:val="00F26165"/>
    <w:rsid w:val="00F26514"/>
    <w:rsid w:val="00F26B05"/>
    <w:rsid w:val="00F307EC"/>
    <w:rsid w:val="00F308F1"/>
    <w:rsid w:val="00F30DDD"/>
    <w:rsid w:val="00F32EE7"/>
    <w:rsid w:val="00F34554"/>
    <w:rsid w:val="00F35167"/>
    <w:rsid w:val="00F35B54"/>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1E8A"/>
    <w:rsid w:val="00F6252D"/>
    <w:rsid w:val="00F62F83"/>
    <w:rsid w:val="00F62FC8"/>
    <w:rsid w:val="00F631F2"/>
    <w:rsid w:val="00F66918"/>
    <w:rsid w:val="00F70534"/>
    <w:rsid w:val="00F70C08"/>
    <w:rsid w:val="00F71B57"/>
    <w:rsid w:val="00F72A57"/>
    <w:rsid w:val="00F72D3F"/>
    <w:rsid w:val="00F73054"/>
    <w:rsid w:val="00F74200"/>
    <w:rsid w:val="00F74611"/>
    <w:rsid w:val="00F748E0"/>
    <w:rsid w:val="00F755CB"/>
    <w:rsid w:val="00F75CEC"/>
    <w:rsid w:val="00F77083"/>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styleId="Puesto">
    <w:name w:val="Title"/>
    <w:basedOn w:val="Normal"/>
    <w:next w:val="Normal"/>
    <w:link w:val="PuestoCar"/>
    <w:qFormat/>
    <w:rsid w:val="00CC79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C790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91358788">
      <w:bodyDiv w:val="1"/>
      <w:marLeft w:val="0"/>
      <w:marRight w:val="0"/>
      <w:marTop w:val="0"/>
      <w:marBottom w:val="0"/>
      <w:divBdr>
        <w:top w:val="none" w:sz="0" w:space="0" w:color="auto"/>
        <w:left w:val="none" w:sz="0" w:space="0" w:color="auto"/>
        <w:bottom w:val="none" w:sz="0" w:space="0" w:color="auto"/>
        <w:right w:val="none" w:sz="0" w:space="0" w:color="auto"/>
      </w:divBdr>
    </w:div>
    <w:div w:id="441807390">
      <w:bodyDiv w:val="1"/>
      <w:marLeft w:val="0"/>
      <w:marRight w:val="0"/>
      <w:marTop w:val="0"/>
      <w:marBottom w:val="0"/>
      <w:divBdr>
        <w:top w:val="none" w:sz="0" w:space="0" w:color="auto"/>
        <w:left w:val="none" w:sz="0" w:space="0" w:color="auto"/>
        <w:bottom w:val="none" w:sz="0" w:space="0" w:color="auto"/>
        <w:right w:val="none" w:sz="0" w:space="0" w:color="auto"/>
      </w:divBdr>
    </w:div>
    <w:div w:id="1147934661">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611233926">
      <w:bodyDiv w:val="1"/>
      <w:marLeft w:val="0"/>
      <w:marRight w:val="0"/>
      <w:marTop w:val="0"/>
      <w:marBottom w:val="0"/>
      <w:divBdr>
        <w:top w:val="none" w:sz="0" w:space="0" w:color="auto"/>
        <w:left w:val="none" w:sz="0" w:space="0" w:color="auto"/>
        <w:bottom w:val="none" w:sz="0" w:space="0" w:color="auto"/>
        <w:right w:val="none" w:sz="0" w:space="0" w:color="auto"/>
      </w:divBdr>
    </w:div>
    <w:div w:id="18795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982F-E4C3-4747-BBE8-F164262E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3992</Words>
  <Characters>21956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17</cp:revision>
  <cp:lastPrinted>2018-07-10T15:07:00Z</cp:lastPrinted>
  <dcterms:created xsi:type="dcterms:W3CDTF">2018-07-06T15:09:00Z</dcterms:created>
  <dcterms:modified xsi:type="dcterms:W3CDTF">2018-08-13T22:27:00Z</dcterms:modified>
</cp:coreProperties>
</file>