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92F" w:rsidRPr="0040747B" w:rsidRDefault="0022492F" w:rsidP="0022492F">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val="es-CO" w:eastAsia="fr-FR"/>
        </w:rPr>
      </w:pPr>
      <w:r w:rsidRPr="0040747B">
        <w:rPr>
          <w:rFonts w:ascii="Arial" w:hAnsi="Arial" w:cs="Arial"/>
          <w:color w:val="FF0000"/>
          <w:spacing w:val="-8"/>
          <w:sz w:val="18"/>
          <w:szCs w:val="18"/>
          <w:lang w:val="es-CO" w:eastAsia="fr-FR"/>
        </w:rPr>
        <w:t xml:space="preserve">El siguiente es el documento presentado por el Magistrado Ponente que sirvió de base para proferir la providencia dentro del presente proceso. </w:t>
      </w:r>
      <w:r w:rsidRPr="0040747B">
        <w:rPr>
          <w:rFonts w:ascii="Arial" w:hAnsi="Arial" w:cs="Arial"/>
          <w:color w:val="FF0000"/>
          <w:sz w:val="18"/>
          <w:szCs w:val="18"/>
          <w:lang w:val="es-CO" w:eastAsia="fr-FR"/>
        </w:rPr>
        <w:t>El contenido total y fiel de la decisión debe ser verificado en la Secretaría de esta Sala.</w:t>
      </w:r>
    </w:p>
    <w:p w:rsidR="0022492F" w:rsidRPr="0040747B" w:rsidRDefault="0022492F" w:rsidP="008B7145">
      <w:pPr>
        <w:pStyle w:val="Sinespaciado"/>
        <w:spacing w:line="360" w:lineRule="auto"/>
        <w:jc w:val="center"/>
        <w:rPr>
          <w:rFonts w:ascii="Georgia" w:hAnsi="Georgia" w:cs="Arial"/>
          <w:w w:val="140"/>
          <w:sz w:val="14"/>
          <w:szCs w:val="14"/>
        </w:rPr>
      </w:pPr>
    </w:p>
    <w:p w:rsidR="0022492F" w:rsidRPr="0040747B" w:rsidRDefault="0022492F" w:rsidP="008B7145">
      <w:pPr>
        <w:pStyle w:val="Sinespaciado"/>
        <w:spacing w:line="360" w:lineRule="auto"/>
        <w:jc w:val="center"/>
        <w:rPr>
          <w:rFonts w:ascii="Georgia" w:hAnsi="Georgia" w:cs="Arial"/>
          <w:w w:val="140"/>
          <w:sz w:val="14"/>
          <w:szCs w:val="14"/>
        </w:rPr>
      </w:pPr>
    </w:p>
    <w:p w:rsidR="0022492F" w:rsidRPr="0040747B" w:rsidRDefault="0022492F" w:rsidP="00F11B8B">
      <w:pPr>
        <w:pStyle w:val="Textoindependiente"/>
        <w:spacing w:line="240" w:lineRule="auto"/>
        <w:rPr>
          <w:rFonts w:ascii="Arial" w:hAnsi="Arial" w:cs="Arial"/>
          <w:sz w:val="22"/>
          <w:szCs w:val="22"/>
        </w:rPr>
      </w:pPr>
      <w:r w:rsidRPr="0040747B">
        <w:rPr>
          <w:rFonts w:ascii="Arial" w:hAnsi="Arial" w:cs="Arial"/>
          <w:sz w:val="22"/>
          <w:szCs w:val="22"/>
        </w:rPr>
        <w:t>Asunto</w:t>
      </w:r>
      <w:r w:rsidRPr="0040747B">
        <w:rPr>
          <w:rFonts w:ascii="Arial" w:hAnsi="Arial" w:cs="Arial"/>
          <w:sz w:val="22"/>
          <w:szCs w:val="22"/>
        </w:rPr>
        <w:tab/>
      </w:r>
      <w:r w:rsidRPr="0040747B">
        <w:rPr>
          <w:rFonts w:ascii="Arial" w:hAnsi="Arial" w:cs="Arial"/>
          <w:sz w:val="22"/>
          <w:szCs w:val="22"/>
        </w:rPr>
        <w:tab/>
      </w:r>
      <w:r w:rsidRPr="0040747B">
        <w:rPr>
          <w:rFonts w:ascii="Arial" w:hAnsi="Arial" w:cs="Arial"/>
          <w:sz w:val="22"/>
          <w:szCs w:val="22"/>
        </w:rPr>
        <w:tab/>
        <w:t>: Auto 2a. instancia- 14 de agosto de 2018</w:t>
      </w:r>
      <w:r w:rsidRPr="0040747B">
        <w:rPr>
          <w:rFonts w:ascii="Arial" w:hAnsi="Arial" w:cs="Arial"/>
          <w:sz w:val="22"/>
          <w:szCs w:val="22"/>
        </w:rPr>
        <w:tab/>
      </w:r>
    </w:p>
    <w:p w:rsidR="0022492F" w:rsidRPr="0040747B" w:rsidRDefault="0022492F" w:rsidP="00F11B8B">
      <w:pPr>
        <w:pStyle w:val="Textoindependiente"/>
        <w:spacing w:line="240" w:lineRule="auto"/>
        <w:rPr>
          <w:rFonts w:ascii="Arial" w:hAnsi="Arial" w:cs="Arial"/>
          <w:sz w:val="22"/>
          <w:szCs w:val="22"/>
        </w:rPr>
      </w:pPr>
      <w:r w:rsidRPr="0040747B">
        <w:rPr>
          <w:rFonts w:ascii="Arial" w:hAnsi="Arial" w:cs="Arial"/>
          <w:sz w:val="22"/>
          <w:szCs w:val="22"/>
        </w:rPr>
        <w:t>Tipo de proceso</w:t>
      </w:r>
      <w:r w:rsidRPr="0040747B">
        <w:rPr>
          <w:rFonts w:ascii="Arial" w:hAnsi="Arial" w:cs="Arial"/>
          <w:sz w:val="22"/>
          <w:szCs w:val="22"/>
        </w:rPr>
        <w:tab/>
        <w:t>: Verbal – Resolución contrato</w:t>
      </w:r>
    </w:p>
    <w:p w:rsidR="0022492F" w:rsidRPr="0040747B" w:rsidRDefault="0022492F" w:rsidP="00F11B8B">
      <w:pPr>
        <w:pStyle w:val="Textoindependiente"/>
        <w:spacing w:line="240" w:lineRule="auto"/>
        <w:rPr>
          <w:rFonts w:ascii="Arial" w:hAnsi="Arial" w:cs="Arial"/>
          <w:sz w:val="22"/>
          <w:szCs w:val="22"/>
        </w:rPr>
      </w:pPr>
      <w:r w:rsidRPr="0040747B">
        <w:rPr>
          <w:rFonts w:ascii="Arial" w:hAnsi="Arial" w:cs="Arial"/>
          <w:sz w:val="22"/>
          <w:szCs w:val="22"/>
        </w:rPr>
        <w:t xml:space="preserve">Demandantes </w:t>
      </w:r>
      <w:r w:rsidRPr="0040747B">
        <w:rPr>
          <w:rFonts w:ascii="Arial" w:hAnsi="Arial" w:cs="Arial"/>
          <w:sz w:val="22"/>
          <w:szCs w:val="22"/>
        </w:rPr>
        <w:tab/>
      </w:r>
      <w:r w:rsidRPr="0040747B">
        <w:rPr>
          <w:rFonts w:ascii="Arial" w:hAnsi="Arial" w:cs="Arial"/>
          <w:sz w:val="22"/>
          <w:szCs w:val="22"/>
        </w:rPr>
        <w:tab/>
        <w:t>: Óskar Yesid Sánchez Medina y otra</w:t>
      </w:r>
    </w:p>
    <w:p w:rsidR="0022492F" w:rsidRPr="0040747B" w:rsidRDefault="0022492F" w:rsidP="00F11B8B">
      <w:pPr>
        <w:rPr>
          <w:rFonts w:ascii="Arial" w:hAnsi="Arial" w:cs="Arial"/>
          <w:sz w:val="22"/>
          <w:szCs w:val="22"/>
        </w:rPr>
      </w:pPr>
      <w:r w:rsidRPr="0040747B">
        <w:rPr>
          <w:rFonts w:ascii="Arial" w:hAnsi="Arial" w:cs="Arial"/>
          <w:sz w:val="22"/>
          <w:szCs w:val="22"/>
        </w:rPr>
        <w:t>Demandados</w:t>
      </w:r>
      <w:r w:rsidRPr="0040747B">
        <w:rPr>
          <w:rFonts w:ascii="Arial" w:hAnsi="Arial" w:cs="Arial"/>
          <w:sz w:val="22"/>
          <w:szCs w:val="22"/>
        </w:rPr>
        <w:tab/>
      </w:r>
      <w:r w:rsidRPr="0040747B">
        <w:rPr>
          <w:rFonts w:ascii="Arial" w:hAnsi="Arial" w:cs="Arial"/>
          <w:sz w:val="22"/>
          <w:szCs w:val="22"/>
        </w:rPr>
        <w:tab/>
        <w:t>: Banco Davivienda SA y otro</w:t>
      </w:r>
    </w:p>
    <w:p w:rsidR="0022492F" w:rsidRPr="0040747B" w:rsidRDefault="0022492F" w:rsidP="00F11B8B">
      <w:pPr>
        <w:rPr>
          <w:rFonts w:ascii="Arial" w:hAnsi="Arial" w:cs="Arial"/>
          <w:sz w:val="22"/>
          <w:szCs w:val="22"/>
        </w:rPr>
      </w:pPr>
      <w:r w:rsidRPr="0040747B">
        <w:rPr>
          <w:rFonts w:ascii="Arial" w:hAnsi="Arial" w:cs="Arial"/>
          <w:sz w:val="22"/>
          <w:szCs w:val="22"/>
        </w:rPr>
        <w:t>Radicación</w:t>
      </w:r>
      <w:r w:rsidRPr="0040747B">
        <w:rPr>
          <w:rFonts w:ascii="Arial" w:hAnsi="Arial" w:cs="Arial"/>
          <w:sz w:val="22"/>
          <w:szCs w:val="22"/>
        </w:rPr>
        <w:tab/>
      </w:r>
      <w:r w:rsidRPr="0040747B">
        <w:rPr>
          <w:rFonts w:ascii="Arial" w:hAnsi="Arial" w:cs="Arial"/>
          <w:sz w:val="22"/>
          <w:szCs w:val="22"/>
        </w:rPr>
        <w:tab/>
        <w:t>: 2017-00072-01</w:t>
      </w:r>
    </w:p>
    <w:p w:rsidR="0022492F" w:rsidRPr="0040747B" w:rsidRDefault="0022492F" w:rsidP="00F11B8B">
      <w:pPr>
        <w:rPr>
          <w:rFonts w:ascii="Arial" w:hAnsi="Arial" w:cs="Arial"/>
          <w:sz w:val="22"/>
          <w:szCs w:val="22"/>
          <w:lang w:val="es-CO"/>
        </w:rPr>
      </w:pPr>
      <w:r w:rsidRPr="0040747B">
        <w:rPr>
          <w:rFonts w:ascii="Arial" w:hAnsi="Arial" w:cs="Arial"/>
          <w:sz w:val="22"/>
          <w:szCs w:val="22"/>
          <w:lang w:val="es-CO"/>
        </w:rPr>
        <w:t>Mag.Sustanciador</w:t>
      </w:r>
      <w:r w:rsidRPr="0040747B">
        <w:rPr>
          <w:rFonts w:ascii="Arial" w:hAnsi="Arial" w:cs="Arial"/>
          <w:sz w:val="22"/>
          <w:szCs w:val="22"/>
          <w:lang w:val="es-CO"/>
        </w:rPr>
        <w:tab/>
        <w:t xml:space="preserve">: </w:t>
      </w:r>
      <w:r w:rsidRPr="0040747B">
        <w:rPr>
          <w:rFonts w:ascii="Arial" w:hAnsi="Arial" w:cs="Arial"/>
          <w:smallCaps/>
          <w:sz w:val="22"/>
          <w:szCs w:val="22"/>
          <w:lang w:val="es-CO"/>
        </w:rPr>
        <w:t>Duberney Grisales Herrera</w:t>
      </w:r>
    </w:p>
    <w:p w:rsidR="0022492F" w:rsidRPr="0040747B" w:rsidRDefault="0022492F" w:rsidP="00F11B8B">
      <w:pPr>
        <w:pStyle w:val="Sinespaciado"/>
        <w:jc w:val="center"/>
        <w:rPr>
          <w:rFonts w:ascii="Arial" w:hAnsi="Arial" w:cs="Arial"/>
          <w:w w:val="140"/>
          <w:sz w:val="22"/>
          <w:szCs w:val="22"/>
        </w:rPr>
      </w:pPr>
    </w:p>
    <w:p w:rsidR="0022492F" w:rsidRPr="0040747B" w:rsidRDefault="0022492F" w:rsidP="00F11B8B">
      <w:pPr>
        <w:pStyle w:val="Sinespaciado"/>
        <w:jc w:val="center"/>
        <w:rPr>
          <w:rFonts w:ascii="Arial" w:hAnsi="Arial" w:cs="Arial"/>
          <w:w w:val="140"/>
          <w:sz w:val="22"/>
          <w:szCs w:val="22"/>
        </w:rPr>
      </w:pPr>
    </w:p>
    <w:p w:rsidR="00BB33E6" w:rsidRPr="0040747B" w:rsidRDefault="001F4C34" w:rsidP="00BB33E6">
      <w:pPr>
        <w:pStyle w:val="Sinespaciado"/>
        <w:jc w:val="both"/>
        <w:rPr>
          <w:rFonts w:ascii="Arial" w:hAnsi="Arial" w:cs="Arial"/>
          <w:b/>
          <w:sz w:val="22"/>
          <w:szCs w:val="22"/>
        </w:rPr>
      </w:pPr>
      <w:r>
        <w:rPr>
          <w:rFonts w:ascii="Arial" w:hAnsi="Arial" w:cs="Arial"/>
          <w:b/>
          <w:sz w:val="22"/>
          <w:szCs w:val="22"/>
        </w:rPr>
        <w:t xml:space="preserve">PROCESO </w:t>
      </w:r>
      <w:bookmarkStart w:id="0" w:name="_GoBack"/>
      <w:bookmarkEnd w:id="0"/>
      <w:r w:rsidR="00BB33E6" w:rsidRPr="0040747B">
        <w:rPr>
          <w:rFonts w:ascii="Arial" w:hAnsi="Arial" w:cs="Arial"/>
          <w:b/>
          <w:sz w:val="22"/>
          <w:szCs w:val="22"/>
        </w:rPr>
        <w:t>VERBAL/ EXCEPCIONES PREVIAS</w:t>
      </w:r>
      <w:r w:rsidR="009B7501">
        <w:rPr>
          <w:rFonts w:ascii="Arial" w:hAnsi="Arial" w:cs="Arial"/>
          <w:b/>
          <w:sz w:val="22"/>
          <w:szCs w:val="22"/>
        </w:rPr>
        <w:t xml:space="preserve"> -</w:t>
      </w:r>
      <w:r w:rsidR="00BB33E6" w:rsidRPr="0040747B">
        <w:rPr>
          <w:rFonts w:ascii="Arial" w:hAnsi="Arial" w:cs="Arial"/>
          <w:b/>
          <w:sz w:val="22"/>
          <w:szCs w:val="22"/>
        </w:rPr>
        <w:t xml:space="preserve">Declaró probada la </w:t>
      </w:r>
      <w:r w:rsidR="00BB33E6">
        <w:rPr>
          <w:rFonts w:ascii="Arial" w:hAnsi="Arial" w:cs="Arial"/>
          <w:b/>
          <w:sz w:val="22"/>
        </w:rPr>
        <w:t xml:space="preserve">denominada </w:t>
      </w:r>
      <w:r w:rsidR="00BB33E6" w:rsidRPr="0040747B">
        <w:rPr>
          <w:rFonts w:ascii="Arial" w:hAnsi="Arial" w:cs="Arial"/>
          <w:b/>
          <w:sz w:val="22"/>
          <w:szCs w:val="22"/>
        </w:rPr>
        <w:t>inepta demanda por indebida acumulación de pretensiones</w:t>
      </w:r>
      <w:r w:rsidR="009B7501">
        <w:rPr>
          <w:rFonts w:ascii="Arial" w:hAnsi="Arial" w:cs="Arial"/>
          <w:b/>
          <w:sz w:val="22"/>
          <w:szCs w:val="22"/>
        </w:rPr>
        <w:t>-</w:t>
      </w:r>
      <w:r w:rsidR="00BB33E6" w:rsidRPr="0040747B">
        <w:rPr>
          <w:rFonts w:ascii="Arial" w:hAnsi="Arial" w:cs="Arial"/>
          <w:b/>
          <w:sz w:val="22"/>
          <w:szCs w:val="22"/>
        </w:rPr>
        <w:t>/ REFORMA DE LA DEMANDA- Oportunidad-/</w:t>
      </w:r>
      <w:r w:rsidR="00BB33E6">
        <w:rPr>
          <w:rFonts w:ascii="Arial" w:hAnsi="Arial" w:cs="Arial"/>
          <w:b/>
          <w:sz w:val="22"/>
        </w:rPr>
        <w:t xml:space="preserve"> </w:t>
      </w:r>
      <w:r w:rsidR="009B7501">
        <w:rPr>
          <w:rFonts w:ascii="Arial" w:hAnsi="Arial" w:cs="Arial"/>
          <w:b/>
          <w:sz w:val="22"/>
        </w:rPr>
        <w:t xml:space="preserve">APLICACIÓN AL </w:t>
      </w:r>
      <w:r w:rsidR="00BB33E6">
        <w:rPr>
          <w:rFonts w:ascii="Arial" w:hAnsi="Arial" w:cs="Arial"/>
          <w:b/>
          <w:sz w:val="22"/>
        </w:rPr>
        <w:t>PRINCIPIO DE</w:t>
      </w:r>
      <w:r w:rsidR="00BB33E6" w:rsidRPr="0040747B">
        <w:rPr>
          <w:rFonts w:ascii="Arial" w:hAnsi="Arial" w:cs="Arial"/>
          <w:b/>
          <w:sz w:val="22"/>
          <w:szCs w:val="22"/>
        </w:rPr>
        <w:t xml:space="preserve"> PRECLUSIVIDAD  O EVENTUALIDAD</w:t>
      </w:r>
      <w:r w:rsidR="00BB33E6">
        <w:rPr>
          <w:rFonts w:ascii="Arial" w:hAnsi="Arial" w:cs="Arial"/>
          <w:b/>
          <w:sz w:val="22"/>
        </w:rPr>
        <w:t xml:space="preserve"> –Prohibición de revivir etapas procesales fenecidas/</w:t>
      </w:r>
      <w:r w:rsidR="00BB33E6" w:rsidRPr="0040747B">
        <w:rPr>
          <w:rFonts w:ascii="Arial" w:hAnsi="Arial" w:cs="Arial"/>
          <w:b/>
          <w:sz w:val="22"/>
          <w:szCs w:val="22"/>
        </w:rPr>
        <w:t xml:space="preserve"> CONFIRMA PARCIAL.</w:t>
      </w:r>
    </w:p>
    <w:p w:rsidR="00BB33E6" w:rsidRPr="0040747B" w:rsidRDefault="00BB33E6" w:rsidP="00BB33E6">
      <w:pPr>
        <w:jc w:val="both"/>
        <w:rPr>
          <w:rFonts w:ascii="Arial" w:hAnsi="Arial" w:cs="Arial"/>
          <w:sz w:val="22"/>
          <w:szCs w:val="22"/>
        </w:rPr>
      </w:pPr>
    </w:p>
    <w:p w:rsidR="00F11B8B" w:rsidRPr="0040747B" w:rsidRDefault="00F11B8B" w:rsidP="00F11B8B">
      <w:pPr>
        <w:pStyle w:val="Sinespaciado"/>
        <w:jc w:val="both"/>
        <w:rPr>
          <w:rFonts w:ascii="Arial" w:hAnsi="Arial" w:cs="Arial"/>
          <w:sz w:val="22"/>
          <w:szCs w:val="22"/>
        </w:rPr>
      </w:pPr>
    </w:p>
    <w:p w:rsidR="00F11B8B" w:rsidRPr="0040747B" w:rsidRDefault="00F11B8B" w:rsidP="00F11B8B">
      <w:pPr>
        <w:pStyle w:val="Sinespaciado"/>
        <w:jc w:val="both"/>
        <w:rPr>
          <w:rFonts w:ascii="Arial" w:hAnsi="Arial" w:cs="Arial"/>
          <w:sz w:val="22"/>
          <w:szCs w:val="22"/>
        </w:rPr>
      </w:pPr>
      <w:r w:rsidRPr="0040747B">
        <w:rPr>
          <w:rFonts w:ascii="Arial" w:hAnsi="Arial" w:cs="Arial"/>
          <w:sz w:val="22"/>
          <w:szCs w:val="22"/>
          <w:shd w:val="clear" w:color="auto" w:fill="FFFFFF"/>
        </w:rPr>
        <w:t>En ese contexto y bajo el entendido de que el</w:t>
      </w:r>
      <w:r w:rsidRPr="0040747B">
        <w:rPr>
          <w:rFonts w:ascii="Arial" w:hAnsi="Arial" w:cs="Arial"/>
          <w:b/>
          <w:sz w:val="22"/>
          <w:szCs w:val="22"/>
          <w:shd w:val="clear" w:color="auto" w:fill="FFFFFF"/>
        </w:rPr>
        <w:t> </w:t>
      </w:r>
      <w:r w:rsidRPr="0040747B">
        <w:rPr>
          <w:rStyle w:val="Textoennegrita"/>
          <w:rFonts w:ascii="Arial" w:hAnsi="Arial" w:cs="Arial"/>
          <w:sz w:val="22"/>
          <w:szCs w:val="22"/>
          <w:bdr w:val="none" w:sz="0" w:space="0" w:color="auto" w:frame="1"/>
          <w:shd w:val="clear" w:color="auto" w:fill="FFFFFF"/>
        </w:rPr>
        <w:t>debido proceso</w:t>
      </w:r>
      <w:r w:rsidRPr="0040747B">
        <w:rPr>
          <w:rStyle w:val="apple-converted-space"/>
          <w:rFonts w:ascii="Arial" w:hAnsi="Arial" w:cs="Arial"/>
          <w:sz w:val="22"/>
          <w:szCs w:val="22"/>
          <w:shd w:val="clear" w:color="auto" w:fill="FFFFFF"/>
        </w:rPr>
        <w:t> </w:t>
      </w:r>
      <w:r w:rsidRPr="0040747B">
        <w:rPr>
          <w:rFonts w:ascii="Arial" w:hAnsi="Arial" w:cs="Arial"/>
          <w:sz w:val="22"/>
          <w:szCs w:val="22"/>
          <w:shd w:val="clear" w:color="auto" w:fill="FFFFFF"/>
        </w:rPr>
        <w:t xml:space="preserve">es un derecho de rango fundamental, según el cual toda persona tiene derecho a determinadas garantías mínimas, </w:t>
      </w:r>
      <w:r w:rsidRPr="0040747B">
        <w:rPr>
          <w:rFonts w:ascii="Arial" w:hAnsi="Arial" w:cs="Arial"/>
          <w:sz w:val="22"/>
          <w:szCs w:val="22"/>
        </w:rPr>
        <w:t>es preponderante tener definidos los momentos procesales con que se cuenta, y más precisamente, las oportunidades para actuar, porque la desatención de aquellos, avoca el descuidado a la aplicación del principio de preclusividad</w:t>
      </w:r>
      <w:r w:rsidRPr="0040747B">
        <w:rPr>
          <w:rStyle w:val="Refdenotaalpie"/>
          <w:rFonts w:ascii="Arial" w:hAnsi="Arial" w:cs="Arial"/>
          <w:sz w:val="22"/>
          <w:szCs w:val="22"/>
        </w:rPr>
        <w:footnoteReference w:id="1"/>
      </w:r>
      <w:r w:rsidRPr="0040747B">
        <w:rPr>
          <w:rFonts w:ascii="Arial" w:hAnsi="Arial" w:cs="Arial"/>
          <w:sz w:val="22"/>
          <w:szCs w:val="22"/>
        </w:rPr>
        <w:t>, también llamado de eventualidad</w:t>
      </w:r>
      <w:r w:rsidRPr="0040747B">
        <w:rPr>
          <w:rStyle w:val="Refdenotaalpie"/>
          <w:rFonts w:ascii="Arial" w:hAnsi="Arial" w:cs="Arial"/>
          <w:sz w:val="22"/>
          <w:szCs w:val="22"/>
        </w:rPr>
        <w:footnoteReference w:id="2"/>
      </w:r>
      <w:r w:rsidRPr="0040747B">
        <w:rPr>
          <w:rFonts w:ascii="Arial" w:hAnsi="Arial" w:cs="Arial"/>
          <w:sz w:val="22"/>
          <w:szCs w:val="22"/>
        </w:rPr>
        <w:t>, que consiste en que una vez superado un estadio procesal, es imposible retrotraerse al anterior, razonable postulado que procura que el proceso sea eficaz para la resolución de los conflictos.</w:t>
      </w:r>
    </w:p>
    <w:p w:rsidR="00F11B8B" w:rsidRPr="0040747B" w:rsidRDefault="00F11B8B" w:rsidP="00F11B8B">
      <w:pPr>
        <w:pStyle w:val="Sinespaciado"/>
        <w:jc w:val="both"/>
        <w:rPr>
          <w:rFonts w:ascii="Arial" w:hAnsi="Arial" w:cs="Arial"/>
          <w:sz w:val="22"/>
          <w:szCs w:val="22"/>
        </w:rPr>
      </w:pPr>
      <w:r w:rsidRPr="0040747B">
        <w:rPr>
          <w:rFonts w:ascii="Arial" w:hAnsi="Arial" w:cs="Arial"/>
          <w:sz w:val="22"/>
          <w:szCs w:val="22"/>
        </w:rPr>
        <w:t>(…)</w:t>
      </w:r>
    </w:p>
    <w:p w:rsidR="00F11B8B" w:rsidRPr="0040747B" w:rsidRDefault="00F11B8B" w:rsidP="00F11B8B">
      <w:pPr>
        <w:jc w:val="both"/>
        <w:rPr>
          <w:rFonts w:ascii="Arial" w:hAnsi="Arial" w:cs="Arial"/>
          <w:sz w:val="22"/>
          <w:szCs w:val="22"/>
        </w:rPr>
      </w:pPr>
      <w:r w:rsidRPr="0040747B">
        <w:rPr>
          <w:rFonts w:ascii="Arial" w:hAnsi="Arial" w:cs="Arial"/>
          <w:sz w:val="22"/>
          <w:szCs w:val="22"/>
        </w:rPr>
        <w:t>Así las cosas, es imposible revivir las etapas para acumular adecuadamente las pretensiones y menos utilizar para ello, la figura de la reforma de la demanda, so pretexto de un acceso efectivo a la administración de justicia, pues precluyeron las oportunidades para ello. Además, nótese el propósito restrictivo del legislador cuando prescribe que le está vedado a la parte actora alegarlo de nuevo como nulidad (Artículo 102, ib.).</w:t>
      </w:r>
    </w:p>
    <w:p w:rsidR="00F11B8B" w:rsidRPr="0040747B" w:rsidRDefault="00F11B8B" w:rsidP="00F11B8B">
      <w:pPr>
        <w:jc w:val="both"/>
        <w:rPr>
          <w:rFonts w:ascii="Arial" w:hAnsi="Arial" w:cs="Arial"/>
          <w:sz w:val="22"/>
          <w:szCs w:val="22"/>
        </w:rPr>
      </w:pPr>
    </w:p>
    <w:p w:rsidR="00F11B8B" w:rsidRPr="0040747B" w:rsidRDefault="00F11B8B" w:rsidP="00F11B8B">
      <w:pPr>
        <w:jc w:val="both"/>
        <w:rPr>
          <w:rFonts w:ascii="Arial" w:hAnsi="Arial" w:cs="Arial"/>
          <w:sz w:val="22"/>
          <w:szCs w:val="22"/>
        </w:rPr>
      </w:pPr>
      <w:r w:rsidRPr="0040747B">
        <w:rPr>
          <w:rFonts w:ascii="Arial" w:hAnsi="Arial" w:cs="Arial"/>
          <w:sz w:val="22"/>
          <w:szCs w:val="22"/>
        </w:rPr>
        <w:t>En lo tocante a la segunda petición, referente a que la decisión sea la inadmisión de la demanda y no la terminación del proceso, basta con decir que lo dispuesto por la falladora de primera instancia, de ninguna manera responde a un capricho, es la consecuencia consagrada por el estatuto procesal, ante la prosperidad de esa excepción (Artículo 101-1º, ib.), además que, nuevamente, se infringiría el debido proceso, al revivir la etapa de inadmisión, ya fenecida.</w:t>
      </w:r>
    </w:p>
    <w:p w:rsidR="00F11B8B" w:rsidRPr="0040747B" w:rsidRDefault="00F11B8B" w:rsidP="00F11B8B">
      <w:pPr>
        <w:jc w:val="both"/>
        <w:rPr>
          <w:rFonts w:ascii="Arial" w:hAnsi="Arial" w:cs="Arial"/>
          <w:sz w:val="22"/>
          <w:szCs w:val="22"/>
        </w:rPr>
      </w:pPr>
    </w:p>
    <w:p w:rsidR="00F11B8B" w:rsidRPr="0040747B" w:rsidRDefault="00F11B8B" w:rsidP="00F11B8B">
      <w:pPr>
        <w:jc w:val="both"/>
        <w:rPr>
          <w:rFonts w:ascii="Arial" w:hAnsi="Arial" w:cs="Arial"/>
          <w:sz w:val="22"/>
          <w:szCs w:val="22"/>
        </w:rPr>
      </w:pPr>
      <w:r w:rsidRPr="0040747B">
        <w:rPr>
          <w:rFonts w:ascii="Arial" w:hAnsi="Arial" w:cs="Arial"/>
          <w:sz w:val="22"/>
          <w:szCs w:val="22"/>
        </w:rPr>
        <w:t>Corolario de lo anterior, se confirmará el auto venido en apelación y se adicionará para ordenar el levantamiento de las medidas cautelares, consistentes en la inscripción de la demanda, que recaen sobre: (i) El vehículo de placas IGP250 (Folios 219 y 220, cuaderno principal, parte 1); y (iii) Los inmuebles con matrículas inmobiliarias Nos.290-111625 y 290-111630 (Folios 221 a 231, cuaderno principal, parte 1). Y se condenará en costas y perjuicios a la parte actora (Artículo 597-5º y 10º, ib.).</w:t>
      </w:r>
    </w:p>
    <w:p w:rsidR="00F11B8B" w:rsidRPr="0040747B" w:rsidRDefault="00F11B8B" w:rsidP="00F11B8B">
      <w:pPr>
        <w:pStyle w:val="Sinespaciado"/>
        <w:jc w:val="center"/>
        <w:rPr>
          <w:rFonts w:ascii="Arial" w:hAnsi="Arial" w:cs="Arial"/>
          <w:w w:val="140"/>
          <w:sz w:val="22"/>
          <w:szCs w:val="22"/>
        </w:rPr>
      </w:pPr>
    </w:p>
    <w:p w:rsidR="0022492F" w:rsidRPr="0040747B" w:rsidRDefault="0022492F" w:rsidP="00F11B8B">
      <w:pPr>
        <w:pStyle w:val="Sinespaciado"/>
        <w:jc w:val="center"/>
        <w:rPr>
          <w:rFonts w:ascii="Arial" w:hAnsi="Arial" w:cs="Arial"/>
          <w:w w:val="140"/>
          <w:sz w:val="22"/>
          <w:szCs w:val="22"/>
        </w:rPr>
      </w:pPr>
    </w:p>
    <w:p w:rsidR="00F11B8B" w:rsidRPr="0040747B" w:rsidRDefault="00F11B8B" w:rsidP="00F11B8B">
      <w:pPr>
        <w:pStyle w:val="Sinespaciado"/>
        <w:jc w:val="center"/>
        <w:rPr>
          <w:rFonts w:ascii="Arial" w:hAnsi="Arial" w:cs="Arial"/>
          <w:w w:val="140"/>
          <w:sz w:val="22"/>
          <w:szCs w:val="22"/>
        </w:rPr>
      </w:pPr>
    </w:p>
    <w:p w:rsidR="00F11B8B" w:rsidRPr="0040747B" w:rsidRDefault="00F11B8B" w:rsidP="00F11B8B">
      <w:pPr>
        <w:pStyle w:val="Sinespaciado"/>
        <w:jc w:val="center"/>
        <w:rPr>
          <w:rFonts w:ascii="Arial" w:hAnsi="Arial" w:cs="Arial"/>
          <w:w w:val="140"/>
          <w:sz w:val="22"/>
          <w:szCs w:val="22"/>
        </w:rPr>
      </w:pPr>
    </w:p>
    <w:p w:rsidR="00F11B8B" w:rsidRPr="0040747B" w:rsidRDefault="00F11B8B" w:rsidP="008B7145">
      <w:pPr>
        <w:pStyle w:val="Sinespaciado"/>
        <w:spacing w:line="360" w:lineRule="auto"/>
        <w:jc w:val="center"/>
        <w:rPr>
          <w:rFonts w:ascii="Georgia" w:hAnsi="Georgia" w:cs="Arial"/>
          <w:w w:val="140"/>
          <w:sz w:val="14"/>
          <w:szCs w:val="14"/>
        </w:rPr>
      </w:pPr>
    </w:p>
    <w:p w:rsidR="00F11B8B" w:rsidRPr="0040747B" w:rsidRDefault="00F11B8B" w:rsidP="008B7145">
      <w:pPr>
        <w:pStyle w:val="Sinespaciado"/>
        <w:spacing w:line="360" w:lineRule="auto"/>
        <w:jc w:val="center"/>
        <w:rPr>
          <w:rFonts w:ascii="Georgia" w:hAnsi="Georgia" w:cs="Arial"/>
          <w:w w:val="140"/>
          <w:sz w:val="14"/>
          <w:szCs w:val="14"/>
        </w:rPr>
      </w:pPr>
    </w:p>
    <w:p w:rsidR="00F11B8B" w:rsidRPr="0040747B" w:rsidRDefault="00F11B8B" w:rsidP="008B7145">
      <w:pPr>
        <w:pStyle w:val="Sinespaciado"/>
        <w:spacing w:line="360" w:lineRule="auto"/>
        <w:jc w:val="center"/>
        <w:rPr>
          <w:rFonts w:ascii="Georgia" w:hAnsi="Georgia" w:cs="Arial"/>
          <w:w w:val="140"/>
          <w:sz w:val="14"/>
          <w:szCs w:val="14"/>
        </w:rPr>
      </w:pPr>
    </w:p>
    <w:p w:rsidR="008B7145" w:rsidRPr="0040747B" w:rsidRDefault="00CD2257" w:rsidP="008B7145">
      <w:pPr>
        <w:pStyle w:val="Sinespaciado"/>
        <w:spacing w:line="360" w:lineRule="auto"/>
        <w:jc w:val="center"/>
        <w:rPr>
          <w:rFonts w:ascii="Georgia" w:hAnsi="Georgia" w:cs="Arial"/>
          <w:w w:val="140"/>
          <w:sz w:val="14"/>
          <w:szCs w:val="14"/>
        </w:rPr>
      </w:pPr>
      <w:r w:rsidRPr="0040747B">
        <w:rPr>
          <w:rFonts w:ascii="Georgia" w:hAnsi="Georgia"/>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40747B" w:rsidRDefault="008B7145" w:rsidP="008B7145">
      <w:pPr>
        <w:pStyle w:val="Sinespaciado"/>
        <w:spacing w:line="360" w:lineRule="auto"/>
        <w:jc w:val="center"/>
        <w:rPr>
          <w:rFonts w:ascii="Georgia" w:hAnsi="Georgia" w:cs="Arial"/>
          <w:w w:val="140"/>
          <w:sz w:val="14"/>
          <w:szCs w:val="14"/>
        </w:rPr>
      </w:pPr>
    </w:p>
    <w:p w:rsidR="008B7145" w:rsidRPr="0040747B" w:rsidRDefault="008B7145" w:rsidP="008B7145">
      <w:pPr>
        <w:pStyle w:val="Sinespaciado"/>
        <w:spacing w:line="360" w:lineRule="auto"/>
        <w:jc w:val="center"/>
        <w:rPr>
          <w:rFonts w:ascii="Georgia" w:hAnsi="Georgia" w:cs="Arial"/>
          <w:w w:val="140"/>
          <w:sz w:val="14"/>
          <w:szCs w:val="14"/>
        </w:rPr>
      </w:pPr>
      <w:r w:rsidRPr="0040747B">
        <w:rPr>
          <w:rFonts w:ascii="Georgia" w:hAnsi="Georgia" w:cs="Arial"/>
          <w:w w:val="140"/>
          <w:sz w:val="14"/>
          <w:szCs w:val="14"/>
        </w:rPr>
        <w:t>REPUBLICA DE COLOMBIA</w:t>
      </w:r>
    </w:p>
    <w:p w:rsidR="008B7145" w:rsidRPr="0040747B" w:rsidRDefault="008B7145" w:rsidP="008B7145">
      <w:pPr>
        <w:pStyle w:val="Sinespaciado"/>
        <w:tabs>
          <w:tab w:val="center" w:pos="4987"/>
          <w:tab w:val="left" w:pos="8449"/>
        </w:tabs>
        <w:spacing w:line="360" w:lineRule="auto"/>
        <w:jc w:val="center"/>
        <w:rPr>
          <w:rFonts w:ascii="Georgia" w:hAnsi="Georgia" w:cs="Arial"/>
          <w:w w:val="140"/>
        </w:rPr>
      </w:pPr>
      <w:r w:rsidRPr="0040747B">
        <w:rPr>
          <w:rFonts w:ascii="Georgia" w:hAnsi="Georgia" w:cs="Arial"/>
          <w:w w:val="140"/>
          <w:sz w:val="14"/>
          <w:szCs w:val="14"/>
        </w:rPr>
        <w:t>RAMA JUDICIAL DEL PODER PÚBLICO</w:t>
      </w:r>
    </w:p>
    <w:p w:rsidR="008B7145" w:rsidRPr="0040747B" w:rsidRDefault="008B7145" w:rsidP="008B7145">
      <w:pPr>
        <w:pStyle w:val="Sinespaciado"/>
        <w:spacing w:line="360" w:lineRule="auto"/>
        <w:jc w:val="center"/>
        <w:rPr>
          <w:rFonts w:ascii="Georgia" w:hAnsi="Georgia" w:cs="Arial"/>
          <w:w w:val="140"/>
          <w:sz w:val="16"/>
          <w:szCs w:val="16"/>
        </w:rPr>
      </w:pPr>
      <w:r w:rsidRPr="0040747B">
        <w:rPr>
          <w:rFonts w:ascii="Georgia" w:hAnsi="Georgia" w:cs="Arial"/>
          <w:w w:val="140"/>
          <w:sz w:val="18"/>
          <w:szCs w:val="18"/>
        </w:rPr>
        <w:t>T</w:t>
      </w:r>
      <w:r w:rsidRPr="0040747B">
        <w:rPr>
          <w:rFonts w:ascii="Georgia" w:hAnsi="Georgia" w:cs="Arial"/>
          <w:w w:val="140"/>
          <w:sz w:val="16"/>
          <w:szCs w:val="16"/>
        </w:rPr>
        <w:t>RIBUNAL</w:t>
      </w:r>
      <w:r w:rsidRPr="0040747B">
        <w:rPr>
          <w:rFonts w:ascii="Georgia" w:hAnsi="Georgia" w:cs="Arial"/>
          <w:w w:val="140"/>
          <w:sz w:val="18"/>
          <w:szCs w:val="18"/>
        </w:rPr>
        <w:t xml:space="preserve"> S</w:t>
      </w:r>
      <w:r w:rsidRPr="0040747B">
        <w:rPr>
          <w:rFonts w:ascii="Georgia" w:hAnsi="Georgia" w:cs="Arial"/>
          <w:w w:val="140"/>
          <w:sz w:val="16"/>
          <w:szCs w:val="16"/>
        </w:rPr>
        <w:t xml:space="preserve">UPERIOR DEL </w:t>
      </w:r>
      <w:r w:rsidRPr="0040747B">
        <w:rPr>
          <w:rFonts w:ascii="Georgia" w:hAnsi="Georgia" w:cs="Arial"/>
          <w:w w:val="140"/>
          <w:sz w:val="18"/>
          <w:szCs w:val="18"/>
        </w:rPr>
        <w:t>D</w:t>
      </w:r>
      <w:r w:rsidRPr="0040747B">
        <w:rPr>
          <w:rFonts w:ascii="Georgia" w:hAnsi="Georgia" w:cs="Arial"/>
          <w:w w:val="140"/>
          <w:sz w:val="16"/>
          <w:szCs w:val="16"/>
        </w:rPr>
        <w:t>ISTRITO</w:t>
      </w:r>
      <w:r w:rsidRPr="0040747B">
        <w:rPr>
          <w:rFonts w:ascii="Georgia" w:hAnsi="Georgia" w:cs="Arial"/>
          <w:w w:val="140"/>
          <w:sz w:val="18"/>
          <w:szCs w:val="18"/>
        </w:rPr>
        <w:t xml:space="preserve"> J</w:t>
      </w:r>
      <w:r w:rsidRPr="0040747B">
        <w:rPr>
          <w:rFonts w:ascii="Georgia" w:hAnsi="Georgia" w:cs="Arial"/>
          <w:w w:val="140"/>
          <w:sz w:val="16"/>
          <w:szCs w:val="16"/>
        </w:rPr>
        <w:t xml:space="preserve">UDICIAL </w:t>
      </w:r>
    </w:p>
    <w:p w:rsidR="001E18FB" w:rsidRPr="0040747B" w:rsidRDefault="001E18FB" w:rsidP="001E18FB">
      <w:pPr>
        <w:pStyle w:val="Sinespaciado"/>
        <w:spacing w:line="360" w:lineRule="auto"/>
        <w:jc w:val="center"/>
        <w:rPr>
          <w:rFonts w:ascii="Georgia" w:hAnsi="Georgia" w:cs="Arial"/>
          <w:w w:val="140"/>
          <w:sz w:val="16"/>
          <w:szCs w:val="16"/>
        </w:rPr>
      </w:pPr>
      <w:r w:rsidRPr="0040747B">
        <w:rPr>
          <w:rFonts w:ascii="Georgia" w:hAnsi="Georgia" w:cs="Arial"/>
          <w:w w:val="140"/>
          <w:sz w:val="18"/>
          <w:szCs w:val="16"/>
        </w:rPr>
        <w:t>S</w:t>
      </w:r>
      <w:r w:rsidRPr="0040747B">
        <w:rPr>
          <w:rFonts w:ascii="Georgia" w:hAnsi="Georgia" w:cs="Arial"/>
          <w:w w:val="140"/>
          <w:sz w:val="16"/>
          <w:szCs w:val="14"/>
        </w:rPr>
        <w:t xml:space="preserve">ALA </w:t>
      </w:r>
      <w:r w:rsidRPr="0040747B">
        <w:rPr>
          <w:rFonts w:ascii="Georgia" w:hAnsi="Georgia" w:cs="Arial"/>
          <w:w w:val="140"/>
          <w:sz w:val="18"/>
          <w:szCs w:val="16"/>
        </w:rPr>
        <w:t>U</w:t>
      </w:r>
      <w:r w:rsidRPr="0040747B">
        <w:rPr>
          <w:rFonts w:ascii="Georgia" w:hAnsi="Georgia" w:cs="Arial"/>
          <w:w w:val="140"/>
          <w:sz w:val="16"/>
          <w:szCs w:val="16"/>
        </w:rPr>
        <w:t xml:space="preserve">NITARIA </w:t>
      </w:r>
      <w:r w:rsidRPr="0040747B">
        <w:rPr>
          <w:rFonts w:ascii="Georgia" w:hAnsi="Georgia" w:cs="Arial"/>
          <w:w w:val="140"/>
          <w:sz w:val="18"/>
          <w:szCs w:val="16"/>
        </w:rPr>
        <w:t>C</w:t>
      </w:r>
      <w:r w:rsidRPr="0040747B">
        <w:rPr>
          <w:rFonts w:ascii="Georgia" w:hAnsi="Georgia" w:cs="Arial"/>
          <w:w w:val="140"/>
          <w:sz w:val="16"/>
          <w:szCs w:val="16"/>
        </w:rPr>
        <w:t>IVIL</w:t>
      </w:r>
      <w:r w:rsidR="009B54C5" w:rsidRPr="0040747B">
        <w:rPr>
          <w:rFonts w:ascii="Georgia" w:hAnsi="Georgia" w:cs="Arial"/>
          <w:w w:val="140"/>
          <w:sz w:val="16"/>
          <w:szCs w:val="16"/>
        </w:rPr>
        <w:t xml:space="preserve"> </w:t>
      </w:r>
      <w:r w:rsidRPr="0040747B">
        <w:rPr>
          <w:rFonts w:ascii="Georgia" w:hAnsi="Georgia" w:cs="Arial"/>
          <w:w w:val="140"/>
          <w:sz w:val="14"/>
          <w:szCs w:val="14"/>
        </w:rPr>
        <w:t xml:space="preserve">– </w:t>
      </w:r>
      <w:r w:rsidRPr="0040747B">
        <w:rPr>
          <w:rFonts w:ascii="Georgia" w:hAnsi="Georgia" w:cs="Arial"/>
          <w:w w:val="140"/>
          <w:sz w:val="18"/>
          <w:szCs w:val="16"/>
        </w:rPr>
        <w:t>F</w:t>
      </w:r>
      <w:r w:rsidRPr="0040747B">
        <w:rPr>
          <w:rFonts w:ascii="Georgia" w:hAnsi="Georgia" w:cs="Arial"/>
          <w:w w:val="140"/>
          <w:sz w:val="16"/>
          <w:szCs w:val="16"/>
        </w:rPr>
        <w:t>AMILIA –</w:t>
      </w:r>
      <w:r w:rsidR="009B54C5" w:rsidRPr="0040747B">
        <w:rPr>
          <w:rFonts w:ascii="Georgia" w:hAnsi="Georgia" w:cs="Arial"/>
          <w:w w:val="140"/>
          <w:sz w:val="16"/>
          <w:szCs w:val="16"/>
        </w:rPr>
        <w:t xml:space="preserve"> </w:t>
      </w:r>
      <w:r w:rsidRPr="0040747B">
        <w:rPr>
          <w:rFonts w:ascii="Georgia" w:hAnsi="Georgia" w:cs="Arial"/>
          <w:w w:val="140"/>
          <w:sz w:val="18"/>
          <w:szCs w:val="16"/>
        </w:rPr>
        <w:t>D</w:t>
      </w:r>
      <w:r w:rsidRPr="0040747B">
        <w:rPr>
          <w:rFonts w:ascii="Georgia" w:hAnsi="Georgia" w:cs="Arial"/>
          <w:w w:val="140"/>
          <w:sz w:val="16"/>
          <w:szCs w:val="16"/>
        </w:rPr>
        <w:t xml:space="preserve">ISTRITO DE </w:t>
      </w:r>
      <w:r w:rsidRPr="0040747B">
        <w:rPr>
          <w:rFonts w:ascii="Georgia" w:hAnsi="Georgia" w:cs="Arial"/>
          <w:w w:val="140"/>
          <w:sz w:val="18"/>
          <w:szCs w:val="16"/>
        </w:rPr>
        <w:t>P</w:t>
      </w:r>
      <w:r w:rsidRPr="0040747B">
        <w:rPr>
          <w:rFonts w:ascii="Georgia" w:hAnsi="Georgia" w:cs="Arial"/>
          <w:w w:val="140"/>
          <w:sz w:val="16"/>
          <w:szCs w:val="16"/>
        </w:rPr>
        <w:t>EREIRA</w:t>
      </w:r>
    </w:p>
    <w:p w:rsidR="008B7145" w:rsidRPr="0040747B" w:rsidRDefault="008B7145" w:rsidP="008B7145">
      <w:pPr>
        <w:pStyle w:val="Sinespaciado"/>
        <w:spacing w:line="360" w:lineRule="auto"/>
        <w:jc w:val="center"/>
        <w:rPr>
          <w:rFonts w:ascii="Georgia" w:hAnsi="Georgia" w:cs="Arial"/>
          <w:w w:val="140"/>
          <w:sz w:val="16"/>
          <w:szCs w:val="16"/>
        </w:rPr>
      </w:pPr>
      <w:r w:rsidRPr="0040747B">
        <w:rPr>
          <w:rFonts w:ascii="Georgia" w:hAnsi="Georgia" w:cs="Arial"/>
          <w:w w:val="140"/>
          <w:sz w:val="18"/>
          <w:szCs w:val="18"/>
        </w:rPr>
        <w:t>D</w:t>
      </w:r>
      <w:r w:rsidRPr="0040747B">
        <w:rPr>
          <w:rFonts w:ascii="Georgia" w:hAnsi="Georgia" w:cs="Arial"/>
          <w:w w:val="140"/>
          <w:sz w:val="16"/>
          <w:szCs w:val="16"/>
        </w:rPr>
        <w:t xml:space="preserve">EPARTAMENTO </w:t>
      </w:r>
      <w:r w:rsidRPr="0040747B">
        <w:rPr>
          <w:rFonts w:ascii="Georgia" w:hAnsi="Georgia" w:cs="Arial"/>
          <w:w w:val="140"/>
          <w:sz w:val="18"/>
          <w:szCs w:val="18"/>
        </w:rPr>
        <w:t>D</w:t>
      </w:r>
      <w:r w:rsidRPr="0040747B">
        <w:rPr>
          <w:rFonts w:ascii="Georgia" w:hAnsi="Georgia" w:cs="Arial"/>
          <w:w w:val="140"/>
          <w:sz w:val="16"/>
          <w:szCs w:val="16"/>
        </w:rPr>
        <w:t xml:space="preserve">EL </w:t>
      </w:r>
      <w:r w:rsidRPr="0040747B">
        <w:rPr>
          <w:rFonts w:ascii="Georgia" w:hAnsi="Georgia" w:cs="Arial"/>
          <w:w w:val="140"/>
          <w:sz w:val="18"/>
          <w:szCs w:val="18"/>
        </w:rPr>
        <w:t>R</w:t>
      </w:r>
      <w:r w:rsidRPr="0040747B">
        <w:rPr>
          <w:rFonts w:ascii="Georgia" w:hAnsi="Georgia" w:cs="Arial"/>
          <w:w w:val="140"/>
          <w:sz w:val="16"/>
          <w:szCs w:val="16"/>
        </w:rPr>
        <w:t>ISARALDA</w:t>
      </w:r>
    </w:p>
    <w:p w:rsidR="00045CE3" w:rsidRPr="0040747B" w:rsidRDefault="00045CE3" w:rsidP="00045CE3">
      <w:pPr>
        <w:spacing w:line="360" w:lineRule="auto"/>
        <w:jc w:val="center"/>
        <w:rPr>
          <w:rFonts w:ascii="Georgia" w:hAnsi="Georgia" w:cs="Arial"/>
          <w:b/>
          <w:bCs/>
          <w:sz w:val="24"/>
          <w:szCs w:val="22"/>
        </w:rPr>
      </w:pPr>
    </w:p>
    <w:p w:rsidR="003B01F0" w:rsidRPr="0040747B" w:rsidRDefault="003B01F0" w:rsidP="00161CA6">
      <w:pPr>
        <w:pStyle w:val="Textoindependiente"/>
        <w:spacing w:line="360" w:lineRule="auto"/>
        <w:ind w:left="708"/>
        <w:rPr>
          <w:rFonts w:ascii="Georgia" w:hAnsi="Georgia" w:cs="Arial"/>
          <w:sz w:val="22"/>
          <w:szCs w:val="22"/>
        </w:rPr>
      </w:pPr>
      <w:r w:rsidRPr="0040747B">
        <w:rPr>
          <w:rFonts w:ascii="Georgia" w:hAnsi="Georgia" w:cs="Arial"/>
          <w:sz w:val="22"/>
          <w:szCs w:val="22"/>
        </w:rPr>
        <w:tab/>
        <w:t>Asunto</w:t>
      </w:r>
      <w:r w:rsidRPr="0040747B">
        <w:rPr>
          <w:rFonts w:ascii="Georgia" w:hAnsi="Georgia" w:cs="Arial"/>
          <w:sz w:val="22"/>
          <w:szCs w:val="22"/>
        </w:rPr>
        <w:tab/>
      </w:r>
      <w:r w:rsidRPr="0040747B">
        <w:rPr>
          <w:rFonts w:ascii="Georgia" w:hAnsi="Georgia" w:cs="Arial"/>
          <w:sz w:val="22"/>
          <w:szCs w:val="22"/>
        </w:rPr>
        <w:tab/>
      </w:r>
      <w:r w:rsidRPr="0040747B">
        <w:rPr>
          <w:rFonts w:ascii="Georgia" w:hAnsi="Georgia" w:cs="Arial"/>
          <w:sz w:val="22"/>
          <w:szCs w:val="22"/>
        </w:rPr>
        <w:tab/>
        <w:t>: Apelación de auto interlocutorio</w:t>
      </w:r>
      <w:r w:rsidR="00161CA6" w:rsidRPr="0040747B">
        <w:rPr>
          <w:rFonts w:ascii="Georgia" w:hAnsi="Georgia" w:cs="Arial"/>
          <w:sz w:val="22"/>
          <w:szCs w:val="22"/>
        </w:rPr>
        <w:tab/>
      </w:r>
    </w:p>
    <w:p w:rsidR="00BB073A" w:rsidRPr="0040747B" w:rsidRDefault="00BB073A" w:rsidP="00BB073A">
      <w:pPr>
        <w:pStyle w:val="Textoindependiente"/>
        <w:spacing w:line="360" w:lineRule="auto"/>
        <w:ind w:left="708"/>
        <w:rPr>
          <w:rFonts w:ascii="Georgia" w:hAnsi="Georgia" w:cs="Arial"/>
          <w:sz w:val="22"/>
          <w:szCs w:val="22"/>
        </w:rPr>
      </w:pPr>
      <w:r w:rsidRPr="0040747B">
        <w:rPr>
          <w:rFonts w:ascii="Georgia" w:hAnsi="Georgia" w:cs="Arial"/>
          <w:sz w:val="22"/>
          <w:szCs w:val="22"/>
        </w:rPr>
        <w:tab/>
        <w:t>Tipo de proceso</w:t>
      </w:r>
      <w:r w:rsidRPr="0040747B">
        <w:rPr>
          <w:rFonts w:ascii="Georgia" w:hAnsi="Georgia" w:cs="Arial"/>
          <w:sz w:val="22"/>
          <w:szCs w:val="22"/>
        </w:rPr>
        <w:tab/>
        <w:t>: Verbal – Resolución contrato</w:t>
      </w:r>
    </w:p>
    <w:p w:rsidR="00BB073A" w:rsidRPr="0040747B" w:rsidRDefault="00BB073A" w:rsidP="00BB073A">
      <w:pPr>
        <w:pStyle w:val="Textoindependiente"/>
        <w:spacing w:line="360" w:lineRule="auto"/>
        <w:ind w:left="708"/>
        <w:rPr>
          <w:rFonts w:ascii="Georgia" w:hAnsi="Georgia" w:cs="Arial"/>
          <w:sz w:val="22"/>
          <w:szCs w:val="22"/>
        </w:rPr>
      </w:pPr>
      <w:r w:rsidRPr="0040747B">
        <w:rPr>
          <w:rFonts w:ascii="Georgia" w:hAnsi="Georgia" w:cs="Arial"/>
          <w:sz w:val="22"/>
          <w:szCs w:val="22"/>
        </w:rPr>
        <w:tab/>
        <w:t xml:space="preserve">Demandantes </w:t>
      </w:r>
      <w:r w:rsidRPr="0040747B">
        <w:rPr>
          <w:rFonts w:ascii="Georgia" w:hAnsi="Georgia" w:cs="Arial"/>
          <w:sz w:val="22"/>
          <w:szCs w:val="22"/>
        </w:rPr>
        <w:tab/>
      </w:r>
      <w:r w:rsidRPr="0040747B">
        <w:rPr>
          <w:rFonts w:ascii="Georgia" w:hAnsi="Georgia" w:cs="Arial"/>
          <w:sz w:val="22"/>
          <w:szCs w:val="22"/>
        </w:rPr>
        <w:tab/>
        <w:t>: Óskar Yesid Sánchez Medina y otra</w:t>
      </w:r>
    </w:p>
    <w:p w:rsidR="00BB073A" w:rsidRPr="0040747B" w:rsidRDefault="00BB073A" w:rsidP="00BB073A">
      <w:pPr>
        <w:spacing w:line="360" w:lineRule="auto"/>
        <w:ind w:left="708" w:firstLine="708"/>
        <w:rPr>
          <w:rFonts w:ascii="Georgia" w:hAnsi="Georgia" w:cs="Arial"/>
          <w:sz w:val="22"/>
          <w:szCs w:val="22"/>
        </w:rPr>
      </w:pPr>
      <w:r w:rsidRPr="0040747B">
        <w:rPr>
          <w:rFonts w:ascii="Georgia" w:hAnsi="Georgia" w:cs="Arial"/>
          <w:sz w:val="22"/>
          <w:szCs w:val="22"/>
        </w:rPr>
        <w:t>Demandados</w:t>
      </w:r>
      <w:r w:rsidRPr="0040747B">
        <w:rPr>
          <w:rFonts w:ascii="Georgia" w:hAnsi="Georgia" w:cs="Arial"/>
          <w:sz w:val="22"/>
          <w:szCs w:val="22"/>
        </w:rPr>
        <w:tab/>
      </w:r>
      <w:r w:rsidRPr="0040747B">
        <w:rPr>
          <w:rFonts w:ascii="Georgia" w:hAnsi="Georgia" w:cs="Arial"/>
          <w:sz w:val="22"/>
          <w:szCs w:val="22"/>
        </w:rPr>
        <w:tab/>
        <w:t>: Banco Davivienda SA y otro</w:t>
      </w:r>
    </w:p>
    <w:p w:rsidR="00BB073A" w:rsidRPr="0040747B" w:rsidRDefault="00BB073A" w:rsidP="00BB073A">
      <w:pPr>
        <w:spacing w:line="360" w:lineRule="auto"/>
        <w:ind w:left="708" w:firstLine="708"/>
        <w:rPr>
          <w:rFonts w:ascii="Georgia" w:hAnsi="Georgia" w:cs="Arial"/>
          <w:sz w:val="22"/>
          <w:szCs w:val="22"/>
        </w:rPr>
      </w:pPr>
      <w:r w:rsidRPr="0040747B">
        <w:rPr>
          <w:rFonts w:ascii="Georgia" w:hAnsi="Georgia" w:cs="Arial"/>
          <w:sz w:val="22"/>
          <w:szCs w:val="22"/>
        </w:rPr>
        <w:t xml:space="preserve">Procedencia </w:t>
      </w:r>
      <w:r w:rsidRPr="0040747B">
        <w:rPr>
          <w:rFonts w:ascii="Georgia" w:hAnsi="Georgia" w:cs="Arial"/>
          <w:sz w:val="22"/>
          <w:szCs w:val="22"/>
        </w:rPr>
        <w:tab/>
      </w:r>
      <w:r w:rsidRPr="0040747B">
        <w:rPr>
          <w:rFonts w:ascii="Georgia" w:hAnsi="Georgia" w:cs="Arial"/>
          <w:sz w:val="22"/>
          <w:szCs w:val="22"/>
        </w:rPr>
        <w:tab/>
        <w:t>: Juzgado Cuarto Civil del Circuito de Pereira</w:t>
      </w:r>
    </w:p>
    <w:p w:rsidR="00BB073A" w:rsidRPr="0040747B" w:rsidRDefault="00BB073A" w:rsidP="00BB073A">
      <w:pPr>
        <w:spacing w:line="360" w:lineRule="auto"/>
        <w:ind w:left="708" w:firstLine="708"/>
        <w:rPr>
          <w:rFonts w:ascii="Georgia" w:hAnsi="Georgia" w:cs="Arial"/>
          <w:sz w:val="22"/>
          <w:szCs w:val="22"/>
        </w:rPr>
      </w:pPr>
      <w:r w:rsidRPr="0040747B">
        <w:rPr>
          <w:rFonts w:ascii="Georgia" w:hAnsi="Georgia" w:cs="Arial"/>
          <w:sz w:val="22"/>
          <w:szCs w:val="22"/>
        </w:rPr>
        <w:t>Radicación</w:t>
      </w:r>
      <w:r w:rsidRPr="0040747B">
        <w:rPr>
          <w:rFonts w:ascii="Georgia" w:hAnsi="Georgia" w:cs="Arial"/>
          <w:sz w:val="22"/>
          <w:szCs w:val="22"/>
        </w:rPr>
        <w:tab/>
      </w:r>
      <w:r w:rsidRPr="0040747B">
        <w:rPr>
          <w:rFonts w:ascii="Georgia" w:hAnsi="Georgia" w:cs="Arial"/>
          <w:sz w:val="22"/>
          <w:szCs w:val="22"/>
        </w:rPr>
        <w:tab/>
        <w:t>: 2017-00072-01</w:t>
      </w:r>
    </w:p>
    <w:p w:rsidR="00113B1A" w:rsidRPr="0040747B" w:rsidRDefault="00113B1A" w:rsidP="00113B1A">
      <w:pPr>
        <w:spacing w:line="360" w:lineRule="auto"/>
        <w:ind w:left="708"/>
        <w:jc w:val="both"/>
        <w:rPr>
          <w:rFonts w:ascii="Georgia" w:hAnsi="Georgia" w:cs="Arial"/>
          <w:sz w:val="22"/>
          <w:szCs w:val="22"/>
        </w:rPr>
      </w:pPr>
      <w:r w:rsidRPr="0040747B">
        <w:rPr>
          <w:rFonts w:ascii="Georgia" w:hAnsi="Georgia"/>
          <w:sz w:val="22"/>
          <w:szCs w:val="22"/>
        </w:rPr>
        <w:tab/>
      </w:r>
      <w:r w:rsidRPr="0040747B">
        <w:rPr>
          <w:rFonts w:ascii="Georgia" w:hAnsi="Georgia" w:cs="Arial"/>
          <w:sz w:val="22"/>
          <w:szCs w:val="22"/>
        </w:rPr>
        <w:t>Temas</w:t>
      </w:r>
      <w:r w:rsidRPr="0040747B">
        <w:rPr>
          <w:rFonts w:ascii="Georgia" w:hAnsi="Georgia" w:cs="Arial"/>
          <w:sz w:val="22"/>
          <w:szCs w:val="22"/>
        </w:rPr>
        <w:tab/>
      </w:r>
      <w:r w:rsidRPr="0040747B">
        <w:rPr>
          <w:rFonts w:ascii="Georgia" w:hAnsi="Georgia" w:cs="Arial"/>
          <w:sz w:val="22"/>
          <w:szCs w:val="22"/>
        </w:rPr>
        <w:tab/>
      </w:r>
      <w:r w:rsidRPr="0040747B">
        <w:rPr>
          <w:rFonts w:ascii="Georgia" w:hAnsi="Georgia" w:cs="Arial"/>
          <w:sz w:val="22"/>
          <w:szCs w:val="22"/>
        </w:rPr>
        <w:tab/>
        <w:t xml:space="preserve">: </w:t>
      </w:r>
      <w:r w:rsidR="00F4005C" w:rsidRPr="0040747B">
        <w:rPr>
          <w:rFonts w:ascii="Georgia" w:hAnsi="Georgia" w:cs="Arial"/>
          <w:sz w:val="22"/>
          <w:szCs w:val="22"/>
        </w:rPr>
        <w:t xml:space="preserve">Preclusividad </w:t>
      </w:r>
    </w:p>
    <w:p w:rsidR="00AD10DB" w:rsidRPr="0040747B" w:rsidRDefault="00AD10DB" w:rsidP="00357375">
      <w:pPr>
        <w:spacing w:line="360" w:lineRule="auto"/>
        <w:ind w:left="708" w:firstLine="708"/>
        <w:rPr>
          <w:rFonts w:ascii="Georgia" w:hAnsi="Georgia" w:cs="Arial"/>
          <w:sz w:val="22"/>
          <w:szCs w:val="22"/>
          <w:lang w:val="es-CO"/>
        </w:rPr>
      </w:pPr>
      <w:r w:rsidRPr="0040747B">
        <w:rPr>
          <w:rFonts w:ascii="Georgia" w:hAnsi="Georgia" w:cs="Arial"/>
          <w:sz w:val="22"/>
          <w:szCs w:val="22"/>
          <w:lang w:val="es-CO"/>
        </w:rPr>
        <w:t>Mag</w:t>
      </w:r>
      <w:r w:rsidR="0093651C" w:rsidRPr="0040747B">
        <w:rPr>
          <w:rFonts w:ascii="Georgia" w:hAnsi="Georgia" w:cs="Arial"/>
          <w:sz w:val="22"/>
          <w:szCs w:val="22"/>
          <w:lang w:val="es-CO"/>
        </w:rPr>
        <w:t>.</w:t>
      </w:r>
      <w:r w:rsidRPr="0040747B">
        <w:rPr>
          <w:rFonts w:ascii="Georgia" w:hAnsi="Georgia" w:cs="Arial"/>
          <w:sz w:val="22"/>
          <w:szCs w:val="22"/>
          <w:lang w:val="es-CO"/>
        </w:rPr>
        <w:t>Sustanciador</w:t>
      </w:r>
      <w:r w:rsidR="00357375" w:rsidRPr="0040747B">
        <w:rPr>
          <w:rFonts w:ascii="Georgia" w:hAnsi="Georgia" w:cs="Arial"/>
          <w:sz w:val="22"/>
          <w:szCs w:val="22"/>
          <w:lang w:val="es-CO"/>
        </w:rPr>
        <w:tab/>
      </w:r>
      <w:r w:rsidRPr="0040747B">
        <w:rPr>
          <w:rFonts w:ascii="Georgia" w:hAnsi="Georgia" w:cs="Arial"/>
          <w:sz w:val="22"/>
          <w:szCs w:val="22"/>
          <w:lang w:val="es-CO"/>
        </w:rPr>
        <w:t xml:space="preserve">: </w:t>
      </w:r>
      <w:r w:rsidRPr="0040747B">
        <w:rPr>
          <w:rFonts w:ascii="Georgia" w:hAnsi="Georgia" w:cs="Arial"/>
          <w:smallCaps/>
          <w:sz w:val="22"/>
          <w:szCs w:val="22"/>
          <w:lang w:val="es-CO"/>
        </w:rPr>
        <w:t>Duberney Grisales Herrera</w:t>
      </w:r>
    </w:p>
    <w:p w:rsidR="00AD10DB" w:rsidRPr="0040747B" w:rsidRDefault="00AD10DB" w:rsidP="00AD10DB">
      <w:pPr>
        <w:pBdr>
          <w:bottom w:val="double" w:sz="6" w:space="1" w:color="auto"/>
        </w:pBdr>
        <w:spacing w:line="360" w:lineRule="auto"/>
        <w:ind w:firstLine="708"/>
        <w:jc w:val="center"/>
        <w:rPr>
          <w:rFonts w:ascii="Georgia" w:hAnsi="Georgia" w:cs="Arial"/>
          <w:sz w:val="16"/>
          <w:szCs w:val="22"/>
        </w:rPr>
      </w:pPr>
    </w:p>
    <w:p w:rsidR="00AD10DB" w:rsidRPr="0040747B" w:rsidRDefault="00AD10DB" w:rsidP="00AD10DB">
      <w:pPr>
        <w:spacing w:line="360" w:lineRule="auto"/>
        <w:jc w:val="center"/>
        <w:rPr>
          <w:rFonts w:ascii="Georgia" w:hAnsi="Georgia" w:cs="Arial"/>
          <w:sz w:val="12"/>
          <w:szCs w:val="24"/>
        </w:rPr>
      </w:pPr>
    </w:p>
    <w:p w:rsidR="00AD10DB" w:rsidRPr="0040747B" w:rsidRDefault="00B439FC" w:rsidP="00AD10DB">
      <w:pPr>
        <w:spacing w:line="360" w:lineRule="auto"/>
        <w:jc w:val="center"/>
        <w:rPr>
          <w:rFonts w:ascii="Georgia" w:hAnsi="Georgia" w:cs="Arial"/>
          <w:smallCaps/>
          <w:sz w:val="28"/>
          <w:szCs w:val="24"/>
        </w:rPr>
      </w:pPr>
      <w:r w:rsidRPr="0040747B">
        <w:rPr>
          <w:rFonts w:ascii="Georgia" w:hAnsi="Georgia" w:cs="Arial"/>
          <w:smallCaps/>
          <w:sz w:val="28"/>
          <w:szCs w:val="24"/>
        </w:rPr>
        <w:t xml:space="preserve">Catorce </w:t>
      </w:r>
      <w:r w:rsidR="00AD10DB" w:rsidRPr="0040747B">
        <w:rPr>
          <w:rFonts w:ascii="Georgia" w:hAnsi="Georgia" w:cs="Arial"/>
          <w:smallCaps/>
          <w:sz w:val="28"/>
          <w:szCs w:val="24"/>
        </w:rPr>
        <w:t>(</w:t>
      </w:r>
      <w:r w:rsidRPr="0040747B">
        <w:rPr>
          <w:rFonts w:ascii="Georgia" w:hAnsi="Georgia" w:cs="Arial"/>
          <w:smallCaps/>
          <w:sz w:val="28"/>
          <w:szCs w:val="24"/>
        </w:rPr>
        <w:t>14</w:t>
      </w:r>
      <w:r w:rsidR="00AD10DB" w:rsidRPr="0040747B">
        <w:rPr>
          <w:rFonts w:ascii="Georgia" w:hAnsi="Georgia" w:cs="Arial"/>
          <w:smallCaps/>
          <w:sz w:val="28"/>
          <w:szCs w:val="24"/>
        </w:rPr>
        <w:t>) de</w:t>
      </w:r>
      <w:r w:rsidR="00357375" w:rsidRPr="0040747B">
        <w:rPr>
          <w:rFonts w:ascii="Georgia" w:hAnsi="Georgia" w:cs="Arial"/>
          <w:smallCaps/>
          <w:sz w:val="28"/>
          <w:szCs w:val="24"/>
        </w:rPr>
        <w:t xml:space="preserve"> </w:t>
      </w:r>
      <w:r w:rsidR="00BB073A" w:rsidRPr="0040747B">
        <w:rPr>
          <w:rFonts w:ascii="Georgia" w:hAnsi="Georgia" w:cs="Arial"/>
          <w:smallCaps/>
          <w:sz w:val="28"/>
          <w:szCs w:val="24"/>
        </w:rPr>
        <w:t xml:space="preserve">agosto </w:t>
      </w:r>
      <w:r w:rsidR="008F2418" w:rsidRPr="0040747B">
        <w:rPr>
          <w:rFonts w:ascii="Georgia" w:hAnsi="Georgia" w:cs="Arial"/>
          <w:smallCaps/>
          <w:sz w:val="28"/>
          <w:szCs w:val="24"/>
        </w:rPr>
        <w:t>d</w:t>
      </w:r>
      <w:r w:rsidR="00AD10DB" w:rsidRPr="0040747B">
        <w:rPr>
          <w:rFonts w:ascii="Georgia" w:hAnsi="Georgia" w:cs="Arial"/>
          <w:smallCaps/>
          <w:sz w:val="28"/>
          <w:szCs w:val="24"/>
        </w:rPr>
        <w:t xml:space="preserve">e dos mil </w:t>
      </w:r>
      <w:r w:rsidR="001C370F" w:rsidRPr="0040747B">
        <w:rPr>
          <w:rFonts w:ascii="Georgia" w:hAnsi="Georgia" w:cs="Arial"/>
          <w:smallCaps/>
          <w:sz w:val="28"/>
          <w:szCs w:val="24"/>
        </w:rPr>
        <w:t>dieci</w:t>
      </w:r>
      <w:r w:rsidR="00161CA6" w:rsidRPr="0040747B">
        <w:rPr>
          <w:rFonts w:ascii="Georgia" w:hAnsi="Georgia" w:cs="Arial"/>
          <w:smallCaps/>
          <w:sz w:val="28"/>
          <w:szCs w:val="24"/>
        </w:rPr>
        <w:t xml:space="preserve">ocho </w:t>
      </w:r>
      <w:r w:rsidR="00AD10DB" w:rsidRPr="0040747B">
        <w:rPr>
          <w:rFonts w:ascii="Georgia" w:hAnsi="Georgia" w:cs="Arial"/>
          <w:smallCaps/>
          <w:sz w:val="28"/>
          <w:szCs w:val="24"/>
        </w:rPr>
        <w:t>(201</w:t>
      </w:r>
      <w:r w:rsidR="00161CA6" w:rsidRPr="0040747B">
        <w:rPr>
          <w:rFonts w:ascii="Georgia" w:hAnsi="Georgia" w:cs="Arial"/>
          <w:smallCaps/>
          <w:sz w:val="28"/>
          <w:szCs w:val="24"/>
        </w:rPr>
        <w:t>8</w:t>
      </w:r>
      <w:r w:rsidR="00AD10DB" w:rsidRPr="0040747B">
        <w:rPr>
          <w:rFonts w:ascii="Georgia" w:hAnsi="Georgia" w:cs="Arial"/>
          <w:smallCaps/>
          <w:sz w:val="28"/>
          <w:szCs w:val="24"/>
        </w:rPr>
        <w:t>).</w:t>
      </w:r>
    </w:p>
    <w:p w:rsidR="00AD10DB" w:rsidRPr="0040747B" w:rsidRDefault="00AD10DB" w:rsidP="00AD10DB">
      <w:pPr>
        <w:spacing w:line="360" w:lineRule="auto"/>
        <w:jc w:val="both"/>
        <w:rPr>
          <w:rFonts w:ascii="Georgia" w:hAnsi="Georgia" w:cs="Arial"/>
          <w:sz w:val="24"/>
          <w:szCs w:val="24"/>
        </w:rPr>
      </w:pPr>
    </w:p>
    <w:p w:rsidR="00AD3DFF" w:rsidRPr="0040747B" w:rsidRDefault="00AD3DFF" w:rsidP="00AD3DFF">
      <w:pPr>
        <w:pStyle w:val="Sinespaciado"/>
        <w:widowControl/>
        <w:numPr>
          <w:ilvl w:val="0"/>
          <w:numId w:val="8"/>
        </w:numPr>
        <w:autoSpaceDE/>
        <w:autoSpaceDN/>
        <w:adjustRightInd/>
        <w:spacing w:line="360" w:lineRule="auto"/>
        <w:jc w:val="both"/>
        <w:rPr>
          <w:rFonts w:ascii="Georgia" w:hAnsi="Georgia" w:cs="Arial"/>
        </w:rPr>
      </w:pPr>
      <w:r w:rsidRPr="0040747B">
        <w:rPr>
          <w:rFonts w:ascii="Georgia" w:hAnsi="Georgia" w:cs="Arial"/>
          <w:sz w:val="28"/>
        </w:rPr>
        <w:t>E</w:t>
      </w:r>
      <w:r w:rsidRPr="0040747B">
        <w:rPr>
          <w:rFonts w:ascii="Georgia" w:hAnsi="Georgia" w:cs="Arial"/>
          <w:sz w:val="22"/>
        </w:rPr>
        <w:t>L ASUNTO POR DECIDIR</w:t>
      </w:r>
    </w:p>
    <w:p w:rsidR="00AD3DFF" w:rsidRPr="0040747B" w:rsidRDefault="00AD3DFF" w:rsidP="00AD3DFF">
      <w:pPr>
        <w:pStyle w:val="Puesto"/>
        <w:spacing w:line="360" w:lineRule="auto"/>
        <w:jc w:val="left"/>
        <w:rPr>
          <w:rFonts w:ascii="Georgia" w:hAnsi="Georgia" w:cs="Arial"/>
          <w:b w:val="0"/>
          <w:i w:val="0"/>
          <w:spacing w:val="-3"/>
          <w:szCs w:val="24"/>
          <w:lang w:val="es-ES_tradnl"/>
        </w:rPr>
      </w:pPr>
    </w:p>
    <w:p w:rsidR="003B01F0" w:rsidRPr="0040747B" w:rsidRDefault="003B01F0" w:rsidP="003B01F0">
      <w:pPr>
        <w:pStyle w:val="Sinespaciado"/>
        <w:spacing w:line="360" w:lineRule="auto"/>
        <w:jc w:val="both"/>
        <w:rPr>
          <w:rFonts w:ascii="Georgia" w:hAnsi="Georgia" w:cs="Arial"/>
          <w:sz w:val="28"/>
        </w:rPr>
      </w:pPr>
      <w:r w:rsidRPr="0040747B">
        <w:rPr>
          <w:rFonts w:ascii="Georgia" w:hAnsi="Georgia" w:cs="Arial"/>
        </w:rPr>
        <w:t xml:space="preserve">La alzada que presentó, en el proceso referenciado, el apoderado judicial de la parte </w:t>
      </w:r>
      <w:r w:rsidR="00BB073A" w:rsidRPr="0040747B">
        <w:rPr>
          <w:rFonts w:ascii="Georgia" w:hAnsi="Georgia" w:cs="Arial"/>
        </w:rPr>
        <w:t>actora</w:t>
      </w:r>
      <w:r w:rsidRPr="0040747B">
        <w:rPr>
          <w:rFonts w:ascii="Georgia" w:hAnsi="Georgia" w:cs="Arial"/>
        </w:rPr>
        <w:t xml:space="preserve">, contra el auto que resolvió unas </w:t>
      </w:r>
      <w:r w:rsidR="00477C1F" w:rsidRPr="0040747B">
        <w:rPr>
          <w:rFonts w:ascii="Georgia" w:hAnsi="Georgia" w:cs="Arial"/>
        </w:rPr>
        <w:t>excepciones previas</w:t>
      </w:r>
      <w:r w:rsidRPr="0040747B">
        <w:rPr>
          <w:rFonts w:ascii="Georgia" w:hAnsi="Georgia" w:cs="Arial"/>
        </w:rPr>
        <w:t>, de acuerdo con las apreciaciones jurídicas, que a continuación se expondrán.</w:t>
      </w:r>
    </w:p>
    <w:p w:rsidR="00AD3DFF" w:rsidRPr="0040747B" w:rsidRDefault="00AD3DFF" w:rsidP="00AD3DFF">
      <w:pPr>
        <w:pStyle w:val="Sinespaciado"/>
        <w:widowControl/>
        <w:autoSpaceDE/>
        <w:autoSpaceDN/>
        <w:adjustRightInd/>
        <w:spacing w:line="360" w:lineRule="auto"/>
        <w:jc w:val="both"/>
        <w:rPr>
          <w:rFonts w:ascii="Georgia" w:hAnsi="Georgia" w:cs="Arial"/>
        </w:rPr>
      </w:pPr>
    </w:p>
    <w:p w:rsidR="003B01F0" w:rsidRPr="0040747B" w:rsidRDefault="003B01F0" w:rsidP="003B01F0">
      <w:pPr>
        <w:pStyle w:val="Sinespaciado"/>
        <w:widowControl/>
        <w:numPr>
          <w:ilvl w:val="0"/>
          <w:numId w:val="8"/>
        </w:numPr>
        <w:autoSpaceDE/>
        <w:autoSpaceDN/>
        <w:adjustRightInd/>
        <w:spacing w:line="360" w:lineRule="auto"/>
        <w:jc w:val="both"/>
        <w:rPr>
          <w:rFonts w:ascii="Georgia" w:hAnsi="Georgia" w:cs="Arial"/>
        </w:rPr>
      </w:pPr>
      <w:r w:rsidRPr="0040747B">
        <w:rPr>
          <w:rFonts w:ascii="Georgia" w:hAnsi="Georgia" w:cs="Arial"/>
          <w:sz w:val="32"/>
        </w:rPr>
        <w:t>L</w:t>
      </w:r>
      <w:r w:rsidRPr="0040747B">
        <w:rPr>
          <w:rFonts w:ascii="Georgia" w:hAnsi="Georgia" w:cs="Arial"/>
        </w:rPr>
        <w:t>A PROVIDENCIA RECURRIDA</w:t>
      </w:r>
    </w:p>
    <w:p w:rsidR="003B01F0" w:rsidRPr="0040747B" w:rsidRDefault="003B01F0" w:rsidP="003B01F0">
      <w:pPr>
        <w:pStyle w:val="Sinespaciado"/>
        <w:spacing w:line="360" w:lineRule="auto"/>
        <w:jc w:val="both"/>
        <w:rPr>
          <w:rFonts w:ascii="Georgia" w:hAnsi="Georgia" w:cs="Arial"/>
        </w:rPr>
      </w:pPr>
    </w:p>
    <w:p w:rsidR="00542182" w:rsidRPr="0040747B" w:rsidRDefault="003B01F0" w:rsidP="003B01F0">
      <w:pPr>
        <w:spacing w:line="360" w:lineRule="auto"/>
        <w:jc w:val="both"/>
        <w:rPr>
          <w:rFonts w:ascii="Georgia" w:hAnsi="Georgia" w:cs="Arial"/>
          <w:sz w:val="24"/>
          <w:szCs w:val="22"/>
        </w:rPr>
      </w:pPr>
      <w:r w:rsidRPr="0040747B">
        <w:rPr>
          <w:rFonts w:ascii="Georgia" w:hAnsi="Georgia" w:cs="Arial"/>
          <w:sz w:val="24"/>
          <w:szCs w:val="22"/>
        </w:rPr>
        <w:t xml:space="preserve">Data del </w:t>
      </w:r>
      <w:r w:rsidR="00ED4984" w:rsidRPr="0040747B">
        <w:rPr>
          <w:rFonts w:ascii="Georgia" w:hAnsi="Georgia" w:cs="Arial"/>
          <w:sz w:val="24"/>
          <w:szCs w:val="22"/>
        </w:rPr>
        <w:t>09</w:t>
      </w:r>
      <w:r w:rsidRPr="0040747B">
        <w:rPr>
          <w:rFonts w:ascii="Georgia" w:hAnsi="Georgia" w:cs="Arial"/>
          <w:sz w:val="24"/>
          <w:szCs w:val="22"/>
        </w:rPr>
        <w:t>-04-2018 y</w:t>
      </w:r>
      <w:r w:rsidR="008E14A9" w:rsidRPr="0040747B">
        <w:rPr>
          <w:rFonts w:ascii="Georgia" w:hAnsi="Georgia" w:cs="Arial"/>
          <w:sz w:val="24"/>
          <w:szCs w:val="22"/>
        </w:rPr>
        <w:t xml:space="preserve"> negó la excepción previa de compromiso o cláusula compromisoria</w:t>
      </w:r>
      <w:r w:rsidR="00ED4984" w:rsidRPr="0040747B">
        <w:rPr>
          <w:rFonts w:ascii="Georgia" w:hAnsi="Georgia" w:cs="Arial"/>
          <w:sz w:val="24"/>
          <w:szCs w:val="22"/>
        </w:rPr>
        <w:t xml:space="preserve">, al tiempo que </w:t>
      </w:r>
      <w:r w:rsidR="008E14A9" w:rsidRPr="0040747B">
        <w:rPr>
          <w:rFonts w:ascii="Georgia" w:hAnsi="Georgia" w:cs="Arial"/>
          <w:sz w:val="24"/>
          <w:szCs w:val="22"/>
        </w:rPr>
        <w:t>declaró probadas las de ineptitud de la demanda por indebida acumulación de pretensiones</w:t>
      </w:r>
      <w:r w:rsidR="00ED4984" w:rsidRPr="0040747B">
        <w:rPr>
          <w:rFonts w:ascii="Georgia" w:hAnsi="Georgia" w:cs="Arial"/>
          <w:sz w:val="24"/>
          <w:szCs w:val="22"/>
        </w:rPr>
        <w:t xml:space="preserve">. </w:t>
      </w:r>
      <w:r w:rsidR="00A71B9B" w:rsidRPr="0040747B">
        <w:rPr>
          <w:rFonts w:ascii="Georgia" w:hAnsi="Georgia" w:cs="Arial"/>
          <w:sz w:val="24"/>
          <w:szCs w:val="22"/>
        </w:rPr>
        <w:t>La primera</w:t>
      </w:r>
      <w:r w:rsidR="00CE25BA" w:rsidRPr="0040747B">
        <w:rPr>
          <w:rFonts w:ascii="Georgia" w:hAnsi="Georgia" w:cs="Arial"/>
          <w:sz w:val="24"/>
          <w:szCs w:val="22"/>
        </w:rPr>
        <w:t xml:space="preserve"> fue desechada</w:t>
      </w:r>
      <w:r w:rsidR="00A71B9B" w:rsidRPr="0040747B">
        <w:rPr>
          <w:rFonts w:ascii="Georgia" w:hAnsi="Georgia" w:cs="Arial"/>
          <w:sz w:val="24"/>
          <w:szCs w:val="22"/>
        </w:rPr>
        <w:t xml:space="preserve">, porque la pactado por las partes </w:t>
      </w:r>
      <w:r w:rsidR="00B439FC" w:rsidRPr="0040747B">
        <w:rPr>
          <w:rFonts w:ascii="Georgia" w:hAnsi="Georgia" w:cs="Arial"/>
          <w:sz w:val="24"/>
          <w:szCs w:val="22"/>
        </w:rPr>
        <w:t xml:space="preserve">aludía al </w:t>
      </w:r>
      <w:r w:rsidR="00A71B9B" w:rsidRPr="0040747B">
        <w:rPr>
          <w:rFonts w:ascii="Georgia" w:hAnsi="Georgia" w:cs="Arial"/>
          <w:sz w:val="24"/>
          <w:szCs w:val="22"/>
        </w:rPr>
        <w:t>requisito de procedibilidad que</w:t>
      </w:r>
      <w:r w:rsidR="00CE25BA" w:rsidRPr="0040747B">
        <w:rPr>
          <w:rFonts w:ascii="Georgia" w:hAnsi="Georgia" w:cs="Arial"/>
          <w:sz w:val="24"/>
          <w:szCs w:val="22"/>
        </w:rPr>
        <w:t>,</w:t>
      </w:r>
      <w:r w:rsidR="00A71B9B" w:rsidRPr="0040747B">
        <w:rPr>
          <w:rFonts w:ascii="Georgia" w:hAnsi="Georgia" w:cs="Arial"/>
          <w:sz w:val="24"/>
          <w:szCs w:val="22"/>
        </w:rPr>
        <w:t xml:space="preserve"> en este caso</w:t>
      </w:r>
      <w:r w:rsidR="00CE25BA" w:rsidRPr="0040747B">
        <w:rPr>
          <w:rFonts w:ascii="Georgia" w:hAnsi="Georgia" w:cs="Arial"/>
          <w:sz w:val="24"/>
          <w:szCs w:val="22"/>
        </w:rPr>
        <w:t>,</w:t>
      </w:r>
      <w:r w:rsidR="00A71B9B" w:rsidRPr="0040747B">
        <w:rPr>
          <w:rFonts w:ascii="Georgia" w:hAnsi="Georgia" w:cs="Arial"/>
          <w:sz w:val="24"/>
          <w:szCs w:val="22"/>
        </w:rPr>
        <w:t xml:space="preserve"> </w:t>
      </w:r>
      <w:r w:rsidR="002C48D7" w:rsidRPr="0040747B">
        <w:rPr>
          <w:rFonts w:ascii="Georgia" w:hAnsi="Georgia" w:cs="Arial"/>
          <w:sz w:val="24"/>
          <w:szCs w:val="22"/>
        </w:rPr>
        <w:t>dejó de agotarse por</w:t>
      </w:r>
      <w:r w:rsidR="00B439FC" w:rsidRPr="0040747B">
        <w:rPr>
          <w:rFonts w:ascii="Georgia" w:hAnsi="Georgia" w:cs="Arial"/>
          <w:sz w:val="24"/>
          <w:szCs w:val="22"/>
        </w:rPr>
        <w:t xml:space="preserve"> existir </w:t>
      </w:r>
      <w:r w:rsidR="00A71B9B" w:rsidRPr="0040747B">
        <w:rPr>
          <w:rFonts w:ascii="Georgia" w:hAnsi="Georgia" w:cs="Arial"/>
          <w:sz w:val="24"/>
          <w:szCs w:val="22"/>
        </w:rPr>
        <w:t xml:space="preserve">petición de medidas cautelares. </w:t>
      </w:r>
      <w:r w:rsidR="00D95F08" w:rsidRPr="0040747B">
        <w:rPr>
          <w:rFonts w:ascii="Georgia" w:hAnsi="Georgia" w:cs="Arial"/>
          <w:sz w:val="24"/>
          <w:szCs w:val="22"/>
        </w:rPr>
        <w:t xml:space="preserve">La </w:t>
      </w:r>
      <w:r w:rsidR="00A71B9B" w:rsidRPr="0040747B">
        <w:rPr>
          <w:rFonts w:ascii="Georgia" w:hAnsi="Georgia" w:cs="Arial"/>
          <w:sz w:val="24"/>
          <w:szCs w:val="22"/>
        </w:rPr>
        <w:t xml:space="preserve">segunda, </w:t>
      </w:r>
      <w:r w:rsidR="00542182" w:rsidRPr="0040747B">
        <w:rPr>
          <w:rFonts w:ascii="Georgia" w:hAnsi="Georgia" w:cs="Arial"/>
          <w:sz w:val="24"/>
          <w:szCs w:val="22"/>
        </w:rPr>
        <w:t xml:space="preserve">en cambio, </w:t>
      </w:r>
      <w:r w:rsidR="00A71B9B" w:rsidRPr="0040747B">
        <w:rPr>
          <w:rFonts w:ascii="Georgia" w:hAnsi="Georgia" w:cs="Arial"/>
          <w:sz w:val="24"/>
          <w:szCs w:val="22"/>
        </w:rPr>
        <w:t xml:space="preserve">fue acogida </w:t>
      </w:r>
      <w:r w:rsidR="00542182" w:rsidRPr="0040747B">
        <w:rPr>
          <w:rFonts w:ascii="Georgia" w:hAnsi="Georgia" w:cs="Arial"/>
          <w:sz w:val="24"/>
          <w:szCs w:val="22"/>
        </w:rPr>
        <w:t>porque</w:t>
      </w:r>
      <w:r w:rsidR="00CE25BA" w:rsidRPr="0040747B">
        <w:rPr>
          <w:rFonts w:ascii="Georgia" w:hAnsi="Georgia" w:cs="Arial"/>
          <w:sz w:val="24"/>
          <w:szCs w:val="22"/>
        </w:rPr>
        <w:t xml:space="preserve"> </w:t>
      </w:r>
      <w:r w:rsidR="00D95F08" w:rsidRPr="0040747B">
        <w:rPr>
          <w:rFonts w:ascii="Georgia" w:hAnsi="Georgia" w:cs="Arial"/>
          <w:sz w:val="24"/>
          <w:szCs w:val="22"/>
        </w:rPr>
        <w:t xml:space="preserve">las pretensiones </w:t>
      </w:r>
      <w:r w:rsidR="00A71B9B" w:rsidRPr="0040747B">
        <w:rPr>
          <w:rFonts w:ascii="Georgia" w:hAnsi="Georgia" w:cs="Arial"/>
          <w:sz w:val="24"/>
          <w:szCs w:val="22"/>
        </w:rPr>
        <w:t xml:space="preserve">no </w:t>
      </w:r>
      <w:r w:rsidR="00D95F08" w:rsidRPr="0040747B">
        <w:rPr>
          <w:rFonts w:ascii="Georgia" w:hAnsi="Georgia" w:cs="Arial"/>
          <w:sz w:val="24"/>
          <w:szCs w:val="22"/>
        </w:rPr>
        <w:t xml:space="preserve">debían formularse simultáneamente, </w:t>
      </w:r>
      <w:r w:rsidR="00542182" w:rsidRPr="0040747B">
        <w:rPr>
          <w:rFonts w:ascii="Georgia" w:hAnsi="Georgia" w:cs="Arial"/>
          <w:sz w:val="24"/>
          <w:szCs w:val="22"/>
        </w:rPr>
        <w:t xml:space="preserve">dado que </w:t>
      </w:r>
      <w:r w:rsidR="00D95F08" w:rsidRPr="0040747B">
        <w:rPr>
          <w:rFonts w:ascii="Georgia" w:hAnsi="Georgia" w:cs="Arial"/>
          <w:sz w:val="24"/>
          <w:szCs w:val="22"/>
        </w:rPr>
        <w:t xml:space="preserve">la resolución del contrato es </w:t>
      </w:r>
      <w:r w:rsidR="00CE25BA" w:rsidRPr="0040747B">
        <w:rPr>
          <w:rFonts w:ascii="Georgia" w:hAnsi="Georgia" w:cs="Arial"/>
          <w:sz w:val="24"/>
          <w:szCs w:val="22"/>
        </w:rPr>
        <w:t xml:space="preserve">incompatible </w:t>
      </w:r>
      <w:r w:rsidR="00B439FC" w:rsidRPr="0040747B">
        <w:rPr>
          <w:rFonts w:ascii="Georgia" w:hAnsi="Georgia" w:cs="Arial"/>
          <w:sz w:val="24"/>
          <w:szCs w:val="22"/>
        </w:rPr>
        <w:t xml:space="preserve">con </w:t>
      </w:r>
      <w:r w:rsidR="00D95F08" w:rsidRPr="0040747B">
        <w:rPr>
          <w:rFonts w:ascii="Georgia" w:hAnsi="Georgia" w:cs="Arial"/>
          <w:sz w:val="24"/>
          <w:szCs w:val="22"/>
        </w:rPr>
        <w:t xml:space="preserve">su </w:t>
      </w:r>
      <w:r w:rsidR="00CE25BA" w:rsidRPr="0040747B">
        <w:rPr>
          <w:rFonts w:ascii="Georgia" w:hAnsi="Georgia" w:cs="Arial"/>
          <w:sz w:val="24"/>
          <w:szCs w:val="22"/>
        </w:rPr>
        <w:t>anulación</w:t>
      </w:r>
      <w:r w:rsidR="00B439FC" w:rsidRPr="0040747B">
        <w:rPr>
          <w:rFonts w:ascii="Georgia" w:hAnsi="Georgia" w:cs="Arial"/>
          <w:sz w:val="24"/>
          <w:szCs w:val="22"/>
        </w:rPr>
        <w:t>;</w:t>
      </w:r>
      <w:r w:rsidR="00D95F08" w:rsidRPr="0040747B">
        <w:rPr>
          <w:rFonts w:ascii="Georgia" w:hAnsi="Georgia" w:cs="Arial"/>
          <w:sz w:val="24"/>
          <w:szCs w:val="22"/>
        </w:rPr>
        <w:t xml:space="preserve"> solo pueden </w:t>
      </w:r>
      <w:r w:rsidR="00CE25BA" w:rsidRPr="0040747B">
        <w:rPr>
          <w:rFonts w:ascii="Georgia" w:hAnsi="Georgia" w:cs="Arial"/>
          <w:sz w:val="24"/>
          <w:szCs w:val="22"/>
        </w:rPr>
        <w:t xml:space="preserve">pedirse </w:t>
      </w:r>
      <w:r w:rsidR="00B439FC" w:rsidRPr="0040747B">
        <w:rPr>
          <w:rFonts w:ascii="Georgia" w:hAnsi="Georgia" w:cs="Arial"/>
          <w:sz w:val="24"/>
          <w:szCs w:val="22"/>
        </w:rPr>
        <w:t xml:space="preserve">en forma </w:t>
      </w:r>
      <w:r w:rsidR="00CE25BA" w:rsidRPr="0040747B">
        <w:rPr>
          <w:rFonts w:ascii="Georgia" w:hAnsi="Georgia" w:cs="Arial"/>
          <w:sz w:val="24"/>
          <w:szCs w:val="22"/>
        </w:rPr>
        <w:t>principal y subsidiaria</w:t>
      </w:r>
      <w:r w:rsidR="007706A5" w:rsidRPr="0040747B">
        <w:rPr>
          <w:rFonts w:ascii="Georgia" w:hAnsi="Georgia" w:cs="Arial"/>
          <w:sz w:val="24"/>
          <w:szCs w:val="22"/>
        </w:rPr>
        <w:t xml:space="preserve">. </w:t>
      </w:r>
    </w:p>
    <w:p w:rsidR="00542182" w:rsidRPr="0040747B" w:rsidRDefault="00542182" w:rsidP="003B01F0">
      <w:pPr>
        <w:spacing w:line="360" w:lineRule="auto"/>
        <w:jc w:val="both"/>
        <w:rPr>
          <w:rFonts w:ascii="Georgia" w:hAnsi="Georgia" w:cs="Arial"/>
          <w:sz w:val="24"/>
          <w:szCs w:val="22"/>
        </w:rPr>
      </w:pPr>
    </w:p>
    <w:p w:rsidR="003B01F0" w:rsidRPr="0040747B" w:rsidRDefault="00542182" w:rsidP="003B01F0">
      <w:pPr>
        <w:spacing w:line="360" w:lineRule="auto"/>
        <w:jc w:val="both"/>
        <w:rPr>
          <w:rFonts w:ascii="Georgia" w:hAnsi="Georgia" w:cs="Arial"/>
          <w:sz w:val="24"/>
          <w:szCs w:val="22"/>
        </w:rPr>
      </w:pPr>
      <w:r w:rsidRPr="0040747B">
        <w:rPr>
          <w:rFonts w:ascii="Georgia" w:hAnsi="Georgia" w:cs="Arial"/>
          <w:sz w:val="24"/>
          <w:szCs w:val="22"/>
        </w:rPr>
        <w:t>Explicó que esa cuestión fue</w:t>
      </w:r>
      <w:r w:rsidR="00CE25BA" w:rsidRPr="0040747B">
        <w:rPr>
          <w:rFonts w:ascii="Georgia" w:hAnsi="Georgia" w:cs="Arial"/>
          <w:sz w:val="24"/>
          <w:szCs w:val="22"/>
        </w:rPr>
        <w:t xml:space="preserve"> inadv</w:t>
      </w:r>
      <w:r w:rsidRPr="0040747B">
        <w:rPr>
          <w:rFonts w:ascii="Georgia" w:hAnsi="Georgia" w:cs="Arial"/>
          <w:sz w:val="24"/>
          <w:szCs w:val="22"/>
        </w:rPr>
        <w:t>e</w:t>
      </w:r>
      <w:r w:rsidR="00CE25BA" w:rsidRPr="0040747B">
        <w:rPr>
          <w:rFonts w:ascii="Georgia" w:hAnsi="Georgia" w:cs="Arial"/>
          <w:sz w:val="24"/>
          <w:szCs w:val="22"/>
        </w:rPr>
        <w:t>rti</w:t>
      </w:r>
      <w:r w:rsidRPr="0040747B">
        <w:rPr>
          <w:rFonts w:ascii="Georgia" w:hAnsi="Georgia" w:cs="Arial"/>
          <w:sz w:val="24"/>
          <w:szCs w:val="22"/>
        </w:rPr>
        <w:t>da</w:t>
      </w:r>
      <w:r w:rsidR="00CE25BA" w:rsidRPr="0040747B">
        <w:rPr>
          <w:rFonts w:ascii="Georgia" w:hAnsi="Georgia" w:cs="Arial"/>
          <w:sz w:val="24"/>
          <w:szCs w:val="22"/>
        </w:rPr>
        <w:t xml:space="preserve"> al momento de admitir la demanda y que tampoco </w:t>
      </w:r>
      <w:r w:rsidRPr="0040747B">
        <w:rPr>
          <w:rFonts w:ascii="Georgia" w:hAnsi="Georgia" w:cs="Arial"/>
          <w:sz w:val="24"/>
          <w:szCs w:val="22"/>
        </w:rPr>
        <w:t xml:space="preserve">fue </w:t>
      </w:r>
      <w:r w:rsidR="00CE25BA" w:rsidRPr="0040747B">
        <w:rPr>
          <w:rFonts w:ascii="Georgia" w:hAnsi="Georgia" w:cs="Arial"/>
          <w:sz w:val="24"/>
          <w:szCs w:val="22"/>
        </w:rPr>
        <w:t>sane</w:t>
      </w:r>
      <w:r w:rsidRPr="0040747B">
        <w:rPr>
          <w:rFonts w:ascii="Georgia" w:hAnsi="Georgia" w:cs="Arial"/>
          <w:sz w:val="24"/>
          <w:szCs w:val="22"/>
        </w:rPr>
        <w:t>ada</w:t>
      </w:r>
      <w:r w:rsidR="00CE25BA" w:rsidRPr="0040747B">
        <w:rPr>
          <w:rFonts w:ascii="Georgia" w:hAnsi="Georgia" w:cs="Arial"/>
          <w:sz w:val="24"/>
          <w:szCs w:val="22"/>
        </w:rPr>
        <w:t xml:space="preserve"> </w:t>
      </w:r>
      <w:r w:rsidR="00B439FC" w:rsidRPr="0040747B">
        <w:rPr>
          <w:rFonts w:ascii="Georgia" w:hAnsi="Georgia" w:cs="Arial"/>
          <w:sz w:val="24"/>
          <w:szCs w:val="22"/>
        </w:rPr>
        <w:t xml:space="preserve">por </w:t>
      </w:r>
      <w:r w:rsidR="00CE25BA" w:rsidRPr="0040747B">
        <w:rPr>
          <w:rFonts w:ascii="Georgia" w:hAnsi="Georgia" w:cs="Arial"/>
          <w:sz w:val="24"/>
          <w:szCs w:val="22"/>
        </w:rPr>
        <w:t>la parte actora, en el traslado descorrido del medio exceptivo</w:t>
      </w:r>
      <w:r w:rsidR="006B5DE9" w:rsidRPr="0040747B">
        <w:rPr>
          <w:rFonts w:ascii="Georgia" w:hAnsi="Georgia" w:cs="Arial"/>
          <w:sz w:val="24"/>
          <w:szCs w:val="22"/>
        </w:rPr>
        <w:t xml:space="preserve"> </w:t>
      </w:r>
      <w:r w:rsidR="003B01F0" w:rsidRPr="0040747B">
        <w:rPr>
          <w:rFonts w:ascii="Georgia" w:hAnsi="Georgia" w:cs="Arial"/>
          <w:sz w:val="24"/>
          <w:szCs w:val="22"/>
        </w:rPr>
        <w:t>(</w:t>
      </w:r>
      <w:r w:rsidR="003B01F0" w:rsidRPr="0040747B">
        <w:rPr>
          <w:rFonts w:ascii="Georgia" w:hAnsi="Georgia" w:cs="Arial"/>
          <w:sz w:val="22"/>
          <w:szCs w:val="22"/>
        </w:rPr>
        <w:t>Folio</w:t>
      </w:r>
      <w:r w:rsidR="007706A5" w:rsidRPr="0040747B">
        <w:rPr>
          <w:rFonts w:ascii="Georgia" w:hAnsi="Georgia" w:cs="Arial"/>
          <w:sz w:val="22"/>
          <w:szCs w:val="22"/>
        </w:rPr>
        <w:t xml:space="preserve">s </w:t>
      </w:r>
      <w:r w:rsidR="00CE25BA" w:rsidRPr="0040747B">
        <w:rPr>
          <w:rFonts w:ascii="Georgia" w:hAnsi="Georgia" w:cs="Arial"/>
          <w:sz w:val="22"/>
          <w:szCs w:val="22"/>
        </w:rPr>
        <w:t>17</w:t>
      </w:r>
      <w:r w:rsidR="007706A5" w:rsidRPr="0040747B">
        <w:rPr>
          <w:rFonts w:ascii="Georgia" w:hAnsi="Georgia" w:cs="Arial"/>
          <w:sz w:val="22"/>
          <w:szCs w:val="22"/>
        </w:rPr>
        <w:t xml:space="preserve"> a </w:t>
      </w:r>
      <w:r w:rsidR="00CE25BA" w:rsidRPr="0040747B">
        <w:rPr>
          <w:rFonts w:ascii="Georgia" w:hAnsi="Georgia" w:cs="Arial"/>
          <w:sz w:val="22"/>
          <w:szCs w:val="22"/>
        </w:rPr>
        <w:t>23</w:t>
      </w:r>
      <w:r w:rsidR="003B01F0" w:rsidRPr="0040747B">
        <w:rPr>
          <w:rFonts w:ascii="Georgia" w:hAnsi="Georgia" w:cs="Arial"/>
          <w:sz w:val="22"/>
          <w:szCs w:val="22"/>
        </w:rPr>
        <w:t xml:space="preserve">, cuaderno </w:t>
      </w:r>
      <w:r w:rsidR="00CE25BA" w:rsidRPr="0040747B">
        <w:rPr>
          <w:rFonts w:ascii="Georgia" w:hAnsi="Georgia" w:cs="Arial"/>
          <w:sz w:val="22"/>
          <w:szCs w:val="22"/>
        </w:rPr>
        <w:t>No.2</w:t>
      </w:r>
      <w:r w:rsidR="003B01F0" w:rsidRPr="0040747B">
        <w:rPr>
          <w:rFonts w:ascii="Georgia" w:hAnsi="Georgia" w:cs="Arial"/>
          <w:sz w:val="24"/>
          <w:szCs w:val="22"/>
        </w:rPr>
        <w:t xml:space="preserve">). </w:t>
      </w:r>
      <w:r w:rsidR="00B439FC" w:rsidRPr="0040747B">
        <w:rPr>
          <w:rFonts w:ascii="Georgia" w:hAnsi="Georgia" w:cs="Arial"/>
          <w:sz w:val="24"/>
          <w:szCs w:val="22"/>
        </w:rPr>
        <w:t xml:space="preserve"> </w:t>
      </w:r>
      <w:r w:rsidR="009F1A31" w:rsidRPr="0040747B">
        <w:rPr>
          <w:rFonts w:ascii="Georgia" w:hAnsi="Georgia" w:cs="Arial"/>
          <w:sz w:val="24"/>
          <w:szCs w:val="22"/>
        </w:rPr>
        <w:t xml:space="preserve">Ante la reposición interpuesta, esta </w:t>
      </w:r>
      <w:r w:rsidR="00B439FC" w:rsidRPr="0040747B">
        <w:rPr>
          <w:rFonts w:ascii="Georgia" w:hAnsi="Georgia" w:cs="Arial"/>
          <w:sz w:val="24"/>
          <w:szCs w:val="22"/>
        </w:rPr>
        <w:t>decisión fue confirmada el día 14-06-2018 (</w:t>
      </w:r>
      <w:r w:rsidR="00B439FC" w:rsidRPr="0040747B">
        <w:rPr>
          <w:rFonts w:ascii="Georgia" w:hAnsi="Georgia" w:cs="Arial"/>
          <w:sz w:val="22"/>
          <w:szCs w:val="22"/>
        </w:rPr>
        <w:t>Folios 28 a 30, cuaderno No.2</w:t>
      </w:r>
      <w:r w:rsidR="00B439FC" w:rsidRPr="0040747B">
        <w:rPr>
          <w:rFonts w:ascii="Georgia" w:hAnsi="Georgia" w:cs="Arial"/>
          <w:sz w:val="24"/>
          <w:szCs w:val="22"/>
        </w:rPr>
        <w:t>).</w:t>
      </w:r>
    </w:p>
    <w:p w:rsidR="003B01F0" w:rsidRPr="0040747B" w:rsidRDefault="003B01F0" w:rsidP="00AD3DFF">
      <w:pPr>
        <w:pStyle w:val="Sinespaciado"/>
        <w:widowControl/>
        <w:autoSpaceDE/>
        <w:autoSpaceDN/>
        <w:adjustRightInd/>
        <w:spacing w:line="360" w:lineRule="auto"/>
        <w:jc w:val="both"/>
        <w:rPr>
          <w:rFonts w:ascii="Georgia" w:hAnsi="Georgia" w:cs="Arial"/>
        </w:rPr>
      </w:pPr>
    </w:p>
    <w:p w:rsidR="007706A5" w:rsidRPr="0040747B" w:rsidRDefault="007706A5" w:rsidP="007706A5">
      <w:pPr>
        <w:pStyle w:val="Sinespaciado"/>
        <w:widowControl/>
        <w:numPr>
          <w:ilvl w:val="0"/>
          <w:numId w:val="8"/>
        </w:numPr>
        <w:autoSpaceDE/>
        <w:autoSpaceDN/>
        <w:adjustRightInd/>
        <w:spacing w:line="360" w:lineRule="auto"/>
        <w:jc w:val="both"/>
        <w:rPr>
          <w:rFonts w:ascii="Georgia" w:hAnsi="Georgia" w:cs="Arial"/>
        </w:rPr>
      </w:pPr>
      <w:r w:rsidRPr="0040747B">
        <w:rPr>
          <w:rFonts w:ascii="Georgia" w:hAnsi="Georgia" w:cs="Arial"/>
          <w:sz w:val="32"/>
        </w:rPr>
        <w:t>L</w:t>
      </w:r>
      <w:r w:rsidRPr="0040747B">
        <w:rPr>
          <w:rFonts w:ascii="Georgia" w:hAnsi="Georgia" w:cs="Arial"/>
        </w:rPr>
        <w:t>A SÍNTESIS DE LA APELACIÓN</w:t>
      </w:r>
    </w:p>
    <w:p w:rsidR="0022492F" w:rsidRPr="0040747B" w:rsidRDefault="0022492F" w:rsidP="007706A5">
      <w:pPr>
        <w:pStyle w:val="Sinespaciado"/>
        <w:widowControl/>
        <w:numPr>
          <w:ilvl w:val="0"/>
          <w:numId w:val="8"/>
        </w:numPr>
        <w:autoSpaceDE/>
        <w:autoSpaceDN/>
        <w:adjustRightInd/>
        <w:spacing w:line="360" w:lineRule="auto"/>
        <w:jc w:val="both"/>
        <w:rPr>
          <w:rFonts w:ascii="Georgia" w:hAnsi="Georgia" w:cs="Arial"/>
        </w:rPr>
      </w:pPr>
    </w:p>
    <w:p w:rsidR="007706A5" w:rsidRPr="0040747B" w:rsidRDefault="007706A5" w:rsidP="007706A5">
      <w:pPr>
        <w:pStyle w:val="Sinespaciado"/>
        <w:spacing w:line="360" w:lineRule="auto"/>
        <w:jc w:val="both"/>
        <w:rPr>
          <w:rFonts w:ascii="Georgia" w:hAnsi="Georgia" w:cs="Arial"/>
        </w:rPr>
      </w:pPr>
      <w:r w:rsidRPr="0040747B">
        <w:rPr>
          <w:rFonts w:ascii="Georgia" w:hAnsi="Georgia" w:cs="Arial"/>
        </w:rPr>
        <w:t xml:space="preserve">El recurrente </w:t>
      </w:r>
      <w:r w:rsidR="00076B8B" w:rsidRPr="0040747B">
        <w:rPr>
          <w:rFonts w:ascii="Georgia" w:hAnsi="Georgia" w:cs="Arial"/>
        </w:rPr>
        <w:t>consiente en que la indebida acumulación</w:t>
      </w:r>
      <w:r w:rsidR="009F2972" w:rsidRPr="0040747B">
        <w:rPr>
          <w:rFonts w:ascii="Georgia" w:hAnsi="Georgia" w:cs="Arial"/>
        </w:rPr>
        <w:t>,</w:t>
      </w:r>
      <w:r w:rsidR="00076B8B" w:rsidRPr="0040747B">
        <w:rPr>
          <w:rFonts w:ascii="Georgia" w:hAnsi="Georgia" w:cs="Arial"/>
        </w:rPr>
        <w:t xml:space="preserve"> debió dar lugar a la inadmisión y acepta que no corr</w:t>
      </w:r>
      <w:r w:rsidR="00B439FC" w:rsidRPr="0040747B">
        <w:rPr>
          <w:rFonts w:ascii="Georgia" w:hAnsi="Georgia" w:cs="Arial"/>
        </w:rPr>
        <w:t xml:space="preserve">igió </w:t>
      </w:r>
      <w:r w:rsidR="00076B8B" w:rsidRPr="0040747B">
        <w:rPr>
          <w:rFonts w:ascii="Georgia" w:hAnsi="Georgia" w:cs="Arial"/>
        </w:rPr>
        <w:t>el l</w:t>
      </w:r>
      <w:r w:rsidR="00B439FC" w:rsidRPr="0040747B">
        <w:rPr>
          <w:rFonts w:ascii="Georgia" w:hAnsi="Georgia" w:cs="Arial"/>
        </w:rPr>
        <w:t>i</w:t>
      </w:r>
      <w:r w:rsidR="00076B8B" w:rsidRPr="0040747B">
        <w:rPr>
          <w:rFonts w:ascii="Georgia" w:hAnsi="Georgia" w:cs="Arial"/>
        </w:rPr>
        <w:t xml:space="preserve">belo, empero estima que ese yerro puede ser </w:t>
      </w:r>
      <w:r w:rsidR="00B439FC" w:rsidRPr="0040747B">
        <w:rPr>
          <w:rFonts w:ascii="Georgia" w:hAnsi="Georgia" w:cs="Arial"/>
        </w:rPr>
        <w:t>enmendado</w:t>
      </w:r>
      <w:r w:rsidR="00076B8B" w:rsidRPr="0040747B">
        <w:rPr>
          <w:rFonts w:ascii="Georgia" w:hAnsi="Georgia" w:cs="Arial"/>
        </w:rPr>
        <w:t xml:space="preserve"> en cualquier tiempo, vía reforma de la demanda</w:t>
      </w:r>
      <w:r w:rsidR="00B439FC" w:rsidRPr="0040747B">
        <w:rPr>
          <w:rFonts w:ascii="Georgia" w:hAnsi="Georgia" w:cs="Arial"/>
        </w:rPr>
        <w:t>,</w:t>
      </w:r>
      <w:r w:rsidR="00076B8B" w:rsidRPr="0040747B">
        <w:rPr>
          <w:rFonts w:ascii="Georgia" w:hAnsi="Georgia" w:cs="Arial"/>
        </w:rPr>
        <w:t xml:space="preserve"> </w:t>
      </w:r>
      <w:r w:rsidR="00B439FC" w:rsidRPr="0040747B">
        <w:rPr>
          <w:rFonts w:ascii="Georgia" w:hAnsi="Georgia" w:cs="Arial"/>
        </w:rPr>
        <w:t xml:space="preserve">la </w:t>
      </w:r>
      <w:r w:rsidR="00076B8B" w:rsidRPr="0040747B">
        <w:rPr>
          <w:rFonts w:ascii="Georgia" w:hAnsi="Georgia" w:cs="Arial"/>
        </w:rPr>
        <w:t>que ya presentó</w:t>
      </w:r>
      <w:r w:rsidR="00B439FC" w:rsidRPr="0040747B">
        <w:rPr>
          <w:rFonts w:ascii="Georgia" w:hAnsi="Georgia" w:cs="Arial"/>
        </w:rPr>
        <w:t>;</w:t>
      </w:r>
      <w:r w:rsidR="00076B8B" w:rsidRPr="0040747B">
        <w:rPr>
          <w:rFonts w:ascii="Georgia" w:hAnsi="Georgia" w:cs="Arial"/>
        </w:rPr>
        <w:t xml:space="preserve"> y </w:t>
      </w:r>
      <w:r w:rsidR="002C48D7" w:rsidRPr="0040747B">
        <w:rPr>
          <w:rFonts w:ascii="Georgia" w:hAnsi="Georgia" w:cs="Arial"/>
        </w:rPr>
        <w:t>que considera</w:t>
      </w:r>
      <w:r w:rsidR="00076B8B" w:rsidRPr="0040747B">
        <w:rPr>
          <w:rFonts w:ascii="Georgia" w:hAnsi="Georgia" w:cs="Arial"/>
        </w:rPr>
        <w:t xml:space="preserve"> debe </w:t>
      </w:r>
      <w:r w:rsidR="00076B8B" w:rsidRPr="0040747B">
        <w:rPr>
          <w:rFonts w:ascii="Georgia" w:hAnsi="Georgia" w:cs="Arial"/>
        </w:rPr>
        <w:lastRenderedPageBreak/>
        <w:t xml:space="preserve">acogerse </w:t>
      </w:r>
      <w:r w:rsidR="00B439FC" w:rsidRPr="0040747B">
        <w:rPr>
          <w:rFonts w:ascii="Georgia" w:hAnsi="Georgia" w:cs="Arial"/>
        </w:rPr>
        <w:t xml:space="preserve">para </w:t>
      </w:r>
      <w:r w:rsidR="00076B8B" w:rsidRPr="0040747B">
        <w:rPr>
          <w:rFonts w:ascii="Georgia" w:hAnsi="Georgia" w:cs="Arial"/>
        </w:rPr>
        <w:t>privilegi</w:t>
      </w:r>
      <w:r w:rsidR="00B439FC" w:rsidRPr="0040747B">
        <w:rPr>
          <w:rFonts w:ascii="Georgia" w:hAnsi="Georgia" w:cs="Arial"/>
        </w:rPr>
        <w:t>ar</w:t>
      </w:r>
      <w:r w:rsidR="00076B8B" w:rsidRPr="0040747B">
        <w:rPr>
          <w:rFonts w:ascii="Georgia" w:hAnsi="Georgia" w:cs="Arial"/>
        </w:rPr>
        <w:t xml:space="preserve"> el acceso efectivo a la administración de justicia. También reprocha que se haya terminado el proceso, pues </w:t>
      </w:r>
      <w:r w:rsidR="002C48D7" w:rsidRPr="0040747B">
        <w:rPr>
          <w:rFonts w:ascii="Georgia" w:hAnsi="Georgia" w:cs="Arial"/>
        </w:rPr>
        <w:t>piensa</w:t>
      </w:r>
      <w:r w:rsidR="00076B8B" w:rsidRPr="0040747B">
        <w:rPr>
          <w:rFonts w:ascii="Georgia" w:hAnsi="Georgia" w:cs="Arial"/>
        </w:rPr>
        <w:t xml:space="preserve"> que</w:t>
      </w:r>
      <w:r w:rsidR="009F2972" w:rsidRPr="0040747B">
        <w:rPr>
          <w:rFonts w:ascii="Georgia" w:hAnsi="Georgia" w:cs="Arial"/>
        </w:rPr>
        <w:t xml:space="preserve"> </w:t>
      </w:r>
      <w:r w:rsidR="00076B8B" w:rsidRPr="0040747B">
        <w:rPr>
          <w:rFonts w:ascii="Georgia" w:hAnsi="Georgia" w:cs="Arial"/>
        </w:rPr>
        <w:t>debió retrotraer</w:t>
      </w:r>
      <w:r w:rsidR="009F2972" w:rsidRPr="0040747B">
        <w:rPr>
          <w:rFonts w:ascii="Georgia" w:hAnsi="Georgia" w:cs="Arial"/>
        </w:rPr>
        <w:t>se</w:t>
      </w:r>
      <w:r w:rsidR="00076B8B" w:rsidRPr="0040747B">
        <w:rPr>
          <w:rFonts w:ascii="Georgia" w:hAnsi="Georgia" w:cs="Arial"/>
        </w:rPr>
        <w:t xml:space="preserve"> el asunto</w:t>
      </w:r>
      <w:r w:rsidR="00B439FC" w:rsidRPr="0040747B">
        <w:rPr>
          <w:rFonts w:ascii="Georgia" w:hAnsi="Georgia" w:cs="Arial"/>
        </w:rPr>
        <w:t xml:space="preserve"> </w:t>
      </w:r>
      <w:r w:rsidR="00076B8B" w:rsidRPr="0040747B">
        <w:rPr>
          <w:rFonts w:ascii="Georgia" w:hAnsi="Georgia" w:cs="Arial"/>
        </w:rPr>
        <w:t>hasta la inadmisión de la demanda</w:t>
      </w:r>
      <w:r w:rsidR="00541949" w:rsidRPr="0040747B">
        <w:rPr>
          <w:rFonts w:ascii="Georgia" w:hAnsi="Georgia" w:cs="Arial"/>
        </w:rPr>
        <w:t xml:space="preserve"> </w:t>
      </w:r>
      <w:r w:rsidR="00541949" w:rsidRPr="0040747B">
        <w:rPr>
          <w:rFonts w:ascii="Georgia" w:hAnsi="Georgia" w:cs="Arial"/>
          <w:szCs w:val="22"/>
        </w:rPr>
        <w:t>(</w:t>
      </w:r>
      <w:r w:rsidR="00541949" w:rsidRPr="0040747B">
        <w:rPr>
          <w:rFonts w:ascii="Georgia" w:hAnsi="Georgia" w:cs="Arial"/>
          <w:sz w:val="22"/>
          <w:szCs w:val="22"/>
        </w:rPr>
        <w:t xml:space="preserve">Folios </w:t>
      </w:r>
      <w:r w:rsidR="00076B8B" w:rsidRPr="0040747B">
        <w:rPr>
          <w:rFonts w:ascii="Georgia" w:hAnsi="Georgia" w:cs="Arial"/>
          <w:sz w:val="22"/>
          <w:szCs w:val="22"/>
        </w:rPr>
        <w:t>24</w:t>
      </w:r>
      <w:r w:rsidR="00541949" w:rsidRPr="0040747B">
        <w:rPr>
          <w:rFonts w:ascii="Georgia" w:hAnsi="Georgia" w:cs="Arial"/>
          <w:sz w:val="22"/>
          <w:szCs w:val="22"/>
        </w:rPr>
        <w:t xml:space="preserve"> a </w:t>
      </w:r>
      <w:r w:rsidR="00076B8B" w:rsidRPr="0040747B">
        <w:rPr>
          <w:rFonts w:ascii="Georgia" w:hAnsi="Georgia" w:cs="Arial"/>
          <w:sz w:val="22"/>
          <w:szCs w:val="22"/>
        </w:rPr>
        <w:t>26</w:t>
      </w:r>
      <w:r w:rsidR="00541949" w:rsidRPr="0040747B">
        <w:rPr>
          <w:rFonts w:ascii="Georgia" w:hAnsi="Georgia" w:cs="Arial"/>
          <w:sz w:val="22"/>
          <w:szCs w:val="22"/>
        </w:rPr>
        <w:t xml:space="preserve">, </w:t>
      </w:r>
      <w:r w:rsidR="00076B8B" w:rsidRPr="0040747B">
        <w:rPr>
          <w:rFonts w:ascii="Georgia" w:hAnsi="Georgia" w:cs="Arial"/>
          <w:sz w:val="22"/>
          <w:szCs w:val="22"/>
        </w:rPr>
        <w:t>cuaderno No.2</w:t>
      </w:r>
      <w:r w:rsidR="00541949" w:rsidRPr="0040747B">
        <w:rPr>
          <w:rFonts w:ascii="Georgia" w:hAnsi="Georgia" w:cs="Arial"/>
          <w:szCs w:val="22"/>
        </w:rPr>
        <w:t>).</w:t>
      </w:r>
    </w:p>
    <w:p w:rsidR="007706A5" w:rsidRPr="0040747B" w:rsidRDefault="007706A5" w:rsidP="00AD3DFF">
      <w:pPr>
        <w:pStyle w:val="Sinespaciado"/>
        <w:widowControl/>
        <w:autoSpaceDE/>
        <w:autoSpaceDN/>
        <w:adjustRightInd/>
        <w:spacing w:line="360" w:lineRule="auto"/>
        <w:jc w:val="both"/>
        <w:rPr>
          <w:rFonts w:ascii="Georgia" w:hAnsi="Georgia" w:cs="Arial"/>
        </w:rPr>
      </w:pPr>
    </w:p>
    <w:p w:rsidR="00517926" w:rsidRPr="0040747B" w:rsidRDefault="00AD3DFF" w:rsidP="00517926">
      <w:pPr>
        <w:pStyle w:val="Sinespaciado"/>
        <w:numPr>
          <w:ilvl w:val="0"/>
          <w:numId w:val="8"/>
        </w:numPr>
        <w:spacing w:line="360" w:lineRule="auto"/>
        <w:jc w:val="both"/>
        <w:rPr>
          <w:rFonts w:ascii="Georgia" w:hAnsi="Georgia" w:cs="Arial"/>
        </w:rPr>
      </w:pPr>
      <w:r w:rsidRPr="0040747B">
        <w:rPr>
          <w:rFonts w:ascii="Georgia" w:hAnsi="Georgia" w:cs="Arial"/>
          <w:sz w:val="28"/>
        </w:rPr>
        <w:t>L</w:t>
      </w:r>
      <w:r w:rsidRPr="0040747B">
        <w:rPr>
          <w:rFonts w:ascii="Georgia" w:hAnsi="Georgia" w:cs="Arial"/>
          <w:sz w:val="22"/>
        </w:rPr>
        <w:t>AS ESTIMACIONES JURÍDICAS PARA DECIDIR</w:t>
      </w:r>
    </w:p>
    <w:p w:rsidR="00517926" w:rsidRPr="0040747B" w:rsidRDefault="00517926" w:rsidP="00517926">
      <w:pPr>
        <w:pStyle w:val="Sinespaciado"/>
        <w:spacing w:line="360" w:lineRule="auto"/>
        <w:jc w:val="both"/>
        <w:rPr>
          <w:rFonts w:ascii="Georgia" w:hAnsi="Georgia" w:cs="Arial"/>
        </w:rPr>
      </w:pPr>
    </w:p>
    <w:p w:rsidR="00541949" w:rsidRPr="0040747B" w:rsidRDefault="00541949" w:rsidP="00541949">
      <w:pPr>
        <w:pStyle w:val="Textopredeterminado"/>
        <w:numPr>
          <w:ilvl w:val="1"/>
          <w:numId w:val="13"/>
        </w:numPr>
        <w:spacing w:line="360" w:lineRule="auto"/>
        <w:jc w:val="both"/>
        <w:textAlignment w:val="baseline"/>
        <w:rPr>
          <w:rFonts w:ascii="Georgia" w:hAnsi="Georgia" w:cs="Arial"/>
          <w:szCs w:val="22"/>
          <w:lang w:val="es-MX"/>
        </w:rPr>
      </w:pPr>
      <w:r w:rsidRPr="0040747B">
        <w:rPr>
          <w:rFonts w:ascii="Georgia" w:hAnsi="Georgia" w:cs="Arial"/>
          <w:smallCaps/>
          <w:color w:val="auto"/>
        </w:rPr>
        <w:t>La competencia funcional</w:t>
      </w:r>
      <w:r w:rsidRPr="0040747B">
        <w:rPr>
          <w:rFonts w:ascii="Georgia" w:hAnsi="Georgia" w:cs="Arial"/>
          <w:color w:val="auto"/>
        </w:rPr>
        <w:t xml:space="preserve">. </w:t>
      </w:r>
      <w:r w:rsidRPr="0040747B">
        <w:rPr>
          <w:rFonts w:ascii="Georgia" w:hAnsi="Georgia" w:cs="Arial"/>
          <w:szCs w:val="22"/>
        </w:rPr>
        <w:t>La facultad jurídica para resolver esta controversia radica en esta Colegiatura por el factor funcional (</w:t>
      </w:r>
      <w:r w:rsidRPr="0040747B">
        <w:rPr>
          <w:rFonts w:ascii="Georgia" w:hAnsi="Georgia" w:cs="Arial"/>
          <w:sz w:val="22"/>
          <w:szCs w:val="22"/>
        </w:rPr>
        <w:t xml:space="preserve">Artículos 31-1º y 35, </w:t>
      </w:r>
      <w:r w:rsidR="00710DCF" w:rsidRPr="0040747B">
        <w:rPr>
          <w:rFonts w:ascii="Georgia" w:hAnsi="Georgia" w:cs="Arial"/>
          <w:sz w:val="22"/>
          <w:szCs w:val="22"/>
        </w:rPr>
        <w:t>CGP</w:t>
      </w:r>
      <w:r w:rsidRPr="0040747B">
        <w:rPr>
          <w:rFonts w:ascii="Georgia" w:hAnsi="Georgia" w:cs="Arial"/>
          <w:szCs w:val="22"/>
        </w:rPr>
        <w:t xml:space="preserve">), dada su condición de </w:t>
      </w:r>
      <w:r w:rsidRPr="0040747B">
        <w:rPr>
          <w:rFonts w:ascii="Georgia" w:hAnsi="Georgia" w:cs="Arial"/>
          <w:szCs w:val="22"/>
          <w:lang w:val="es-MX"/>
        </w:rPr>
        <w:t>superiora jerárquica del Juzgado</w:t>
      </w:r>
      <w:r w:rsidRPr="0040747B">
        <w:rPr>
          <w:rFonts w:ascii="Georgia" w:hAnsi="Georgia" w:cs="Arial"/>
        </w:rPr>
        <w:t xml:space="preserve"> </w:t>
      </w:r>
      <w:r w:rsidRPr="0040747B">
        <w:rPr>
          <w:rFonts w:ascii="Georgia" w:hAnsi="Georgia" w:cs="Arial"/>
          <w:szCs w:val="22"/>
          <w:lang w:val="es-MX"/>
        </w:rPr>
        <w:t>emisor de la decisión apelada.</w:t>
      </w:r>
    </w:p>
    <w:p w:rsidR="00541949" w:rsidRPr="0040747B" w:rsidRDefault="00541949" w:rsidP="00517926">
      <w:pPr>
        <w:pStyle w:val="Sinespaciado"/>
        <w:spacing w:line="360" w:lineRule="auto"/>
        <w:jc w:val="both"/>
        <w:rPr>
          <w:rFonts w:ascii="Georgia" w:hAnsi="Georgia" w:cs="Arial"/>
          <w:sz w:val="28"/>
        </w:rPr>
      </w:pPr>
    </w:p>
    <w:p w:rsidR="00D07E95" w:rsidRPr="0040747B" w:rsidRDefault="00AD3DFF" w:rsidP="000644CA">
      <w:pPr>
        <w:pStyle w:val="Textopredeterminado"/>
        <w:numPr>
          <w:ilvl w:val="1"/>
          <w:numId w:val="13"/>
        </w:numPr>
        <w:spacing w:line="360" w:lineRule="auto"/>
        <w:jc w:val="both"/>
        <w:textAlignment w:val="baseline"/>
        <w:rPr>
          <w:rFonts w:ascii="Georgia" w:hAnsi="Georgia" w:cs="Arial"/>
          <w:szCs w:val="24"/>
        </w:rPr>
      </w:pPr>
      <w:r w:rsidRPr="0040747B">
        <w:rPr>
          <w:rFonts w:ascii="Georgia" w:hAnsi="Georgia" w:cs="Arial"/>
          <w:smallCaps/>
        </w:rPr>
        <w:t>Los requisitos de viabilidad de un recurso</w:t>
      </w:r>
      <w:r w:rsidR="0061164D" w:rsidRPr="0040747B">
        <w:rPr>
          <w:rFonts w:ascii="Georgia" w:hAnsi="Georgia" w:cs="Arial"/>
          <w:smallCaps/>
        </w:rPr>
        <w:t xml:space="preserve">. </w:t>
      </w:r>
      <w:r w:rsidR="00214296" w:rsidRPr="0040747B">
        <w:rPr>
          <w:rFonts w:ascii="Georgia" w:hAnsi="Georgia" w:cs="Arial"/>
          <w:spacing w:val="-3"/>
        </w:rPr>
        <w:t>D</w:t>
      </w:r>
      <w:r w:rsidR="00214296" w:rsidRPr="0040747B">
        <w:rPr>
          <w:rFonts w:ascii="Georgia" w:hAnsi="Georgia" w:cs="Arial"/>
          <w:szCs w:val="24"/>
        </w:rPr>
        <w:t xml:space="preserve">esde </w:t>
      </w:r>
      <w:r w:rsidR="00D07E95" w:rsidRPr="0040747B">
        <w:rPr>
          <w:rFonts w:ascii="Georgia" w:hAnsi="Georgia" w:cs="Arial"/>
          <w:szCs w:val="24"/>
        </w:rPr>
        <w:t xml:space="preserve">la óptica procesal, en presencia de los recursos, deben siempre concurrir los llamados presupuestos de viabilidad o trámite o </w:t>
      </w:r>
      <w:r w:rsidR="00D07E95" w:rsidRPr="0040747B">
        <w:rPr>
          <w:rFonts w:ascii="Georgia" w:hAnsi="Georgia" w:cs="Arial"/>
          <w:i/>
          <w:sz w:val="22"/>
          <w:szCs w:val="24"/>
        </w:rPr>
        <w:t>condiciones para tener la posibilidad de recurrir</w:t>
      </w:r>
      <w:r w:rsidR="00D07E95" w:rsidRPr="0040747B">
        <w:rPr>
          <w:rStyle w:val="Refdenotaalpie"/>
          <w:rFonts w:ascii="Georgia" w:hAnsi="Georgia"/>
          <w:i/>
          <w:sz w:val="22"/>
          <w:szCs w:val="24"/>
        </w:rPr>
        <w:footnoteReference w:id="3"/>
      </w:r>
      <w:r w:rsidR="00D07E95" w:rsidRPr="0040747B">
        <w:rPr>
          <w:rFonts w:ascii="Georgia" w:hAnsi="Georgia" w:cs="Arial"/>
          <w:szCs w:val="24"/>
        </w:rPr>
        <w:t>, al decir de la doctrina procesal nacional</w:t>
      </w:r>
      <w:r w:rsidR="00D07E95" w:rsidRPr="0040747B">
        <w:rPr>
          <w:rFonts w:ascii="Georgia" w:hAnsi="Georgia" w:cs="Arial"/>
          <w:szCs w:val="24"/>
          <w:vertAlign w:val="superscript"/>
        </w:rPr>
        <w:footnoteReference w:id="4"/>
      </w:r>
      <w:r w:rsidR="00D07E95" w:rsidRPr="0040747B">
        <w:rPr>
          <w:rFonts w:ascii="Georgia" w:hAnsi="Georgia" w:cs="Arial"/>
          <w:szCs w:val="24"/>
          <w:vertAlign w:val="superscript"/>
        </w:rPr>
        <w:t>-</w:t>
      </w:r>
      <w:r w:rsidR="00D07E95" w:rsidRPr="0040747B">
        <w:rPr>
          <w:rFonts w:ascii="Georgia" w:hAnsi="Georgia" w:cs="Arial"/>
          <w:szCs w:val="24"/>
          <w:vertAlign w:val="superscript"/>
        </w:rPr>
        <w:footnoteReference w:id="5"/>
      </w:r>
      <w:r w:rsidR="00D07E95" w:rsidRPr="0040747B">
        <w:rPr>
          <w:rFonts w:ascii="Georgia" w:hAnsi="Georgia" w:cs="Arial"/>
          <w:szCs w:val="24"/>
        </w:rPr>
        <w:t>, a efectos de examinar el tema de apelación.</w:t>
      </w:r>
    </w:p>
    <w:p w:rsidR="00D07E95" w:rsidRPr="0040747B" w:rsidRDefault="00D07E95" w:rsidP="00D07E95">
      <w:pPr>
        <w:pStyle w:val="Sinespaciado"/>
        <w:spacing w:line="360" w:lineRule="auto"/>
        <w:jc w:val="both"/>
        <w:rPr>
          <w:rFonts w:ascii="Georgia" w:hAnsi="Georgia" w:cs="Arial"/>
          <w:sz w:val="28"/>
        </w:rPr>
      </w:pPr>
    </w:p>
    <w:p w:rsidR="00D07E95" w:rsidRPr="0040747B" w:rsidRDefault="00D07E95" w:rsidP="0061164D">
      <w:pPr>
        <w:pStyle w:val="Sinespaciado"/>
        <w:spacing w:line="360" w:lineRule="auto"/>
        <w:ind w:left="567"/>
        <w:jc w:val="both"/>
        <w:rPr>
          <w:rFonts w:ascii="Georgia" w:hAnsi="Georgia" w:cs="Arial"/>
        </w:rPr>
      </w:pPr>
      <w:r w:rsidRPr="0040747B">
        <w:rPr>
          <w:rFonts w:ascii="Georgia" w:hAnsi="Georgia" w:cs="Arial"/>
        </w:rPr>
        <w:t xml:space="preserve">Se dice que los aludidos presupuestos son una serie de exigencias normativas formales que permiten su trámite y aseguran su decisión.  Así lo anota el profesor López B.: </w:t>
      </w:r>
      <w:r w:rsidRPr="0040747B">
        <w:rPr>
          <w:rFonts w:ascii="Georgia" w:hAnsi="Georgia" w:cs="Arial"/>
          <w:sz w:val="22"/>
        </w:rPr>
        <w:t>“</w:t>
      </w:r>
      <w:r w:rsidRPr="0040747B">
        <w:rPr>
          <w:rFonts w:ascii="Georgia" w:hAnsi="Georgia" w:cs="Arial"/>
          <w:i/>
          <w:sz w:val="22"/>
        </w:rPr>
        <w:t>En todo caso sin estar reunidos los requisitos de viabilidad del recurso jamás se podrá tener éxito en el mismo por constituir un precedente necesario para decidirlo.</w:t>
      </w:r>
      <w:r w:rsidRPr="0040747B">
        <w:rPr>
          <w:rFonts w:ascii="Georgia" w:hAnsi="Georgia" w:cs="Arial"/>
          <w:sz w:val="22"/>
        </w:rPr>
        <w:t>”</w:t>
      </w:r>
      <w:r w:rsidRPr="0040747B">
        <w:rPr>
          <w:rFonts w:ascii="Georgia" w:hAnsi="Georgia" w:cs="Arial"/>
          <w:sz w:val="22"/>
          <w:vertAlign w:val="superscript"/>
        </w:rPr>
        <w:footnoteReference w:id="6"/>
      </w:r>
      <w:r w:rsidRPr="0040747B">
        <w:rPr>
          <w:rFonts w:ascii="Georgia" w:hAnsi="Georgia" w:cs="Arial"/>
        </w:rPr>
        <w:t>.  Y lo explica el profesor Rojas G. en su obra: “</w:t>
      </w:r>
      <w:r w:rsidRPr="0040747B">
        <w:rPr>
          <w:rFonts w:ascii="Georgia" w:hAnsi="Georgia" w:cs="Arial"/>
          <w:i/>
          <w:sz w:val="22"/>
        </w:rPr>
        <w:t>(…) para que la impugnación pueda ser tramitada hasta establecer si debe prosperar han de cumplirse unos precisos requisitos.  En ausencia de ellos no debe dársele curso a la impugnación, o el trámite queda trunco, si ya se inició.</w:t>
      </w:r>
      <w:r w:rsidRPr="0040747B">
        <w:rPr>
          <w:rFonts w:ascii="Georgia" w:hAnsi="Georgia" w:cs="Arial"/>
        </w:rPr>
        <w:t>”</w:t>
      </w:r>
      <w:r w:rsidRPr="0040747B">
        <w:rPr>
          <w:rStyle w:val="Refdenotaalpie"/>
          <w:rFonts w:ascii="Georgia" w:hAnsi="Georgia" w:cs="Arial"/>
        </w:rPr>
        <w:t xml:space="preserve"> </w:t>
      </w:r>
      <w:r w:rsidRPr="0040747B">
        <w:rPr>
          <w:rStyle w:val="Refdenotaalpie"/>
          <w:rFonts w:ascii="Georgia" w:hAnsi="Georgia" w:cs="Arial"/>
        </w:rPr>
        <w:footnoteReference w:id="7"/>
      </w:r>
      <w:r w:rsidRPr="0040747B">
        <w:rPr>
          <w:rFonts w:ascii="Georgia" w:hAnsi="Georgia" w:cs="Arial"/>
        </w:rPr>
        <w:t>.</w:t>
      </w:r>
    </w:p>
    <w:p w:rsidR="00D07E95" w:rsidRPr="0040747B" w:rsidRDefault="00D07E95" w:rsidP="00D07E95">
      <w:pPr>
        <w:pStyle w:val="Sinespaciado"/>
        <w:spacing w:line="360" w:lineRule="auto"/>
        <w:jc w:val="both"/>
        <w:rPr>
          <w:rFonts w:ascii="Georgia" w:hAnsi="Georgia" w:cs="Arial"/>
          <w:sz w:val="28"/>
        </w:rPr>
      </w:pPr>
    </w:p>
    <w:p w:rsidR="00D07E95" w:rsidRPr="0040747B" w:rsidRDefault="00D07E95" w:rsidP="0061164D">
      <w:pPr>
        <w:pStyle w:val="Sinespaciado"/>
        <w:spacing w:line="360" w:lineRule="auto"/>
        <w:ind w:left="567"/>
        <w:jc w:val="both"/>
        <w:rPr>
          <w:rFonts w:ascii="Georgia" w:hAnsi="Georgia"/>
          <w:i/>
          <w:color w:val="2D2D2D"/>
          <w:shd w:val="clear" w:color="auto" w:fill="FFFFFF"/>
        </w:rPr>
      </w:pPr>
      <w:r w:rsidRPr="0040747B">
        <w:rPr>
          <w:rFonts w:ascii="Georgia" w:hAnsi="Georgia" w:cs="Arial"/>
        </w:rPr>
        <w:t>Los mencionados requisitos son concurrentes y necesarios, ausente uno se malogra el estudio de la impugnación. La misma CSJ así lo ha enseñado: “</w:t>
      </w:r>
      <w:r w:rsidRPr="0040747B">
        <w:rPr>
          <w:rFonts w:ascii="Georgia" w:hAnsi="Georgia" w:cs="Arial"/>
          <w:i/>
          <w:sz w:val="22"/>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40747B">
        <w:rPr>
          <w:rFonts w:ascii="Georgia" w:hAnsi="Georgia" w:cs="Arial"/>
        </w:rPr>
        <w:t>”</w:t>
      </w:r>
      <w:r w:rsidRPr="0040747B">
        <w:rPr>
          <w:rStyle w:val="Refdenotaalpie"/>
          <w:rFonts w:ascii="Georgia" w:hAnsi="Georgia"/>
        </w:rPr>
        <w:footnoteReference w:id="8"/>
      </w:r>
      <w:r w:rsidRPr="0040747B">
        <w:rPr>
          <w:rFonts w:ascii="Georgia" w:hAnsi="Georgia" w:cs="Arial"/>
        </w:rPr>
        <w:t>. Y en decisión más próxima (</w:t>
      </w:r>
      <w:r w:rsidRPr="0040747B">
        <w:rPr>
          <w:rFonts w:ascii="Georgia" w:hAnsi="Georgia" w:cs="Arial"/>
          <w:sz w:val="22"/>
        </w:rPr>
        <w:t>2017</w:t>
      </w:r>
      <w:r w:rsidRPr="0040747B">
        <w:rPr>
          <w:rFonts w:ascii="Georgia" w:hAnsi="Georgia" w:cs="Arial"/>
        </w:rPr>
        <w:t>)</w:t>
      </w:r>
      <w:r w:rsidRPr="0040747B">
        <w:rPr>
          <w:rStyle w:val="Refdenotaalpie"/>
          <w:rFonts w:ascii="Georgia" w:hAnsi="Georgia"/>
        </w:rPr>
        <w:footnoteReference w:id="9"/>
      </w:r>
      <w:r w:rsidRPr="0040747B">
        <w:rPr>
          <w:rFonts w:ascii="Georgia" w:hAnsi="Georgia" w:cs="Arial"/>
        </w:rPr>
        <w:t xml:space="preserve"> recordó: </w:t>
      </w:r>
      <w:r w:rsidRPr="0040747B">
        <w:rPr>
          <w:rFonts w:ascii="Georgia" w:hAnsi="Georgia" w:cs="Arial"/>
          <w:sz w:val="22"/>
          <w:szCs w:val="22"/>
        </w:rPr>
        <w:t xml:space="preserve">“(…) </w:t>
      </w:r>
      <w:r w:rsidRPr="0040747B">
        <w:rPr>
          <w:rFonts w:ascii="Georgia" w:hAnsi="Georgia" w:cs="Arial"/>
          <w:i/>
          <w:spacing w:val="-4"/>
          <w:sz w:val="22"/>
          <w:szCs w:val="22"/>
        </w:rPr>
        <w:t>Por supuesto que, era facultad del superior realizar el análisis preliminar para la «admisión» de la alzada</w:t>
      </w:r>
      <w:r w:rsidR="00C34139" w:rsidRPr="0040747B">
        <w:rPr>
          <w:rFonts w:ascii="Georgia" w:hAnsi="Georgia" w:cs="Arial"/>
          <w:i/>
          <w:spacing w:val="-4"/>
          <w:sz w:val="22"/>
          <w:szCs w:val="22"/>
        </w:rPr>
        <w:t>, y conforme a la regla cuarta del canon 325 del C.G.P.</w:t>
      </w:r>
      <w:r w:rsidR="00C34139" w:rsidRPr="0040747B">
        <w:rPr>
          <w:rFonts w:ascii="Bookman Old Style" w:hAnsi="Bookman Old Style" w:cs="Arial"/>
          <w:spacing w:val="-4"/>
          <w:sz w:val="28"/>
          <w:szCs w:val="28"/>
        </w:rPr>
        <w:t xml:space="preserve"> </w:t>
      </w:r>
      <w:r w:rsidRPr="0040747B">
        <w:rPr>
          <w:rFonts w:ascii="Georgia" w:hAnsi="Georgia" w:cs="Arial"/>
          <w:i/>
          <w:color w:val="2D2D2D"/>
          <w:sz w:val="22"/>
          <w:szCs w:val="22"/>
          <w:shd w:val="clear" w:color="auto" w:fill="FFFFFF"/>
        </w:rPr>
        <w:t xml:space="preserve"> (…)”.</w:t>
      </w:r>
    </w:p>
    <w:p w:rsidR="00D07E95" w:rsidRPr="0040747B" w:rsidRDefault="00D07E95" w:rsidP="00D07E95">
      <w:pPr>
        <w:pStyle w:val="Sinespaciado"/>
        <w:spacing w:line="360" w:lineRule="auto"/>
        <w:jc w:val="both"/>
        <w:rPr>
          <w:rFonts w:ascii="Georgia" w:hAnsi="Georgia" w:cs="Arial"/>
          <w:sz w:val="28"/>
        </w:rPr>
      </w:pPr>
    </w:p>
    <w:p w:rsidR="00710DCF" w:rsidRPr="0040747B" w:rsidRDefault="00D07E95" w:rsidP="003D30AA">
      <w:pPr>
        <w:pStyle w:val="Sinespaciado"/>
        <w:spacing w:line="360" w:lineRule="auto"/>
        <w:ind w:left="567"/>
        <w:jc w:val="both"/>
        <w:rPr>
          <w:rFonts w:ascii="Georgia" w:hAnsi="Georgia" w:cs="Arial"/>
        </w:rPr>
      </w:pPr>
      <w:r w:rsidRPr="0040747B">
        <w:rPr>
          <w:rFonts w:ascii="Georgia" w:hAnsi="Georgia" w:cs="Arial"/>
        </w:rPr>
        <w:t>Esos supuestos son legitimación, oportunidad, procedencia y cargas procesales (</w:t>
      </w:r>
      <w:r w:rsidRPr="0040747B">
        <w:rPr>
          <w:rFonts w:ascii="Georgia" w:hAnsi="Georgia" w:cs="Arial"/>
          <w:sz w:val="22"/>
        </w:rPr>
        <w:t xml:space="preserve">Sustentación, expedición de copias, </w:t>
      </w:r>
      <w:r w:rsidR="00B0003E" w:rsidRPr="0040747B">
        <w:rPr>
          <w:rFonts w:ascii="Georgia" w:hAnsi="Georgia" w:cs="Arial"/>
          <w:sz w:val="22"/>
        </w:rPr>
        <w:t>etc.</w:t>
      </w:r>
      <w:r w:rsidRPr="0040747B">
        <w:rPr>
          <w:rFonts w:ascii="Georgia" w:hAnsi="Georgia" w:cs="Arial"/>
        </w:rPr>
        <w:t>), es necesario precisar desde ya que, los tres primeros implican la inadmisibilidad del recurso mientras que, el cuarto, provoca la deserción del mismo, tal como lo acota la doctrina patria</w:t>
      </w:r>
      <w:r w:rsidRPr="0040747B">
        <w:rPr>
          <w:rStyle w:val="Refdenotaalpie"/>
          <w:rFonts w:ascii="Georgia" w:hAnsi="Georgia"/>
        </w:rPr>
        <w:footnoteReference w:id="10"/>
      </w:r>
      <w:r w:rsidRPr="0040747B">
        <w:rPr>
          <w:rFonts w:ascii="Georgia" w:hAnsi="Georgia" w:cs="Arial"/>
          <w:vertAlign w:val="superscript"/>
        </w:rPr>
        <w:t>-</w:t>
      </w:r>
      <w:r w:rsidRPr="0040747B">
        <w:rPr>
          <w:rStyle w:val="Refdenotaalpie"/>
          <w:rFonts w:ascii="Georgia" w:hAnsi="Georgia"/>
        </w:rPr>
        <w:footnoteReference w:id="11"/>
      </w:r>
      <w:r w:rsidRPr="0040747B">
        <w:rPr>
          <w:rFonts w:ascii="Georgia" w:hAnsi="Georgia" w:cs="Arial"/>
        </w:rPr>
        <w:t xml:space="preserve">. </w:t>
      </w:r>
      <w:r w:rsidR="00710DCF" w:rsidRPr="0040747B">
        <w:rPr>
          <w:rFonts w:ascii="Georgia" w:hAnsi="Georgia" w:cs="Arial"/>
        </w:rPr>
        <w:t>Para este caso se encuentran cumplidos, hay legitimación en la parte que recurre porque hay mengua de sus intereses con la decisión atacada, el recurso es tempestivo, la aludida providencia es susceptible de apelación (</w:t>
      </w:r>
      <w:r w:rsidR="00710DCF" w:rsidRPr="0040747B">
        <w:rPr>
          <w:rFonts w:ascii="Georgia" w:hAnsi="Georgia" w:cs="Arial"/>
          <w:sz w:val="22"/>
        </w:rPr>
        <w:t>Artículo 321-7º, ibídem</w:t>
      </w:r>
      <w:r w:rsidR="00710DCF" w:rsidRPr="0040747B">
        <w:rPr>
          <w:rFonts w:ascii="Georgia" w:hAnsi="Georgia" w:cs="Arial"/>
        </w:rPr>
        <w:t xml:space="preserve">) y está cumplida la carga procesal de la sustentación (Artículo 322-3º, </w:t>
      </w:r>
      <w:r w:rsidR="00710DCF" w:rsidRPr="0040747B">
        <w:rPr>
          <w:rFonts w:ascii="Georgia" w:hAnsi="Georgia" w:cs="Arial"/>
          <w:sz w:val="22"/>
        </w:rPr>
        <w:t>ibídem</w:t>
      </w:r>
      <w:r w:rsidR="00710DCF" w:rsidRPr="0040747B">
        <w:rPr>
          <w:rFonts w:ascii="Georgia" w:hAnsi="Georgia" w:cs="Arial"/>
        </w:rPr>
        <w:t>).</w:t>
      </w:r>
    </w:p>
    <w:p w:rsidR="00710DCF" w:rsidRPr="0040747B" w:rsidRDefault="00710DCF" w:rsidP="005877A0">
      <w:pPr>
        <w:pStyle w:val="Sinespaciado"/>
        <w:spacing w:line="360" w:lineRule="auto"/>
        <w:jc w:val="both"/>
        <w:rPr>
          <w:rFonts w:ascii="Georgia" w:hAnsi="Georgia" w:cs="Arial"/>
        </w:rPr>
      </w:pPr>
    </w:p>
    <w:p w:rsidR="003D30AA" w:rsidRPr="0040747B" w:rsidRDefault="003D30AA" w:rsidP="003D30AA">
      <w:pPr>
        <w:pStyle w:val="Textopredeterminado"/>
        <w:numPr>
          <w:ilvl w:val="1"/>
          <w:numId w:val="13"/>
        </w:numPr>
        <w:spacing w:line="360" w:lineRule="auto"/>
        <w:jc w:val="both"/>
        <w:textAlignment w:val="baseline"/>
        <w:rPr>
          <w:rFonts w:ascii="Georgia" w:hAnsi="Georgia" w:cs="Arial"/>
          <w:szCs w:val="24"/>
        </w:rPr>
      </w:pPr>
      <w:r w:rsidRPr="0040747B">
        <w:rPr>
          <w:rFonts w:ascii="Georgia" w:hAnsi="Georgia" w:cs="Arial"/>
          <w:smallCaps/>
          <w:sz w:val="25"/>
          <w:szCs w:val="25"/>
          <w:lang w:val="es-CO"/>
        </w:rPr>
        <w:t>El problema jurídico para resolver</w:t>
      </w:r>
      <w:r w:rsidRPr="0040747B">
        <w:rPr>
          <w:rFonts w:ascii="Georgia" w:hAnsi="Georgia" w:cs="Arial"/>
          <w:lang w:val="es-CO"/>
        </w:rPr>
        <w:t xml:space="preserve">. </w:t>
      </w:r>
      <w:r w:rsidRPr="0040747B">
        <w:rPr>
          <w:rFonts w:ascii="Georgia" w:hAnsi="Georgia" w:cs="Arial"/>
          <w:szCs w:val="24"/>
        </w:rPr>
        <w:t xml:space="preserve">¿Debe modificarse, confirmarse o revocarse el auto del </w:t>
      </w:r>
      <w:r w:rsidRPr="0040747B">
        <w:rPr>
          <w:rFonts w:ascii="Georgia" w:hAnsi="Georgia" w:cs="Arial"/>
          <w:lang w:val="es-MX"/>
        </w:rPr>
        <w:t>Juzgado Cuarto Civil del Circuito de Pereira, Risaralda</w:t>
      </w:r>
      <w:r w:rsidRPr="0040747B">
        <w:rPr>
          <w:rFonts w:ascii="Georgia" w:hAnsi="Georgia" w:cs="Arial"/>
          <w:szCs w:val="24"/>
        </w:rPr>
        <w:t>, que declaró probada la excepción previa de inepta demanda por indebida acumulación de pretensiones, según lo argüido por la parte actora?</w:t>
      </w:r>
    </w:p>
    <w:p w:rsidR="003D30AA" w:rsidRPr="0040747B" w:rsidRDefault="003D30AA" w:rsidP="005877A0">
      <w:pPr>
        <w:pStyle w:val="Sinespaciado"/>
        <w:spacing w:line="360" w:lineRule="auto"/>
        <w:jc w:val="both"/>
        <w:rPr>
          <w:rFonts w:ascii="Georgia" w:hAnsi="Georgia" w:cs="Arial"/>
        </w:rPr>
      </w:pPr>
    </w:p>
    <w:p w:rsidR="003D30AA" w:rsidRPr="0040747B" w:rsidRDefault="003D30AA" w:rsidP="003D30AA">
      <w:pPr>
        <w:pStyle w:val="Sinespaciado"/>
        <w:numPr>
          <w:ilvl w:val="0"/>
          <w:numId w:val="8"/>
        </w:numPr>
        <w:spacing w:line="360" w:lineRule="auto"/>
        <w:jc w:val="both"/>
        <w:rPr>
          <w:rFonts w:ascii="Georgia" w:hAnsi="Georgia" w:cs="Arial"/>
        </w:rPr>
      </w:pPr>
      <w:r w:rsidRPr="0040747B">
        <w:rPr>
          <w:rFonts w:ascii="Georgia" w:hAnsi="Georgia" w:cs="Arial"/>
          <w:sz w:val="28"/>
        </w:rPr>
        <w:t>L</w:t>
      </w:r>
      <w:r w:rsidRPr="0040747B">
        <w:rPr>
          <w:rFonts w:ascii="Georgia" w:hAnsi="Georgia" w:cs="Arial"/>
        </w:rPr>
        <w:t>A RESOLUCIÓN DEL PROBLEMA JURÍDICO</w:t>
      </w:r>
    </w:p>
    <w:p w:rsidR="003D30AA" w:rsidRPr="0040747B" w:rsidRDefault="003D30AA" w:rsidP="003D30AA">
      <w:pPr>
        <w:pStyle w:val="Textopredeterminado"/>
        <w:spacing w:line="360" w:lineRule="auto"/>
        <w:ind w:left="360"/>
        <w:jc w:val="both"/>
        <w:rPr>
          <w:rFonts w:ascii="Georgia" w:hAnsi="Georgia" w:cs="Arial"/>
          <w:color w:val="auto"/>
          <w:sz w:val="20"/>
        </w:rPr>
      </w:pPr>
    </w:p>
    <w:p w:rsidR="003D30AA" w:rsidRPr="0040747B" w:rsidRDefault="003D30AA" w:rsidP="003D30AA">
      <w:pPr>
        <w:widowControl w:val="0"/>
        <w:overflowPunct w:val="0"/>
        <w:autoSpaceDE w:val="0"/>
        <w:autoSpaceDN w:val="0"/>
        <w:adjustRightInd w:val="0"/>
        <w:spacing w:line="360" w:lineRule="auto"/>
        <w:jc w:val="both"/>
        <w:rPr>
          <w:rFonts w:ascii="Georgia" w:hAnsi="Georgia" w:cs="Arial"/>
          <w:sz w:val="24"/>
          <w:lang w:val="es-CO"/>
        </w:rPr>
      </w:pPr>
      <w:r w:rsidRPr="0040747B">
        <w:rPr>
          <w:rFonts w:ascii="Georgia" w:hAnsi="Georgia" w:cs="Arial"/>
          <w:sz w:val="24"/>
          <w:lang w:val="es-CO"/>
        </w:rPr>
        <w:t>Concretados por el marco argumental formulado en la alzada, en acatamiento del artículo 328, CGP, se examinará el asunto litigioso, con desarrollo de los precisos aspectos cuestionados.</w:t>
      </w:r>
    </w:p>
    <w:p w:rsidR="00821D31" w:rsidRPr="0040747B" w:rsidRDefault="00821D31" w:rsidP="00A1383A">
      <w:pPr>
        <w:pStyle w:val="Sinespaciado"/>
        <w:spacing w:line="360" w:lineRule="auto"/>
        <w:ind w:left="567"/>
        <w:jc w:val="both"/>
        <w:rPr>
          <w:rFonts w:ascii="Georgia" w:hAnsi="Georgia" w:cs="Arial"/>
        </w:rPr>
      </w:pPr>
    </w:p>
    <w:p w:rsidR="003D30AA" w:rsidRPr="0040747B" w:rsidRDefault="003D30AA" w:rsidP="003D30AA">
      <w:pPr>
        <w:pStyle w:val="Prrafodelista"/>
        <w:numPr>
          <w:ilvl w:val="0"/>
          <w:numId w:val="13"/>
        </w:numPr>
        <w:overflowPunct w:val="0"/>
        <w:autoSpaceDE w:val="0"/>
        <w:autoSpaceDN w:val="0"/>
        <w:adjustRightInd w:val="0"/>
        <w:spacing w:line="360" w:lineRule="auto"/>
        <w:jc w:val="both"/>
        <w:textAlignment w:val="baseline"/>
        <w:rPr>
          <w:rFonts w:ascii="Georgia" w:hAnsi="Georgia" w:cs="Arial"/>
          <w:smallCaps/>
          <w:vanish/>
          <w:color w:val="000000"/>
          <w:sz w:val="25"/>
          <w:szCs w:val="25"/>
        </w:rPr>
      </w:pPr>
    </w:p>
    <w:p w:rsidR="009E26F6" w:rsidRPr="0040747B" w:rsidRDefault="008056A2" w:rsidP="009016BD">
      <w:pPr>
        <w:spacing w:line="360" w:lineRule="auto"/>
        <w:jc w:val="both"/>
        <w:rPr>
          <w:rFonts w:ascii="Georgia" w:hAnsi="Georgia" w:cs="Arial"/>
          <w:sz w:val="24"/>
          <w:szCs w:val="24"/>
        </w:rPr>
      </w:pPr>
      <w:r w:rsidRPr="0040747B">
        <w:rPr>
          <w:rFonts w:ascii="Georgia" w:hAnsi="Georgia" w:cs="Arial"/>
          <w:sz w:val="24"/>
          <w:szCs w:val="24"/>
        </w:rPr>
        <w:t>De entrada, como atrás se dijera, el recurrente acepta que hubo una indebida acumulación de pretensiones</w:t>
      </w:r>
      <w:r w:rsidR="009E26F6" w:rsidRPr="0040747B">
        <w:rPr>
          <w:rFonts w:ascii="Georgia" w:hAnsi="Georgia" w:cs="Arial"/>
          <w:sz w:val="24"/>
          <w:szCs w:val="24"/>
        </w:rPr>
        <w:t xml:space="preserve">, de donde luce evidente que no tiene reparos con la prosperidad del </w:t>
      </w:r>
      <w:r w:rsidR="00A177CC" w:rsidRPr="0040747B">
        <w:rPr>
          <w:rFonts w:ascii="Georgia" w:hAnsi="Georgia" w:cs="Arial"/>
          <w:sz w:val="24"/>
          <w:szCs w:val="24"/>
        </w:rPr>
        <w:t>medio exceptivo</w:t>
      </w:r>
      <w:r w:rsidR="00C93ED2" w:rsidRPr="0040747B">
        <w:rPr>
          <w:rFonts w:ascii="Georgia" w:hAnsi="Georgia" w:cs="Arial"/>
          <w:sz w:val="24"/>
          <w:szCs w:val="24"/>
        </w:rPr>
        <w:t xml:space="preserve">, </w:t>
      </w:r>
      <w:r w:rsidR="00CF5EAF" w:rsidRPr="0040747B">
        <w:rPr>
          <w:rFonts w:ascii="Georgia" w:hAnsi="Georgia" w:cs="Arial"/>
          <w:sz w:val="24"/>
          <w:szCs w:val="24"/>
        </w:rPr>
        <w:t>sin embargo</w:t>
      </w:r>
      <w:r w:rsidR="002B5E55" w:rsidRPr="0040747B">
        <w:rPr>
          <w:rFonts w:ascii="Georgia" w:hAnsi="Georgia" w:cs="Arial"/>
          <w:sz w:val="24"/>
          <w:szCs w:val="24"/>
        </w:rPr>
        <w:t xml:space="preserve">, </w:t>
      </w:r>
      <w:r w:rsidR="00542182" w:rsidRPr="0040747B">
        <w:rPr>
          <w:rFonts w:ascii="Georgia" w:hAnsi="Georgia" w:cs="Arial"/>
          <w:sz w:val="24"/>
          <w:szCs w:val="24"/>
        </w:rPr>
        <w:t xml:space="preserve">se </w:t>
      </w:r>
      <w:r w:rsidR="002B5E55" w:rsidRPr="0040747B">
        <w:rPr>
          <w:rFonts w:ascii="Georgia" w:hAnsi="Georgia" w:cs="Arial"/>
          <w:sz w:val="24"/>
          <w:szCs w:val="24"/>
        </w:rPr>
        <w:t xml:space="preserve">pretende a través del recurso que se acepte la corrección que </w:t>
      </w:r>
      <w:r w:rsidR="006E61A9" w:rsidRPr="0040747B">
        <w:rPr>
          <w:rFonts w:ascii="Georgia" w:hAnsi="Georgia" w:cs="Arial"/>
          <w:sz w:val="24"/>
          <w:szCs w:val="24"/>
        </w:rPr>
        <w:t xml:space="preserve">ha hecho, de ese aspecto, </w:t>
      </w:r>
      <w:r w:rsidR="00B439FC" w:rsidRPr="0040747B">
        <w:rPr>
          <w:rFonts w:ascii="Georgia" w:hAnsi="Georgia" w:cs="Arial"/>
          <w:sz w:val="24"/>
          <w:szCs w:val="24"/>
        </w:rPr>
        <w:t xml:space="preserve">al </w:t>
      </w:r>
      <w:r w:rsidR="002B5E55" w:rsidRPr="0040747B">
        <w:rPr>
          <w:rFonts w:ascii="Georgia" w:hAnsi="Georgia" w:cs="Arial"/>
          <w:sz w:val="24"/>
          <w:szCs w:val="24"/>
        </w:rPr>
        <w:t>reforma</w:t>
      </w:r>
      <w:r w:rsidR="00B439FC" w:rsidRPr="0040747B">
        <w:rPr>
          <w:rFonts w:ascii="Georgia" w:hAnsi="Georgia" w:cs="Arial"/>
          <w:sz w:val="24"/>
          <w:szCs w:val="24"/>
        </w:rPr>
        <w:t>r</w:t>
      </w:r>
      <w:r w:rsidR="002B5E55" w:rsidRPr="0040747B">
        <w:rPr>
          <w:rFonts w:ascii="Georgia" w:hAnsi="Georgia" w:cs="Arial"/>
          <w:sz w:val="24"/>
          <w:szCs w:val="24"/>
        </w:rPr>
        <w:t xml:space="preserve"> la demanda </w:t>
      </w:r>
      <w:r w:rsidR="006E61A9" w:rsidRPr="0040747B">
        <w:rPr>
          <w:rFonts w:ascii="Georgia" w:hAnsi="Georgia" w:cs="Arial"/>
          <w:sz w:val="24"/>
          <w:szCs w:val="24"/>
        </w:rPr>
        <w:t>y</w:t>
      </w:r>
      <w:r w:rsidR="002B5E55" w:rsidRPr="0040747B">
        <w:rPr>
          <w:rFonts w:ascii="Georgia" w:hAnsi="Georgia" w:cs="Arial"/>
          <w:sz w:val="24"/>
          <w:szCs w:val="24"/>
        </w:rPr>
        <w:t xml:space="preserve"> que </w:t>
      </w:r>
      <w:r w:rsidR="00BE137F" w:rsidRPr="0040747B">
        <w:rPr>
          <w:rFonts w:ascii="Georgia" w:hAnsi="Georgia" w:cs="Arial"/>
          <w:sz w:val="24"/>
          <w:szCs w:val="24"/>
        </w:rPr>
        <w:t xml:space="preserve">como </w:t>
      </w:r>
      <w:r w:rsidR="009E26F6" w:rsidRPr="0040747B">
        <w:rPr>
          <w:rFonts w:ascii="Georgia" w:hAnsi="Georgia" w:cs="Arial"/>
          <w:sz w:val="24"/>
          <w:szCs w:val="24"/>
        </w:rPr>
        <w:t>consecuencia</w:t>
      </w:r>
      <w:r w:rsidR="006E61A9" w:rsidRPr="0040747B">
        <w:rPr>
          <w:rFonts w:ascii="Georgia" w:hAnsi="Georgia" w:cs="Arial"/>
          <w:sz w:val="24"/>
          <w:szCs w:val="24"/>
        </w:rPr>
        <w:t>,</w:t>
      </w:r>
      <w:r w:rsidR="009E26F6" w:rsidRPr="0040747B">
        <w:rPr>
          <w:rFonts w:ascii="Georgia" w:hAnsi="Georgia" w:cs="Arial"/>
          <w:sz w:val="24"/>
          <w:szCs w:val="24"/>
        </w:rPr>
        <w:t xml:space="preserve"> </w:t>
      </w:r>
      <w:r w:rsidR="002B5E55" w:rsidRPr="0040747B">
        <w:rPr>
          <w:rFonts w:ascii="Georgia" w:hAnsi="Georgia" w:cs="Arial"/>
          <w:sz w:val="24"/>
          <w:szCs w:val="24"/>
        </w:rPr>
        <w:t>no se</w:t>
      </w:r>
      <w:r w:rsidR="00BE137F" w:rsidRPr="0040747B">
        <w:rPr>
          <w:rFonts w:ascii="Georgia" w:hAnsi="Georgia" w:cs="Arial"/>
          <w:sz w:val="24"/>
          <w:szCs w:val="24"/>
        </w:rPr>
        <w:t xml:space="preserve"> </w:t>
      </w:r>
      <w:r w:rsidR="009E26F6" w:rsidRPr="0040747B">
        <w:rPr>
          <w:rFonts w:ascii="Georgia" w:hAnsi="Georgia" w:cs="Arial"/>
          <w:sz w:val="24"/>
          <w:szCs w:val="24"/>
        </w:rPr>
        <w:t>termin</w:t>
      </w:r>
      <w:r w:rsidR="00BE137F" w:rsidRPr="0040747B">
        <w:rPr>
          <w:rFonts w:ascii="Georgia" w:hAnsi="Georgia" w:cs="Arial"/>
          <w:sz w:val="24"/>
          <w:szCs w:val="24"/>
        </w:rPr>
        <w:t xml:space="preserve">e </w:t>
      </w:r>
      <w:r w:rsidR="009E26F6" w:rsidRPr="0040747B">
        <w:rPr>
          <w:rFonts w:ascii="Georgia" w:hAnsi="Georgia" w:cs="Arial"/>
          <w:sz w:val="24"/>
          <w:szCs w:val="24"/>
        </w:rPr>
        <w:t>el proceso</w:t>
      </w:r>
      <w:r w:rsidR="002C48D7" w:rsidRPr="0040747B">
        <w:rPr>
          <w:rFonts w:ascii="Georgia" w:hAnsi="Georgia" w:cs="Arial"/>
          <w:sz w:val="24"/>
          <w:szCs w:val="24"/>
        </w:rPr>
        <w:t>,</w:t>
      </w:r>
      <w:r w:rsidR="009E26F6" w:rsidRPr="0040747B">
        <w:rPr>
          <w:rFonts w:ascii="Georgia" w:hAnsi="Georgia" w:cs="Arial"/>
          <w:sz w:val="24"/>
          <w:szCs w:val="24"/>
        </w:rPr>
        <w:t xml:space="preserve"> </w:t>
      </w:r>
      <w:r w:rsidR="002B5E55" w:rsidRPr="0040747B">
        <w:rPr>
          <w:rFonts w:ascii="Georgia" w:hAnsi="Georgia" w:cs="Arial"/>
          <w:sz w:val="24"/>
          <w:szCs w:val="24"/>
        </w:rPr>
        <w:t>s</w:t>
      </w:r>
      <w:r w:rsidR="006E61A9" w:rsidRPr="0040747B">
        <w:rPr>
          <w:rFonts w:ascii="Georgia" w:hAnsi="Georgia" w:cs="Arial"/>
          <w:sz w:val="24"/>
          <w:szCs w:val="24"/>
        </w:rPr>
        <w:t>i</w:t>
      </w:r>
      <w:r w:rsidR="002B5E55" w:rsidRPr="0040747B">
        <w:rPr>
          <w:rFonts w:ascii="Georgia" w:hAnsi="Georgia" w:cs="Arial"/>
          <w:sz w:val="24"/>
          <w:szCs w:val="24"/>
        </w:rPr>
        <w:t xml:space="preserve">no </w:t>
      </w:r>
      <w:r w:rsidR="00BE137F" w:rsidRPr="0040747B">
        <w:rPr>
          <w:rFonts w:ascii="Georgia" w:hAnsi="Georgia" w:cs="Arial"/>
          <w:sz w:val="24"/>
          <w:szCs w:val="24"/>
        </w:rPr>
        <w:t xml:space="preserve">que se </w:t>
      </w:r>
      <w:r w:rsidR="009E26F6" w:rsidRPr="0040747B">
        <w:rPr>
          <w:rFonts w:ascii="Georgia" w:hAnsi="Georgia" w:cs="Arial"/>
          <w:sz w:val="24"/>
          <w:szCs w:val="24"/>
        </w:rPr>
        <w:t>inadmi</w:t>
      </w:r>
      <w:r w:rsidR="00BE137F" w:rsidRPr="0040747B">
        <w:rPr>
          <w:rFonts w:ascii="Georgia" w:hAnsi="Georgia" w:cs="Arial"/>
          <w:sz w:val="24"/>
          <w:szCs w:val="24"/>
        </w:rPr>
        <w:t>ta</w:t>
      </w:r>
      <w:r w:rsidR="009E26F6" w:rsidRPr="0040747B">
        <w:rPr>
          <w:rFonts w:ascii="Georgia" w:hAnsi="Georgia" w:cs="Arial"/>
          <w:sz w:val="24"/>
          <w:szCs w:val="24"/>
        </w:rPr>
        <w:t xml:space="preserve">. </w:t>
      </w:r>
    </w:p>
    <w:p w:rsidR="002B5E55" w:rsidRPr="0040747B" w:rsidRDefault="002B5E55" w:rsidP="002B5E55">
      <w:pPr>
        <w:spacing w:line="360" w:lineRule="auto"/>
        <w:jc w:val="both"/>
        <w:rPr>
          <w:rFonts w:ascii="Georgia" w:hAnsi="Georgia" w:cs="Arial"/>
          <w:sz w:val="24"/>
          <w:szCs w:val="24"/>
        </w:rPr>
      </w:pPr>
    </w:p>
    <w:p w:rsidR="009E26F6" w:rsidRPr="0040747B" w:rsidRDefault="006E61A9" w:rsidP="009016BD">
      <w:pPr>
        <w:spacing w:line="360" w:lineRule="auto"/>
        <w:jc w:val="both"/>
        <w:rPr>
          <w:rFonts w:ascii="Georgia" w:hAnsi="Georgia" w:cs="Arial"/>
          <w:sz w:val="24"/>
          <w:szCs w:val="24"/>
        </w:rPr>
      </w:pPr>
      <w:r w:rsidRPr="0040747B">
        <w:rPr>
          <w:rFonts w:ascii="Georgia" w:hAnsi="Georgia" w:cs="Arial"/>
          <w:sz w:val="24"/>
          <w:szCs w:val="24"/>
        </w:rPr>
        <w:t>Frente al primero de esos pedimentos, es menester precisar que si bien, la reforma de la demanda está contemplada en el ordenamiento procesal</w:t>
      </w:r>
      <w:r w:rsidR="00BE137F" w:rsidRPr="0040747B">
        <w:rPr>
          <w:rFonts w:ascii="Georgia" w:hAnsi="Georgia" w:cs="Arial"/>
          <w:sz w:val="24"/>
          <w:szCs w:val="24"/>
        </w:rPr>
        <w:t xml:space="preserve">, </w:t>
      </w:r>
      <w:r w:rsidRPr="0040747B">
        <w:rPr>
          <w:rFonts w:ascii="Georgia" w:hAnsi="Georgia" w:cs="Arial"/>
          <w:sz w:val="24"/>
          <w:szCs w:val="24"/>
        </w:rPr>
        <w:t>p</w:t>
      </w:r>
      <w:r w:rsidR="00BE137F" w:rsidRPr="0040747B">
        <w:rPr>
          <w:rFonts w:ascii="Georgia" w:hAnsi="Georgia" w:cs="Arial"/>
          <w:sz w:val="24"/>
          <w:szCs w:val="24"/>
        </w:rPr>
        <w:t xml:space="preserve">ara </w:t>
      </w:r>
      <w:r w:rsidRPr="0040747B">
        <w:rPr>
          <w:rFonts w:ascii="Georgia" w:hAnsi="Georgia" w:cs="Arial"/>
          <w:sz w:val="24"/>
          <w:szCs w:val="24"/>
        </w:rPr>
        <w:t>formularse en cualquier tiempo hasta antes del señalamiento de la audiencia inicial</w:t>
      </w:r>
      <w:r w:rsidR="00BE137F" w:rsidRPr="0040747B">
        <w:rPr>
          <w:rFonts w:ascii="Georgia" w:hAnsi="Georgia" w:cs="Arial"/>
          <w:sz w:val="24"/>
          <w:szCs w:val="24"/>
        </w:rPr>
        <w:t xml:space="preserve"> </w:t>
      </w:r>
      <w:r w:rsidR="004B1B87" w:rsidRPr="0040747B">
        <w:rPr>
          <w:rFonts w:ascii="Georgia" w:hAnsi="Georgia" w:cs="Arial"/>
          <w:sz w:val="24"/>
          <w:szCs w:val="24"/>
        </w:rPr>
        <w:t>(</w:t>
      </w:r>
      <w:r w:rsidR="004B1B87" w:rsidRPr="0040747B">
        <w:rPr>
          <w:rFonts w:ascii="Georgia" w:hAnsi="Georgia" w:cs="Arial"/>
          <w:sz w:val="22"/>
          <w:szCs w:val="24"/>
        </w:rPr>
        <w:t>Artículo 93, ídem</w:t>
      </w:r>
      <w:r w:rsidR="004B1B87" w:rsidRPr="0040747B">
        <w:rPr>
          <w:rFonts w:ascii="Georgia" w:hAnsi="Georgia" w:cs="Arial"/>
          <w:sz w:val="24"/>
          <w:szCs w:val="24"/>
        </w:rPr>
        <w:t>)</w:t>
      </w:r>
      <w:r w:rsidRPr="0040747B">
        <w:rPr>
          <w:rFonts w:ascii="Georgia" w:hAnsi="Georgia" w:cs="Arial"/>
          <w:sz w:val="24"/>
          <w:szCs w:val="24"/>
        </w:rPr>
        <w:t>; ell</w:t>
      </w:r>
      <w:r w:rsidR="00BE137F" w:rsidRPr="0040747B">
        <w:rPr>
          <w:rFonts w:ascii="Georgia" w:hAnsi="Georgia" w:cs="Arial"/>
          <w:sz w:val="24"/>
          <w:szCs w:val="24"/>
        </w:rPr>
        <w:t>a</w:t>
      </w:r>
      <w:r w:rsidRPr="0040747B">
        <w:rPr>
          <w:rFonts w:ascii="Georgia" w:hAnsi="Georgia" w:cs="Arial"/>
          <w:sz w:val="24"/>
          <w:szCs w:val="24"/>
        </w:rPr>
        <w:t xml:space="preserve"> no </w:t>
      </w:r>
      <w:r w:rsidR="00BE137F" w:rsidRPr="0040747B">
        <w:rPr>
          <w:rFonts w:ascii="Georgia" w:hAnsi="Georgia" w:cs="Arial"/>
          <w:sz w:val="24"/>
          <w:szCs w:val="24"/>
        </w:rPr>
        <w:t xml:space="preserve">puede utilizarse para corregir </w:t>
      </w:r>
      <w:r w:rsidR="00D3775C" w:rsidRPr="0040747B">
        <w:rPr>
          <w:rFonts w:ascii="Georgia" w:hAnsi="Georgia" w:cs="Arial"/>
          <w:sz w:val="24"/>
          <w:szCs w:val="24"/>
        </w:rPr>
        <w:t>un</w:t>
      </w:r>
      <w:r w:rsidR="00BE137F" w:rsidRPr="0040747B">
        <w:rPr>
          <w:rFonts w:ascii="Georgia" w:hAnsi="Georgia" w:cs="Arial"/>
          <w:sz w:val="24"/>
          <w:szCs w:val="24"/>
        </w:rPr>
        <w:t xml:space="preserve">a </w:t>
      </w:r>
      <w:r w:rsidRPr="0040747B">
        <w:rPr>
          <w:rFonts w:ascii="Georgia" w:hAnsi="Georgia" w:cs="Arial"/>
          <w:sz w:val="24"/>
          <w:szCs w:val="24"/>
        </w:rPr>
        <w:t xml:space="preserve">falencia del </w:t>
      </w:r>
      <w:r w:rsidR="00BE137F" w:rsidRPr="0040747B">
        <w:rPr>
          <w:rFonts w:ascii="Georgia" w:hAnsi="Georgia" w:cs="Arial"/>
          <w:sz w:val="24"/>
          <w:szCs w:val="24"/>
        </w:rPr>
        <w:t xml:space="preserve">escrito </w:t>
      </w:r>
      <w:r w:rsidRPr="0040747B">
        <w:rPr>
          <w:rFonts w:ascii="Georgia" w:hAnsi="Georgia" w:cs="Arial"/>
          <w:sz w:val="24"/>
          <w:szCs w:val="24"/>
        </w:rPr>
        <w:t>introductor</w:t>
      </w:r>
      <w:r w:rsidR="004B1B87" w:rsidRPr="0040747B">
        <w:rPr>
          <w:rFonts w:ascii="Georgia" w:hAnsi="Georgia" w:cs="Arial"/>
          <w:sz w:val="24"/>
          <w:szCs w:val="24"/>
        </w:rPr>
        <w:t xml:space="preserve"> (</w:t>
      </w:r>
      <w:r w:rsidR="004B1B87" w:rsidRPr="0040747B">
        <w:rPr>
          <w:rFonts w:ascii="Georgia" w:hAnsi="Georgia" w:cs="Arial"/>
          <w:sz w:val="22"/>
          <w:szCs w:val="24"/>
        </w:rPr>
        <w:t xml:space="preserve">Artículo 90-3º, ídem, concordante con el artículo 88, </w:t>
      </w:r>
      <w:r w:rsidR="00A138AD" w:rsidRPr="0040747B">
        <w:rPr>
          <w:rFonts w:ascii="Georgia" w:hAnsi="Georgia" w:cs="Arial"/>
          <w:sz w:val="22"/>
          <w:szCs w:val="24"/>
        </w:rPr>
        <w:t>ídem</w:t>
      </w:r>
      <w:r w:rsidR="004B1B87" w:rsidRPr="0040747B">
        <w:rPr>
          <w:rFonts w:ascii="Georgia" w:hAnsi="Georgia" w:cs="Arial"/>
          <w:sz w:val="24"/>
          <w:szCs w:val="24"/>
        </w:rPr>
        <w:t>)</w:t>
      </w:r>
      <w:r w:rsidRPr="0040747B">
        <w:rPr>
          <w:rFonts w:ascii="Georgia" w:hAnsi="Georgia" w:cs="Arial"/>
          <w:sz w:val="24"/>
          <w:szCs w:val="24"/>
        </w:rPr>
        <w:t xml:space="preserve">, </w:t>
      </w:r>
      <w:r w:rsidR="00BE137F" w:rsidRPr="0040747B">
        <w:rPr>
          <w:rFonts w:ascii="Georgia" w:hAnsi="Georgia" w:cs="Arial"/>
          <w:sz w:val="24"/>
          <w:szCs w:val="24"/>
        </w:rPr>
        <w:t>que se inadvi</w:t>
      </w:r>
      <w:r w:rsidR="00941E40" w:rsidRPr="0040747B">
        <w:rPr>
          <w:rFonts w:ascii="Georgia" w:hAnsi="Georgia" w:cs="Arial"/>
          <w:sz w:val="24"/>
          <w:szCs w:val="24"/>
        </w:rPr>
        <w:t>rt</w:t>
      </w:r>
      <w:r w:rsidR="00C57636" w:rsidRPr="0040747B">
        <w:rPr>
          <w:rFonts w:ascii="Georgia" w:hAnsi="Georgia" w:cs="Arial"/>
          <w:sz w:val="24"/>
          <w:szCs w:val="24"/>
        </w:rPr>
        <w:t>i</w:t>
      </w:r>
      <w:r w:rsidR="00BE137F" w:rsidRPr="0040747B">
        <w:rPr>
          <w:rFonts w:ascii="Georgia" w:hAnsi="Georgia" w:cs="Arial"/>
          <w:sz w:val="24"/>
          <w:szCs w:val="24"/>
        </w:rPr>
        <w:t xml:space="preserve">ó </w:t>
      </w:r>
      <w:r w:rsidR="00941E40" w:rsidRPr="0040747B">
        <w:rPr>
          <w:rFonts w:ascii="Georgia" w:hAnsi="Georgia" w:cs="Arial"/>
          <w:sz w:val="24"/>
          <w:szCs w:val="24"/>
        </w:rPr>
        <w:t xml:space="preserve"> al momento de admitir</w:t>
      </w:r>
      <w:r w:rsidR="004B1B87" w:rsidRPr="0040747B">
        <w:rPr>
          <w:rFonts w:ascii="Georgia" w:hAnsi="Georgia" w:cs="Arial"/>
          <w:sz w:val="24"/>
          <w:szCs w:val="24"/>
        </w:rPr>
        <w:t>lo</w:t>
      </w:r>
      <w:r w:rsidR="00BE137F" w:rsidRPr="0040747B">
        <w:rPr>
          <w:rFonts w:ascii="Georgia" w:hAnsi="Georgia" w:cs="Arial"/>
          <w:sz w:val="24"/>
          <w:szCs w:val="24"/>
        </w:rPr>
        <w:t xml:space="preserve">, pero que fue enrostrado por la parte pasiva y </w:t>
      </w:r>
      <w:r w:rsidR="00D3775C" w:rsidRPr="0040747B">
        <w:rPr>
          <w:rFonts w:ascii="Georgia" w:hAnsi="Georgia" w:cs="Arial"/>
          <w:sz w:val="24"/>
          <w:szCs w:val="24"/>
        </w:rPr>
        <w:t xml:space="preserve">que </w:t>
      </w:r>
      <w:r w:rsidR="00BE137F" w:rsidRPr="0040747B">
        <w:rPr>
          <w:rFonts w:ascii="Georgia" w:hAnsi="Georgia" w:cs="Arial"/>
          <w:sz w:val="24"/>
          <w:szCs w:val="24"/>
        </w:rPr>
        <w:t xml:space="preserve">el impugnante </w:t>
      </w:r>
      <w:r w:rsidR="00D3775C" w:rsidRPr="0040747B">
        <w:rPr>
          <w:rFonts w:ascii="Georgia" w:hAnsi="Georgia" w:cs="Arial"/>
          <w:sz w:val="24"/>
          <w:szCs w:val="24"/>
        </w:rPr>
        <w:t>se negó a</w:t>
      </w:r>
      <w:r w:rsidR="00BE137F" w:rsidRPr="0040747B">
        <w:rPr>
          <w:rFonts w:ascii="Georgia" w:hAnsi="Georgia" w:cs="Arial"/>
          <w:sz w:val="24"/>
          <w:szCs w:val="24"/>
        </w:rPr>
        <w:t xml:space="preserve"> subsanar</w:t>
      </w:r>
      <w:r w:rsidR="00A138AD" w:rsidRPr="0040747B">
        <w:rPr>
          <w:rFonts w:ascii="Georgia" w:hAnsi="Georgia" w:cs="Arial"/>
          <w:sz w:val="24"/>
          <w:szCs w:val="24"/>
        </w:rPr>
        <w:t xml:space="preserve"> (</w:t>
      </w:r>
      <w:r w:rsidR="00A138AD" w:rsidRPr="0040747B">
        <w:rPr>
          <w:rFonts w:ascii="Georgia" w:hAnsi="Georgia" w:cs="Arial"/>
          <w:sz w:val="22"/>
          <w:szCs w:val="24"/>
        </w:rPr>
        <w:t>Folio 9</w:t>
      </w:r>
      <w:r w:rsidR="00BE137F" w:rsidRPr="0040747B">
        <w:rPr>
          <w:rFonts w:ascii="Georgia" w:hAnsi="Georgia" w:cs="Arial"/>
          <w:sz w:val="22"/>
          <w:szCs w:val="24"/>
        </w:rPr>
        <w:t>,</w:t>
      </w:r>
      <w:r w:rsidR="00A138AD" w:rsidRPr="0040747B">
        <w:rPr>
          <w:rFonts w:ascii="Georgia" w:hAnsi="Georgia" w:cs="Arial"/>
          <w:sz w:val="22"/>
          <w:szCs w:val="24"/>
        </w:rPr>
        <w:t xml:space="preserve"> cuaderno No.2</w:t>
      </w:r>
      <w:r w:rsidR="00A138AD" w:rsidRPr="0040747B">
        <w:rPr>
          <w:rFonts w:ascii="Georgia" w:hAnsi="Georgia" w:cs="Arial"/>
          <w:sz w:val="24"/>
          <w:szCs w:val="24"/>
        </w:rPr>
        <w:t>)</w:t>
      </w:r>
      <w:r w:rsidR="00BE137F" w:rsidRPr="0040747B">
        <w:rPr>
          <w:rFonts w:ascii="Georgia" w:hAnsi="Georgia" w:cs="Arial"/>
          <w:sz w:val="24"/>
          <w:szCs w:val="24"/>
        </w:rPr>
        <w:t xml:space="preserve"> en el trasla</w:t>
      </w:r>
      <w:r w:rsidR="00D3775C" w:rsidRPr="0040747B">
        <w:rPr>
          <w:rFonts w:ascii="Georgia" w:hAnsi="Georgia" w:cs="Arial"/>
          <w:sz w:val="24"/>
          <w:szCs w:val="24"/>
        </w:rPr>
        <w:t xml:space="preserve">do del medio exceptivo, </w:t>
      </w:r>
      <w:r w:rsidR="00D3775C" w:rsidRPr="0040747B">
        <w:rPr>
          <w:rFonts w:ascii="Georgia" w:hAnsi="Georgia" w:cs="Arial"/>
          <w:b/>
          <w:sz w:val="24"/>
          <w:szCs w:val="24"/>
        </w:rPr>
        <w:t>cuando esa era la oportunidad</w:t>
      </w:r>
      <w:r w:rsidR="00D3775C" w:rsidRPr="0040747B">
        <w:rPr>
          <w:rFonts w:ascii="Georgia" w:hAnsi="Georgia" w:cs="Arial"/>
          <w:sz w:val="24"/>
          <w:szCs w:val="24"/>
        </w:rPr>
        <w:t>, tal como lo recuerda el profesor Rojas G.</w:t>
      </w:r>
      <w:r w:rsidR="00D3775C" w:rsidRPr="0040747B">
        <w:rPr>
          <w:rStyle w:val="Refdenotaalpie"/>
          <w:rFonts w:ascii="Georgia" w:hAnsi="Georgia"/>
          <w:sz w:val="24"/>
          <w:szCs w:val="24"/>
        </w:rPr>
        <w:footnoteReference w:id="12"/>
      </w:r>
      <w:r w:rsidR="00D3775C" w:rsidRPr="0040747B">
        <w:rPr>
          <w:rFonts w:ascii="Georgia" w:hAnsi="Georgia" w:cs="Arial"/>
          <w:sz w:val="24"/>
          <w:szCs w:val="24"/>
        </w:rPr>
        <w:t xml:space="preserve">: </w:t>
      </w:r>
      <w:r w:rsidR="00D3775C" w:rsidRPr="0040747B">
        <w:rPr>
          <w:rFonts w:ascii="Georgia" w:hAnsi="Georgia" w:cs="Arial"/>
          <w:i/>
          <w:sz w:val="22"/>
          <w:szCs w:val="24"/>
        </w:rPr>
        <w:t xml:space="preserve">“Cuando las excepciones versen sobre </w:t>
      </w:r>
      <w:r w:rsidR="00D3775C" w:rsidRPr="0040747B">
        <w:rPr>
          <w:rFonts w:ascii="Georgia" w:hAnsi="Georgia" w:cs="Arial"/>
          <w:i/>
          <w:sz w:val="22"/>
          <w:szCs w:val="24"/>
          <w:u w:val="single"/>
        </w:rPr>
        <w:t>defectos de la demanda</w:t>
      </w:r>
      <w:r w:rsidR="00D3775C" w:rsidRPr="0040747B">
        <w:rPr>
          <w:rFonts w:ascii="Georgia" w:hAnsi="Georgia" w:cs="Arial"/>
          <w:i/>
          <w:sz w:val="22"/>
          <w:szCs w:val="24"/>
        </w:rPr>
        <w:t xml:space="preserve"> (CGP, art.100.4 a 100.6), </w:t>
      </w:r>
      <w:r w:rsidR="00D3775C" w:rsidRPr="0040747B">
        <w:rPr>
          <w:rFonts w:ascii="Georgia" w:hAnsi="Georgia" w:cs="Arial"/>
          <w:i/>
          <w:sz w:val="22"/>
          <w:szCs w:val="24"/>
          <w:u w:val="single"/>
        </w:rPr>
        <w:t xml:space="preserve">el traslado al demandante tiene como propósito principal </w:t>
      </w:r>
      <w:r w:rsidR="00D3775C" w:rsidRPr="0040747B">
        <w:rPr>
          <w:rFonts w:ascii="Georgia" w:hAnsi="Georgia" w:cs="Arial"/>
          <w:i/>
          <w:sz w:val="22"/>
          <w:szCs w:val="24"/>
          <w:u w:val="single"/>
        </w:rPr>
        <w:lastRenderedPageBreak/>
        <w:t>provocar la corrección inmediata</w:t>
      </w:r>
      <w:r w:rsidR="00D3775C" w:rsidRPr="0040747B">
        <w:rPr>
          <w:rFonts w:ascii="Georgia" w:hAnsi="Georgia" w:cs="Arial"/>
          <w:i/>
          <w:sz w:val="22"/>
          <w:szCs w:val="24"/>
        </w:rPr>
        <w:t xml:space="preserve"> (CGP, art.101.1), bajo el apremio de la terminación del proceso y la devolución de la demanda (CGP, art. 101.2)”</w:t>
      </w:r>
      <w:r w:rsidR="00D3775C" w:rsidRPr="0040747B">
        <w:rPr>
          <w:rFonts w:ascii="Georgia" w:hAnsi="Georgia" w:cs="Arial"/>
          <w:sz w:val="24"/>
          <w:szCs w:val="24"/>
        </w:rPr>
        <w:t xml:space="preserve"> (Resaltado propio de esta Sala)</w:t>
      </w:r>
      <w:r w:rsidR="00BE137F" w:rsidRPr="0040747B">
        <w:rPr>
          <w:rFonts w:ascii="Georgia" w:hAnsi="Georgia" w:cs="Arial"/>
          <w:sz w:val="24"/>
          <w:szCs w:val="24"/>
        </w:rPr>
        <w:t>.</w:t>
      </w:r>
      <w:r w:rsidR="00A138AD" w:rsidRPr="0040747B">
        <w:rPr>
          <w:rFonts w:ascii="Georgia" w:hAnsi="Georgia" w:cs="Arial"/>
          <w:sz w:val="24"/>
          <w:szCs w:val="24"/>
        </w:rPr>
        <w:t xml:space="preserve"> </w:t>
      </w:r>
    </w:p>
    <w:p w:rsidR="00BE137F" w:rsidRPr="0040747B" w:rsidRDefault="00BE137F" w:rsidP="009016BD">
      <w:pPr>
        <w:spacing w:line="360" w:lineRule="auto"/>
        <w:jc w:val="both"/>
        <w:rPr>
          <w:rFonts w:ascii="Georgia" w:hAnsi="Georgia" w:cs="Arial"/>
          <w:sz w:val="24"/>
          <w:szCs w:val="24"/>
        </w:rPr>
      </w:pPr>
    </w:p>
    <w:p w:rsidR="004B1B87" w:rsidRPr="0040747B" w:rsidRDefault="00B10E9B" w:rsidP="004B1B87">
      <w:pPr>
        <w:pStyle w:val="Sinespaciado"/>
        <w:spacing w:line="360" w:lineRule="auto"/>
        <w:jc w:val="both"/>
        <w:rPr>
          <w:rFonts w:ascii="Georgia" w:hAnsi="Georgia" w:cs="Arial"/>
        </w:rPr>
      </w:pPr>
      <w:r w:rsidRPr="0040747B">
        <w:rPr>
          <w:rFonts w:ascii="Georgia" w:hAnsi="Georgia" w:cs="Arial"/>
        </w:rPr>
        <w:t>Lo anterior,</w:t>
      </w:r>
      <w:r w:rsidR="00CF5EAF" w:rsidRPr="0040747B">
        <w:rPr>
          <w:rFonts w:ascii="Georgia" w:hAnsi="Georgia" w:cs="Arial"/>
        </w:rPr>
        <w:t xml:space="preserve"> dado que </w:t>
      </w:r>
      <w:r w:rsidRPr="0040747B">
        <w:rPr>
          <w:rFonts w:ascii="Georgia" w:hAnsi="Georgia" w:cs="Arial"/>
        </w:rPr>
        <w:t>l</w:t>
      </w:r>
      <w:r w:rsidR="004B1B87" w:rsidRPr="0040747B">
        <w:rPr>
          <w:rFonts w:ascii="Georgia" w:hAnsi="Georgia" w:cs="Arial"/>
        </w:rPr>
        <w:t>as normas procesales son de orden público y de obligatorio cumplimiento (</w:t>
      </w:r>
      <w:r w:rsidR="004B1B87" w:rsidRPr="0040747B">
        <w:rPr>
          <w:rFonts w:ascii="Georgia" w:hAnsi="Georgia" w:cs="Arial"/>
          <w:sz w:val="22"/>
        </w:rPr>
        <w:t>Artículo 13º, ib</w:t>
      </w:r>
      <w:r w:rsidRPr="0040747B">
        <w:rPr>
          <w:rFonts w:ascii="Georgia" w:hAnsi="Georgia" w:cs="Arial"/>
          <w:sz w:val="22"/>
        </w:rPr>
        <w:t>.</w:t>
      </w:r>
      <w:r w:rsidR="004B1B87" w:rsidRPr="0040747B">
        <w:rPr>
          <w:rFonts w:ascii="Georgia" w:hAnsi="Georgia" w:cs="Arial"/>
        </w:rPr>
        <w:t>) y con ese fin, se ha precisado que los términos procesales son perentorios e improrrogables (</w:t>
      </w:r>
      <w:r w:rsidR="004B1B87" w:rsidRPr="0040747B">
        <w:rPr>
          <w:rFonts w:ascii="Georgia" w:hAnsi="Georgia" w:cs="Arial"/>
          <w:sz w:val="22"/>
        </w:rPr>
        <w:t xml:space="preserve">Artículo 117, </w:t>
      </w:r>
      <w:r w:rsidR="00A138AD" w:rsidRPr="0040747B">
        <w:rPr>
          <w:rFonts w:ascii="Georgia" w:hAnsi="Georgia" w:cs="Arial"/>
          <w:sz w:val="22"/>
        </w:rPr>
        <w:t>ib.</w:t>
      </w:r>
      <w:r w:rsidR="004B1B87" w:rsidRPr="0040747B">
        <w:rPr>
          <w:rFonts w:ascii="Georgia" w:hAnsi="Georgia" w:cs="Arial"/>
        </w:rPr>
        <w:t>), lo que implica que deben cumplirse acuciosa y eficazmente, tanto por quienes administran justicia, como por los justiciables</w:t>
      </w:r>
      <w:r w:rsidR="004B1B87" w:rsidRPr="0040747B">
        <w:rPr>
          <w:rStyle w:val="Refdenotaalpie"/>
          <w:rFonts w:ascii="Georgia" w:hAnsi="Georgia"/>
        </w:rPr>
        <w:footnoteReference w:id="13"/>
      </w:r>
      <w:r w:rsidR="004B1B87" w:rsidRPr="0040747B">
        <w:rPr>
          <w:rFonts w:ascii="Georgia" w:hAnsi="Georgia" w:cs="Arial"/>
        </w:rPr>
        <w:t xml:space="preserve">. Lo </w:t>
      </w:r>
      <w:r w:rsidR="00A138AD" w:rsidRPr="0040747B">
        <w:rPr>
          <w:rFonts w:ascii="Georgia" w:hAnsi="Georgia" w:cs="Arial"/>
        </w:rPr>
        <w:t xml:space="preserve">dicho </w:t>
      </w:r>
      <w:r w:rsidR="004B1B87" w:rsidRPr="0040747B">
        <w:rPr>
          <w:rFonts w:ascii="Georgia" w:hAnsi="Georgia" w:cs="Arial"/>
        </w:rPr>
        <w:t>se enmarca en el debido proceso, por el que deben velar los primeros y es garantía del reclamo de los segundos.</w:t>
      </w:r>
    </w:p>
    <w:p w:rsidR="004B1B87" w:rsidRPr="0040747B" w:rsidRDefault="004B1B87" w:rsidP="004B1B87">
      <w:pPr>
        <w:pStyle w:val="Sinespaciado"/>
        <w:spacing w:line="360" w:lineRule="auto"/>
        <w:jc w:val="both"/>
        <w:rPr>
          <w:rFonts w:ascii="Georgia" w:hAnsi="Georgia" w:cs="Arial"/>
        </w:rPr>
      </w:pPr>
    </w:p>
    <w:p w:rsidR="004B1B87" w:rsidRPr="0040747B" w:rsidRDefault="004B1B87" w:rsidP="004B1B87">
      <w:pPr>
        <w:pStyle w:val="Sinespaciado"/>
        <w:spacing w:line="360" w:lineRule="auto"/>
        <w:jc w:val="both"/>
        <w:rPr>
          <w:rFonts w:ascii="Georgia" w:hAnsi="Georgia" w:cs="Arial"/>
        </w:rPr>
      </w:pPr>
      <w:r w:rsidRPr="0040747B">
        <w:rPr>
          <w:rFonts w:ascii="Georgia" w:hAnsi="Georgia" w:cs="Arial"/>
          <w:shd w:val="clear" w:color="auto" w:fill="FFFFFF"/>
        </w:rPr>
        <w:t>En ese contexto y bajo el entendido de que el</w:t>
      </w:r>
      <w:r w:rsidRPr="0040747B">
        <w:rPr>
          <w:rFonts w:ascii="Georgia" w:hAnsi="Georgia" w:cs="Arial"/>
          <w:b/>
          <w:shd w:val="clear" w:color="auto" w:fill="FFFFFF"/>
        </w:rPr>
        <w:t> </w:t>
      </w:r>
      <w:r w:rsidRPr="0040747B">
        <w:rPr>
          <w:rStyle w:val="Textoennegrita"/>
          <w:rFonts w:ascii="Georgia" w:hAnsi="Georgia" w:cs="Arial"/>
          <w:bdr w:val="none" w:sz="0" w:space="0" w:color="auto" w:frame="1"/>
          <w:shd w:val="clear" w:color="auto" w:fill="FFFFFF"/>
        </w:rPr>
        <w:t>debido proceso</w:t>
      </w:r>
      <w:r w:rsidRPr="0040747B">
        <w:rPr>
          <w:rStyle w:val="apple-converted-space"/>
          <w:rFonts w:ascii="Georgia" w:hAnsi="Georgia" w:cs="Arial"/>
          <w:shd w:val="clear" w:color="auto" w:fill="FFFFFF"/>
        </w:rPr>
        <w:t> </w:t>
      </w:r>
      <w:r w:rsidRPr="0040747B">
        <w:rPr>
          <w:rFonts w:ascii="Georgia" w:hAnsi="Georgia" w:cs="Arial"/>
          <w:shd w:val="clear" w:color="auto" w:fill="FFFFFF"/>
        </w:rPr>
        <w:t xml:space="preserve">es un derecho de rango fundamental, según el cual toda persona tiene derecho a determinadas garantías mínimas, </w:t>
      </w:r>
      <w:r w:rsidRPr="0040747B">
        <w:rPr>
          <w:rFonts w:ascii="Georgia" w:hAnsi="Georgia" w:cs="Arial"/>
        </w:rPr>
        <w:t>es preponderante tener definidos los momentos procesales con que se cuenta, y más precisamente, las oportunidades para actuar, porque la desatención de aquellos, avoca el descuidado a la aplicación del principio de preclusividad</w:t>
      </w:r>
      <w:r w:rsidRPr="0040747B">
        <w:rPr>
          <w:rStyle w:val="Refdenotaalpie"/>
          <w:rFonts w:ascii="Georgia" w:hAnsi="Georgia"/>
        </w:rPr>
        <w:footnoteReference w:id="14"/>
      </w:r>
      <w:r w:rsidRPr="0040747B">
        <w:rPr>
          <w:rFonts w:ascii="Georgia" w:hAnsi="Georgia" w:cs="Arial"/>
        </w:rPr>
        <w:t>, también llamado de eventualidad</w:t>
      </w:r>
      <w:r w:rsidRPr="0040747B">
        <w:rPr>
          <w:rStyle w:val="Refdenotaalpie"/>
          <w:rFonts w:ascii="Georgia" w:hAnsi="Georgia"/>
        </w:rPr>
        <w:footnoteReference w:id="15"/>
      </w:r>
      <w:r w:rsidRPr="0040747B">
        <w:rPr>
          <w:rFonts w:ascii="Georgia" w:hAnsi="Georgia" w:cs="Arial"/>
        </w:rPr>
        <w:t>, que consiste en que una vez superado un estadio procesal, es imposible retrotraerse al anterior, razonable postulado que procura que el proceso sea eficaz para la resolución de los conflictos.</w:t>
      </w:r>
    </w:p>
    <w:p w:rsidR="004B1B87" w:rsidRPr="0040747B" w:rsidRDefault="004B1B87" w:rsidP="004B1B87">
      <w:pPr>
        <w:pStyle w:val="Sinespaciado"/>
        <w:spacing w:line="360" w:lineRule="auto"/>
        <w:jc w:val="both"/>
        <w:rPr>
          <w:rFonts w:ascii="Georgia" w:hAnsi="Georgia" w:cs="Arial"/>
        </w:rPr>
      </w:pPr>
    </w:p>
    <w:p w:rsidR="004B1B87" w:rsidRPr="0040747B" w:rsidRDefault="004B1B87" w:rsidP="004B1B87">
      <w:pPr>
        <w:pStyle w:val="Sinespaciado"/>
        <w:spacing w:line="360" w:lineRule="auto"/>
        <w:jc w:val="both"/>
        <w:rPr>
          <w:rFonts w:ascii="Georgia" w:hAnsi="Georgia" w:cs="Arial"/>
          <w:color w:val="FF0000"/>
        </w:rPr>
      </w:pPr>
      <w:r w:rsidRPr="0040747B">
        <w:rPr>
          <w:rFonts w:ascii="Georgia" w:hAnsi="Georgia" w:cs="Arial"/>
        </w:rPr>
        <w:t>El prementado derecho es garantía para las partes y desarrollo del debido proceso, anota el profesor Cabrera A.</w:t>
      </w:r>
      <w:r w:rsidRPr="0040747B">
        <w:rPr>
          <w:rFonts w:ascii="Georgia" w:hAnsi="Georgia" w:cs="Arial"/>
          <w:vertAlign w:val="superscript"/>
        </w:rPr>
        <w:footnoteReference w:id="16"/>
      </w:r>
      <w:r w:rsidRPr="0040747B">
        <w:rPr>
          <w:rFonts w:ascii="Georgia" w:hAnsi="Georgia" w:cs="Arial"/>
        </w:rPr>
        <w:t xml:space="preserve">: </w:t>
      </w:r>
      <w:r w:rsidRPr="0040747B">
        <w:rPr>
          <w:rFonts w:ascii="Georgia" w:hAnsi="Georgia" w:cs="Arial"/>
          <w:sz w:val="22"/>
        </w:rPr>
        <w:t>“</w:t>
      </w:r>
      <w:r w:rsidRPr="0040747B">
        <w:rPr>
          <w:rFonts w:ascii="Georgia" w:hAnsi="Georgia" w:cs="Arial"/>
          <w:i/>
          <w:sz w:val="22"/>
        </w:rPr>
        <w:t>(...) constituye una garantía para las partes, por cuanto cada una de ellas tiene certeza de que si expiró una etapa o un término sin que la otra hubiere realizado determinado acto que debía llevar a cabo en esa ocasión, ya no podrá ejércelo más adelante.</w:t>
      </w:r>
      <w:r w:rsidRPr="0040747B">
        <w:rPr>
          <w:rFonts w:ascii="Georgia" w:hAnsi="Georgia" w:cs="Arial"/>
          <w:sz w:val="22"/>
        </w:rPr>
        <w:t>”</w:t>
      </w:r>
      <w:r w:rsidRPr="0040747B">
        <w:rPr>
          <w:rFonts w:ascii="Georgia" w:hAnsi="Georgia" w:cs="Arial"/>
        </w:rPr>
        <w:t>.</w:t>
      </w:r>
    </w:p>
    <w:p w:rsidR="004B1B87" w:rsidRPr="0040747B" w:rsidRDefault="004B1B87" w:rsidP="004B1B87">
      <w:pPr>
        <w:pStyle w:val="Sinespaciado"/>
        <w:spacing w:line="360" w:lineRule="auto"/>
        <w:jc w:val="both"/>
        <w:rPr>
          <w:rFonts w:ascii="Georgia" w:hAnsi="Georgia" w:cs="Arial"/>
        </w:rPr>
      </w:pPr>
    </w:p>
    <w:p w:rsidR="004B1B87" w:rsidRPr="0040747B" w:rsidRDefault="004B1B87" w:rsidP="004B1B87">
      <w:pPr>
        <w:pStyle w:val="Sinespaciado"/>
        <w:spacing w:line="360" w:lineRule="auto"/>
        <w:jc w:val="both"/>
        <w:rPr>
          <w:rFonts w:ascii="Georgia" w:hAnsi="Georgia" w:cs="Arial"/>
        </w:rPr>
      </w:pPr>
      <w:r w:rsidRPr="0040747B">
        <w:rPr>
          <w:rFonts w:ascii="Georgia" w:hAnsi="Georgia" w:cs="Arial"/>
        </w:rPr>
        <w:t>Todo lo anterior, para resaltar que el operador jurídico (</w:t>
      </w:r>
      <w:r w:rsidRPr="0040747B">
        <w:rPr>
          <w:rFonts w:ascii="Georgia" w:hAnsi="Georgia" w:cs="Arial"/>
          <w:sz w:val="22"/>
        </w:rPr>
        <w:t>No solo judicial</w:t>
      </w:r>
      <w:r w:rsidRPr="0040747B">
        <w:rPr>
          <w:rFonts w:ascii="Georgia" w:hAnsi="Georgia" w:cs="Arial"/>
        </w:rPr>
        <w:t>) está sometido al imperio de la normativa, lo que genera seguridad para todos los intervinientes, por eso el juzgador debe velar por el cumplimiento de todas las etapas del trámite, en la forma en que fueron establecidas y dentro de las oportunidades, así señala la Corte Constitucional</w:t>
      </w:r>
      <w:r w:rsidRPr="0040747B">
        <w:rPr>
          <w:rStyle w:val="Refdenotaalpie"/>
          <w:rFonts w:ascii="Georgia" w:hAnsi="Georgia"/>
        </w:rPr>
        <w:footnoteReference w:id="17"/>
      </w:r>
      <w:r w:rsidRPr="0040747B">
        <w:rPr>
          <w:rFonts w:ascii="Georgia" w:hAnsi="Georgia" w:cs="Arial"/>
        </w:rPr>
        <w:t>, al indicar:</w:t>
      </w:r>
    </w:p>
    <w:p w:rsidR="004B1B87" w:rsidRPr="0040747B" w:rsidRDefault="004B1B87" w:rsidP="004B1B87">
      <w:pPr>
        <w:pStyle w:val="Sinespaciado"/>
        <w:spacing w:line="360" w:lineRule="auto"/>
        <w:ind w:left="567" w:right="567"/>
        <w:jc w:val="both"/>
        <w:rPr>
          <w:rFonts w:ascii="Georgia" w:hAnsi="Georgia" w:cs="Arial"/>
          <w:spacing w:val="-3"/>
        </w:rPr>
      </w:pPr>
    </w:p>
    <w:p w:rsidR="004B1B87" w:rsidRPr="0040747B" w:rsidRDefault="004B1B87" w:rsidP="004B1B87">
      <w:pPr>
        <w:pStyle w:val="Sinespaciado"/>
        <w:ind w:left="567" w:right="567"/>
        <w:jc w:val="both"/>
        <w:rPr>
          <w:rFonts w:ascii="Georgia" w:hAnsi="Georgia" w:cs="Arial"/>
          <w:spacing w:val="-3"/>
        </w:rPr>
      </w:pPr>
      <w:r w:rsidRPr="0040747B">
        <w:rPr>
          <w:rFonts w:ascii="Georgia" w:hAnsi="Georgia" w:cs="Arial"/>
          <w:spacing w:val="-3"/>
        </w:rPr>
        <w:t xml:space="preserve">De igual forma, </w:t>
      </w:r>
      <w:r w:rsidRPr="0040747B">
        <w:rPr>
          <w:rFonts w:ascii="Georgia" w:hAnsi="Georgia" w:cs="Arial"/>
          <w:smallCaps/>
          <w:spacing w:val="-3"/>
        </w:rPr>
        <w:t>el cumplimiento de los términos desarrolla el principio de seguridad jurídica que debe gobernar los procesos y actuaciones judiciales</w:t>
      </w:r>
      <w:r w:rsidRPr="0040747B">
        <w:rPr>
          <w:rFonts w:ascii="Georgia" w:hAnsi="Georgia" w:cs="Arial"/>
          <w:spacing w:val="-3"/>
        </w:rPr>
        <w:t xml:space="preserve"> pues, si bien todas las personas tienen derecho a acceder a la administración de justicia, ellas están sujetas a una serie de cargas procesales, entre las cuales se resalta la de presentar las demandas y </w:t>
      </w:r>
      <w:r w:rsidRPr="0040747B">
        <w:rPr>
          <w:rFonts w:ascii="Georgia" w:hAnsi="Georgia" w:cs="Arial"/>
          <w:spacing w:val="-3"/>
          <w:u w:val="single"/>
        </w:rPr>
        <w:t>demás actuaciones dentro de la oportunidad legal</w:t>
      </w:r>
      <w:r w:rsidRPr="0040747B">
        <w:rPr>
          <w:rFonts w:ascii="Georgia" w:hAnsi="Georgia" w:cs="Arial"/>
          <w:spacing w:val="-3"/>
        </w:rPr>
        <w:t xml:space="preserve">, es decir, acatando los términos fijados por el legislador. </w:t>
      </w:r>
      <w:r w:rsidRPr="0040747B">
        <w:rPr>
          <w:rFonts w:ascii="Georgia" w:hAnsi="Georgia" w:cs="Arial"/>
          <w:spacing w:val="-3"/>
        </w:rPr>
        <w:lastRenderedPageBreak/>
        <w:t>Sublínea y versalitas, fuera de texto original.</w:t>
      </w:r>
    </w:p>
    <w:p w:rsidR="004B1B87" w:rsidRPr="0040747B" w:rsidRDefault="004B1B87" w:rsidP="004B1B87">
      <w:pPr>
        <w:pStyle w:val="Sinespaciado"/>
        <w:spacing w:line="360" w:lineRule="auto"/>
        <w:jc w:val="both"/>
        <w:rPr>
          <w:rFonts w:ascii="Georgia" w:hAnsi="Georgia" w:cs="Arial"/>
        </w:rPr>
      </w:pPr>
    </w:p>
    <w:p w:rsidR="004B1B87" w:rsidRPr="0040747B" w:rsidRDefault="004B1B87" w:rsidP="004B1B87">
      <w:pPr>
        <w:pStyle w:val="Sinespaciado"/>
        <w:spacing w:line="360" w:lineRule="auto"/>
        <w:jc w:val="both"/>
        <w:rPr>
          <w:rFonts w:ascii="Georgia" w:hAnsi="Georgia" w:cs="Arial"/>
        </w:rPr>
      </w:pPr>
      <w:r w:rsidRPr="0040747B">
        <w:rPr>
          <w:rFonts w:ascii="Georgia" w:hAnsi="Georgia" w:cs="Arial"/>
        </w:rPr>
        <w:t>En suma, el debido proceso no solo es un derecho fundamental sino también una garantía judicial para los partícipes en el escenario procesal, los términos están prefijados por la normativa y a ellos deben amoldarse las actuaciones, so pena de desquiciar la seguridad jurídica que ello implica.</w:t>
      </w:r>
    </w:p>
    <w:p w:rsidR="004B1B87" w:rsidRPr="0040747B" w:rsidRDefault="004B1B87" w:rsidP="009016BD">
      <w:pPr>
        <w:spacing w:line="360" w:lineRule="auto"/>
        <w:jc w:val="both"/>
        <w:rPr>
          <w:rFonts w:ascii="Georgia" w:hAnsi="Georgia" w:cs="Arial"/>
          <w:sz w:val="24"/>
          <w:szCs w:val="24"/>
        </w:rPr>
      </w:pPr>
    </w:p>
    <w:p w:rsidR="00030AD0" w:rsidRPr="0040747B" w:rsidRDefault="00B10E9B" w:rsidP="009016BD">
      <w:pPr>
        <w:spacing w:line="360" w:lineRule="auto"/>
        <w:jc w:val="both"/>
        <w:rPr>
          <w:rFonts w:ascii="Georgia" w:hAnsi="Georgia" w:cs="Arial"/>
          <w:sz w:val="24"/>
          <w:szCs w:val="24"/>
        </w:rPr>
      </w:pPr>
      <w:r w:rsidRPr="0040747B">
        <w:rPr>
          <w:rFonts w:ascii="Georgia" w:hAnsi="Georgia" w:cs="Arial"/>
          <w:sz w:val="24"/>
          <w:szCs w:val="24"/>
        </w:rPr>
        <w:t xml:space="preserve">Así las cosas, es </w:t>
      </w:r>
      <w:r w:rsidR="00B21610" w:rsidRPr="0040747B">
        <w:rPr>
          <w:rFonts w:ascii="Georgia" w:hAnsi="Georgia" w:cs="Arial"/>
          <w:sz w:val="24"/>
          <w:szCs w:val="24"/>
        </w:rPr>
        <w:t>im</w:t>
      </w:r>
      <w:r w:rsidRPr="0040747B">
        <w:rPr>
          <w:rFonts w:ascii="Georgia" w:hAnsi="Georgia" w:cs="Arial"/>
          <w:sz w:val="24"/>
          <w:szCs w:val="24"/>
        </w:rPr>
        <w:t>posible revivir las etapas para acumular adecuadamente las pretensiones y menos utilizar para ello, la figura de la reforma de la demanda, so pretexto de un acceso efectivo a la administración de justicia, pues precluyeron las oportunidades para</w:t>
      </w:r>
      <w:r w:rsidR="00A138AD" w:rsidRPr="0040747B">
        <w:rPr>
          <w:rFonts w:ascii="Georgia" w:hAnsi="Georgia" w:cs="Arial"/>
          <w:sz w:val="24"/>
          <w:szCs w:val="24"/>
        </w:rPr>
        <w:t xml:space="preserve"> ello. Además</w:t>
      </w:r>
      <w:r w:rsidR="009F1A31" w:rsidRPr="0040747B">
        <w:rPr>
          <w:rFonts w:ascii="Georgia" w:hAnsi="Georgia" w:cs="Arial"/>
          <w:sz w:val="24"/>
          <w:szCs w:val="24"/>
        </w:rPr>
        <w:t xml:space="preserve">, nótese </w:t>
      </w:r>
      <w:r w:rsidR="00226B37" w:rsidRPr="0040747B">
        <w:rPr>
          <w:rFonts w:ascii="Georgia" w:hAnsi="Georgia" w:cs="Arial"/>
          <w:sz w:val="24"/>
          <w:szCs w:val="24"/>
        </w:rPr>
        <w:t xml:space="preserve">el propósito restrictivo del legislador cuando prescribe </w:t>
      </w:r>
      <w:r w:rsidR="00A138AD" w:rsidRPr="0040747B">
        <w:rPr>
          <w:rFonts w:ascii="Georgia" w:hAnsi="Georgia" w:cs="Arial"/>
          <w:sz w:val="24"/>
          <w:szCs w:val="24"/>
        </w:rPr>
        <w:t>que le está vedado a la parte actora alegarlo</w:t>
      </w:r>
      <w:r w:rsidR="00226B37" w:rsidRPr="0040747B">
        <w:rPr>
          <w:rFonts w:ascii="Georgia" w:hAnsi="Georgia" w:cs="Arial"/>
          <w:sz w:val="24"/>
          <w:szCs w:val="24"/>
        </w:rPr>
        <w:t xml:space="preserve"> de nuevo como nulidad (</w:t>
      </w:r>
      <w:r w:rsidR="00226B37" w:rsidRPr="0040747B">
        <w:rPr>
          <w:rFonts w:ascii="Georgia" w:hAnsi="Georgia" w:cs="Arial"/>
          <w:sz w:val="22"/>
          <w:szCs w:val="24"/>
        </w:rPr>
        <w:t xml:space="preserve">Artículo </w:t>
      </w:r>
      <w:r w:rsidR="00A138AD" w:rsidRPr="0040747B">
        <w:rPr>
          <w:rFonts w:ascii="Georgia" w:hAnsi="Georgia" w:cs="Arial"/>
          <w:sz w:val="22"/>
          <w:szCs w:val="24"/>
        </w:rPr>
        <w:t>102, ib</w:t>
      </w:r>
      <w:r w:rsidR="00226B37" w:rsidRPr="0040747B">
        <w:rPr>
          <w:rFonts w:ascii="Georgia" w:hAnsi="Georgia" w:cs="Arial"/>
          <w:sz w:val="22"/>
          <w:szCs w:val="24"/>
        </w:rPr>
        <w:t>.</w:t>
      </w:r>
      <w:r w:rsidR="00226B37" w:rsidRPr="0040747B">
        <w:rPr>
          <w:rFonts w:ascii="Georgia" w:hAnsi="Georgia" w:cs="Arial"/>
          <w:sz w:val="24"/>
          <w:szCs w:val="24"/>
        </w:rPr>
        <w:t>)</w:t>
      </w:r>
      <w:r w:rsidR="00A138AD" w:rsidRPr="0040747B">
        <w:rPr>
          <w:rFonts w:ascii="Georgia" w:hAnsi="Georgia" w:cs="Arial"/>
          <w:sz w:val="24"/>
          <w:szCs w:val="24"/>
        </w:rPr>
        <w:t>.</w:t>
      </w:r>
    </w:p>
    <w:p w:rsidR="002F7906" w:rsidRPr="0040747B" w:rsidRDefault="002F7906" w:rsidP="009016BD">
      <w:pPr>
        <w:spacing w:line="360" w:lineRule="auto"/>
        <w:jc w:val="both"/>
        <w:rPr>
          <w:rFonts w:ascii="Georgia" w:hAnsi="Georgia" w:cs="Arial"/>
          <w:sz w:val="24"/>
          <w:szCs w:val="24"/>
        </w:rPr>
      </w:pPr>
    </w:p>
    <w:p w:rsidR="00A50721" w:rsidRPr="0040747B" w:rsidRDefault="00B10E9B" w:rsidP="00B21610">
      <w:pPr>
        <w:spacing w:line="360" w:lineRule="auto"/>
        <w:jc w:val="both"/>
        <w:rPr>
          <w:rFonts w:ascii="Georgia" w:hAnsi="Georgia" w:cs="Arial"/>
          <w:sz w:val="24"/>
          <w:szCs w:val="24"/>
        </w:rPr>
      </w:pPr>
      <w:r w:rsidRPr="0040747B">
        <w:rPr>
          <w:rFonts w:ascii="Georgia" w:hAnsi="Georgia" w:cs="Arial"/>
          <w:sz w:val="24"/>
          <w:szCs w:val="24"/>
        </w:rPr>
        <w:t xml:space="preserve">En lo tocante a la segunda petición, </w:t>
      </w:r>
      <w:r w:rsidR="005A533B" w:rsidRPr="0040747B">
        <w:rPr>
          <w:rFonts w:ascii="Georgia" w:hAnsi="Georgia" w:cs="Arial"/>
          <w:sz w:val="24"/>
          <w:szCs w:val="24"/>
        </w:rPr>
        <w:t>referente a q</w:t>
      </w:r>
      <w:r w:rsidRPr="0040747B">
        <w:rPr>
          <w:rFonts w:ascii="Georgia" w:hAnsi="Georgia" w:cs="Arial"/>
          <w:sz w:val="24"/>
          <w:szCs w:val="24"/>
        </w:rPr>
        <w:t xml:space="preserve">ue </w:t>
      </w:r>
      <w:r w:rsidR="009E26F6" w:rsidRPr="0040747B">
        <w:rPr>
          <w:rFonts w:ascii="Georgia" w:hAnsi="Georgia" w:cs="Arial"/>
          <w:sz w:val="24"/>
          <w:szCs w:val="24"/>
        </w:rPr>
        <w:t xml:space="preserve">la decisión </w:t>
      </w:r>
      <w:r w:rsidR="005A533B" w:rsidRPr="0040747B">
        <w:rPr>
          <w:rFonts w:ascii="Georgia" w:hAnsi="Georgia" w:cs="Arial"/>
          <w:sz w:val="24"/>
          <w:szCs w:val="24"/>
        </w:rPr>
        <w:t xml:space="preserve">sea </w:t>
      </w:r>
      <w:r w:rsidR="009E26F6" w:rsidRPr="0040747B">
        <w:rPr>
          <w:rFonts w:ascii="Georgia" w:hAnsi="Georgia" w:cs="Arial"/>
          <w:sz w:val="24"/>
          <w:szCs w:val="24"/>
        </w:rPr>
        <w:t>la inadmisión de</w:t>
      </w:r>
      <w:r w:rsidR="00ED7DD1" w:rsidRPr="0040747B">
        <w:rPr>
          <w:rFonts w:ascii="Georgia" w:hAnsi="Georgia" w:cs="Arial"/>
          <w:sz w:val="24"/>
          <w:szCs w:val="24"/>
        </w:rPr>
        <w:t xml:space="preserve"> </w:t>
      </w:r>
      <w:r w:rsidR="009E26F6" w:rsidRPr="0040747B">
        <w:rPr>
          <w:rFonts w:ascii="Georgia" w:hAnsi="Georgia" w:cs="Arial"/>
          <w:sz w:val="24"/>
          <w:szCs w:val="24"/>
        </w:rPr>
        <w:t>l</w:t>
      </w:r>
      <w:r w:rsidR="00ED7DD1" w:rsidRPr="0040747B">
        <w:rPr>
          <w:rFonts w:ascii="Georgia" w:hAnsi="Georgia" w:cs="Arial"/>
          <w:sz w:val="24"/>
          <w:szCs w:val="24"/>
        </w:rPr>
        <w:t>a demanda</w:t>
      </w:r>
      <w:r w:rsidRPr="0040747B">
        <w:rPr>
          <w:rFonts w:ascii="Georgia" w:hAnsi="Georgia" w:cs="Arial"/>
          <w:sz w:val="24"/>
          <w:szCs w:val="24"/>
        </w:rPr>
        <w:t xml:space="preserve"> y no la terminación del proce</w:t>
      </w:r>
      <w:r w:rsidR="005A533B" w:rsidRPr="0040747B">
        <w:rPr>
          <w:rFonts w:ascii="Georgia" w:hAnsi="Georgia" w:cs="Arial"/>
          <w:sz w:val="24"/>
          <w:szCs w:val="24"/>
        </w:rPr>
        <w:t xml:space="preserve">so, basta con </w:t>
      </w:r>
      <w:r w:rsidR="00ED7DD1" w:rsidRPr="0040747B">
        <w:rPr>
          <w:rFonts w:ascii="Georgia" w:hAnsi="Georgia" w:cs="Arial"/>
          <w:sz w:val="24"/>
          <w:szCs w:val="24"/>
        </w:rPr>
        <w:t xml:space="preserve">decir </w:t>
      </w:r>
      <w:r w:rsidR="005A533B" w:rsidRPr="0040747B">
        <w:rPr>
          <w:rFonts w:ascii="Georgia" w:hAnsi="Georgia" w:cs="Arial"/>
          <w:sz w:val="24"/>
          <w:szCs w:val="24"/>
        </w:rPr>
        <w:t>que lo dispuesto por la falladora de primera instancia, de ninguna manera responde a un capricho, es la consecuencia consagra</w:t>
      </w:r>
      <w:r w:rsidR="00A138AD" w:rsidRPr="0040747B">
        <w:rPr>
          <w:rFonts w:ascii="Georgia" w:hAnsi="Georgia" w:cs="Arial"/>
          <w:sz w:val="24"/>
          <w:szCs w:val="24"/>
        </w:rPr>
        <w:t>da por</w:t>
      </w:r>
      <w:r w:rsidR="005A533B" w:rsidRPr="0040747B">
        <w:rPr>
          <w:rFonts w:ascii="Georgia" w:hAnsi="Georgia" w:cs="Arial"/>
          <w:sz w:val="24"/>
          <w:szCs w:val="24"/>
        </w:rPr>
        <w:t xml:space="preserve"> el </w:t>
      </w:r>
      <w:r w:rsidR="00981E1E" w:rsidRPr="0040747B">
        <w:rPr>
          <w:rFonts w:ascii="Georgia" w:hAnsi="Georgia" w:cs="Arial"/>
          <w:sz w:val="24"/>
          <w:szCs w:val="24"/>
        </w:rPr>
        <w:t xml:space="preserve">estatuto </w:t>
      </w:r>
      <w:r w:rsidR="005A533B" w:rsidRPr="0040747B">
        <w:rPr>
          <w:rFonts w:ascii="Georgia" w:hAnsi="Georgia" w:cs="Arial"/>
          <w:sz w:val="24"/>
          <w:szCs w:val="24"/>
        </w:rPr>
        <w:t>procesal, ante la prosperidad de esa excepción</w:t>
      </w:r>
      <w:r w:rsidR="00B21610" w:rsidRPr="0040747B">
        <w:rPr>
          <w:rFonts w:ascii="Georgia" w:hAnsi="Georgia" w:cs="Arial"/>
          <w:sz w:val="24"/>
          <w:szCs w:val="24"/>
        </w:rPr>
        <w:t xml:space="preserve"> (</w:t>
      </w:r>
      <w:r w:rsidR="00B21610" w:rsidRPr="0040747B">
        <w:rPr>
          <w:rFonts w:ascii="Georgia" w:hAnsi="Georgia" w:cs="Arial"/>
          <w:sz w:val="22"/>
          <w:szCs w:val="24"/>
        </w:rPr>
        <w:t>Artículo 101-1º, ib</w:t>
      </w:r>
      <w:r w:rsidR="00B21610" w:rsidRPr="0040747B">
        <w:rPr>
          <w:rFonts w:ascii="Georgia" w:hAnsi="Georgia" w:cs="Arial"/>
          <w:sz w:val="24"/>
          <w:szCs w:val="24"/>
        </w:rPr>
        <w:t>.)</w:t>
      </w:r>
      <w:r w:rsidR="005A533B" w:rsidRPr="0040747B">
        <w:rPr>
          <w:rFonts w:ascii="Georgia" w:hAnsi="Georgia" w:cs="Arial"/>
          <w:sz w:val="24"/>
          <w:szCs w:val="24"/>
        </w:rPr>
        <w:t xml:space="preserve">, además que, nuevamente, se </w:t>
      </w:r>
      <w:r w:rsidR="00A138AD" w:rsidRPr="0040747B">
        <w:rPr>
          <w:rFonts w:ascii="Georgia" w:hAnsi="Georgia" w:cs="Arial"/>
          <w:sz w:val="24"/>
          <w:szCs w:val="24"/>
        </w:rPr>
        <w:t xml:space="preserve">infringiría </w:t>
      </w:r>
      <w:r w:rsidR="00B21610" w:rsidRPr="0040747B">
        <w:rPr>
          <w:rFonts w:ascii="Georgia" w:hAnsi="Georgia" w:cs="Arial"/>
          <w:sz w:val="24"/>
          <w:szCs w:val="24"/>
        </w:rPr>
        <w:t xml:space="preserve">el debido proceso, al revivir </w:t>
      </w:r>
      <w:r w:rsidR="00A138AD" w:rsidRPr="0040747B">
        <w:rPr>
          <w:rFonts w:ascii="Georgia" w:hAnsi="Georgia" w:cs="Arial"/>
          <w:sz w:val="24"/>
          <w:szCs w:val="24"/>
        </w:rPr>
        <w:t xml:space="preserve">la </w:t>
      </w:r>
      <w:r w:rsidR="00B21610" w:rsidRPr="0040747B">
        <w:rPr>
          <w:rFonts w:ascii="Georgia" w:hAnsi="Georgia" w:cs="Arial"/>
          <w:sz w:val="24"/>
          <w:szCs w:val="24"/>
        </w:rPr>
        <w:t>etapa</w:t>
      </w:r>
      <w:r w:rsidR="00A138AD" w:rsidRPr="0040747B">
        <w:rPr>
          <w:rFonts w:ascii="Georgia" w:hAnsi="Georgia" w:cs="Arial"/>
          <w:sz w:val="24"/>
          <w:szCs w:val="24"/>
        </w:rPr>
        <w:t xml:space="preserve"> de inadmisión, </w:t>
      </w:r>
      <w:r w:rsidR="00B21610" w:rsidRPr="0040747B">
        <w:rPr>
          <w:rFonts w:ascii="Georgia" w:hAnsi="Georgia" w:cs="Arial"/>
          <w:sz w:val="24"/>
          <w:szCs w:val="24"/>
        </w:rPr>
        <w:t>ya fenecida.</w:t>
      </w:r>
    </w:p>
    <w:p w:rsidR="00A50721" w:rsidRPr="0040747B" w:rsidRDefault="00A50721" w:rsidP="00A50721">
      <w:pPr>
        <w:spacing w:line="360" w:lineRule="auto"/>
        <w:jc w:val="both"/>
        <w:rPr>
          <w:rFonts w:ascii="Georgia" w:hAnsi="Georgia" w:cs="Arial"/>
          <w:sz w:val="24"/>
          <w:szCs w:val="24"/>
        </w:rPr>
      </w:pPr>
    </w:p>
    <w:p w:rsidR="00A950F6" w:rsidRPr="0040747B" w:rsidRDefault="00A950F6" w:rsidP="00A50721">
      <w:pPr>
        <w:spacing w:line="360" w:lineRule="auto"/>
        <w:jc w:val="both"/>
        <w:rPr>
          <w:rFonts w:ascii="Georgia" w:hAnsi="Georgia" w:cs="Arial"/>
          <w:sz w:val="24"/>
          <w:szCs w:val="24"/>
        </w:rPr>
      </w:pPr>
      <w:r w:rsidRPr="0040747B">
        <w:rPr>
          <w:rFonts w:ascii="Georgia" w:hAnsi="Georgia" w:cs="Arial"/>
          <w:sz w:val="24"/>
          <w:szCs w:val="24"/>
        </w:rPr>
        <w:t xml:space="preserve">Corolario de lo anterior, se </w:t>
      </w:r>
      <w:r w:rsidR="00BC32AF" w:rsidRPr="0040747B">
        <w:rPr>
          <w:rFonts w:ascii="Georgia" w:hAnsi="Georgia" w:cs="Arial"/>
          <w:sz w:val="24"/>
          <w:szCs w:val="24"/>
        </w:rPr>
        <w:t xml:space="preserve">confirmará el auto venido en apelación y se adicionará para ordenar </w:t>
      </w:r>
      <w:r w:rsidRPr="0040747B">
        <w:rPr>
          <w:rFonts w:ascii="Georgia" w:hAnsi="Georgia" w:cs="Arial"/>
          <w:sz w:val="24"/>
          <w:szCs w:val="24"/>
        </w:rPr>
        <w:t>el levantamiento de las medidas cautelares</w:t>
      </w:r>
      <w:r w:rsidR="00B57CA8" w:rsidRPr="0040747B">
        <w:rPr>
          <w:rFonts w:ascii="Georgia" w:hAnsi="Georgia" w:cs="Arial"/>
          <w:sz w:val="24"/>
          <w:szCs w:val="24"/>
        </w:rPr>
        <w:t>, consistentes en la inscripción de la demanda, que recaen sobre: (i) El vehículo de placas IGP250 (</w:t>
      </w:r>
      <w:r w:rsidR="00B57CA8" w:rsidRPr="0040747B">
        <w:rPr>
          <w:rFonts w:ascii="Georgia" w:hAnsi="Georgia" w:cs="Arial"/>
          <w:sz w:val="22"/>
          <w:szCs w:val="24"/>
        </w:rPr>
        <w:t>Folios 219 y 220, cuaderno principal, parte 1</w:t>
      </w:r>
      <w:r w:rsidR="00B57CA8" w:rsidRPr="0040747B">
        <w:rPr>
          <w:rFonts w:ascii="Georgia" w:hAnsi="Georgia" w:cs="Arial"/>
          <w:sz w:val="24"/>
          <w:szCs w:val="24"/>
        </w:rPr>
        <w:t>); y (iii) Los inmuebles con matrículas inmobiliarias No</w:t>
      </w:r>
      <w:r w:rsidR="00226B37" w:rsidRPr="0040747B">
        <w:rPr>
          <w:rFonts w:ascii="Georgia" w:hAnsi="Georgia" w:cs="Arial"/>
          <w:sz w:val="24"/>
          <w:szCs w:val="24"/>
        </w:rPr>
        <w:t>s</w:t>
      </w:r>
      <w:r w:rsidR="00B57CA8" w:rsidRPr="0040747B">
        <w:rPr>
          <w:rFonts w:ascii="Georgia" w:hAnsi="Georgia" w:cs="Arial"/>
          <w:sz w:val="24"/>
          <w:szCs w:val="24"/>
        </w:rPr>
        <w:t>.290-111625 y 290-111630 (</w:t>
      </w:r>
      <w:r w:rsidR="00B57CA8" w:rsidRPr="0040747B">
        <w:rPr>
          <w:rFonts w:ascii="Georgia" w:hAnsi="Georgia" w:cs="Arial"/>
          <w:sz w:val="22"/>
          <w:szCs w:val="24"/>
        </w:rPr>
        <w:t>Folios 221 a 231, cuaderno principal, parte 1</w:t>
      </w:r>
      <w:r w:rsidR="00B57CA8" w:rsidRPr="0040747B">
        <w:rPr>
          <w:rFonts w:ascii="Georgia" w:hAnsi="Georgia" w:cs="Arial"/>
          <w:sz w:val="24"/>
          <w:szCs w:val="24"/>
        </w:rPr>
        <w:t>)</w:t>
      </w:r>
      <w:r w:rsidR="00BC32AF" w:rsidRPr="0040747B">
        <w:rPr>
          <w:rFonts w:ascii="Georgia" w:hAnsi="Georgia" w:cs="Arial"/>
          <w:sz w:val="24"/>
          <w:szCs w:val="24"/>
        </w:rPr>
        <w:t xml:space="preserve">. </w:t>
      </w:r>
      <w:r w:rsidR="00B57CA8" w:rsidRPr="0040747B">
        <w:rPr>
          <w:rFonts w:ascii="Georgia" w:hAnsi="Georgia" w:cs="Arial"/>
          <w:sz w:val="24"/>
          <w:szCs w:val="24"/>
        </w:rPr>
        <w:t>Y se condenará en costas y perjuicios a la parte actora (</w:t>
      </w:r>
      <w:r w:rsidR="00B57CA8" w:rsidRPr="0040747B">
        <w:rPr>
          <w:rFonts w:ascii="Georgia" w:hAnsi="Georgia" w:cs="Arial"/>
          <w:sz w:val="22"/>
          <w:szCs w:val="24"/>
        </w:rPr>
        <w:t>Artículo 597-5º y 10º, ib.</w:t>
      </w:r>
      <w:r w:rsidR="00B57CA8" w:rsidRPr="0040747B">
        <w:rPr>
          <w:rFonts w:ascii="Georgia" w:hAnsi="Georgia" w:cs="Arial"/>
          <w:sz w:val="24"/>
          <w:szCs w:val="24"/>
        </w:rPr>
        <w:t>).</w:t>
      </w:r>
    </w:p>
    <w:p w:rsidR="00A950F6" w:rsidRPr="0040747B" w:rsidRDefault="00A950F6" w:rsidP="00A50721">
      <w:pPr>
        <w:spacing w:line="360" w:lineRule="auto"/>
        <w:jc w:val="both"/>
        <w:rPr>
          <w:rFonts w:ascii="Georgia" w:hAnsi="Georgia" w:cs="Arial"/>
          <w:sz w:val="24"/>
          <w:szCs w:val="24"/>
        </w:rPr>
      </w:pPr>
    </w:p>
    <w:p w:rsidR="007E6F5F" w:rsidRPr="0040747B" w:rsidRDefault="007E6F5F" w:rsidP="007E6F5F">
      <w:pPr>
        <w:pStyle w:val="Sinespaciado"/>
        <w:widowControl/>
        <w:numPr>
          <w:ilvl w:val="0"/>
          <w:numId w:val="8"/>
        </w:numPr>
        <w:autoSpaceDE/>
        <w:autoSpaceDN/>
        <w:adjustRightInd/>
        <w:spacing w:line="360" w:lineRule="auto"/>
        <w:jc w:val="both"/>
        <w:rPr>
          <w:rFonts w:ascii="Georgia" w:hAnsi="Georgia" w:cs="Arial"/>
        </w:rPr>
      </w:pPr>
      <w:r w:rsidRPr="0040747B">
        <w:rPr>
          <w:rFonts w:ascii="Georgia" w:hAnsi="Georgia" w:cs="Arial"/>
        </w:rPr>
        <w:t xml:space="preserve">LAS DECISIONES </w:t>
      </w:r>
    </w:p>
    <w:p w:rsidR="007E6F5F" w:rsidRPr="0040747B" w:rsidRDefault="007E6F5F" w:rsidP="007E6F5F">
      <w:pPr>
        <w:tabs>
          <w:tab w:val="left" w:pos="-720"/>
        </w:tabs>
        <w:suppressAutoHyphens/>
        <w:spacing w:line="360" w:lineRule="auto"/>
        <w:jc w:val="both"/>
        <w:rPr>
          <w:rFonts w:ascii="Georgia" w:hAnsi="Georgia" w:cs="Arial"/>
          <w:lang w:val="es-CO"/>
        </w:rPr>
      </w:pPr>
    </w:p>
    <w:p w:rsidR="007E6F5F" w:rsidRPr="0040747B" w:rsidRDefault="007E6F5F" w:rsidP="007E6F5F">
      <w:pPr>
        <w:spacing w:line="360" w:lineRule="auto"/>
        <w:jc w:val="both"/>
        <w:rPr>
          <w:rFonts w:ascii="Georgia" w:hAnsi="Georgia" w:cs="Arial"/>
          <w:sz w:val="24"/>
        </w:rPr>
      </w:pPr>
      <w:r w:rsidRPr="0040747B">
        <w:rPr>
          <w:rFonts w:ascii="Georgia" w:hAnsi="Georgia" w:cs="Arial"/>
          <w:sz w:val="24"/>
        </w:rPr>
        <w:t xml:space="preserve">En atención a lo </w:t>
      </w:r>
      <w:r w:rsidR="00C55430" w:rsidRPr="0040747B">
        <w:rPr>
          <w:rFonts w:ascii="Georgia" w:hAnsi="Georgia" w:cs="Arial"/>
          <w:sz w:val="24"/>
        </w:rPr>
        <w:t>discurrido</w:t>
      </w:r>
      <w:r w:rsidRPr="0040747B">
        <w:rPr>
          <w:rFonts w:ascii="Georgia" w:hAnsi="Georgia" w:cs="Arial"/>
          <w:sz w:val="24"/>
        </w:rPr>
        <w:t xml:space="preserve"> (i) Se confirmará la decisión apelada; (ii) </w:t>
      </w:r>
      <w:r w:rsidR="00B57CA8" w:rsidRPr="0040747B">
        <w:rPr>
          <w:rFonts w:ascii="Georgia" w:hAnsi="Georgia" w:cs="Arial"/>
          <w:sz w:val="24"/>
          <w:szCs w:val="24"/>
        </w:rPr>
        <w:t>Se adicionará para levanta</w:t>
      </w:r>
      <w:r w:rsidR="00226B37" w:rsidRPr="0040747B">
        <w:rPr>
          <w:rFonts w:ascii="Georgia" w:hAnsi="Georgia" w:cs="Arial"/>
          <w:sz w:val="24"/>
          <w:szCs w:val="24"/>
        </w:rPr>
        <w:t>r</w:t>
      </w:r>
      <w:r w:rsidR="00B57CA8" w:rsidRPr="0040747B">
        <w:rPr>
          <w:rFonts w:ascii="Georgia" w:hAnsi="Georgia" w:cs="Arial"/>
          <w:sz w:val="24"/>
          <w:szCs w:val="24"/>
        </w:rPr>
        <w:t xml:space="preserve"> las medidas perfeccionadas, con la consecuente condena en costas y perjuicios</w:t>
      </w:r>
      <w:r w:rsidR="00FA6424" w:rsidRPr="0040747B">
        <w:rPr>
          <w:rFonts w:ascii="Georgia" w:hAnsi="Georgia" w:cs="Arial"/>
          <w:sz w:val="24"/>
          <w:szCs w:val="24"/>
        </w:rPr>
        <w:t xml:space="preserve"> (</w:t>
      </w:r>
      <w:r w:rsidR="00FA6424" w:rsidRPr="0040747B">
        <w:rPr>
          <w:rFonts w:ascii="Georgia" w:hAnsi="Georgia" w:cs="Arial"/>
          <w:sz w:val="22"/>
          <w:szCs w:val="24"/>
        </w:rPr>
        <w:t>Artículo 597-5º y 10º, ib.</w:t>
      </w:r>
      <w:r w:rsidR="00FA6424" w:rsidRPr="0040747B">
        <w:rPr>
          <w:rFonts w:ascii="Georgia" w:hAnsi="Georgia" w:cs="Arial"/>
          <w:sz w:val="24"/>
          <w:szCs w:val="24"/>
        </w:rPr>
        <w:t>)</w:t>
      </w:r>
      <w:r w:rsidR="00B57CA8" w:rsidRPr="0040747B">
        <w:rPr>
          <w:rFonts w:ascii="Georgia" w:hAnsi="Georgia" w:cs="Arial"/>
          <w:sz w:val="24"/>
          <w:szCs w:val="24"/>
        </w:rPr>
        <w:t xml:space="preserve">; también, (iii) </w:t>
      </w:r>
      <w:r w:rsidRPr="0040747B">
        <w:rPr>
          <w:rFonts w:ascii="Georgia" w:hAnsi="Georgia" w:cs="Arial"/>
          <w:sz w:val="24"/>
        </w:rPr>
        <w:t>Se condenará en costas, e</w:t>
      </w:r>
      <w:r w:rsidR="00BC32AF" w:rsidRPr="0040747B">
        <w:rPr>
          <w:rFonts w:ascii="Georgia" w:hAnsi="Georgia" w:cs="Arial"/>
          <w:sz w:val="24"/>
        </w:rPr>
        <w:t>n esta instancia, al recurrente</w:t>
      </w:r>
      <w:r w:rsidR="00FA6424" w:rsidRPr="0040747B">
        <w:rPr>
          <w:rFonts w:ascii="Georgia" w:hAnsi="Georgia" w:cs="Arial"/>
          <w:sz w:val="24"/>
        </w:rPr>
        <w:t xml:space="preserve"> </w:t>
      </w:r>
      <w:r w:rsidR="00FA6424" w:rsidRPr="0040747B">
        <w:rPr>
          <w:rFonts w:ascii="Georgia" w:hAnsi="Georgia" w:cs="Arial"/>
          <w:sz w:val="24"/>
          <w:szCs w:val="24"/>
        </w:rPr>
        <w:t>(</w:t>
      </w:r>
      <w:r w:rsidR="00FA6424" w:rsidRPr="0040747B">
        <w:rPr>
          <w:rFonts w:ascii="Georgia" w:hAnsi="Georgia" w:cs="Arial"/>
          <w:sz w:val="22"/>
          <w:szCs w:val="24"/>
        </w:rPr>
        <w:t>Artículo 365-1º, ib.</w:t>
      </w:r>
      <w:r w:rsidR="00FA6424" w:rsidRPr="0040747B">
        <w:rPr>
          <w:rFonts w:ascii="Georgia" w:hAnsi="Georgia" w:cs="Arial"/>
          <w:sz w:val="24"/>
          <w:szCs w:val="24"/>
        </w:rPr>
        <w:t>)</w:t>
      </w:r>
      <w:r w:rsidR="00B57CA8" w:rsidRPr="0040747B">
        <w:rPr>
          <w:rFonts w:ascii="Georgia" w:hAnsi="Georgia" w:cs="Arial"/>
          <w:sz w:val="24"/>
        </w:rPr>
        <w:t xml:space="preserve">. </w:t>
      </w:r>
      <w:r w:rsidRPr="0040747B">
        <w:rPr>
          <w:rFonts w:ascii="Georgia" w:hAnsi="Georgia" w:cs="Arial"/>
          <w:sz w:val="24"/>
        </w:rPr>
        <w:t xml:space="preserve"> </w:t>
      </w:r>
    </w:p>
    <w:p w:rsidR="007E6F5F" w:rsidRPr="0040747B" w:rsidRDefault="007E6F5F" w:rsidP="007E6F5F">
      <w:pPr>
        <w:spacing w:line="360" w:lineRule="auto"/>
        <w:jc w:val="both"/>
        <w:rPr>
          <w:rFonts w:ascii="Georgia" w:hAnsi="Georgia" w:cs="Arial"/>
          <w:sz w:val="24"/>
        </w:rPr>
      </w:pPr>
    </w:p>
    <w:p w:rsidR="007E6F5F" w:rsidRPr="0040747B" w:rsidRDefault="007E6F5F" w:rsidP="007E6F5F">
      <w:pPr>
        <w:spacing w:line="360" w:lineRule="auto"/>
        <w:jc w:val="both"/>
        <w:rPr>
          <w:rFonts w:ascii="Georgia" w:hAnsi="Georgia" w:cs="Arial"/>
          <w:sz w:val="24"/>
          <w:lang w:val="es-CO"/>
        </w:rPr>
      </w:pPr>
      <w:r w:rsidRPr="0040747B">
        <w:rPr>
          <w:rFonts w:ascii="Georgia" w:hAnsi="Georgia" w:cs="Arial"/>
          <w:sz w:val="24"/>
          <w:lang w:val="es-CO"/>
        </w:rPr>
        <w:t>Las agencias</w:t>
      </w:r>
      <w:r w:rsidR="00AA60EF" w:rsidRPr="0040747B">
        <w:rPr>
          <w:rFonts w:ascii="Georgia" w:hAnsi="Georgia" w:cs="Arial"/>
          <w:sz w:val="24"/>
          <w:lang w:val="es-CO"/>
        </w:rPr>
        <w:t>,</w:t>
      </w:r>
      <w:r w:rsidRPr="0040747B">
        <w:rPr>
          <w:rFonts w:ascii="Georgia" w:hAnsi="Georgia" w:cs="Arial"/>
          <w:sz w:val="24"/>
          <w:lang w:val="es-CO"/>
        </w:rPr>
        <w:t xml:space="preserve"> </w:t>
      </w:r>
      <w:r w:rsidR="00AA60EF" w:rsidRPr="0040747B">
        <w:rPr>
          <w:rFonts w:ascii="Georgia" w:hAnsi="Georgia" w:cs="Arial"/>
          <w:sz w:val="24"/>
          <w:lang w:val="es-CO"/>
        </w:rPr>
        <w:t xml:space="preserve">de esta instancia, </w:t>
      </w:r>
      <w:r w:rsidRPr="0040747B">
        <w:rPr>
          <w:rFonts w:ascii="Georgia" w:hAnsi="Georgia" w:cs="Arial"/>
          <w:sz w:val="24"/>
          <w:lang w:val="es-CO"/>
        </w:rPr>
        <w:t>se fijarán en auto posterior, en seguimiento de la variación hecha por esta Sala</w:t>
      </w:r>
      <w:r w:rsidRPr="0040747B">
        <w:rPr>
          <w:rStyle w:val="Refdenotaalpie"/>
          <w:rFonts w:ascii="Georgia" w:hAnsi="Georgia"/>
          <w:sz w:val="24"/>
          <w:lang w:val="es-CO"/>
        </w:rPr>
        <w:footnoteReference w:id="18"/>
      </w:r>
      <w:r w:rsidRPr="0040747B">
        <w:rPr>
          <w:rFonts w:ascii="Georgia" w:hAnsi="Georgia" w:cs="Arial"/>
          <w:sz w:val="24"/>
          <w:lang w:val="es-CO"/>
        </w:rPr>
        <w:t>, fundada en criterio de la CSJ, en reciente providencia</w:t>
      </w:r>
      <w:r w:rsidRPr="0040747B">
        <w:rPr>
          <w:rStyle w:val="Refdenotaalpie"/>
          <w:rFonts w:ascii="Georgia" w:hAnsi="Georgia"/>
          <w:sz w:val="24"/>
        </w:rPr>
        <w:footnoteReference w:id="19"/>
      </w:r>
      <w:r w:rsidRPr="0040747B">
        <w:rPr>
          <w:rFonts w:ascii="Georgia" w:hAnsi="Georgia" w:cs="Arial"/>
          <w:sz w:val="24"/>
          <w:lang w:val="es-CO"/>
        </w:rPr>
        <w:t xml:space="preserve"> de tutela (2017). Se comprende que se hace en auto y no en la decisión misma, porque esa expresa </w:t>
      </w:r>
      <w:r w:rsidRPr="0040747B">
        <w:rPr>
          <w:rFonts w:ascii="Georgia" w:hAnsi="Georgia" w:cs="Arial"/>
          <w:sz w:val="24"/>
          <w:lang w:val="es-CO"/>
        </w:rPr>
        <w:lastRenderedPageBreak/>
        <w:t xml:space="preserve">modificación, introducida como novedad por la Ley 1395 de 2010, desapareció en la nueva redacción del ordinal 2º del artículo 365, </w:t>
      </w:r>
      <w:r w:rsidR="00DF7353" w:rsidRPr="0040747B">
        <w:rPr>
          <w:rFonts w:ascii="Georgia" w:hAnsi="Georgia" w:cs="Arial"/>
          <w:sz w:val="24"/>
          <w:lang w:val="es-CO"/>
        </w:rPr>
        <w:t>ib.</w:t>
      </w:r>
    </w:p>
    <w:p w:rsidR="007E6F5F" w:rsidRPr="0040747B" w:rsidRDefault="007E6F5F" w:rsidP="007E6F5F">
      <w:pPr>
        <w:spacing w:line="360" w:lineRule="auto"/>
        <w:jc w:val="both"/>
        <w:rPr>
          <w:rFonts w:ascii="Georgia" w:hAnsi="Georgia" w:cs="Arial"/>
          <w:sz w:val="24"/>
          <w:lang w:val="es-CO"/>
        </w:rPr>
      </w:pPr>
    </w:p>
    <w:p w:rsidR="007E6F5F" w:rsidRPr="0040747B" w:rsidRDefault="007E6F5F" w:rsidP="007E6F5F">
      <w:pPr>
        <w:tabs>
          <w:tab w:val="left" w:pos="-720"/>
        </w:tabs>
        <w:suppressAutoHyphens/>
        <w:spacing w:line="360" w:lineRule="auto"/>
        <w:jc w:val="both"/>
        <w:rPr>
          <w:rFonts w:ascii="Georgia" w:hAnsi="Georgia" w:cs="Arial"/>
          <w:sz w:val="24"/>
        </w:rPr>
      </w:pPr>
      <w:r w:rsidRPr="0040747B">
        <w:rPr>
          <w:rFonts w:ascii="Georgia" w:hAnsi="Georgia" w:cs="Arial"/>
          <w:sz w:val="24"/>
        </w:rPr>
        <w:t xml:space="preserve">En mérito de lo discurrido en los acápites precedentes, el </w:t>
      </w:r>
      <w:r w:rsidRPr="0040747B">
        <w:rPr>
          <w:rFonts w:ascii="Georgia" w:hAnsi="Georgia" w:cs="Arial"/>
          <w:smallCaps/>
          <w:sz w:val="24"/>
        </w:rPr>
        <w:t>Tribunal Superior del Distrito Judicial de Pereira, Sala Unitaria de Decisión</w:t>
      </w:r>
      <w:r w:rsidRPr="0040747B">
        <w:rPr>
          <w:rFonts w:ascii="Georgia" w:hAnsi="Georgia" w:cs="Arial"/>
          <w:sz w:val="24"/>
        </w:rPr>
        <w:t>,</w:t>
      </w:r>
    </w:p>
    <w:p w:rsidR="00AA60EF" w:rsidRPr="0040747B" w:rsidRDefault="00AA60EF" w:rsidP="007E6F5F">
      <w:pPr>
        <w:pStyle w:val="Sinespaciado"/>
        <w:spacing w:line="360" w:lineRule="auto"/>
        <w:jc w:val="center"/>
        <w:rPr>
          <w:rFonts w:ascii="Georgia" w:hAnsi="Georgia" w:cs="Arial"/>
          <w:sz w:val="28"/>
        </w:rPr>
      </w:pPr>
    </w:p>
    <w:p w:rsidR="007E6F5F" w:rsidRPr="0040747B" w:rsidRDefault="007E6F5F" w:rsidP="007E6F5F">
      <w:pPr>
        <w:pStyle w:val="Sinespaciado"/>
        <w:spacing w:line="360" w:lineRule="auto"/>
        <w:jc w:val="center"/>
        <w:rPr>
          <w:rFonts w:ascii="Georgia" w:hAnsi="Georgia" w:cs="Arial"/>
        </w:rPr>
      </w:pPr>
      <w:r w:rsidRPr="0040747B">
        <w:rPr>
          <w:rFonts w:ascii="Georgia" w:hAnsi="Georgia" w:cs="Arial"/>
          <w:sz w:val="28"/>
        </w:rPr>
        <w:t xml:space="preserve">R </w:t>
      </w:r>
      <w:r w:rsidRPr="0040747B">
        <w:rPr>
          <w:rFonts w:ascii="Georgia" w:hAnsi="Georgia" w:cs="Arial"/>
        </w:rPr>
        <w:t>E S U E L V E,</w:t>
      </w:r>
    </w:p>
    <w:p w:rsidR="00A138AD" w:rsidRPr="0040747B" w:rsidRDefault="00A138AD" w:rsidP="00A138AD">
      <w:pPr>
        <w:pStyle w:val="Textopredeterminado"/>
        <w:spacing w:line="360" w:lineRule="auto"/>
        <w:ind w:left="360"/>
        <w:jc w:val="both"/>
        <w:textAlignment w:val="baseline"/>
        <w:rPr>
          <w:rFonts w:ascii="Georgia" w:hAnsi="Georgia" w:cs="Arial"/>
          <w:szCs w:val="24"/>
        </w:rPr>
      </w:pPr>
    </w:p>
    <w:p w:rsidR="00B21610" w:rsidRPr="0040747B" w:rsidRDefault="00B21610" w:rsidP="00B21610">
      <w:pPr>
        <w:pStyle w:val="Textopredeterminado"/>
        <w:numPr>
          <w:ilvl w:val="0"/>
          <w:numId w:val="14"/>
        </w:numPr>
        <w:spacing w:line="360" w:lineRule="auto"/>
        <w:jc w:val="both"/>
        <w:textAlignment w:val="baseline"/>
        <w:rPr>
          <w:rFonts w:ascii="Georgia" w:hAnsi="Georgia" w:cs="Arial"/>
          <w:szCs w:val="24"/>
        </w:rPr>
      </w:pPr>
      <w:r w:rsidRPr="0040747B">
        <w:rPr>
          <w:rFonts w:ascii="Georgia" w:hAnsi="Georgia" w:cs="Arial"/>
          <w:szCs w:val="24"/>
        </w:rPr>
        <w:t>CONFIRMAR el auto apelado, por lo razonado en la parte motiva de esta providencia.</w:t>
      </w:r>
    </w:p>
    <w:p w:rsidR="007E6F5F" w:rsidRPr="0040747B" w:rsidRDefault="007E6F5F" w:rsidP="007E6F5F">
      <w:pPr>
        <w:pStyle w:val="Textopredeterminado"/>
        <w:spacing w:line="360" w:lineRule="auto"/>
        <w:ind w:left="360"/>
        <w:jc w:val="both"/>
        <w:rPr>
          <w:rFonts w:ascii="Georgia" w:hAnsi="Georgia" w:cs="Arial"/>
          <w:szCs w:val="24"/>
        </w:rPr>
      </w:pPr>
    </w:p>
    <w:p w:rsidR="00226B37" w:rsidRPr="0040747B" w:rsidRDefault="004B3A0D" w:rsidP="00CB6698">
      <w:pPr>
        <w:pStyle w:val="Textopredeterminado"/>
        <w:numPr>
          <w:ilvl w:val="0"/>
          <w:numId w:val="14"/>
        </w:numPr>
        <w:spacing w:line="360" w:lineRule="auto"/>
        <w:jc w:val="both"/>
        <w:textAlignment w:val="baseline"/>
        <w:rPr>
          <w:rFonts w:ascii="Georgia" w:hAnsi="Georgia" w:cs="Arial"/>
          <w:szCs w:val="24"/>
        </w:rPr>
      </w:pPr>
      <w:r w:rsidRPr="0040747B">
        <w:rPr>
          <w:rFonts w:ascii="Georgia" w:hAnsi="Georgia" w:cs="Arial"/>
          <w:szCs w:val="24"/>
        </w:rPr>
        <w:t>ADICIONAR ese proveído para LEVANTAR las medidas cautelares</w:t>
      </w:r>
      <w:r w:rsidR="00AA60EF" w:rsidRPr="0040747B">
        <w:rPr>
          <w:rFonts w:ascii="Georgia" w:hAnsi="Georgia" w:cs="Arial"/>
          <w:szCs w:val="24"/>
        </w:rPr>
        <w:t xml:space="preserve"> de inscripción de la demanda, que recaen sobre:</w:t>
      </w:r>
      <w:r w:rsidR="00226B37" w:rsidRPr="0040747B">
        <w:rPr>
          <w:rFonts w:ascii="Georgia" w:hAnsi="Georgia" w:cs="Arial"/>
          <w:szCs w:val="24"/>
        </w:rPr>
        <w:t xml:space="preserve"> (i) El </w:t>
      </w:r>
      <w:r w:rsidRPr="0040747B">
        <w:rPr>
          <w:rFonts w:ascii="Georgia" w:hAnsi="Georgia" w:cs="Arial"/>
          <w:szCs w:val="24"/>
        </w:rPr>
        <w:t xml:space="preserve">vehículo de placas </w:t>
      </w:r>
      <w:r w:rsidR="00226B37" w:rsidRPr="0040747B">
        <w:rPr>
          <w:rFonts w:ascii="Georgia" w:hAnsi="Georgia" w:cs="Arial"/>
          <w:szCs w:val="24"/>
        </w:rPr>
        <w:t xml:space="preserve">IGP250; y (ii) </w:t>
      </w:r>
      <w:r w:rsidRPr="0040747B">
        <w:rPr>
          <w:rFonts w:ascii="Georgia" w:hAnsi="Georgia" w:cs="Arial"/>
          <w:szCs w:val="24"/>
        </w:rPr>
        <w:t>Los inmuebles con matrículas inmobiliarias No</w:t>
      </w:r>
      <w:r w:rsidR="00226B37" w:rsidRPr="0040747B">
        <w:rPr>
          <w:rFonts w:ascii="Georgia" w:hAnsi="Georgia" w:cs="Arial"/>
          <w:szCs w:val="24"/>
        </w:rPr>
        <w:t>s</w:t>
      </w:r>
      <w:r w:rsidRPr="0040747B">
        <w:rPr>
          <w:rFonts w:ascii="Georgia" w:hAnsi="Georgia" w:cs="Arial"/>
          <w:szCs w:val="24"/>
        </w:rPr>
        <w:t>.290-111625 y 290-111630</w:t>
      </w:r>
      <w:r w:rsidR="00226B37" w:rsidRPr="0040747B">
        <w:rPr>
          <w:rFonts w:ascii="Georgia" w:hAnsi="Georgia" w:cs="Arial"/>
          <w:szCs w:val="24"/>
        </w:rPr>
        <w:t xml:space="preserve">. El </w:t>
      </w:r>
      <w:r w:rsidR="00AA60EF" w:rsidRPr="0040747B">
        <w:rPr>
          <w:rFonts w:ascii="Georgia" w:hAnsi="Georgia" w:cs="Arial"/>
          <w:szCs w:val="24"/>
        </w:rPr>
        <w:t>juzgado de conocimiento librará los oficios respectivos</w:t>
      </w:r>
    </w:p>
    <w:p w:rsidR="00226B37" w:rsidRPr="0040747B" w:rsidRDefault="00226B37" w:rsidP="00226B37">
      <w:pPr>
        <w:pStyle w:val="Prrafodelista"/>
        <w:rPr>
          <w:rFonts w:ascii="Georgia" w:hAnsi="Georgia" w:cs="Arial"/>
          <w:szCs w:val="24"/>
        </w:rPr>
      </w:pPr>
    </w:p>
    <w:p w:rsidR="00AA60EF" w:rsidRPr="0040747B" w:rsidRDefault="00AA60EF" w:rsidP="00CB6698">
      <w:pPr>
        <w:pStyle w:val="Textopredeterminado"/>
        <w:numPr>
          <w:ilvl w:val="0"/>
          <w:numId w:val="14"/>
        </w:numPr>
        <w:spacing w:line="360" w:lineRule="auto"/>
        <w:jc w:val="both"/>
        <w:textAlignment w:val="baseline"/>
        <w:rPr>
          <w:rFonts w:ascii="Georgia" w:hAnsi="Georgia" w:cs="Arial"/>
          <w:szCs w:val="24"/>
        </w:rPr>
      </w:pPr>
      <w:r w:rsidRPr="0040747B">
        <w:rPr>
          <w:rFonts w:ascii="Georgia" w:hAnsi="Georgia" w:cs="Arial"/>
          <w:szCs w:val="24"/>
        </w:rPr>
        <w:t>CONDENA</w:t>
      </w:r>
      <w:r w:rsidR="00226B37" w:rsidRPr="0040747B">
        <w:rPr>
          <w:rFonts w:ascii="Georgia" w:hAnsi="Georgia" w:cs="Arial"/>
          <w:szCs w:val="24"/>
        </w:rPr>
        <w:t>R</w:t>
      </w:r>
      <w:r w:rsidRPr="0040747B">
        <w:rPr>
          <w:rFonts w:ascii="Georgia" w:hAnsi="Georgia" w:cs="Arial"/>
          <w:szCs w:val="24"/>
        </w:rPr>
        <w:t xml:space="preserve"> en costas y perjuicios, a la parte actora y a favor de la parte demandada</w:t>
      </w:r>
      <w:r w:rsidR="00226B37" w:rsidRPr="0040747B">
        <w:rPr>
          <w:rFonts w:ascii="Georgia" w:hAnsi="Georgia" w:cs="Arial"/>
          <w:szCs w:val="24"/>
        </w:rPr>
        <w:t xml:space="preserve">, como consecuencia de ese levantamiento. </w:t>
      </w:r>
      <w:r w:rsidRPr="0040747B">
        <w:rPr>
          <w:rFonts w:ascii="Georgia" w:hAnsi="Georgia" w:cs="Arial"/>
          <w:szCs w:val="24"/>
        </w:rPr>
        <w:t>Se liquidarán en primera instancia.</w:t>
      </w:r>
    </w:p>
    <w:p w:rsidR="00AA60EF" w:rsidRPr="0040747B" w:rsidRDefault="00AA60EF" w:rsidP="007E6F5F">
      <w:pPr>
        <w:pStyle w:val="Textopredeterminado"/>
        <w:spacing w:line="360" w:lineRule="auto"/>
        <w:ind w:left="360"/>
        <w:jc w:val="both"/>
        <w:rPr>
          <w:rFonts w:ascii="Georgia" w:hAnsi="Georgia" w:cs="Arial"/>
          <w:szCs w:val="24"/>
        </w:rPr>
      </w:pPr>
    </w:p>
    <w:p w:rsidR="007E6F5F" w:rsidRPr="0040747B" w:rsidRDefault="007E6F5F" w:rsidP="007E6F5F">
      <w:pPr>
        <w:pStyle w:val="Textopredeterminado"/>
        <w:numPr>
          <w:ilvl w:val="0"/>
          <w:numId w:val="14"/>
        </w:numPr>
        <w:tabs>
          <w:tab w:val="left" w:pos="544"/>
        </w:tabs>
        <w:spacing w:line="360" w:lineRule="auto"/>
        <w:jc w:val="both"/>
        <w:textAlignment w:val="baseline"/>
        <w:rPr>
          <w:rFonts w:ascii="Georgia" w:hAnsi="Georgia" w:cs="Arial"/>
          <w:color w:val="auto"/>
          <w:szCs w:val="24"/>
        </w:rPr>
      </w:pPr>
      <w:r w:rsidRPr="0040747B">
        <w:rPr>
          <w:rFonts w:ascii="Georgia" w:hAnsi="Georgia" w:cs="Arial"/>
          <w:color w:val="auto"/>
          <w:szCs w:val="24"/>
        </w:rPr>
        <w:t xml:space="preserve">CONDENAR </w:t>
      </w:r>
      <w:r w:rsidR="00226B37" w:rsidRPr="0040747B">
        <w:rPr>
          <w:rFonts w:ascii="Georgia" w:hAnsi="Georgia" w:cs="Arial"/>
          <w:color w:val="auto"/>
          <w:szCs w:val="24"/>
        </w:rPr>
        <w:t xml:space="preserve">en </w:t>
      </w:r>
      <w:r w:rsidRPr="0040747B">
        <w:rPr>
          <w:rFonts w:ascii="Georgia" w:hAnsi="Georgia" w:cs="Arial"/>
          <w:color w:val="auto"/>
          <w:szCs w:val="24"/>
        </w:rPr>
        <w:t>costas al</w:t>
      </w:r>
      <w:r w:rsidR="00AA60EF" w:rsidRPr="0040747B">
        <w:rPr>
          <w:rFonts w:ascii="Georgia" w:hAnsi="Georgia" w:cs="Arial"/>
          <w:color w:val="auto"/>
          <w:szCs w:val="24"/>
        </w:rPr>
        <w:t xml:space="preserve"> recurrente, </w:t>
      </w:r>
      <w:r w:rsidRPr="0040747B">
        <w:rPr>
          <w:rFonts w:ascii="Georgia" w:hAnsi="Georgia" w:cs="Arial"/>
          <w:color w:val="auto"/>
          <w:szCs w:val="24"/>
        </w:rPr>
        <w:t xml:space="preserve">y en favor de la parte </w:t>
      </w:r>
      <w:r w:rsidR="00B21610" w:rsidRPr="0040747B">
        <w:rPr>
          <w:rFonts w:ascii="Georgia" w:hAnsi="Georgia" w:cs="Arial"/>
          <w:color w:val="auto"/>
          <w:szCs w:val="24"/>
        </w:rPr>
        <w:t>demandada</w:t>
      </w:r>
      <w:r w:rsidR="00AA60EF" w:rsidRPr="0040747B">
        <w:rPr>
          <w:rFonts w:ascii="Georgia" w:hAnsi="Georgia" w:cs="Arial"/>
          <w:color w:val="auto"/>
          <w:szCs w:val="24"/>
        </w:rPr>
        <w:t>, por el fracaso de la alzada</w:t>
      </w:r>
      <w:r w:rsidRPr="0040747B">
        <w:rPr>
          <w:rFonts w:ascii="Georgia" w:hAnsi="Georgia" w:cs="Arial"/>
          <w:color w:val="auto"/>
          <w:szCs w:val="24"/>
        </w:rPr>
        <w:t xml:space="preserve">. Las agencias en derecho se fijarán por esta Corporación, ejecutoriada esta providencia. </w:t>
      </w:r>
    </w:p>
    <w:p w:rsidR="007E6F5F" w:rsidRPr="0040747B" w:rsidRDefault="007E6F5F" w:rsidP="007E6F5F">
      <w:pPr>
        <w:pStyle w:val="Textopredeterminado"/>
        <w:tabs>
          <w:tab w:val="left" w:pos="544"/>
        </w:tabs>
        <w:spacing w:line="360" w:lineRule="auto"/>
        <w:jc w:val="both"/>
        <w:rPr>
          <w:rFonts w:ascii="Georgia" w:hAnsi="Georgia" w:cs="Arial"/>
          <w:color w:val="auto"/>
          <w:szCs w:val="24"/>
        </w:rPr>
      </w:pPr>
    </w:p>
    <w:p w:rsidR="007E6F5F" w:rsidRPr="0040747B" w:rsidRDefault="007E6F5F" w:rsidP="007E6F5F">
      <w:pPr>
        <w:pStyle w:val="Textopredeterminado"/>
        <w:numPr>
          <w:ilvl w:val="0"/>
          <w:numId w:val="14"/>
        </w:numPr>
        <w:tabs>
          <w:tab w:val="left" w:pos="544"/>
        </w:tabs>
        <w:spacing w:line="360" w:lineRule="auto"/>
        <w:jc w:val="both"/>
        <w:textAlignment w:val="baseline"/>
        <w:rPr>
          <w:rFonts w:ascii="Georgia" w:hAnsi="Georgia" w:cs="Arial"/>
          <w:color w:val="auto"/>
          <w:szCs w:val="24"/>
        </w:rPr>
      </w:pPr>
      <w:r w:rsidRPr="0040747B">
        <w:rPr>
          <w:rFonts w:ascii="Georgia" w:hAnsi="Georgia" w:cs="Arial"/>
          <w:color w:val="auto"/>
          <w:szCs w:val="24"/>
        </w:rPr>
        <w:t>ADVERTIR que esta decisión es irrecurrible.</w:t>
      </w:r>
    </w:p>
    <w:p w:rsidR="007E6F5F" w:rsidRPr="0040747B" w:rsidRDefault="007E6F5F" w:rsidP="007E6F5F">
      <w:pPr>
        <w:pStyle w:val="Prrafodelista"/>
        <w:spacing w:line="360" w:lineRule="auto"/>
        <w:rPr>
          <w:rFonts w:ascii="Georgia" w:hAnsi="Georgia" w:cs="Arial"/>
          <w:sz w:val="24"/>
          <w:szCs w:val="24"/>
        </w:rPr>
      </w:pPr>
    </w:p>
    <w:p w:rsidR="007E6F5F" w:rsidRPr="0040747B" w:rsidRDefault="007E6F5F" w:rsidP="007E6F5F">
      <w:pPr>
        <w:pStyle w:val="Textopredeterminado"/>
        <w:numPr>
          <w:ilvl w:val="0"/>
          <w:numId w:val="14"/>
        </w:numPr>
        <w:tabs>
          <w:tab w:val="left" w:pos="544"/>
        </w:tabs>
        <w:spacing w:line="360" w:lineRule="auto"/>
        <w:jc w:val="both"/>
        <w:textAlignment w:val="baseline"/>
        <w:rPr>
          <w:rFonts w:ascii="Georgia" w:hAnsi="Georgia" w:cs="Arial"/>
          <w:color w:val="auto"/>
          <w:szCs w:val="24"/>
        </w:rPr>
      </w:pPr>
      <w:r w:rsidRPr="0040747B">
        <w:rPr>
          <w:rFonts w:ascii="Georgia" w:hAnsi="Georgia" w:cs="Arial"/>
          <w:color w:val="auto"/>
          <w:szCs w:val="24"/>
        </w:rPr>
        <w:t>DEVOLVER el expediente al Despacho de origen, por conducto de la Secretaría de esta Corporación.</w:t>
      </w:r>
    </w:p>
    <w:p w:rsidR="00AD10DB" w:rsidRPr="0040747B" w:rsidRDefault="00AD10DB" w:rsidP="00AD10DB">
      <w:pPr>
        <w:spacing w:line="360" w:lineRule="auto"/>
        <w:jc w:val="center"/>
        <w:rPr>
          <w:rFonts w:ascii="Georgia" w:hAnsi="Georgia" w:cs="Arial"/>
          <w:smallCaps/>
          <w:sz w:val="24"/>
          <w:szCs w:val="24"/>
        </w:rPr>
      </w:pPr>
      <w:r w:rsidRPr="0040747B">
        <w:rPr>
          <w:rFonts w:ascii="Georgia" w:hAnsi="Georgia" w:cs="Arial"/>
          <w:smallCaps/>
          <w:sz w:val="24"/>
          <w:szCs w:val="24"/>
        </w:rPr>
        <w:t>Notifíquese,</w:t>
      </w:r>
    </w:p>
    <w:p w:rsidR="00AD10DB" w:rsidRPr="0040747B" w:rsidRDefault="00226B37" w:rsidP="00226B37">
      <w:pPr>
        <w:spacing w:line="360" w:lineRule="auto"/>
        <w:jc w:val="right"/>
        <w:rPr>
          <w:rFonts w:ascii="Georgia" w:hAnsi="Georgia" w:cs="Arial"/>
          <w:sz w:val="24"/>
          <w:szCs w:val="24"/>
        </w:rPr>
      </w:pPr>
      <w:r w:rsidRPr="0040747B">
        <w:rPr>
          <w:rFonts w:ascii="Georgia" w:hAnsi="Georgia" w:cs="Arial"/>
          <w:i/>
          <w:spacing w:val="20"/>
          <w:w w:val="150"/>
          <w:sz w:val="6"/>
          <w:szCs w:val="22"/>
          <w:lang w:val="en-US"/>
        </w:rPr>
        <w:t>DGH/DGD / 2018</w:t>
      </w:r>
    </w:p>
    <w:p w:rsidR="00226B37" w:rsidRPr="0040747B" w:rsidRDefault="00226B37" w:rsidP="00AD10DB">
      <w:pPr>
        <w:spacing w:line="360" w:lineRule="auto"/>
        <w:jc w:val="both"/>
        <w:rPr>
          <w:rFonts w:ascii="Georgia" w:hAnsi="Georgia" w:cs="Arial"/>
          <w:sz w:val="24"/>
          <w:szCs w:val="24"/>
        </w:rPr>
      </w:pPr>
    </w:p>
    <w:p w:rsidR="007062C4" w:rsidRPr="0040747B" w:rsidRDefault="007062C4" w:rsidP="00AD10DB">
      <w:pPr>
        <w:spacing w:line="360" w:lineRule="auto"/>
        <w:jc w:val="both"/>
        <w:rPr>
          <w:rFonts w:ascii="Georgia" w:hAnsi="Georgia" w:cs="Arial"/>
          <w:sz w:val="24"/>
          <w:szCs w:val="24"/>
        </w:rPr>
      </w:pPr>
    </w:p>
    <w:p w:rsidR="00AD10DB" w:rsidRPr="0040747B" w:rsidRDefault="00226B37" w:rsidP="00AD10DB">
      <w:pPr>
        <w:pStyle w:val="Textopredeterminado"/>
        <w:spacing w:line="360" w:lineRule="auto"/>
        <w:jc w:val="center"/>
        <w:rPr>
          <w:rFonts w:ascii="Georgia" w:hAnsi="Georgia" w:cs="Arial"/>
          <w:caps/>
          <w:spacing w:val="20"/>
          <w:w w:val="150"/>
          <w:lang w:val="es-MX"/>
        </w:rPr>
      </w:pPr>
      <w:r w:rsidRPr="0040747B">
        <w:rPr>
          <w:rFonts w:ascii="Georgia" w:hAnsi="Georgia"/>
          <w:noProof/>
        </w:rPr>
        <mc:AlternateContent>
          <mc:Choice Requires="wps">
            <w:drawing>
              <wp:anchor distT="0" distB="0" distL="114300" distR="114300" simplePos="0" relativeHeight="251660288" behindDoc="0" locked="0" layoutInCell="1" allowOverlap="1" wp14:anchorId="2FEF0CD9" wp14:editId="00CC9E81">
                <wp:simplePos x="0" y="0"/>
                <wp:positionH relativeFrom="margin">
                  <wp:posOffset>4080510</wp:posOffset>
                </wp:positionH>
                <wp:positionV relativeFrom="paragraph">
                  <wp:posOffset>224790</wp:posOffset>
                </wp:positionV>
                <wp:extent cx="2689225" cy="1173480"/>
                <wp:effectExtent l="19050" t="19050" r="15875" b="266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225" cy="1173480"/>
                        </a:xfrm>
                        <a:prstGeom prst="rect">
                          <a:avLst/>
                        </a:prstGeom>
                        <a:solidFill>
                          <a:srgbClr val="FFFFFF"/>
                        </a:solidFill>
                        <a:ln w="28575" cmpd="thickThin">
                          <a:solidFill>
                            <a:srgbClr val="000000"/>
                          </a:solidFill>
                          <a:miter lim="800000"/>
                          <a:headEnd/>
                          <a:tailEnd/>
                        </a:ln>
                      </wps:spPr>
                      <wps:txbx>
                        <w:txbxContent>
                          <w:p w:rsidR="00EC25DF" w:rsidRPr="0069377F" w:rsidRDefault="00EC25DF" w:rsidP="00EC25DF">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EC25DF" w:rsidRDefault="00EC25DF" w:rsidP="00EC25DF">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EC25DF" w:rsidRPr="0069377F" w:rsidRDefault="00EC25DF" w:rsidP="00EC25DF">
                            <w:pPr>
                              <w:jc w:val="center"/>
                              <w:rPr>
                                <w:rFonts w:ascii="Kalinga" w:hAnsi="Kalinga" w:cs="Kalinga"/>
                                <w:color w:val="000000"/>
                                <w:sz w:val="18"/>
                                <w:szCs w:val="22"/>
                              </w:rPr>
                            </w:pPr>
                          </w:p>
                          <w:p w:rsidR="00EC25DF" w:rsidRPr="00E657C7" w:rsidRDefault="00EC25DF" w:rsidP="00EC25DF">
                            <w:pPr>
                              <w:jc w:val="center"/>
                              <w:rPr>
                                <w:rFonts w:ascii="Kalinga" w:hAnsi="Kalinga" w:cs="Kalinga"/>
                                <w:color w:val="000000"/>
                                <w:sz w:val="8"/>
                                <w:szCs w:val="22"/>
                              </w:rPr>
                            </w:pPr>
                          </w:p>
                          <w:p w:rsidR="00EC25DF" w:rsidRPr="00AC087B" w:rsidRDefault="007E6F5F" w:rsidP="00EC25DF">
                            <w:pPr>
                              <w:jc w:val="center"/>
                              <w:rPr>
                                <w:rFonts w:ascii="Kalinga" w:hAnsi="Kalinga" w:cs="Kalinga"/>
                                <w:color w:val="000000"/>
                                <w:sz w:val="22"/>
                                <w:szCs w:val="22"/>
                              </w:rPr>
                            </w:pPr>
                            <w:r>
                              <w:rPr>
                                <w:rFonts w:ascii="Kalinga" w:hAnsi="Kalinga" w:cs="Kalinga"/>
                                <w:color w:val="000000"/>
                                <w:szCs w:val="22"/>
                              </w:rPr>
                              <w:t>DIEGO ANDRÉS MORALES GÓMEZ</w:t>
                            </w:r>
                          </w:p>
                          <w:p w:rsidR="00EC25DF" w:rsidRPr="0069377F" w:rsidRDefault="00EC25DF" w:rsidP="00EC25DF">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EC25DF" w:rsidRPr="00AC087B" w:rsidRDefault="00EC25DF" w:rsidP="00EC25DF">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F0CD9" id="Rectangle 7" o:spid="_x0000_s1026" style="position:absolute;left:0;text-align:left;margin-left:321.3pt;margin-top:17.7pt;width:211.75pt;height:9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" strokeweight="2.25pt">
                <v:stroke linestyle="thickThin"/>
                <v:textbox>
                  <w:txbxContent>
                    <w:p w:rsidR="00EC25DF" w:rsidRPr="0069377F" w:rsidRDefault="00EC25DF" w:rsidP="00EC25DF">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EC25DF" w:rsidRDefault="00EC25DF" w:rsidP="00EC25DF">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EC25DF" w:rsidRPr="0069377F" w:rsidRDefault="00EC25DF" w:rsidP="00EC25DF">
                      <w:pPr>
                        <w:jc w:val="center"/>
                        <w:rPr>
                          <w:rFonts w:ascii="Kalinga" w:hAnsi="Kalinga" w:cs="Kalinga"/>
                          <w:color w:val="000000"/>
                          <w:sz w:val="18"/>
                          <w:szCs w:val="22"/>
                        </w:rPr>
                      </w:pPr>
                    </w:p>
                    <w:p w:rsidR="00EC25DF" w:rsidRPr="00E657C7" w:rsidRDefault="00EC25DF" w:rsidP="00EC25DF">
                      <w:pPr>
                        <w:jc w:val="center"/>
                        <w:rPr>
                          <w:rFonts w:ascii="Kalinga" w:hAnsi="Kalinga" w:cs="Kalinga"/>
                          <w:color w:val="000000"/>
                          <w:sz w:val="8"/>
                          <w:szCs w:val="22"/>
                        </w:rPr>
                      </w:pPr>
                    </w:p>
                    <w:p w:rsidR="00EC25DF" w:rsidRPr="00AC087B" w:rsidRDefault="007E6F5F" w:rsidP="00EC25DF">
                      <w:pPr>
                        <w:jc w:val="center"/>
                        <w:rPr>
                          <w:rFonts w:ascii="Kalinga" w:hAnsi="Kalinga" w:cs="Kalinga"/>
                          <w:color w:val="000000"/>
                          <w:sz w:val="22"/>
                          <w:szCs w:val="22"/>
                        </w:rPr>
                      </w:pPr>
                      <w:r>
                        <w:rPr>
                          <w:rFonts w:ascii="Kalinga" w:hAnsi="Kalinga" w:cs="Kalinga"/>
                          <w:color w:val="000000"/>
                          <w:szCs w:val="22"/>
                        </w:rPr>
                        <w:t>DIEGO ANDRÉS MORALES GÓMEZ</w:t>
                      </w:r>
                    </w:p>
                    <w:p w:rsidR="00EC25DF" w:rsidRPr="0069377F" w:rsidRDefault="00EC25DF" w:rsidP="00EC25DF">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EC25DF" w:rsidRPr="00AC087B" w:rsidRDefault="00EC25DF" w:rsidP="00EC25DF">
                      <w:pPr>
                        <w:jc w:val="center"/>
                        <w:rPr>
                          <w:rFonts w:ascii="Kalinga" w:hAnsi="Kalinga" w:cs="Kalinga"/>
                          <w:sz w:val="22"/>
                          <w:szCs w:val="22"/>
                        </w:rPr>
                      </w:pPr>
                    </w:p>
                  </w:txbxContent>
                </v:textbox>
                <w10:wrap anchorx="margin"/>
              </v:rect>
            </w:pict>
          </mc:Fallback>
        </mc:AlternateContent>
      </w:r>
      <w:r w:rsidR="00AD10DB" w:rsidRPr="0040747B">
        <w:rPr>
          <w:rFonts w:ascii="Georgia" w:hAnsi="Georgia" w:cs="Arial"/>
          <w:caps/>
          <w:spacing w:val="20"/>
          <w:w w:val="150"/>
          <w:sz w:val="28"/>
          <w:lang w:val="es-MX"/>
        </w:rPr>
        <w:t>D</w:t>
      </w:r>
      <w:r w:rsidR="00AD10DB" w:rsidRPr="0040747B">
        <w:rPr>
          <w:rFonts w:ascii="Georgia" w:hAnsi="Georgia" w:cs="Arial"/>
          <w:caps/>
          <w:spacing w:val="20"/>
          <w:w w:val="150"/>
          <w:sz w:val="18"/>
          <w:lang w:val="es-MX"/>
        </w:rPr>
        <w:t>UBERNEY</w:t>
      </w:r>
      <w:r w:rsidR="00AD10DB" w:rsidRPr="0040747B">
        <w:rPr>
          <w:rFonts w:ascii="Georgia" w:hAnsi="Georgia" w:cs="Arial"/>
          <w:caps/>
          <w:spacing w:val="20"/>
          <w:w w:val="150"/>
          <w:sz w:val="22"/>
          <w:lang w:val="es-MX"/>
        </w:rPr>
        <w:t xml:space="preserve"> </w:t>
      </w:r>
      <w:r w:rsidR="00AD10DB" w:rsidRPr="0040747B">
        <w:rPr>
          <w:rFonts w:ascii="Georgia" w:hAnsi="Georgia" w:cs="Arial"/>
          <w:caps/>
          <w:spacing w:val="20"/>
          <w:w w:val="150"/>
          <w:sz w:val="28"/>
          <w:lang w:val="es-MX"/>
        </w:rPr>
        <w:t>G</w:t>
      </w:r>
      <w:r w:rsidR="00AD10DB" w:rsidRPr="0040747B">
        <w:rPr>
          <w:rFonts w:ascii="Georgia" w:hAnsi="Georgia" w:cs="Arial"/>
          <w:caps/>
          <w:spacing w:val="20"/>
          <w:w w:val="150"/>
          <w:sz w:val="18"/>
          <w:lang w:val="es-MX"/>
        </w:rPr>
        <w:t>RISALES</w:t>
      </w:r>
      <w:r w:rsidR="00AD10DB" w:rsidRPr="0040747B">
        <w:rPr>
          <w:rFonts w:ascii="Georgia" w:hAnsi="Georgia" w:cs="Arial"/>
          <w:caps/>
          <w:spacing w:val="20"/>
          <w:w w:val="150"/>
          <w:sz w:val="22"/>
          <w:lang w:val="es-MX"/>
        </w:rPr>
        <w:t xml:space="preserve"> </w:t>
      </w:r>
      <w:r w:rsidR="00AD10DB" w:rsidRPr="0040747B">
        <w:rPr>
          <w:rFonts w:ascii="Georgia" w:hAnsi="Georgia" w:cs="Arial"/>
          <w:caps/>
          <w:spacing w:val="20"/>
          <w:w w:val="150"/>
          <w:sz w:val="28"/>
          <w:lang w:val="es-MX"/>
        </w:rPr>
        <w:t>H</w:t>
      </w:r>
      <w:r w:rsidR="00AD10DB" w:rsidRPr="0040747B">
        <w:rPr>
          <w:rFonts w:ascii="Georgia" w:hAnsi="Georgia" w:cs="Arial"/>
          <w:caps/>
          <w:spacing w:val="20"/>
          <w:w w:val="150"/>
          <w:sz w:val="18"/>
          <w:lang w:val="es-MX"/>
        </w:rPr>
        <w:t>ERRERA</w:t>
      </w:r>
    </w:p>
    <w:p w:rsidR="00AA60EF" w:rsidRDefault="00AD10DB" w:rsidP="00AD10D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Georgia" w:hAnsi="Georgia" w:cs="Arial"/>
          <w:spacing w:val="20"/>
          <w:w w:val="150"/>
          <w:sz w:val="18"/>
          <w:szCs w:val="22"/>
          <w:lang w:val="en-US"/>
        </w:rPr>
      </w:pPr>
      <w:r w:rsidRPr="0040747B">
        <w:rPr>
          <w:rFonts w:ascii="Georgia" w:hAnsi="Georgia" w:cs="Arial"/>
          <w:caps/>
          <w:spacing w:val="20"/>
          <w:w w:val="150"/>
          <w:sz w:val="28"/>
          <w:szCs w:val="24"/>
        </w:rPr>
        <w:t>M</w:t>
      </w:r>
      <w:r w:rsidRPr="0040747B">
        <w:rPr>
          <w:rFonts w:ascii="Georgia" w:hAnsi="Georgia" w:cs="Arial"/>
          <w:caps/>
          <w:spacing w:val="20"/>
          <w:w w:val="150"/>
          <w:sz w:val="18"/>
        </w:rPr>
        <w:t>agistrado</w:t>
      </w:r>
      <w:r w:rsidR="0033124D" w:rsidRPr="00DD2ADD">
        <w:rPr>
          <w:rFonts w:ascii="Georgia" w:hAnsi="Georgia" w:cs="Arial"/>
          <w:spacing w:val="20"/>
          <w:w w:val="150"/>
          <w:sz w:val="18"/>
          <w:szCs w:val="22"/>
          <w:lang w:val="en-US"/>
        </w:rPr>
        <w:t xml:space="preserve"> </w:t>
      </w:r>
    </w:p>
    <w:p w:rsidR="00F54190" w:rsidRPr="00DD2ADD" w:rsidRDefault="00F54190" w:rsidP="007062C4">
      <w:pPr>
        <w:spacing w:after="200" w:line="276" w:lineRule="auto"/>
        <w:rPr>
          <w:rFonts w:ascii="Georgia" w:hAnsi="Georgia" w:cs="Arial"/>
          <w:spacing w:val="20"/>
          <w:w w:val="150"/>
          <w:sz w:val="18"/>
          <w:szCs w:val="22"/>
          <w:lang w:val="en-US"/>
        </w:rPr>
      </w:pPr>
    </w:p>
    <w:sectPr w:rsidR="00F54190" w:rsidRPr="00DD2ADD" w:rsidSect="00FF61C3">
      <w:headerReference w:type="default" r:id="rId9"/>
      <w:footerReference w:type="default" r:id="rId10"/>
      <w:pgSz w:w="12240" w:h="18720" w:code="14"/>
      <w:pgMar w:top="1418" w:right="1134" w:bottom="1418" w:left="170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51" w:rsidRDefault="001F2151" w:rsidP="009A1240">
      <w:r>
        <w:separator/>
      </w:r>
    </w:p>
  </w:endnote>
  <w:endnote w:type="continuationSeparator" w:id="0">
    <w:p w:rsidR="001F2151" w:rsidRDefault="001F2151"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51" w:rsidRDefault="001F2151" w:rsidP="009A1240">
      <w:r>
        <w:separator/>
      </w:r>
    </w:p>
  </w:footnote>
  <w:footnote w:type="continuationSeparator" w:id="0">
    <w:p w:rsidR="001F2151" w:rsidRDefault="001F2151" w:rsidP="009A1240">
      <w:r>
        <w:continuationSeparator/>
      </w:r>
    </w:p>
  </w:footnote>
  <w:footnote w:id="1">
    <w:p w:rsidR="00F11B8B" w:rsidRPr="00A52E19" w:rsidRDefault="00F11B8B" w:rsidP="00F11B8B">
      <w:pPr>
        <w:pStyle w:val="Textonotapie"/>
        <w:jc w:val="both"/>
      </w:pPr>
      <w:r w:rsidRPr="00A52E19">
        <w:rPr>
          <w:rStyle w:val="Refdenotaalpie"/>
          <w:lang w:val="es-CO"/>
        </w:rPr>
        <w:footnoteRef/>
      </w:r>
      <w:r w:rsidRPr="00A52E19">
        <w:rPr>
          <w:lang w:val="es-CO"/>
        </w:rPr>
        <w:t xml:space="preserve"> RAMÍREZ G., José F. Principios constitucionales del derecho procesal colombiano, investigación en torno a la Constitución Política de 1991, Medellín, A., Señal editora, 1999, p.234.</w:t>
      </w:r>
    </w:p>
  </w:footnote>
  <w:footnote w:id="2">
    <w:p w:rsidR="00F11B8B" w:rsidRPr="00A52E19" w:rsidRDefault="00F11B8B" w:rsidP="00F11B8B">
      <w:pPr>
        <w:pStyle w:val="Textonotapie"/>
        <w:jc w:val="both"/>
      </w:pPr>
      <w:r w:rsidRPr="00A52E19">
        <w:rPr>
          <w:rStyle w:val="Refdenotaalpie"/>
          <w:lang w:val="es-CO"/>
        </w:rPr>
        <w:footnoteRef/>
      </w:r>
      <w:r w:rsidRPr="00A52E19">
        <w:rPr>
          <w:lang w:val="es-CO"/>
        </w:rPr>
        <w:t xml:space="preserve"> LÓPEZ B., Hernán F. Código general del proceso, parte general, Bogotá DC, Dupré editores, 2016, P.111.</w:t>
      </w:r>
    </w:p>
  </w:footnote>
  <w:footnote w:id="3">
    <w:p w:rsidR="00D07E95" w:rsidRPr="00A52E19" w:rsidRDefault="00D07E95" w:rsidP="00A52E19">
      <w:pPr>
        <w:pStyle w:val="Textonotapie"/>
        <w:jc w:val="both"/>
        <w:rPr>
          <w:lang w:val="es-CO"/>
        </w:rPr>
      </w:pPr>
      <w:r w:rsidRPr="00A52E19">
        <w:rPr>
          <w:rStyle w:val="Refdenotaalpie"/>
        </w:rPr>
        <w:footnoteRef/>
      </w:r>
      <w:r w:rsidRPr="00A52E19">
        <w:t xml:space="preserve"> </w:t>
      </w:r>
      <w:r w:rsidRPr="00A52E19">
        <w:rPr>
          <w:lang w:val="es-CO"/>
        </w:rPr>
        <w:t>ESCOBAR V. Édgar G. Los recursos en el Código General del Proceso. Librería jurídica Sánchez R. Ltda. 2015, p.37.</w:t>
      </w:r>
    </w:p>
  </w:footnote>
  <w:footnote w:id="4">
    <w:p w:rsidR="00D07E95" w:rsidRPr="00A52E19" w:rsidRDefault="00D07E95" w:rsidP="00A52E19">
      <w:pPr>
        <w:pStyle w:val="Textonotapie"/>
        <w:jc w:val="both"/>
      </w:pPr>
      <w:r w:rsidRPr="00A52E19">
        <w:rPr>
          <w:vertAlign w:val="superscript"/>
        </w:rPr>
        <w:footnoteRef/>
      </w:r>
      <w:r w:rsidRPr="00A52E19">
        <w:t xml:space="preserve"> </w:t>
      </w:r>
      <w:r w:rsidRPr="00A52E19">
        <w:rPr>
          <w:lang w:val="es-CO"/>
        </w:rPr>
        <w:t>LÓPEZ B., Hernán F. Código General del Proceso, parte general, Bogotá DC, Dupre editores, 2016, p.769-776</w:t>
      </w:r>
      <w:r w:rsidRPr="00A52E19">
        <w:t>.</w:t>
      </w:r>
    </w:p>
  </w:footnote>
  <w:footnote w:id="5">
    <w:p w:rsidR="00D07E95" w:rsidRPr="00A52E19" w:rsidRDefault="00D07E95" w:rsidP="00A52E19">
      <w:pPr>
        <w:pStyle w:val="Textonotapie"/>
        <w:jc w:val="both"/>
      </w:pPr>
      <w:r w:rsidRPr="00A52E19">
        <w:rPr>
          <w:vertAlign w:val="superscript"/>
        </w:rPr>
        <w:footnoteRef/>
      </w:r>
      <w:r w:rsidRPr="00A52E19">
        <w:t xml:space="preserve"> PARRA Q., Jairo. Derecho procesal civil, tomo I, Santafé de Bogotá D.C., Temis, 1992, p.276.</w:t>
      </w:r>
    </w:p>
  </w:footnote>
  <w:footnote w:id="6">
    <w:p w:rsidR="00D07E95" w:rsidRPr="00A52E19" w:rsidRDefault="00D07E95" w:rsidP="00A52E19">
      <w:pPr>
        <w:pStyle w:val="Sinespaciado"/>
        <w:jc w:val="both"/>
        <w:rPr>
          <w:rFonts w:ascii="Times New Roman" w:hAnsi="Times New Roman" w:cs="Times New Roman"/>
          <w:sz w:val="20"/>
          <w:szCs w:val="20"/>
        </w:rPr>
      </w:pPr>
      <w:r w:rsidRPr="00A52E19">
        <w:rPr>
          <w:rFonts w:ascii="Times New Roman" w:hAnsi="Times New Roman" w:cs="Times New Roman"/>
          <w:sz w:val="20"/>
          <w:szCs w:val="20"/>
          <w:vertAlign w:val="superscript"/>
        </w:rPr>
        <w:footnoteRef/>
      </w:r>
      <w:r w:rsidRPr="00A52E19">
        <w:rPr>
          <w:rFonts w:ascii="Times New Roman" w:hAnsi="Times New Roman" w:cs="Times New Roman"/>
          <w:sz w:val="20"/>
          <w:szCs w:val="20"/>
        </w:rPr>
        <w:t xml:space="preserve"> </w:t>
      </w:r>
      <w:r w:rsidRPr="00A52E19">
        <w:rPr>
          <w:rFonts w:ascii="Times New Roman" w:hAnsi="Times New Roman" w:cs="Times New Roman"/>
          <w:sz w:val="20"/>
          <w:szCs w:val="20"/>
          <w:lang w:val="es-CO"/>
        </w:rPr>
        <w:t xml:space="preserve">LÓPEZ B., Hernán F. </w:t>
      </w:r>
      <w:r w:rsidRPr="00A52E19">
        <w:rPr>
          <w:rFonts w:ascii="Times New Roman" w:hAnsi="Times New Roman" w:cs="Times New Roman"/>
          <w:sz w:val="20"/>
          <w:szCs w:val="20"/>
        </w:rPr>
        <w:t>Ob. cit., p.769.</w:t>
      </w:r>
    </w:p>
  </w:footnote>
  <w:footnote w:id="7">
    <w:p w:rsidR="00D07E95" w:rsidRPr="00A52E19" w:rsidRDefault="00D07E95" w:rsidP="00A52E19">
      <w:pPr>
        <w:pStyle w:val="Textonotapie"/>
        <w:jc w:val="both"/>
        <w:rPr>
          <w:lang w:val="es-CO"/>
        </w:rPr>
      </w:pPr>
      <w:r w:rsidRPr="00A52E19">
        <w:rPr>
          <w:rStyle w:val="Refdenotaalpie"/>
        </w:rPr>
        <w:footnoteRef/>
      </w:r>
      <w:r w:rsidRPr="00A52E19">
        <w:t xml:space="preserve"> </w:t>
      </w:r>
      <w:r w:rsidRPr="00A52E19">
        <w:rPr>
          <w:lang w:val="es-CO"/>
        </w:rPr>
        <w:t xml:space="preserve">ROJAS G., </w:t>
      </w:r>
      <w:r w:rsidR="00C72B29" w:rsidRPr="00A52E19">
        <w:rPr>
          <w:lang w:val="es-CO"/>
        </w:rPr>
        <w:t>Miguel E. Lecciones de derecho procesal, procedimiento civil, tomo II, ESAJU, 2017, 6ª edición, Bogotá, p.429</w:t>
      </w:r>
      <w:r w:rsidRPr="00A52E19">
        <w:rPr>
          <w:lang w:val="es-CO"/>
        </w:rPr>
        <w:t>.</w:t>
      </w:r>
    </w:p>
  </w:footnote>
  <w:footnote w:id="8">
    <w:p w:rsidR="00D07E95" w:rsidRPr="00A52E19" w:rsidRDefault="00D07E95" w:rsidP="00A52E19">
      <w:pPr>
        <w:pStyle w:val="Textonotapie"/>
        <w:jc w:val="both"/>
        <w:rPr>
          <w:lang w:val="es-CO"/>
        </w:rPr>
      </w:pPr>
      <w:r w:rsidRPr="00A52E19">
        <w:rPr>
          <w:rStyle w:val="Refdenotaalpie"/>
        </w:rPr>
        <w:footnoteRef/>
      </w:r>
      <w:r w:rsidRPr="00A52E19">
        <w:t xml:space="preserve"> </w:t>
      </w:r>
      <w:r w:rsidRPr="00A52E19">
        <w:rPr>
          <w:lang w:val="es-CO"/>
        </w:rPr>
        <w:t>CSJ. Sala Civil. Sentencia del 17-09-1992; MP: Ospina B.</w:t>
      </w:r>
    </w:p>
  </w:footnote>
  <w:footnote w:id="9">
    <w:p w:rsidR="00D07E95" w:rsidRPr="00A52E19" w:rsidRDefault="00D07E95" w:rsidP="00A52E19">
      <w:pPr>
        <w:pStyle w:val="Textonotapie"/>
        <w:jc w:val="both"/>
        <w:rPr>
          <w:lang w:val="es-CO"/>
        </w:rPr>
      </w:pPr>
      <w:r w:rsidRPr="00A52E19">
        <w:rPr>
          <w:rStyle w:val="Refdenotaalpie"/>
        </w:rPr>
        <w:footnoteRef/>
      </w:r>
      <w:r w:rsidRPr="00A52E19">
        <w:t xml:space="preserve"> </w:t>
      </w:r>
      <w:r w:rsidRPr="00A52E19">
        <w:rPr>
          <w:lang w:val="es-CO"/>
        </w:rPr>
        <w:t>CSJ. STC12737-2017.</w:t>
      </w:r>
    </w:p>
  </w:footnote>
  <w:footnote w:id="10">
    <w:p w:rsidR="00D07E95" w:rsidRPr="00A52E19" w:rsidRDefault="00D07E95" w:rsidP="00A52E19">
      <w:pPr>
        <w:pStyle w:val="Textonotapie"/>
        <w:jc w:val="both"/>
        <w:rPr>
          <w:lang w:val="es-CO"/>
        </w:rPr>
      </w:pPr>
      <w:r w:rsidRPr="00A52E19">
        <w:rPr>
          <w:rStyle w:val="Refdenotaalpie"/>
        </w:rPr>
        <w:footnoteRef/>
      </w:r>
      <w:r w:rsidRPr="00A52E19">
        <w:t xml:space="preserve"> </w:t>
      </w:r>
      <w:r w:rsidRPr="00A52E19">
        <w:rPr>
          <w:lang w:val="es-CO"/>
        </w:rPr>
        <w:t>LÓPEZ B., Hernán F.</w:t>
      </w:r>
      <w:r w:rsidRPr="00A52E19">
        <w:t xml:space="preserve"> Ob. cit., p.776</w:t>
      </w:r>
    </w:p>
  </w:footnote>
  <w:footnote w:id="11">
    <w:p w:rsidR="00D07E95" w:rsidRPr="00A52E19" w:rsidRDefault="00D07E95" w:rsidP="00A52E19">
      <w:pPr>
        <w:pStyle w:val="Textonotapie"/>
        <w:jc w:val="both"/>
        <w:rPr>
          <w:lang w:val="es-CO"/>
        </w:rPr>
      </w:pPr>
      <w:r w:rsidRPr="00A52E19">
        <w:rPr>
          <w:rStyle w:val="Refdenotaalpie"/>
        </w:rPr>
        <w:footnoteRef/>
      </w:r>
      <w:r w:rsidRPr="00A52E19">
        <w:t xml:space="preserve"> </w:t>
      </w:r>
      <w:r w:rsidRPr="00A52E19">
        <w:rPr>
          <w:lang w:val="es-CO"/>
        </w:rPr>
        <w:t>ROJAS G., Miguel E. Código General del Proceso comentado, ESAJU, 2017, Bogotá DC, p.511.</w:t>
      </w:r>
    </w:p>
  </w:footnote>
  <w:footnote w:id="12">
    <w:p w:rsidR="00D3775C" w:rsidRPr="00D3775C" w:rsidRDefault="00D3775C">
      <w:pPr>
        <w:pStyle w:val="Textonotapie"/>
        <w:rPr>
          <w:lang w:val="es-CO"/>
        </w:rPr>
      </w:pPr>
      <w:r>
        <w:rPr>
          <w:rStyle w:val="Refdenotaalpie"/>
        </w:rPr>
        <w:footnoteRef/>
      </w:r>
      <w:r>
        <w:t xml:space="preserve"> </w:t>
      </w:r>
      <w:r w:rsidRPr="00A52E19">
        <w:rPr>
          <w:lang w:val="es-CO"/>
        </w:rPr>
        <w:t>ROJAS G., Miguel E.</w:t>
      </w:r>
      <w:r w:rsidRPr="00D3775C">
        <w:t xml:space="preserve"> </w:t>
      </w:r>
      <w:r w:rsidRPr="00A52E19">
        <w:t>Ob. cit., p.</w:t>
      </w:r>
      <w:r>
        <w:t>302.</w:t>
      </w:r>
    </w:p>
  </w:footnote>
  <w:footnote w:id="13">
    <w:p w:rsidR="004B1B87" w:rsidRPr="00A52E19" w:rsidRDefault="004B1B87" w:rsidP="004B1B87">
      <w:pPr>
        <w:pStyle w:val="Textonotapie"/>
        <w:jc w:val="both"/>
        <w:rPr>
          <w:lang w:val="es-CO"/>
        </w:rPr>
      </w:pPr>
      <w:r w:rsidRPr="00A52E19">
        <w:rPr>
          <w:rStyle w:val="Refdenotaalpie"/>
        </w:rPr>
        <w:footnoteRef/>
      </w:r>
      <w:r w:rsidRPr="00A52E19">
        <w:t xml:space="preserve"> </w:t>
      </w:r>
      <w:r w:rsidRPr="00A52E19">
        <w:rPr>
          <w:lang w:val="es-MX"/>
        </w:rPr>
        <w:t>CC. C-012 de 2002.</w:t>
      </w:r>
    </w:p>
  </w:footnote>
  <w:footnote w:id="14">
    <w:p w:rsidR="004B1B87" w:rsidRPr="00A52E19" w:rsidRDefault="004B1B87" w:rsidP="004B1B87">
      <w:pPr>
        <w:pStyle w:val="Textonotapie"/>
        <w:jc w:val="both"/>
      </w:pPr>
      <w:r w:rsidRPr="00A52E19">
        <w:rPr>
          <w:rStyle w:val="Refdenotaalpie"/>
          <w:lang w:val="es-CO"/>
        </w:rPr>
        <w:footnoteRef/>
      </w:r>
      <w:r w:rsidRPr="00A52E19">
        <w:rPr>
          <w:lang w:val="es-CO"/>
        </w:rPr>
        <w:t xml:space="preserve"> RAMÍREZ G., José F. Principios constitucionales del derecho procesal colombiano, investigación en torno a la Constitución Política de 1991, Medellín, A., Señal editora, 1999, p.234.</w:t>
      </w:r>
    </w:p>
  </w:footnote>
  <w:footnote w:id="15">
    <w:p w:rsidR="004B1B87" w:rsidRPr="00A52E19" w:rsidRDefault="004B1B87" w:rsidP="004B1B87">
      <w:pPr>
        <w:pStyle w:val="Textonotapie"/>
        <w:jc w:val="both"/>
      </w:pPr>
      <w:r w:rsidRPr="00A52E19">
        <w:rPr>
          <w:rStyle w:val="Refdenotaalpie"/>
          <w:lang w:val="es-CO"/>
        </w:rPr>
        <w:footnoteRef/>
      </w:r>
      <w:r w:rsidRPr="00A52E19">
        <w:rPr>
          <w:lang w:val="es-CO"/>
        </w:rPr>
        <w:t xml:space="preserve"> LÓPEZ B., Hernán F. Código general del proceso, parte general, Bogotá DC, Dupré editores, 2016, P.111.</w:t>
      </w:r>
    </w:p>
  </w:footnote>
  <w:footnote w:id="16">
    <w:p w:rsidR="004B1B87" w:rsidRPr="00A52E19" w:rsidRDefault="004B1B87" w:rsidP="004B1B87">
      <w:pPr>
        <w:pStyle w:val="Sinespaciado"/>
        <w:jc w:val="both"/>
        <w:rPr>
          <w:rFonts w:ascii="Times New Roman" w:hAnsi="Times New Roman" w:cs="Times New Roman"/>
          <w:sz w:val="20"/>
          <w:szCs w:val="20"/>
        </w:rPr>
      </w:pPr>
      <w:r w:rsidRPr="00A52E19">
        <w:rPr>
          <w:rFonts w:ascii="Times New Roman" w:hAnsi="Times New Roman" w:cs="Times New Roman"/>
          <w:sz w:val="20"/>
          <w:szCs w:val="20"/>
          <w:vertAlign w:val="superscript"/>
        </w:rPr>
        <w:footnoteRef/>
      </w:r>
      <w:r w:rsidRPr="00A52E19">
        <w:rPr>
          <w:rFonts w:ascii="Times New Roman" w:hAnsi="Times New Roman" w:cs="Times New Roman"/>
          <w:sz w:val="20"/>
          <w:szCs w:val="20"/>
        </w:rPr>
        <w:t xml:space="preserve"> CABRERA A., Benigno H. Teoría General del Proceso y de la prueba, Bogotá, Librería Jurídica Wilches,</w:t>
      </w:r>
      <w:r>
        <w:rPr>
          <w:rFonts w:ascii="Times New Roman" w:hAnsi="Times New Roman" w:cs="Times New Roman"/>
          <w:sz w:val="20"/>
          <w:szCs w:val="20"/>
        </w:rPr>
        <w:t xml:space="preserve"> </w:t>
      </w:r>
      <w:r w:rsidRPr="00A52E19">
        <w:rPr>
          <w:rFonts w:ascii="Times New Roman" w:hAnsi="Times New Roman" w:cs="Times New Roman"/>
          <w:sz w:val="20"/>
          <w:szCs w:val="20"/>
        </w:rPr>
        <w:t>1988, p.29.</w:t>
      </w:r>
    </w:p>
  </w:footnote>
  <w:footnote w:id="17">
    <w:p w:rsidR="004B1B87" w:rsidRPr="00A52E19" w:rsidRDefault="004B1B87" w:rsidP="004B1B87">
      <w:pPr>
        <w:pStyle w:val="Textonotapie"/>
        <w:jc w:val="both"/>
        <w:rPr>
          <w:lang w:val="es-CO"/>
        </w:rPr>
      </w:pPr>
      <w:r w:rsidRPr="00A52E19">
        <w:rPr>
          <w:rStyle w:val="Refdenotaalpie"/>
        </w:rPr>
        <w:footnoteRef/>
      </w:r>
      <w:r w:rsidRPr="00A52E19">
        <w:t xml:space="preserve"> </w:t>
      </w:r>
      <w:r w:rsidRPr="00A52E19">
        <w:rPr>
          <w:lang w:val="es-MX"/>
        </w:rPr>
        <w:t>CC. C-012 de 2002.</w:t>
      </w:r>
    </w:p>
  </w:footnote>
  <w:footnote w:id="18">
    <w:p w:rsidR="007E6F5F" w:rsidRPr="00A52E19" w:rsidRDefault="007E6F5F" w:rsidP="00A52E19">
      <w:pPr>
        <w:pStyle w:val="Textonotapie"/>
        <w:jc w:val="both"/>
      </w:pPr>
      <w:r w:rsidRPr="00A52E19">
        <w:rPr>
          <w:rStyle w:val="Refdenotaalpie"/>
        </w:rPr>
        <w:footnoteRef/>
      </w:r>
      <w:r w:rsidRPr="00A52E19">
        <w:t xml:space="preserve"> TS, PEREIRA, Civil-Familia. Sentencia del 23-06-2017, MP: Grisales H., No.</w:t>
      </w:r>
      <w:r w:rsidRPr="00A52E19">
        <w:rPr>
          <w:lang w:val="es-CO"/>
        </w:rPr>
        <w:t>2012-00118-01.</w:t>
      </w:r>
    </w:p>
  </w:footnote>
  <w:footnote w:id="19">
    <w:p w:rsidR="007E6F5F" w:rsidRPr="00775FD6" w:rsidRDefault="007E6F5F" w:rsidP="00A52E19">
      <w:pPr>
        <w:pStyle w:val="Textonotapie"/>
        <w:jc w:val="both"/>
        <w:rPr>
          <w:lang w:val="es-CO"/>
        </w:rPr>
      </w:pPr>
      <w:r w:rsidRPr="00A52E19">
        <w:rPr>
          <w:rStyle w:val="Refdenotaalpie"/>
        </w:rPr>
        <w:footnoteRef/>
      </w:r>
      <w:r w:rsidRPr="00A52E19">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B62758" w:rsidRDefault="00045CE3"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1F4C34" w:rsidRPr="001F4C34">
      <w:rPr>
        <w:rFonts w:asciiTheme="minorHAnsi" w:hAnsiTheme="minorHAnsi" w:cs="Calibri"/>
        <w:bCs/>
        <w:noProof/>
      </w:rPr>
      <w:t>7</w:t>
    </w:r>
    <w:r w:rsidRPr="00B62758">
      <w:rPr>
        <w:rFonts w:asciiTheme="minorHAnsi" w:hAnsiTheme="minorHAnsi" w:cs="Calibri"/>
      </w:rPr>
      <w:fldChar w:fldCharType="end"/>
    </w:r>
  </w:p>
  <w:p w:rsidR="00045CE3" w:rsidRPr="00323447" w:rsidRDefault="00045CE3" w:rsidP="00045CE3">
    <w:pPr>
      <w:pStyle w:val="Encabezado"/>
      <w:rPr>
        <w:rFonts w:asciiTheme="majorHAnsi" w:hAnsiTheme="majorHAnsi" w:cs="Iskoola Pota"/>
        <w:i/>
        <w:sz w:val="18"/>
        <w:lang w:val="es-CO"/>
      </w:rPr>
    </w:pPr>
    <w:r w:rsidRPr="00C303BC">
      <w:rPr>
        <w:rFonts w:asciiTheme="majorHAnsi" w:hAnsiTheme="majorHAnsi" w:cs="Iskoola Pota"/>
        <w:i/>
        <w:lang w:val="es-CO"/>
      </w:rPr>
      <w:t>E</w:t>
    </w:r>
    <w:r w:rsidRPr="00C303BC">
      <w:rPr>
        <w:rFonts w:asciiTheme="majorHAnsi" w:hAnsiTheme="majorHAnsi" w:cs="Iskoola Pota"/>
        <w:i/>
        <w:sz w:val="16"/>
        <w:lang w:val="es-CO"/>
      </w:rPr>
      <w:t>XPEDIENTE No.20</w:t>
    </w:r>
    <w:r w:rsidR="008F2418">
      <w:rPr>
        <w:rFonts w:asciiTheme="majorHAnsi" w:hAnsiTheme="majorHAnsi" w:cs="Iskoola Pota"/>
        <w:i/>
        <w:sz w:val="16"/>
        <w:lang w:val="es-CO"/>
      </w:rPr>
      <w:t>1</w:t>
    </w:r>
    <w:r w:rsidR="00BB073A">
      <w:rPr>
        <w:rFonts w:asciiTheme="majorHAnsi" w:hAnsiTheme="majorHAnsi" w:cs="Iskoola Pota"/>
        <w:i/>
        <w:sz w:val="16"/>
        <w:lang w:val="es-CO"/>
      </w:rPr>
      <w:t>7</w:t>
    </w:r>
    <w:r w:rsidRPr="00C303BC">
      <w:rPr>
        <w:rFonts w:asciiTheme="majorHAnsi" w:hAnsiTheme="majorHAnsi" w:cs="Iskoola Pota"/>
        <w:i/>
        <w:sz w:val="16"/>
        <w:lang w:val="es-CO"/>
      </w:rPr>
      <w:t>-0</w:t>
    </w:r>
    <w:r w:rsidR="00BB073A">
      <w:rPr>
        <w:rFonts w:asciiTheme="majorHAnsi" w:hAnsiTheme="majorHAnsi" w:cs="Iskoola Pota"/>
        <w:i/>
        <w:sz w:val="16"/>
        <w:lang w:val="es-CO"/>
      </w:rPr>
      <w:t>0072</w:t>
    </w:r>
    <w:r w:rsidRPr="00C303BC">
      <w:rPr>
        <w:rFonts w:asciiTheme="majorHAnsi" w:hAnsiTheme="majorHAnsi" w:cs="Iskoola Pota"/>
        <w:i/>
        <w:sz w:val="16"/>
        <w:lang w:val="es-CO"/>
      </w:rPr>
      <w:t>-0</w:t>
    </w:r>
    <w:r w:rsidR="008B7145" w:rsidRPr="00C303BC">
      <w:rPr>
        <w:rFonts w:asciiTheme="majorHAnsi" w:hAnsiTheme="majorHAnsi" w:cs="Iskoola Pota"/>
        <w:i/>
        <w:sz w:val="16"/>
        <w:lang w:val="es-CO"/>
      </w:rPr>
      <w:t>1</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44C323D4"/>
    <w:multiLevelType w:val="multilevel"/>
    <w:tmpl w:val="8AEACF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6199068C"/>
    <w:multiLevelType w:val="multilevel"/>
    <w:tmpl w:val="0E9CFB08"/>
    <w:lvl w:ilvl="0">
      <w:start w:val="1"/>
      <w:numFmt w:val="decimal"/>
      <w:lvlText w:val="%1."/>
      <w:lvlJc w:val="left"/>
      <w:pPr>
        <w:tabs>
          <w:tab w:val="num" w:pos="360"/>
        </w:tabs>
        <w:ind w:left="360" w:hanging="360"/>
      </w:pPr>
      <w:rPr>
        <w:rFonts w:cs="Times New Roman"/>
        <w:i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3">
    <w:nsid w:val="74913374"/>
    <w:multiLevelType w:val="multilevel"/>
    <w:tmpl w:val="6E5E9D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0"/>
  </w:num>
  <w:num w:numId="2">
    <w:abstractNumId w:val="6"/>
  </w:num>
  <w:num w:numId="3">
    <w:abstractNumId w:val="14"/>
  </w:num>
  <w:num w:numId="4">
    <w:abstractNumId w:val="12"/>
  </w:num>
  <w:num w:numId="5">
    <w:abstractNumId w:val="5"/>
  </w:num>
  <w:num w:numId="6">
    <w:abstractNumId w:val="1"/>
  </w:num>
  <w:num w:numId="7">
    <w:abstractNumId w:val="9"/>
  </w:num>
  <w:num w:numId="8">
    <w:abstractNumId w:val="2"/>
  </w:num>
  <w:num w:numId="9">
    <w:abstractNumId w:val="0"/>
  </w:num>
  <w:num w:numId="10">
    <w:abstractNumId w:val="8"/>
  </w:num>
  <w:num w:numId="11">
    <w:abstractNumId w:val="4"/>
  </w:num>
  <w:num w:numId="12">
    <w:abstractNumId w:val="13"/>
  </w:num>
  <w:num w:numId="13">
    <w:abstractNumId w:val="3"/>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570F"/>
    <w:rsid w:val="000111C6"/>
    <w:rsid w:val="000124CA"/>
    <w:rsid w:val="00013C1B"/>
    <w:rsid w:val="00014611"/>
    <w:rsid w:val="00017215"/>
    <w:rsid w:val="00026DAD"/>
    <w:rsid w:val="00026FAD"/>
    <w:rsid w:val="00030AD0"/>
    <w:rsid w:val="00032991"/>
    <w:rsid w:val="00034CD7"/>
    <w:rsid w:val="00045CE3"/>
    <w:rsid w:val="00050E52"/>
    <w:rsid w:val="000521D3"/>
    <w:rsid w:val="00057617"/>
    <w:rsid w:val="00057B5C"/>
    <w:rsid w:val="000604E5"/>
    <w:rsid w:val="00060A66"/>
    <w:rsid w:val="00061786"/>
    <w:rsid w:val="00063444"/>
    <w:rsid w:val="00063E12"/>
    <w:rsid w:val="00070311"/>
    <w:rsid w:val="00076B8B"/>
    <w:rsid w:val="00094BEA"/>
    <w:rsid w:val="000979F2"/>
    <w:rsid w:val="000A0646"/>
    <w:rsid w:val="000A3198"/>
    <w:rsid w:val="000A7E78"/>
    <w:rsid w:val="000B2246"/>
    <w:rsid w:val="000B2C44"/>
    <w:rsid w:val="000B2E19"/>
    <w:rsid w:val="000B4877"/>
    <w:rsid w:val="000D03C3"/>
    <w:rsid w:val="000D106C"/>
    <w:rsid w:val="000D1C67"/>
    <w:rsid w:val="000D4106"/>
    <w:rsid w:val="000D51C5"/>
    <w:rsid w:val="000D579D"/>
    <w:rsid w:val="000D70EB"/>
    <w:rsid w:val="000E1102"/>
    <w:rsid w:val="000F08E0"/>
    <w:rsid w:val="000F16E3"/>
    <w:rsid w:val="000F1B66"/>
    <w:rsid w:val="000F3C01"/>
    <w:rsid w:val="000F6932"/>
    <w:rsid w:val="000F6F29"/>
    <w:rsid w:val="00107E1A"/>
    <w:rsid w:val="00112D32"/>
    <w:rsid w:val="001130D4"/>
    <w:rsid w:val="00113B1A"/>
    <w:rsid w:val="00114608"/>
    <w:rsid w:val="00114FEE"/>
    <w:rsid w:val="00117C9A"/>
    <w:rsid w:val="0012018F"/>
    <w:rsid w:val="00121881"/>
    <w:rsid w:val="00122CE4"/>
    <w:rsid w:val="00123729"/>
    <w:rsid w:val="00132BE5"/>
    <w:rsid w:val="001403D4"/>
    <w:rsid w:val="00141432"/>
    <w:rsid w:val="001442F9"/>
    <w:rsid w:val="001446B1"/>
    <w:rsid w:val="001452E0"/>
    <w:rsid w:val="00146542"/>
    <w:rsid w:val="001518CF"/>
    <w:rsid w:val="00157865"/>
    <w:rsid w:val="00161CA6"/>
    <w:rsid w:val="0017105E"/>
    <w:rsid w:val="0017274F"/>
    <w:rsid w:val="00185218"/>
    <w:rsid w:val="00190036"/>
    <w:rsid w:val="00190944"/>
    <w:rsid w:val="001A0479"/>
    <w:rsid w:val="001A46C4"/>
    <w:rsid w:val="001A565D"/>
    <w:rsid w:val="001A688F"/>
    <w:rsid w:val="001B2496"/>
    <w:rsid w:val="001B3230"/>
    <w:rsid w:val="001B4583"/>
    <w:rsid w:val="001B4B9B"/>
    <w:rsid w:val="001C1E37"/>
    <w:rsid w:val="001C36DF"/>
    <w:rsid w:val="001C370F"/>
    <w:rsid w:val="001C3F97"/>
    <w:rsid w:val="001C51D4"/>
    <w:rsid w:val="001C5578"/>
    <w:rsid w:val="001C5598"/>
    <w:rsid w:val="001D0AA3"/>
    <w:rsid w:val="001D60DE"/>
    <w:rsid w:val="001D7953"/>
    <w:rsid w:val="001D7E85"/>
    <w:rsid w:val="001E18FB"/>
    <w:rsid w:val="001E57DE"/>
    <w:rsid w:val="001F2151"/>
    <w:rsid w:val="001F4C34"/>
    <w:rsid w:val="001F53B6"/>
    <w:rsid w:val="00201848"/>
    <w:rsid w:val="00202312"/>
    <w:rsid w:val="00207C51"/>
    <w:rsid w:val="0021075B"/>
    <w:rsid w:val="00214296"/>
    <w:rsid w:val="00216AE8"/>
    <w:rsid w:val="0022492F"/>
    <w:rsid w:val="00226B37"/>
    <w:rsid w:val="00227FA6"/>
    <w:rsid w:val="00230208"/>
    <w:rsid w:val="00231A7F"/>
    <w:rsid w:val="0023428A"/>
    <w:rsid w:val="00234D99"/>
    <w:rsid w:val="0023681D"/>
    <w:rsid w:val="00236A9B"/>
    <w:rsid w:val="0023704F"/>
    <w:rsid w:val="00237B2C"/>
    <w:rsid w:val="00237BF5"/>
    <w:rsid w:val="002419D4"/>
    <w:rsid w:val="00243379"/>
    <w:rsid w:val="0024455A"/>
    <w:rsid w:val="0024636A"/>
    <w:rsid w:val="00257943"/>
    <w:rsid w:val="002579E7"/>
    <w:rsid w:val="00257B1F"/>
    <w:rsid w:val="002711FB"/>
    <w:rsid w:val="00273325"/>
    <w:rsid w:val="0027637D"/>
    <w:rsid w:val="00280589"/>
    <w:rsid w:val="002825A8"/>
    <w:rsid w:val="002860D6"/>
    <w:rsid w:val="002873EC"/>
    <w:rsid w:val="00290F75"/>
    <w:rsid w:val="002912F2"/>
    <w:rsid w:val="002937E5"/>
    <w:rsid w:val="0029403F"/>
    <w:rsid w:val="00297096"/>
    <w:rsid w:val="00297626"/>
    <w:rsid w:val="002A0A88"/>
    <w:rsid w:val="002A18D8"/>
    <w:rsid w:val="002B513B"/>
    <w:rsid w:val="002B5E55"/>
    <w:rsid w:val="002C4195"/>
    <w:rsid w:val="002C48D7"/>
    <w:rsid w:val="002C5DDF"/>
    <w:rsid w:val="002C7A37"/>
    <w:rsid w:val="002D4917"/>
    <w:rsid w:val="002D605B"/>
    <w:rsid w:val="002E0BA3"/>
    <w:rsid w:val="002E21FB"/>
    <w:rsid w:val="002E5263"/>
    <w:rsid w:val="002E562C"/>
    <w:rsid w:val="002F355D"/>
    <w:rsid w:val="002F4DF5"/>
    <w:rsid w:val="002F7410"/>
    <w:rsid w:val="002F7906"/>
    <w:rsid w:val="00300104"/>
    <w:rsid w:val="003013A2"/>
    <w:rsid w:val="00301E59"/>
    <w:rsid w:val="00305C99"/>
    <w:rsid w:val="00310EAB"/>
    <w:rsid w:val="0031276D"/>
    <w:rsid w:val="00323447"/>
    <w:rsid w:val="0033124D"/>
    <w:rsid w:val="003319C7"/>
    <w:rsid w:val="003336C3"/>
    <w:rsid w:val="00342E88"/>
    <w:rsid w:val="00344BF2"/>
    <w:rsid w:val="003458B9"/>
    <w:rsid w:val="00352931"/>
    <w:rsid w:val="00357375"/>
    <w:rsid w:val="00360576"/>
    <w:rsid w:val="00360BE3"/>
    <w:rsid w:val="00363D70"/>
    <w:rsid w:val="00364A05"/>
    <w:rsid w:val="00370D1D"/>
    <w:rsid w:val="003757A4"/>
    <w:rsid w:val="00376E02"/>
    <w:rsid w:val="0038158A"/>
    <w:rsid w:val="0038242E"/>
    <w:rsid w:val="00384791"/>
    <w:rsid w:val="00386111"/>
    <w:rsid w:val="00392869"/>
    <w:rsid w:val="00392F07"/>
    <w:rsid w:val="00393DD3"/>
    <w:rsid w:val="00394524"/>
    <w:rsid w:val="00394C48"/>
    <w:rsid w:val="00395855"/>
    <w:rsid w:val="003972DC"/>
    <w:rsid w:val="003A1A5B"/>
    <w:rsid w:val="003B01F0"/>
    <w:rsid w:val="003B19D8"/>
    <w:rsid w:val="003B445E"/>
    <w:rsid w:val="003C4DE5"/>
    <w:rsid w:val="003C5098"/>
    <w:rsid w:val="003C77D5"/>
    <w:rsid w:val="003D081D"/>
    <w:rsid w:val="003D30AA"/>
    <w:rsid w:val="003D67D8"/>
    <w:rsid w:val="003D6C3D"/>
    <w:rsid w:val="003E236C"/>
    <w:rsid w:val="003E3CF7"/>
    <w:rsid w:val="003E4533"/>
    <w:rsid w:val="003E5ED3"/>
    <w:rsid w:val="003E6F58"/>
    <w:rsid w:val="003F3AD2"/>
    <w:rsid w:val="00400B90"/>
    <w:rsid w:val="00400D9E"/>
    <w:rsid w:val="00402132"/>
    <w:rsid w:val="00403F27"/>
    <w:rsid w:val="0040747B"/>
    <w:rsid w:val="00411AC5"/>
    <w:rsid w:val="00414421"/>
    <w:rsid w:val="00414A53"/>
    <w:rsid w:val="00427BE4"/>
    <w:rsid w:val="0043286F"/>
    <w:rsid w:val="004335C7"/>
    <w:rsid w:val="004365B3"/>
    <w:rsid w:val="00436669"/>
    <w:rsid w:val="00455DE9"/>
    <w:rsid w:val="004614E4"/>
    <w:rsid w:val="00461F2C"/>
    <w:rsid w:val="00465107"/>
    <w:rsid w:val="00471F25"/>
    <w:rsid w:val="00477C1F"/>
    <w:rsid w:val="00481A0C"/>
    <w:rsid w:val="00482924"/>
    <w:rsid w:val="004848E7"/>
    <w:rsid w:val="0048492D"/>
    <w:rsid w:val="004A7C24"/>
    <w:rsid w:val="004B1B87"/>
    <w:rsid w:val="004B3A0D"/>
    <w:rsid w:val="004B6BF7"/>
    <w:rsid w:val="004C319B"/>
    <w:rsid w:val="004C5B74"/>
    <w:rsid w:val="004D6759"/>
    <w:rsid w:val="004E1CAC"/>
    <w:rsid w:val="004E1EF9"/>
    <w:rsid w:val="004E2173"/>
    <w:rsid w:val="004E2924"/>
    <w:rsid w:val="004E6336"/>
    <w:rsid w:val="004E6A80"/>
    <w:rsid w:val="004F229E"/>
    <w:rsid w:val="004F537C"/>
    <w:rsid w:val="004F5C02"/>
    <w:rsid w:val="004F7160"/>
    <w:rsid w:val="00500A43"/>
    <w:rsid w:val="00500DC5"/>
    <w:rsid w:val="0050122C"/>
    <w:rsid w:val="005022A7"/>
    <w:rsid w:val="005035D2"/>
    <w:rsid w:val="00515B6B"/>
    <w:rsid w:val="00517926"/>
    <w:rsid w:val="0052398B"/>
    <w:rsid w:val="0053073B"/>
    <w:rsid w:val="005326A7"/>
    <w:rsid w:val="00541949"/>
    <w:rsid w:val="00542182"/>
    <w:rsid w:val="00542703"/>
    <w:rsid w:val="0054427C"/>
    <w:rsid w:val="0055115B"/>
    <w:rsid w:val="00552F47"/>
    <w:rsid w:val="005567DA"/>
    <w:rsid w:val="00560562"/>
    <w:rsid w:val="00564C16"/>
    <w:rsid w:val="0056570B"/>
    <w:rsid w:val="00570A9B"/>
    <w:rsid w:val="00570C60"/>
    <w:rsid w:val="00570EA4"/>
    <w:rsid w:val="00572804"/>
    <w:rsid w:val="005768FC"/>
    <w:rsid w:val="00582F12"/>
    <w:rsid w:val="00586607"/>
    <w:rsid w:val="0058709F"/>
    <w:rsid w:val="00587231"/>
    <w:rsid w:val="005877A0"/>
    <w:rsid w:val="005938D9"/>
    <w:rsid w:val="00597D74"/>
    <w:rsid w:val="005A533B"/>
    <w:rsid w:val="005B781D"/>
    <w:rsid w:val="005C3D57"/>
    <w:rsid w:val="005C4919"/>
    <w:rsid w:val="005D0B8F"/>
    <w:rsid w:val="005D0C4E"/>
    <w:rsid w:val="005D39F3"/>
    <w:rsid w:val="005D49DF"/>
    <w:rsid w:val="005D7A70"/>
    <w:rsid w:val="005E03C6"/>
    <w:rsid w:val="005E604E"/>
    <w:rsid w:val="005F1FB2"/>
    <w:rsid w:val="005F2177"/>
    <w:rsid w:val="005F32BD"/>
    <w:rsid w:val="0060427D"/>
    <w:rsid w:val="00607310"/>
    <w:rsid w:val="0061164D"/>
    <w:rsid w:val="00611CB0"/>
    <w:rsid w:val="006144B3"/>
    <w:rsid w:val="00616883"/>
    <w:rsid w:val="00617D63"/>
    <w:rsid w:val="00623497"/>
    <w:rsid w:val="006235A9"/>
    <w:rsid w:val="00623A6D"/>
    <w:rsid w:val="006240BC"/>
    <w:rsid w:val="006266DA"/>
    <w:rsid w:val="00631466"/>
    <w:rsid w:val="00651C7E"/>
    <w:rsid w:val="006527BF"/>
    <w:rsid w:val="00660E7E"/>
    <w:rsid w:val="00663341"/>
    <w:rsid w:val="00672632"/>
    <w:rsid w:val="0067785B"/>
    <w:rsid w:val="00681A45"/>
    <w:rsid w:val="00682BBB"/>
    <w:rsid w:val="006837D2"/>
    <w:rsid w:val="00686B69"/>
    <w:rsid w:val="006950C1"/>
    <w:rsid w:val="00695536"/>
    <w:rsid w:val="0069596C"/>
    <w:rsid w:val="006A11EF"/>
    <w:rsid w:val="006A30E2"/>
    <w:rsid w:val="006A6085"/>
    <w:rsid w:val="006B2386"/>
    <w:rsid w:val="006B5DE9"/>
    <w:rsid w:val="006B768E"/>
    <w:rsid w:val="006B7EB8"/>
    <w:rsid w:val="006C408D"/>
    <w:rsid w:val="006C572F"/>
    <w:rsid w:val="006D4872"/>
    <w:rsid w:val="006E0CEC"/>
    <w:rsid w:val="006E1121"/>
    <w:rsid w:val="006E221E"/>
    <w:rsid w:val="006E61A9"/>
    <w:rsid w:val="006F310C"/>
    <w:rsid w:val="006F58F9"/>
    <w:rsid w:val="006F61F6"/>
    <w:rsid w:val="007031D1"/>
    <w:rsid w:val="007062C4"/>
    <w:rsid w:val="00707F42"/>
    <w:rsid w:val="00710DCF"/>
    <w:rsid w:val="00715013"/>
    <w:rsid w:val="007151FB"/>
    <w:rsid w:val="00716390"/>
    <w:rsid w:val="00725DA4"/>
    <w:rsid w:val="00726D6E"/>
    <w:rsid w:val="00726DE3"/>
    <w:rsid w:val="00727833"/>
    <w:rsid w:val="0073036C"/>
    <w:rsid w:val="007326D4"/>
    <w:rsid w:val="007330E3"/>
    <w:rsid w:val="00734860"/>
    <w:rsid w:val="00737026"/>
    <w:rsid w:val="00740B86"/>
    <w:rsid w:val="007515DF"/>
    <w:rsid w:val="0076163D"/>
    <w:rsid w:val="0076534A"/>
    <w:rsid w:val="007668A2"/>
    <w:rsid w:val="007706A5"/>
    <w:rsid w:val="00774AD2"/>
    <w:rsid w:val="00776C17"/>
    <w:rsid w:val="00780839"/>
    <w:rsid w:val="00781593"/>
    <w:rsid w:val="00781928"/>
    <w:rsid w:val="007824E5"/>
    <w:rsid w:val="007841FC"/>
    <w:rsid w:val="007853A8"/>
    <w:rsid w:val="00785DF2"/>
    <w:rsid w:val="007860C0"/>
    <w:rsid w:val="00787C00"/>
    <w:rsid w:val="007A1804"/>
    <w:rsid w:val="007A476E"/>
    <w:rsid w:val="007B7D82"/>
    <w:rsid w:val="007C03DB"/>
    <w:rsid w:val="007C66B8"/>
    <w:rsid w:val="007D102F"/>
    <w:rsid w:val="007D341B"/>
    <w:rsid w:val="007D7466"/>
    <w:rsid w:val="007E1E71"/>
    <w:rsid w:val="007E6F5F"/>
    <w:rsid w:val="007F105A"/>
    <w:rsid w:val="007F2975"/>
    <w:rsid w:val="007F3A25"/>
    <w:rsid w:val="007F6081"/>
    <w:rsid w:val="008056A2"/>
    <w:rsid w:val="00810D50"/>
    <w:rsid w:val="0081363A"/>
    <w:rsid w:val="00817AFC"/>
    <w:rsid w:val="00820BF6"/>
    <w:rsid w:val="00821D31"/>
    <w:rsid w:val="0082292F"/>
    <w:rsid w:val="008237E7"/>
    <w:rsid w:val="00827A6D"/>
    <w:rsid w:val="0083050E"/>
    <w:rsid w:val="00832731"/>
    <w:rsid w:val="00834347"/>
    <w:rsid w:val="00834976"/>
    <w:rsid w:val="00842101"/>
    <w:rsid w:val="008557A4"/>
    <w:rsid w:val="0086284C"/>
    <w:rsid w:val="00863948"/>
    <w:rsid w:val="00876E0A"/>
    <w:rsid w:val="00884D74"/>
    <w:rsid w:val="008872A2"/>
    <w:rsid w:val="00890627"/>
    <w:rsid w:val="008920B4"/>
    <w:rsid w:val="008930E1"/>
    <w:rsid w:val="0089651E"/>
    <w:rsid w:val="008A3253"/>
    <w:rsid w:val="008B14AB"/>
    <w:rsid w:val="008B18E2"/>
    <w:rsid w:val="008B2AF1"/>
    <w:rsid w:val="008B3E9A"/>
    <w:rsid w:val="008B500B"/>
    <w:rsid w:val="008B7145"/>
    <w:rsid w:val="008D0A3A"/>
    <w:rsid w:val="008D321B"/>
    <w:rsid w:val="008E0505"/>
    <w:rsid w:val="008E0D48"/>
    <w:rsid w:val="008E1174"/>
    <w:rsid w:val="008E14A9"/>
    <w:rsid w:val="008E653E"/>
    <w:rsid w:val="008F2418"/>
    <w:rsid w:val="008F65B4"/>
    <w:rsid w:val="009016BD"/>
    <w:rsid w:val="00903782"/>
    <w:rsid w:val="00910B1E"/>
    <w:rsid w:val="00911C83"/>
    <w:rsid w:val="009147CB"/>
    <w:rsid w:val="00914BF8"/>
    <w:rsid w:val="00921C1B"/>
    <w:rsid w:val="00927358"/>
    <w:rsid w:val="0093651C"/>
    <w:rsid w:val="00941279"/>
    <w:rsid w:val="00941E40"/>
    <w:rsid w:val="00944538"/>
    <w:rsid w:val="0094614E"/>
    <w:rsid w:val="00952E5E"/>
    <w:rsid w:val="00953227"/>
    <w:rsid w:val="00953B22"/>
    <w:rsid w:val="00956A70"/>
    <w:rsid w:val="0095728D"/>
    <w:rsid w:val="00957B91"/>
    <w:rsid w:val="00963ECB"/>
    <w:rsid w:val="00967D6F"/>
    <w:rsid w:val="0097570C"/>
    <w:rsid w:val="009759B2"/>
    <w:rsid w:val="009815C8"/>
    <w:rsid w:val="00981E1E"/>
    <w:rsid w:val="00985FD1"/>
    <w:rsid w:val="0099309B"/>
    <w:rsid w:val="009969C3"/>
    <w:rsid w:val="009A1240"/>
    <w:rsid w:val="009A6C1F"/>
    <w:rsid w:val="009A7A02"/>
    <w:rsid w:val="009B54C5"/>
    <w:rsid w:val="009B7501"/>
    <w:rsid w:val="009C1975"/>
    <w:rsid w:val="009C207D"/>
    <w:rsid w:val="009D0940"/>
    <w:rsid w:val="009E1072"/>
    <w:rsid w:val="009E26F6"/>
    <w:rsid w:val="009E3076"/>
    <w:rsid w:val="009E3110"/>
    <w:rsid w:val="009F0E61"/>
    <w:rsid w:val="009F1A31"/>
    <w:rsid w:val="009F2506"/>
    <w:rsid w:val="009F2972"/>
    <w:rsid w:val="00A11F60"/>
    <w:rsid w:val="00A12284"/>
    <w:rsid w:val="00A1383A"/>
    <w:rsid w:val="00A138AD"/>
    <w:rsid w:val="00A177CC"/>
    <w:rsid w:val="00A22745"/>
    <w:rsid w:val="00A230D3"/>
    <w:rsid w:val="00A2585D"/>
    <w:rsid w:val="00A3039E"/>
    <w:rsid w:val="00A34283"/>
    <w:rsid w:val="00A35365"/>
    <w:rsid w:val="00A42742"/>
    <w:rsid w:val="00A46131"/>
    <w:rsid w:val="00A5021A"/>
    <w:rsid w:val="00A50721"/>
    <w:rsid w:val="00A51E08"/>
    <w:rsid w:val="00A52E19"/>
    <w:rsid w:val="00A54431"/>
    <w:rsid w:val="00A5572D"/>
    <w:rsid w:val="00A56277"/>
    <w:rsid w:val="00A57455"/>
    <w:rsid w:val="00A62541"/>
    <w:rsid w:val="00A62787"/>
    <w:rsid w:val="00A63699"/>
    <w:rsid w:val="00A644D6"/>
    <w:rsid w:val="00A71B9B"/>
    <w:rsid w:val="00A71D99"/>
    <w:rsid w:val="00A7420C"/>
    <w:rsid w:val="00A748DF"/>
    <w:rsid w:val="00A81263"/>
    <w:rsid w:val="00A837CE"/>
    <w:rsid w:val="00A909D6"/>
    <w:rsid w:val="00A950F6"/>
    <w:rsid w:val="00A96BBB"/>
    <w:rsid w:val="00A97BC3"/>
    <w:rsid w:val="00A97E41"/>
    <w:rsid w:val="00AA0D85"/>
    <w:rsid w:val="00AA60EF"/>
    <w:rsid w:val="00AB2B2B"/>
    <w:rsid w:val="00AB2D84"/>
    <w:rsid w:val="00AB6D90"/>
    <w:rsid w:val="00AC0533"/>
    <w:rsid w:val="00AC51E2"/>
    <w:rsid w:val="00AC71B8"/>
    <w:rsid w:val="00AC72E5"/>
    <w:rsid w:val="00AD10DB"/>
    <w:rsid w:val="00AD1A3F"/>
    <w:rsid w:val="00AD3DFF"/>
    <w:rsid w:val="00AD410B"/>
    <w:rsid w:val="00AD4469"/>
    <w:rsid w:val="00AD6D47"/>
    <w:rsid w:val="00AE0641"/>
    <w:rsid w:val="00AE38B2"/>
    <w:rsid w:val="00AF09DF"/>
    <w:rsid w:val="00AF4B72"/>
    <w:rsid w:val="00AF69AF"/>
    <w:rsid w:val="00AF7A6F"/>
    <w:rsid w:val="00B0003E"/>
    <w:rsid w:val="00B01A99"/>
    <w:rsid w:val="00B04733"/>
    <w:rsid w:val="00B050A0"/>
    <w:rsid w:val="00B05E13"/>
    <w:rsid w:val="00B07E4B"/>
    <w:rsid w:val="00B10E9B"/>
    <w:rsid w:val="00B1330D"/>
    <w:rsid w:val="00B21163"/>
    <w:rsid w:val="00B214D7"/>
    <w:rsid w:val="00B21610"/>
    <w:rsid w:val="00B25249"/>
    <w:rsid w:val="00B27D74"/>
    <w:rsid w:val="00B307B1"/>
    <w:rsid w:val="00B37678"/>
    <w:rsid w:val="00B439FC"/>
    <w:rsid w:val="00B50C23"/>
    <w:rsid w:val="00B52EC6"/>
    <w:rsid w:val="00B55A68"/>
    <w:rsid w:val="00B57CA8"/>
    <w:rsid w:val="00B60061"/>
    <w:rsid w:val="00B62758"/>
    <w:rsid w:val="00B6380C"/>
    <w:rsid w:val="00B66B61"/>
    <w:rsid w:val="00B675CB"/>
    <w:rsid w:val="00B717EA"/>
    <w:rsid w:val="00B71EBD"/>
    <w:rsid w:val="00B724CE"/>
    <w:rsid w:val="00B74B6B"/>
    <w:rsid w:val="00B75A6A"/>
    <w:rsid w:val="00B849B9"/>
    <w:rsid w:val="00B87206"/>
    <w:rsid w:val="00B960FD"/>
    <w:rsid w:val="00B97B2B"/>
    <w:rsid w:val="00BA0A2F"/>
    <w:rsid w:val="00BA457F"/>
    <w:rsid w:val="00BB073A"/>
    <w:rsid w:val="00BB33E6"/>
    <w:rsid w:val="00BB455A"/>
    <w:rsid w:val="00BC1A36"/>
    <w:rsid w:val="00BC2578"/>
    <w:rsid w:val="00BC32AF"/>
    <w:rsid w:val="00BC3D53"/>
    <w:rsid w:val="00BC3EC8"/>
    <w:rsid w:val="00BC589D"/>
    <w:rsid w:val="00BC77B9"/>
    <w:rsid w:val="00BC79B8"/>
    <w:rsid w:val="00BD1343"/>
    <w:rsid w:val="00BD744D"/>
    <w:rsid w:val="00BE0E76"/>
    <w:rsid w:val="00BE137F"/>
    <w:rsid w:val="00BE16DB"/>
    <w:rsid w:val="00BE2F2A"/>
    <w:rsid w:val="00BE49F3"/>
    <w:rsid w:val="00BE5728"/>
    <w:rsid w:val="00BE7170"/>
    <w:rsid w:val="00BF0045"/>
    <w:rsid w:val="00BF3B08"/>
    <w:rsid w:val="00BF4FC1"/>
    <w:rsid w:val="00BF73F6"/>
    <w:rsid w:val="00C022C2"/>
    <w:rsid w:val="00C02A44"/>
    <w:rsid w:val="00C04D9E"/>
    <w:rsid w:val="00C04E40"/>
    <w:rsid w:val="00C0547C"/>
    <w:rsid w:val="00C0586F"/>
    <w:rsid w:val="00C05C86"/>
    <w:rsid w:val="00C12E58"/>
    <w:rsid w:val="00C15ED5"/>
    <w:rsid w:val="00C20FB2"/>
    <w:rsid w:val="00C23440"/>
    <w:rsid w:val="00C303BC"/>
    <w:rsid w:val="00C31D4B"/>
    <w:rsid w:val="00C32B52"/>
    <w:rsid w:val="00C34139"/>
    <w:rsid w:val="00C34DDA"/>
    <w:rsid w:val="00C363C4"/>
    <w:rsid w:val="00C363D3"/>
    <w:rsid w:val="00C36400"/>
    <w:rsid w:val="00C36F80"/>
    <w:rsid w:val="00C40CD0"/>
    <w:rsid w:val="00C47ADD"/>
    <w:rsid w:val="00C54211"/>
    <w:rsid w:val="00C54FE1"/>
    <w:rsid w:val="00C55430"/>
    <w:rsid w:val="00C57636"/>
    <w:rsid w:val="00C647E5"/>
    <w:rsid w:val="00C65DA3"/>
    <w:rsid w:val="00C6659E"/>
    <w:rsid w:val="00C72B29"/>
    <w:rsid w:val="00C741D5"/>
    <w:rsid w:val="00C76A98"/>
    <w:rsid w:val="00C80C29"/>
    <w:rsid w:val="00C820E9"/>
    <w:rsid w:val="00C82245"/>
    <w:rsid w:val="00C832B8"/>
    <w:rsid w:val="00C903AF"/>
    <w:rsid w:val="00C91199"/>
    <w:rsid w:val="00C9127E"/>
    <w:rsid w:val="00C93ED2"/>
    <w:rsid w:val="00C9534A"/>
    <w:rsid w:val="00CA0F66"/>
    <w:rsid w:val="00CA6C0B"/>
    <w:rsid w:val="00CA77BC"/>
    <w:rsid w:val="00CB6B9A"/>
    <w:rsid w:val="00CC1093"/>
    <w:rsid w:val="00CC15CC"/>
    <w:rsid w:val="00CC75F4"/>
    <w:rsid w:val="00CD2257"/>
    <w:rsid w:val="00CD2287"/>
    <w:rsid w:val="00CD75BB"/>
    <w:rsid w:val="00CD7AAA"/>
    <w:rsid w:val="00CE25BA"/>
    <w:rsid w:val="00CF0EBE"/>
    <w:rsid w:val="00CF14F7"/>
    <w:rsid w:val="00CF2F62"/>
    <w:rsid w:val="00CF3CF5"/>
    <w:rsid w:val="00CF5EAF"/>
    <w:rsid w:val="00CF6850"/>
    <w:rsid w:val="00CF7AA1"/>
    <w:rsid w:val="00D02CB4"/>
    <w:rsid w:val="00D06465"/>
    <w:rsid w:val="00D07E95"/>
    <w:rsid w:val="00D112E2"/>
    <w:rsid w:val="00D1698E"/>
    <w:rsid w:val="00D2108D"/>
    <w:rsid w:val="00D2440A"/>
    <w:rsid w:val="00D245A5"/>
    <w:rsid w:val="00D26844"/>
    <w:rsid w:val="00D3775C"/>
    <w:rsid w:val="00D4141F"/>
    <w:rsid w:val="00D4441E"/>
    <w:rsid w:val="00D46DD8"/>
    <w:rsid w:val="00D47ACB"/>
    <w:rsid w:val="00D51EAD"/>
    <w:rsid w:val="00D5369D"/>
    <w:rsid w:val="00D55BF4"/>
    <w:rsid w:val="00D619AE"/>
    <w:rsid w:val="00D70FD2"/>
    <w:rsid w:val="00D71B92"/>
    <w:rsid w:val="00D73D69"/>
    <w:rsid w:val="00D83E5D"/>
    <w:rsid w:val="00D84F31"/>
    <w:rsid w:val="00D851DA"/>
    <w:rsid w:val="00D860E9"/>
    <w:rsid w:val="00D9154D"/>
    <w:rsid w:val="00D915F4"/>
    <w:rsid w:val="00D9311C"/>
    <w:rsid w:val="00D93167"/>
    <w:rsid w:val="00D94D58"/>
    <w:rsid w:val="00D95F08"/>
    <w:rsid w:val="00D97527"/>
    <w:rsid w:val="00D97B75"/>
    <w:rsid w:val="00DA03C0"/>
    <w:rsid w:val="00DA079E"/>
    <w:rsid w:val="00DA1E67"/>
    <w:rsid w:val="00DA2418"/>
    <w:rsid w:val="00DA5858"/>
    <w:rsid w:val="00DB0458"/>
    <w:rsid w:val="00DB222B"/>
    <w:rsid w:val="00DB2868"/>
    <w:rsid w:val="00DC031D"/>
    <w:rsid w:val="00DC190F"/>
    <w:rsid w:val="00DC21CE"/>
    <w:rsid w:val="00DC3415"/>
    <w:rsid w:val="00DC3B05"/>
    <w:rsid w:val="00DC4E67"/>
    <w:rsid w:val="00DD00F5"/>
    <w:rsid w:val="00DD2ADD"/>
    <w:rsid w:val="00DD366D"/>
    <w:rsid w:val="00DD6A57"/>
    <w:rsid w:val="00DE078F"/>
    <w:rsid w:val="00DE19D9"/>
    <w:rsid w:val="00DE29A3"/>
    <w:rsid w:val="00DE429A"/>
    <w:rsid w:val="00DE6399"/>
    <w:rsid w:val="00DF2E12"/>
    <w:rsid w:val="00DF5461"/>
    <w:rsid w:val="00DF581C"/>
    <w:rsid w:val="00DF7353"/>
    <w:rsid w:val="00DF73EF"/>
    <w:rsid w:val="00E036C8"/>
    <w:rsid w:val="00E04CE6"/>
    <w:rsid w:val="00E073B7"/>
    <w:rsid w:val="00E10297"/>
    <w:rsid w:val="00E118E0"/>
    <w:rsid w:val="00E13879"/>
    <w:rsid w:val="00E14DB5"/>
    <w:rsid w:val="00E16943"/>
    <w:rsid w:val="00E20C87"/>
    <w:rsid w:val="00E23B32"/>
    <w:rsid w:val="00E253EE"/>
    <w:rsid w:val="00E2686D"/>
    <w:rsid w:val="00E3148C"/>
    <w:rsid w:val="00E316D9"/>
    <w:rsid w:val="00E34EB6"/>
    <w:rsid w:val="00E42B6A"/>
    <w:rsid w:val="00E4399D"/>
    <w:rsid w:val="00E44741"/>
    <w:rsid w:val="00E45AE0"/>
    <w:rsid w:val="00E54E75"/>
    <w:rsid w:val="00E55393"/>
    <w:rsid w:val="00E5643E"/>
    <w:rsid w:val="00E5720B"/>
    <w:rsid w:val="00E642EC"/>
    <w:rsid w:val="00E657C7"/>
    <w:rsid w:val="00E705A1"/>
    <w:rsid w:val="00E7400E"/>
    <w:rsid w:val="00E7698F"/>
    <w:rsid w:val="00E8141D"/>
    <w:rsid w:val="00E856DA"/>
    <w:rsid w:val="00E86F07"/>
    <w:rsid w:val="00E87119"/>
    <w:rsid w:val="00E87611"/>
    <w:rsid w:val="00E92773"/>
    <w:rsid w:val="00E9418E"/>
    <w:rsid w:val="00E96913"/>
    <w:rsid w:val="00EA00D7"/>
    <w:rsid w:val="00EA12F0"/>
    <w:rsid w:val="00EA40EA"/>
    <w:rsid w:val="00EA6EB2"/>
    <w:rsid w:val="00EB1F06"/>
    <w:rsid w:val="00EB2A8A"/>
    <w:rsid w:val="00EB7E37"/>
    <w:rsid w:val="00EC25DF"/>
    <w:rsid w:val="00EC3FF2"/>
    <w:rsid w:val="00ED0720"/>
    <w:rsid w:val="00ED4984"/>
    <w:rsid w:val="00ED7DD1"/>
    <w:rsid w:val="00EE0413"/>
    <w:rsid w:val="00EE0973"/>
    <w:rsid w:val="00EF4827"/>
    <w:rsid w:val="00F0240A"/>
    <w:rsid w:val="00F11B8B"/>
    <w:rsid w:val="00F121C1"/>
    <w:rsid w:val="00F20247"/>
    <w:rsid w:val="00F25594"/>
    <w:rsid w:val="00F31008"/>
    <w:rsid w:val="00F31348"/>
    <w:rsid w:val="00F32BA7"/>
    <w:rsid w:val="00F4005C"/>
    <w:rsid w:val="00F404F9"/>
    <w:rsid w:val="00F54190"/>
    <w:rsid w:val="00F6163C"/>
    <w:rsid w:val="00F6458D"/>
    <w:rsid w:val="00F64A1B"/>
    <w:rsid w:val="00F65EC8"/>
    <w:rsid w:val="00F72723"/>
    <w:rsid w:val="00F91A2C"/>
    <w:rsid w:val="00F94637"/>
    <w:rsid w:val="00F96938"/>
    <w:rsid w:val="00F97CD6"/>
    <w:rsid w:val="00FA09AA"/>
    <w:rsid w:val="00FA35FE"/>
    <w:rsid w:val="00FA6424"/>
    <w:rsid w:val="00FB30C6"/>
    <w:rsid w:val="00FC0A1B"/>
    <w:rsid w:val="00FC0DD8"/>
    <w:rsid w:val="00FC5390"/>
    <w:rsid w:val="00FC5EB6"/>
    <w:rsid w:val="00FC7BF7"/>
    <w:rsid w:val="00FD4F9F"/>
    <w:rsid w:val="00FD58E5"/>
    <w:rsid w:val="00FD7D84"/>
    <w:rsid w:val="00FD7EDC"/>
    <w:rsid w:val="00FE41FD"/>
    <w:rsid w:val="00FE74F1"/>
    <w:rsid w:val="00FF132F"/>
    <w:rsid w:val="00FF54D4"/>
    <w:rsid w:val="00FF61C3"/>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99"/>
    <w:qFormat/>
    <w:rsid w:val="008872A2"/>
    <w:pPr>
      <w:jc w:val="center"/>
    </w:pPr>
    <w:rPr>
      <w:rFonts w:ascii="Arial" w:hAnsi="Arial"/>
      <w:b/>
      <w:i/>
      <w:sz w:val="24"/>
    </w:rPr>
  </w:style>
  <w:style w:type="character" w:customStyle="1" w:styleId="PuestoCar">
    <w:name w:val="Puesto Car"/>
    <w:basedOn w:val="Fuentedeprrafopredeter"/>
    <w:link w:val="Puest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styleId="Hipervnculo">
    <w:name w:val="Hyperlink"/>
    <w:basedOn w:val="Fuentedeprrafopredeter"/>
    <w:uiPriority w:val="99"/>
    <w:rsid w:val="00890627"/>
    <w:rPr>
      <w:color w:val="0000FF" w:themeColor="hyperlink"/>
      <w:u w:val="single"/>
    </w:rPr>
  </w:style>
  <w:style w:type="character" w:customStyle="1" w:styleId="SinespaciadoCar1">
    <w:name w:val="Sin espaciado Car1"/>
    <w:uiPriority w:val="99"/>
    <w:locked/>
    <w:rsid w:val="00EC25DF"/>
    <w:rPr>
      <w:rFonts w:ascii="Courier New" w:hAnsi="Courier New" w:cs="Courier New"/>
    </w:rPr>
  </w:style>
  <w:style w:type="character" w:customStyle="1" w:styleId="apple-converted-space">
    <w:name w:val="apple-converted-space"/>
    <w:basedOn w:val="Fuentedeprrafopredeter"/>
    <w:rsid w:val="00517926"/>
  </w:style>
  <w:style w:type="character" w:styleId="Textoennegrita">
    <w:name w:val="Strong"/>
    <w:basedOn w:val="Fuentedeprrafopredeter"/>
    <w:uiPriority w:val="22"/>
    <w:qFormat/>
    <w:rsid w:val="00517926"/>
    <w:rPr>
      <w:b/>
      <w:bCs/>
    </w:rPr>
  </w:style>
  <w:style w:type="paragraph" w:customStyle="1" w:styleId="Style2">
    <w:name w:val="Style2"/>
    <w:basedOn w:val="Normal"/>
    <w:uiPriority w:val="99"/>
    <w:rsid w:val="00D9311C"/>
    <w:pPr>
      <w:widowControl w:val="0"/>
      <w:autoSpaceDE w:val="0"/>
      <w:autoSpaceDN w:val="0"/>
      <w:adjustRightInd w:val="0"/>
      <w:spacing w:line="254" w:lineRule="exact"/>
      <w:jc w:val="both"/>
    </w:pPr>
    <w:rPr>
      <w:rFonts w:ascii="Bookman Old Style" w:eastAsiaTheme="minorEastAsia" w:hAnsi="Bookman Old Style" w:cstheme="minorBidi"/>
      <w:sz w:val="24"/>
      <w:szCs w:val="24"/>
      <w:lang w:val="es-CO" w:eastAsia="es-CO"/>
    </w:rPr>
  </w:style>
  <w:style w:type="paragraph" w:styleId="Revisin">
    <w:name w:val="Revision"/>
    <w:hidden/>
    <w:uiPriority w:val="99"/>
    <w:semiHidden/>
    <w:rsid w:val="00B0003E"/>
    <w:pPr>
      <w:spacing w:after="0" w:line="240" w:lineRule="auto"/>
    </w:pPr>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34095">
      <w:bodyDiv w:val="1"/>
      <w:marLeft w:val="0"/>
      <w:marRight w:val="0"/>
      <w:marTop w:val="0"/>
      <w:marBottom w:val="0"/>
      <w:divBdr>
        <w:top w:val="none" w:sz="0" w:space="0" w:color="auto"/>
        <w:left w:val="none" w:sz="0" w:space="0" w:color="auto"/>
        <w:bottom w:val="none" w:sz="0" w:space="0" w:color="auto"/>
        <w:right w:val="none" w:sz="0" w:space="0" w:color="auto"/>
      </w:divBdr>
    </w:div>
    <w:div w:id="1131485646">
      <w:bodyDiv w:val="1"/>
      <w:marLeft w:val="0"/>
      <w:marRight w:val="0"/>
      <w:marTop w:val="0"/>
      <w:marBottom w:val="0"/>
      <w:divBdr>
        <w:top w:val="none" w:sz="0" w:space="0" w:color="auto"/>
        <w:left w:val="none" w:sz="0" w:space="0" w:color="auto"/>
        <w:bottom w:val="none" w:sz="0" w:space="0" w:color="auto"/>
        <w:right w:val="none" w:sz="0" w:space="0" w:color="auto"/>
      </w:divBdr>
    </w:div>
    <w:div w:id="1293169375">
      <w:bodyDiv w:val="1"/>
      <w:marLeft w:val="0"/>
      <w:marRight w:val="0"/>
      <w:marTop w:val="0"/>
      <w:marBottom w:val="0"/>
      <w:divBdr>
        <w:top w:val="none" w:sz="0" w:space="0" w:color="auto"/>
        <w:left w:val="none" w:sz="0" w:space="0" w:color="auto"/>
        <w:bottom w:val="none" w:sz="0" w:space="0" w:color="auto"/>
        <w:right w:val="none" w:sz="0" w:space="0" w:color="auto"/>
      </w:divBdr>
    </w:div>
    <w:div w:id="15708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1055-8343-4910-B39A-21D7A68AA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2387</Words>
  <Characters>13130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Henry Lora Rodriguez</cp:lastModifiedBy>
  <cp:revision>36</cp:revision>
  <cp:lastPrinted>2018-08-14T14:51:00Z</cp:lastPrinted>
  <dcterms:created xsi:type="dcterms:W3CDTF">2018-08-03T19:04:00Z</dcterms:created>
  <dcterms:modified xsi:type="dcterms:W3CDTF">2018-10-18T12:13:00Z</dcterms:modified>
</cp:coreProperties>
</file>