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539A2" w:rsidRPr="00C5262E" w:rsidRDefault="00E539A2" w:rsidP="00B35B2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both"/>
        <w:rPr>
          <w:rFonts w:ascii="Arial" w:eastAsia="Calibri" w:hAnsi="Arial" w:cs="Arial"/>
          <w:color w:val="222222"/>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w:t>
      </w:r>
      <w:r w:rsidR="00B35B28">
        <w:rPr>
          <w:rFonts w:ascii="Arial" w:eastAsia="Calibri" w:hAnsi="Arial" w:cs="Arial"/>
          <w:color w:val="FF0000"/>
          <w:spacing w:val="-8"/>
          <w:sz w:val="18"/>
          <w:szCs w:val="18"/>
          <w:lang w:val="es-CO" w:eastAsia="fr-FR"/>
        </w:rPr>
        <w:t xml:space="preserve">ferir la providencia dentro del </w:t>
      </w:r>
      <w:r w:rsidRPr="00C5262E">
        <w:rPr>
          <w:rFonts w:ascii="Arial" w:eastAsia="Calibri" w:hAnsi="Arial" w:cs="Arial"/>
          <w:color w:val="FF0000"/>
          <w:spacing w:val="-8"/>
          <w:sz w:val="18"/>
          <w:szCs w:val="18"/>
          <w:lang w:val="es-CO" w:eastAsia="fr-FR"/>
        </w:rPr>
        <w:t>presente proceso.</w:t>
      </w:r>
      <w:r w:rsidR="00B35B28">
        <w:rPr>
          <w:rFonts w:ascii="Arial" w:eastAsia="Calibri" w:hAnsi="Arial" w:cs="Arial"/>
          <w:color w:val="FF0000"/>
          <w:spacing w:val="-8"/>
          <w:sz w:val="18"/>
          <w:szCs w:val="18"/>
          <w:lang w:val="es-CO" w:eastAsia="fr-FR"/>
        </w:rPr>
        <w:t xml:space="preserve"> </w:t>
      </w:r>
      <w:r w:rsidRPr="00C5262E">
        <w:rPr>
          <w:rFonts w:ascii="Arial" w:eastAsia="Calibri" w:hAnsi="Arial" w:cs="Arial"/>
          <w:color w:val="FF0000"/>
          <w:sz w:val="18"/>
          <w:szCs w:val="18"/>
          <w:lang w:val="es-CO" w:eastAsia="fr-FR"/>
        </w:rPr>
        <w:t>El contenido total y fiel de la decisión debe ser verificado en la Secretaría de esta Sala.</w:t>
      </w:r>
    </w:p>
    <w:p w:rsidR="00B35B28" w:rsidRDefault="00B35B28" w:rsidP="00A76DA4">
      <w:pPr>
        <w:jc w:val="both"/>
        <w:rPr>
          <w:rFonts w:ascii="Arial" w:hAnsi="Arial" w:cs="Arial"/>
          <w:sz w:val="22"/>
          <w:szCs w:val="22"/>
          <w:lang w:val="es-CO" w:eastAsia="fr-FR"/>
        </w:rPr>
      </w:pPr>
    </w:p>
    <w:p w:rsidR="00E539A2" w:rsidRPr="00A76DA4" w:rsidRDefault="00E539A2" w:rsidP="00A76DA4">
      <w:pPr>
        <w:jc w:val="both"/>
        <w:rPr>
          <w:rFonts w:ascii="Arial" w:hAnsi="Arial" w:cs="Arial"/>
          <w:sz w:val="22"/>
          <w:szCs w:val="22"/>
          <w:lang w:val="es-CO" w:eastAsia="fr-FR"/>
        </w:rPr>
      </w:pPr>
      <w:r w:rsidRPr="00A76DA4">
        <w:rPr>
          <w:rFonts w:ascii="Arial" w:hAnsi="Arial" w:cs="Arial"/>
          <w:sz w:val="22"/>
          <w:szCs w:val="22"/>
          <w:lang w:val="es-CO" w:eastAsia="fr-FR"/>
        </w:rPr>
        <w:t>Providencia:</w:t>
      </w:r>
      <w:r w:rsidRPr="00A76DA4">
        <w:rPr>
          <w:rFonts w:ascii="Arial" w:hAnsi="Arial" w:cs="Arial"/>
          <w:sz w:val="22"/>
          <w:szCs w:val="22"/>
          <w:lang w:val="es-CO" w:eastAsia="fr-FR"/>
        </w:rPr>
        <w:tab/>
        <w:t xml:space="preserve">    </w:t>
      </w:r>
      <w:r w:rsidR="00A76DA4">
        <w:rPr>
          <w:rFonts w:ascii="Arial" w:hAnsi="Arial" w:cs="Arial"/>
          <w:sz w:val="22"/>
          <w:szCs w:val="22"/>
          <w:lang w:val="es-CO" w:eastAsia="fr-FR"/>
        </w:rPr>
        <w:tab/>
        <w:t xml:space="preserve"> </w:t>
      </w:r>
      <w:r w:rsidRPr="00A76DA4">
        <w:rPr>
          <w:rFonts w:ascii="Arial" w:hAnsi="Arial" w:cs="Arial"/>
          <w:sz w:val="22"/>
          <w:szCs w:val="22"/>
          <w:lang w:val="es-CO" w:eastAsia="fr-FR"/>
        </w:rPr>
        <w:t>Sentencia  – 1ª instancia –3 de agosto de 2018</w:t>
      </w:r>
    </w:p>
    <w:p w:rsidR="00E539A2" w:rsidRPr="00A76DA4" w:rsidRDefault="00E539A2" w:rsidP="00A76DA4">
      <w:pPr>
        <w:jc w:val="both"/>
        <w:rPr>
          <w:rFonts w:ascii="Arial" w:hAnsi="Arial" w:cs="Arial"/>
          <w:sz w:val="22"/>
          <w:szCs w:val="22"/>
          <w:lang w:eastAsia="fr-FR"/>
        </w:rPr>
      </w:pPr>
      <w:r w:rsidRPr="00A76DA4">
        <w:rPr>
          <w:rFonts w:ascii="Arial" w:hAnsi="Arial" w:cs="Arial"/>
          <w:sz w:val="22"/>
          <w:szCs w:val="22"/>
          <w:lang w:val="es-CO" w:eastAsia="fr-FR"/>
        </w:rPr>
        <w:t>Proceso:    </w:t>
      </w:r>
      <w:r w:rsidRPr="00A76DA4">
        <w:rPr>
          <w:rFonts w:ascii="Arial" w:hAnsi="Arial" w:cs="Arial"/>
          <w:sz w:val="22"/>
          <w:szCs w:val="22"/>
          <w:lang w:val="es-CO" w:eastAsia="fr-FR"/>
        </w:rPr>
        <w:tab/>
        <w:t xml:space="preserve">     </w:t>
      </w:r>
      <w:r w:rsidR="00A76DA4">
        <w:rPr>
          <w:rFonts w:ascii="Arial" w:hAnsi="Arial" w:cs="Arial"/>
          <w:sz w:val="22"/>
          <w:szCs w:val="22"/>
          <w:lang w:val="es-CO" w:eastAsia="fr-FR"/>
        </w:rPr>
        <w:tab/>
        <w:t xml:space="preserve"> </w:t>
      </w:r>
      <w:r w:rsidRPr="00A76DA4">
        <w:rPr>
          <w:rFonts w:ascii="Arial" w:hAnsi="Arial" w:cs="Arial"/>
          <w:sz w:val="22"/>
          <w:szCs w:val="22"/>
          <w:lang w:val="es-CO" w:eastAsia="fr-FR"/>
        </w:rPr>
        <w:t xml:space="preserve">Acción de Tutela </w:t>
      </w:r>
    </w:p>
    <w:p w:rsidR="00E539A2" w:rsidRPr="00A76DA4" w:rsidRDefault="00E539A2" w:rsidP="00A76DA4">
      <w:pPr>
        <w:jc w:val="both"/>
        <w:rPr>
          <w:rFonts w:ascii="Arial" w:hAnsi="Arial" w:cs="Arial"/>
          <w:bCs/>
          <w:iCs/>
          <w:sz w:val="22"/>
          <w:szCs w:val="22"/>
          <w:lang w:eastAsia="fr-FR"/>
        </w:rPr>
      </w:pPr>
      <w:r w:rsidRPr="00A76DA4">
        <w:rPr>
          <w:rFonts w:ascii="Arial" w:hAnsi="Arial" w:cs="Arial"/>
          <w:bCs/>
          <w:iCs/>
          <w:sz w:val="22"/>
          <w:szCs w:val="22"/>
          <w:lang w:eastAsia="fr-FR"/>
        </w:rPr>
        <w:t xml:space="preserve">Accionante: </w:t>
      </w:r>
      <w:r w:rsidRPr="00A76DA4">
        <w:rPr>
          <w:rFonts w:ascii="Arial" w:hAnsi="Arial" w:cs="Arial"/>
          <w:bCs/>
          <w:iCs/>
          <w:sz w:val="22"/>
          <w:szCs w:val="22"/>
          <w:lang w:eastAsia="fr-FR"/>
        </w:rPr>
        <w:tab/>
      </w:r>
      <w:r w:rsidRPr="00A76DA4">
        <w:rPr>
          <w:rFonts w:ascii="Arial" w:hAnsi="Arial" w:cs="Arial"/>
          <w:bCs/>
          <w:iCs/>
          <w:sz w:val="22"/>
          <w:szCs w:val="22"/>
          <w:lang w:eastAsia="fr-FR"/>
        </w:rPr>
        <w:tab/>
      </w:r>
      <w:r w:rsidR="00A76DA4">
        <w:rPr>
          <w:rFonts w:ascii="Arial" w:hAnsi="Arial" w:cs="Arial"/>
          <w:bCs/>
          <w:iCs/>
          <w:sz w:val="22"/>
          <w:szCs w:val="22"/>
          <w:lang w:eastAsia="fr-FR"/>
        </w:rPr>
        <w:t xml:space="preserve"> </w:t>
      </w:r>
      <w:r w:rsidRPr="00A76DA4">
        <w:rPr>
          <w:rFonts w:ascii="Arial" w:hAnsi="Arial" w:cs="Arial"/>
          <w:sz w:val="22"/>
          <w:szCs w:val="22"/>
        </w:rPr>
        <w:t>Javier Elías Arias Idárraga</w:t>
      </w:r>
    </w:p>
    <w:p w:rsidR="00E539A2" w:rsidRPr="00A76DA4" w:rsidRDefault="00E539A2" w:rsidP="00A76DA4">
      <w:pPr>
        <w:jc w:val="both"/>
        <w:rPr>
          <w:rFonts w:ascii="Arial" w:hAnsi="Arial" w:cs="Arial"/>
          <w:sz w:val="22"/>
          <w:szCs w:val="22"/>
        </w:rPr>
      </w:pPr>
      <w:r w:rsidRPr="00A76DA4">
        <w:rPr>
          <w:rFonts w:ascii="Arial" w:hAnsi="Arial" w:cs="Arial"/>
          <w:sz w:val="22"/>
          <w:szCs w:val="22"/>
          <w:lang w:val="es-CO" w:eastAsia="fr-FR"/>
        </w:rPr>
        <w:t>Accionado:</w:t>
      </w:r>
      <w:r w:rsidRPr="00A76DA4">
        <w:rPr>
          <w:rFonts w:ascii="Arial" w:hAnsi="Arial" w:cs="Arial"/>
          <w:sz w:val="22"/>
          <w:szCs w:val="22"/>
          <w:lang w:val="es-CO" w:eastAsia="fr-FR"/>
        </w:rPr>
        <w:tab/>
        <w:t xml:space="preserve">            </w:t>
      </w:r>
      <w:r w:rsidRPr="00A76DA4">
        <w:rPr>
          <w:rFonts w:ascii="Arial" w:hAnsi="Arial" w:cs="Arial"/>
          <w:sz w:val="22"/>
          <w:szCs w:val="22"/>
        </w:rPr>
        <w:t xml:space="preserve">Juzgado Cuarto Civil del Circuito de Pereira </w:t>
      </w:r>
    </w:p>
    <w:p w:rsidR="00A76DA4" w:rsidRPr="00A76DA4" w:rsidRDefault="00A76DA4" w:rsidP="00A76DA4">
      <w:pPr>
        <w:pStyle w:val="Textoindependiente"/>
        <w:spacing w:line="240" w:lineRule="auto"/>
        <w:rPr>
          <w:rFonts w:ascii="Arial" w:hAnsi="Arial" w:cs="Arial"/>
          <w:sz w:val="22"/>
        </w:rPr>
      </w:pPr>
      <w:r w:rsidRPr="00A76DA4">
        <w:rPr>
          <w:rFonts w:ascii="Arial" w:hAnsi="Arial" w:cs="Arial"/>
          <w:sz w:val="22"/>
        </w:rPr>
        <w:t>Radicación:</w:t>
      </w:r>
      <w:r w:rsidRPr="00A76DA4">
        <w:rPr>
          <w:rFonts w:ascii="Arial" w:hAnsi="Arial" w:cs="Arial"/>
          <w:sz w:val="22"/>
        </w:rPr>
        <w:tab/>
      </w:r>
      <w:r w:rsidRPr="00A76DA4">
        <w:rPr>
          <w:rFonts w:ascii="Arial" w:hAnsi="Arial" w:cs="Arial"/>
          <w:sz w:val="22"/>
        </w:rPr>
        <w:tab/>
        <w:t xml:space="preserve"> 2018-00546-00 (Interna No.546)</w:t>
      </w:r>
    </w:p>
    <w:p w:rsidR="00E539A2" w:rsidRPr="00A76DA4" w:rsidRDefault="00E539A2" w:rsidP="00A76DA4">
      <w:pPr>
        <w:jc w:val="both"/>
        <w:rPr>
          <w:rFonts w:ascii="Arial" w:hAnsi="Arial" w:cs="Arial"/>
          <w:bCs/>
          <w:iCs/>
          <w:sz w:val="22"/>
          <w:szCs w:val="22"/>
          <w:lang w:val="es-CO" w:eastAsia="fr-FR"/>
        </w:rPr>
      </w:pPr>
      <w:r w:rsidRPr="00A76DA4">
        <w:rPr>
          <w:rFonts w:ascii="Arial" w:hAnsi="Arial" w:cs="Arial"/>
          <w:sz w:val="22"/>
          <w:szCs w:val="22"/>
          <w:lang w:val="es-CO" w:eastAsia="fr-FR"/>
        </w:rPr>
        <w:t xml:space="preserve">Magistrado Ponente:  </w:t>
      </w:r>
      <w:r w:rsidRPr="00A76DA4">
        <w:rPr>
          <w:rFonts w:ascii="Arial" w:hAnsi="Arial" w:cs="Arial"/>
          <w:bCs/>
          <w:iCs/>
          <w:sz w:val="22"/>
          <w:szCs w:val="22"/>
          <w:lang w:val="es-CO" w:eastAsia="fr-FR"/>
        </w:rPr>
        <w:t>Duberney Grisales Herrera</w:t>
      </w:r>
    </w:p>
    <w:p w:rsidR="00E539A2" w:rsidRPr="00A76DA4" w:rsidRDefault="00E539A2" w:rsidP="00A76DA4">
      <w:pPr>
        <w:jc w:val="both"/>
        <w:rPr>
          <w:rFonts w:ascii="Arial" w:hAnsi="Arial" w:cs="Arial"/>
          <w:bCs/>
          <w:iCs/>
          <w:sz w:val="22"/>
          <w:szCs w:val="22"/>
          <w:lang w:val="es-CO" w:eastAsia="fr-FR"/>
        </w:rPr>
      </w:pPr>
    </w:p>
    <w:p w:rsidR="00E539A2" w:rsidRPr="00A76DA4" w:rsidRDefault="00E539A2" w:rsidP="00A76DA4">
      <w:pPr>
        <w:jc w:val="both"/>
        <w:rPr>
          <w:rFonts w:ascii="Arial" w:hAnsi="Arial" w:cs="Arial"/>
          <w:bCs/>
          <w:iCs/>
          <w:sz w:val="22"/>
          <w:szCs w:val="22"/>
          <w:lang w:val="es-CO" w:eastAsia="fr-FR"/>
        </w:rPr>
      </w:pPr>
      <w:r w:rsidRPr="00A76DA4">
        <w:rPr>
          <w:rFonts w:ascii="Arial" w:hAnsi="Arial" w:cs="Arial"/>
          <w:b/>
          <w:sz w:val="22"/>
          <w:szCs w:val="22"/>
          <w:lang w:val="es-CO" w:eastAsia="fr-FR"/>
        </w:rPr>
        <w:t>Temas</w:t>
      </w:r>
      <w:r w:rsidRPr="00B35B28">
        <w:rPr>
          <w:rFonts w:ascii="Arial" w:hAnsi="Arial" w:cs="Arial"/>
          <w:b/>
          <w:sz w:val="22"/>
          <w:szCs w:val="22"/>
          <w:lang w:val="es-CO" w:eastAsia="fr-FR"/>
        </w:rPr>
        <w:t xml:space="preserve">:           </w:t>
      </w:r>
      <w:r w:rsidRPr="00B35B28">
        <w:rPr>
          <w:rFonts w:ascii="Arial" w:hAnsi="Arial" w:cs="Arial"/>
          <w:b/>
          <w:sz w:val="22"/>
          <w:szCs w:val="22"/>
          <w:lang w:eastAsia="fr-FR"/>
        </w:rPr>
        <w:t>DEBIDO PROCESO / TUTELA CONTRA PROVIDENCIA JUDICIAL /</w:t>
      </w:r>
      <w:r w:rsidRPr="00B35B28">
        <w:rPr>
          <w:rFonts w:ascii="Arial" w:hAnsi="Arial" w:cs="Arial"/>
          <w:b/>
          <w:sz w:val="22"/>
          <w:szCs w:val="22"/>
          <w:lang w:val="es-CO" w:eastAsia="fr-FR"/>
        </w:rPr>
        <w:t xml:space="preserve"> SUBSIDIARIEDAD / </w:t>
      </w:r>
      <w:r w:rsidR="00B35B28" w:rsidRPr="00B35B28">
        <w:rPr>
          <w:rFonts w:ascii="Arial" w:hAnsi="Arial" w:cs="Arial"/>
          <w:b/>
          <w:sz w:val="22"/>
          <w:szCs w:val="22"/>
          <w:lang w:val="es-CO" w:eastAsia="fr-FR"/>
        </w:rPr>
        <w:t xml:space="preserve">EL ACCIONANTE NO RECURRIÓ EL AUTO </w:t>
      </w:r>
      <w:r w:rsidR="00B35B28">
        <w:rPr>
          <w:rFonts w:ascii="Arial" w:hAnsi="Arial" w:cs="Arial"/>
          <w:b/>
          <w:sz w:val="22"/>
          <w:szCs w:val="22"/>
          <w:lang w:val="es-CO" w:eastAsia="fr-FR"/>
        </w:rPr>
        <w:t xml:space="preserve">QUE </w:t>
      </w:r>
      <w:r w:rsidR="00B35B28" w:rsidRPr="00B35B28">
        <w:rPr>
          <w:rFonts w:ascii="Arial" w:hAnsi="Arial" w:cs="Arial"/>
          <w:b/>
          <w:sz w:val="22"/>
          <w:szCs w:val="22"/>
          <w:lang w:val="es-CO" w:eastAsia="fr-FR"/>
        </w:rPr>
        <w:t>RECHAZÓ EL RECURSO</w:t>
      </w:r>
      <w:r w:rsidR="00B35B28">
        <w:rPr>
          <w:rFonts w:ascii="Arial" w:hAnsi="Arial" w:cs="Arial"/>
          <w:b/>
          <w:sz w:val="22"/>
          <w:szCs w:val="22"/>
          <w:lang w:val="es-CO" w:eastAsia="fr-FR"/>
        </w:rPr>
        <w:t xml:space="preserve"> AL INTERIOR DEL ASUNTO</w:t>
      </w:r>
      <w:r w:rsidR="00B35B28" w:rsidRPr="00B35B28">
        <w:rPr>
          <w:rFonts w:ascii="Arial" w:hAnsi="Arial" w:cs="Arial"/>
          <w:b/>
          <w:sz w:val="22"/>
          <w:szCs w:val="22"/>
          <w:lang w:val="es-CO" w:eastAsia="fr-FR"/>
        </w:rPr>
        <w:t xml:space="preserve"> POPULAR/</w:t>
      </w:r>
      <w:r w:rsidR="00B35B28">
        <w:rPr>
          <w:rFonts w:ascii="Arial" w:hAnsi="Arial" w:cs="Arial"/>
          <w:b/>
          <w:sz w:val="22"/>
          <w:szCs w:val="22"/>
          <w:lang w:val="es-CO" w:eastAsia="fr-FR"/>
        </w:rPr>
        <w:t xml:space="preserve"> </w:t>
      </w:r>
      <w:r w:rsidR="009B1A26">
        <w:rPr>
          <w:rFonts w:ascii="Arial" w:hAnsi="Arial" w:cs="Arial"/>
          <w:b/>
          <w:sz w:val="22"/>
          <w:szCs w:val="22"/>
          <w:lang w:val="es-CO" w:eastAsia="fr-FR"/>
        </w:rPr>
        <w:t>IMPROCEDENTE.</w:t>
      </w:r>
      <w:bookmarkStart w:id="0" w:name="_GoBack"/>
      <w:bookmarkEnd w:id="0"/>
    </w:p>
    <w:p w:rsidR="00E539A2" w:rsidRPr="00A76DA4" w:rsidRDefault="00E539A2" w:rsidP="00A76DA4">
      <w:pPr>
        <w:jc w:val="both"/>
        <w:rPr>
          <w:rFonts w:ascii="Arial" w:hAnsi="Arial" w:cs="Arial"/>
          <w:bCs/>
          <w:iCs/>
          <w:sz w:val="22"/>
          <w:szCs w:val="22"/>
          <w:lang w:val="es-CO" w:eastAsia="fr-FR"/>
        </w:rPr>
      </w:pPr>
    </w:p>
    <w:p w:rsidR="00B35B28" w:rsidRPr="00B35B28" w:rsidRDefault="00B35B28" w:rsidP="00B35B28">
      <w:pPr>
        <w:jc w:val="both"/>
        <w:rPr>
          <w:rFonts w:ascii="Arial" w:hAnsi="Arial" w:cs="Arial"/>
          <w:sz w:val="22"/>
          <w:szCs w:val="22"/>
        </w:rPr>
      </w:pPr>
      <w:r w:rsidRPr="00B35B28">
        <w:rPr>
          <w:rFonts w:ascii="Arial" w:hAnsi="Arial" w:cs="Arial"/>
          <w:sz w:val="22"/>
          <w:szCs w:val="22"/>
        </w:rPr>
        <w:t xml:space="preserve">Examinado el acervo probatorio se tiene que la </w:t>
      </w:r>
      <w:r w:rsidRPr="00B35B28">
        <w:rPr>
          <w:rFonts w:ascii="Arial" w:hAnsi="Arial" w:cs="Arial"/>
          <w:i/>
          <w:sz w:val="22"/>
          <w:szCs w:val="22"/>
        </w:rPr>
        <w:t xml:space="preserve">a quo </w:t>
      </w:r>
      <w:r w:rsidRPr="00B35B28">
        <w:rPr>
          <w:rFonts w:ascii="Arial" w:hAnsi="Arial" w:cs="Arial"/>
          <w:sz w:val="22"/>
          <w:szCs w:val="22"/>
        </w:rPr>
        <w:t>mediante proveído del 16-05-2018 admitió la acción popular, recurrido en reposición por el señor Juan Morales, lo mantuvo incólume con providencia del 06-06-2018, controvertido también, pero por el señor Javier Elías Arias idárraga, con auto del 19-06-2018 lo rechazó por carecer de sustentación, entre otras decisiones, notificado con fijación en el estado del 20-06-2018, sin ser cuestionado a ese respecto por el promotor del amparo (Folios 11 a 18, este cuaderno).</w:t>
      </w:r>
    </w:p>
    <w:p w:rsidR="00B35B28" w:rsidRPr="00B35B28" w:rsidRDefault="00B35B28" w:rsidP="00B35B28">
      <w:pPr>
        <w:jc w:val="both"/>
        <w:rPr>
          <w:rFonts w:ascii="Arial" w:hAnsi="Arial" w:cs="Arial"/>
          <w:sz w:val="22"/>
          <w:szCs w:val="22"/>
        </w:rPr>
      </w:pPr>
    </w:p>
    <w:p w:rsidR="00B35B28" w:rsidRPr="00B35B28" w:rsidRDefault="00B35B28" w:rsidP="00B35B28">
      <w:pPr>
        <w:jc w:val="both"/>
        <w:rPr>
          <w:rFonts w:ascii="Arial" w:hAnsi="Arial" w:cs="Arial"/>
          <w:sz w:val="22"/>
          <w:szCs w:val="22"/>
          <w:lang w:val="es-CO"/>
        </w:rPr>
      </w:pPr>
      <w:r w:rsidRPr="00B35B28">
        <w:rPr>
          <w:rFonts w:ascii="Arial" w:hAnsi="Arial" w:cs="Arial"/>
          <w:sz w:val="22"/>
          <w:szCs w:val="22"/>
        </w:rPr>
        <w:t xml:space="preserve">Según el recuento procesal, el accionante dejó de rebatir la decisión de la funcionaria judicial sobre el rechazo del recurso, medio ordinario procedente e idóneo para procurar la defensa de sus derechos al interior de ese trámite popular (Artículo 36, Ley 476). Como quiera que dicho auto no resolvió la reposición, era susceptible de ser recurrido sobre la </w:t>
      </w:r>
      <w:r w:rsidRPr="00B35B28">
        <w:rPr>
          <w:rFonts w:ascii="Arial" w:hAnsi="Arial" w:cs="Arial"/>
          <w:sz w:val="22"/>
          <w:szCs w:val="22"/>
          <w:lang w:val="es-CO"/>
        </w:rPr>
        <w:t xml:space="preserve">exigencia de la sustentación (Artículo 318, inciso 2º, CGP), supuestamente, innecesaria para el actor en ese tipo de asuntos constitucionales, según lo expone en el libelo (Folio 1, este cuaderno). </w:t>
      </w:r>
    </w:p>
    <w:p w:rsidR="00B35B28" w:rsidRPr="00B35B28" w:rsidRDefault="00B35B28" w:rsidP="00B35B28">
      <w:pPr>
        <w:jc w:val="both"/>
        <w:rPr>
          <w:rFonts w:ascii="Arial" w:hAnsi="Arial" w:cs="Arial"/>
          <w:sz w:val="22"/>
          <w:szCs w:val="22"/>
          <w:lang w:val="es-CO"/>
        </w:rPr>
      </w:pPr>
    </w:p>
    <w:p w:rsidR="00E539A2" w:rsidRDefault="00B35B28" w:rsidP="00B35B28">
      <w:pPr>
        <w:rPr>
          <w:bCs/>
          <w:iCs/>
          <w:lang w:val="es-CO" w:eastAsia="fr-FR"/>
        </w:rPr>
      </w:pPr>
      <w:r w:rsidRPr="00B35B28">
        <w:rPr>
          <w:rFonts w:ascii="Arial" w:hAnsi="Arial" w:cs="Arial"/>
          <w:sz w:val="22"/>
          <w:szCs w:val="22"/>
          <w:lang w:val="es-CO"/>
        </w:rPr>
        <w:t>Claro es que endilga la afectación de derechos a una autoridad que no ha tenido la oportunidad de reparar sobre su determinación</w:t>
      </w:r>
      <w:r>
        <w:rPr>
          <w:rFonts w:ascii="Georgia" w:hAnsi="Georgia" w:cs="Arial"/>
          <w:lang w:val="es-CO"/>
        </w:rPr>
        <w:t>.</w:t>
      </w:r>
    </w:p>
    <w:p w:rsidR="00E539A2" w:rsidRDefault="00E539A2" w:rsidP="00A76DA4">
      <w:pPr>
        <w:rPr>
          <w:bCs/>
          <w:iCs/>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r w:rsidRPr="00AD7B0C">
        <w:rPr>
          <w:rFonts w:ascii="Georgia" w:hAnsi="Georgia"/>
          <w:b/>
          <w:noProof/>
        </w:rPr>
        <w:drawing>
          <wp:anchor distT="0" distB="0" distL="114300" distR="114300" simplePos="0" relativeHeight="251657728" behindDoc="0" locked="0" layoutInCell="1" allowOverlap="1" wp14:anchorId="15191E57" wp14:editId="7FADB330">
            <wp:simplePos x="0" y="0"/>
            <wp:positionH relativeFrom="margin">
              <wp:posOffset>2839720</wp:posOffset>
            </wp:positionH>
            <wp:positionV relativeFrom="paragraph">
              <wp:posOffset>3810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E539A2" w:rsidRDefault="00E539A2" w:rsidP="00E539A2">
      <w:pPr>
        <w:pStyle w:val="Sinespaciado"/>
        <w:tabs>
          <w:tab w:val="left" w:pos="3579"/>
        </w:tabs>
        <w:spacing w:line="360" w:lineRule="auto"/>
        <w:jc w:val="center"/>
        <w:rPr>
          <w:rFonts w:ascii="Arial" w:hAnsi="Arial" w:cs="Arial"/>
          <w:b/>
          <w:sz w:val="18"/>
          <w:szCs w:val="18"/>
          <w:lang w:val="es-CO" w:eastAsia="fr-FR"/>
        </w:rPr>
      </w:pPr>
    </w:p>
    <w:p w:rsidR="00486062" w:rsidRPr="00AD7B0C" w:rsidRDefault="00486062" w:rsidP="00E539A2">
      <w:pPr>
        <w:pStyle w:val="Sinespaciado"/>
        <w:tabs>
          <w:tab w:val="left" w:pos="3579"/>
        </w:tabs>
        <w:spacing w:line="360" w:lineRule="auto"/>
        <w:jc w:val="center"/>
        <w:rPr>
          <w:rFonts w:ascii="Georgia" w:hAnsi="Georgia" w:cs="Arial"/>
          <w:w w:val="140"/>
          <w:sz w:val="14"/>
        </w:rPr>
      </w:pPr>
      <w:r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Juzgado Cuarto Civil </w:t>
      </w:r>
      <w:r w:rsidR="00C82ED9">
        <w:rPr>
          <w:rFonts w:ascii="Georgia" w:hAnsi="Georgia" w:cs="Arial"/>
          <w:sz w:val="22"/>
        </w:rPr>
        <w:t xml:space="preserve">del Circuito de </w:t>
      </w:r>
      <w:r w:rsidR="00DC77A3">
        <w:rPr>
          <w:rFonts w:ascii="Georgia" w:hAnsi="Georgia" w:cs="Arial"/>
          <w:sz w:val="22"/>
        </w:rPr>
        <w:t xml:space="preserve">Pereira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DC77A3">
        <w:rPr>
          <w:rFonts w:ascii="Georgia" w:hAnsi="Georgia" w:cs="Arial"/>
          <w:sz w:val="22"/>
          <w:szCs w:val="22"/>
        </w:rPr>
        <w:t xml:space="preserve">Juan Morales </w:t>
      </w:r>
      <w:r w:rsidR="00C82ED9">
        <w:rPr>
          <w:rFonts w:ascii="Georgia" w:hAnsi="Georgia" w:cs="Arial"/>
          <w:sz w:val="22"/>
          <w:szCs w:val="22"/>
        </w:rPr>
        <w:t xml:space="preserve">y otros </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DC77A3">
        <w:rPr>
          <w:rFonts w:ascii="Georgia" w:hAnsi="Georgia" w:cs="Arial"/>
          <w:sz w:val="22"/>
        </w:rPr>
        <w:t>00546</w:t>
      </w:r>
      <w:r w:rsidR="0073460F">
        <w:rPr>
          <w:rFonts w:ascii="Georgia" w:hAnsi="Georgia" w:cs="Arial"/>
          <w:sz w:val="22"/>
        </w:rPr>
        <w:t>-00</w:t>
      </w:r>
      <w:r w:rsidR="00D25766">
        <w:rPr>
          <w:rFonts w:ascii="Georgia" w:hAnsi="Georgia" w:cs="Arial"/>
          <w:sz w:val="22"/>
        </w:rPr>
        <w:t xml:space="preserve"> (Interna No.</w:t>
      </w:r>
      <w:r w:rsidR="00DC77A3">
        <w:rPr>
          <w:rFonts w:ascii="Georgia" w:hAnsi="Georgia" w:cs="Arial"/>
          <w:sz w:val="22"/>
        </w:rPr>
        <w:t>546</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B45B1" w:rsidRPr="00AD7B0C" w:rsidRDefault="009B45B1" w:rsidP="009B45B1">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75672C">
        <w:rPr>
          <w:rFonts w:ascii="Georgia" w:hAnsi="Georgia"/>
          <w:sz w:val="22"/>
          <w:szCs w:val="22"/>
        </w:rPr>
        <w:t>278</w:t>
      </w:r>
      <w:r w:rsidR="00DC77A3">
        <w:rPr>
          <w:rFonts w:ascii="Georgia" w:hAnsi="Georgia"/>
          <w:sz w:val="22"/>
          <w:szCs w:val="22"/>
        </w:rPr>
        <w:t xml:space="preserve"> </w:t>
      </w:r>
      <w:r w:rsidRPr="00AD7B0C">
        <w:rPr>
          <w:rFonts w:ascii="Georgia" w:hAnsi="Georgia"/>
          <w:sz w:val="22"/>
          <w:szCs w:val="22"/>
        </w:rPr>
        <w:t>d</w:t>
      </w:r>
      <w:r>
        <w:rPr>
          <w:rFonts w:ascii="Georgia" w:hAnsi="Georgia"/>
          <w:sz w:val="22"/>
          <w:szCs w:val="22"/>
        </w:rPr>
        <w:t xml:space="preserve">e </w:t>
      </w:r>
      <w:r w:rsidR="0075672C">
        <w:rPr>
          <w:rFonts w:ascii="Georgia" w:hAnsi="Georgia"/>
          <w:sz w:val="22"/>
          <w:szCs w:val="22"/>
        </w:rPr>
        <w:t>03</w:t>
      </w:r>
      <w:r w:rsidRPr="00AD7B0C">
        <w:rPr>
          <w:rFonts w:ascii="Georgia" w:hAnsi="Georgia"/>
          <w:sz w:val="22"/>
          <w:szCs w:val="22"/>
        </w:rPr>
        <w:t>-</w:t>
      </w:r>
      <w:r w:rsidR="00DC77A3">
        <w:rPr>
          <w:rFonts w:ascii="Georgia" w:hAnsi="Georgia"/>
          <w:sz w:val="22"/>
          <w:szCs w:val="22"/>
        </w:rPr>
        <w:t>08</w:t>
      </w:r>
      <w:r w:rsidRPr="00AD7B0C">
        <w:rPr>
          <w:rFonts w:ascii="Georgia" w:hAnsi="Georgia"/>
          <w:sz w:val="22"/>
          <w:szCs w:val="22"/>
        </w:rPr>
        <w:t>-</w:t>
      </w:r>
      <w:r>
        <w:rPr>
          <w:rFonts w:ascii="Georgia" w:hAnsi="Georgia"/>
          <w:sz w:val="22"/>
          <w:szCs w:val="22"/>
        </w:rPr>
        <w:t>2018</w:t>
      </w:r>
    </w:p>
    <w:p w:rsidR="009B45B1" w:rsidRPr="00AD7B0C" w:rsidRDefault="009B45B1" w:rsidP="009B45B1">
      <w:pPr>
        <w:pBdr>
          <w:bottom w:val="double" w:sz="6" w:space="1" w:color="auto"/>
        </w:pBdr>
        <w:spacing w:line="360" w:lineRule="auto"/>
        <w:jc w:val="center"/>
        <w:rPr>
          <w:rFonts w:ascii="Georgia" w:hAnsi="Georgia" w:cs="Arial"/>
          <w:b/>
          <w:bCs/>
          <w:sz w:val="18"/>
          <w:szCs w:val="22"/>
        </w:rPr>
      </w:pPr>
    </w:p>
    <w:p w:rsidR="009B45B1" w:rsidRPr="00AD7B0C" w:rsidRDefault="009B45B1" w:rsidP="009B45B1">
      <w:pPr>
        <w:spacing w:line="360" w:lineRule="auto"/>
        <w:jc w:val="center"/>
        <w:rPr>
          <w:rFonts w:ascii="Georgia" w:hAnsi="Georgia" w:cs="Arial"/>
          <w:b/>
          <w:bCs/>
          <w:szCs w:val="22"/>
        </w:rPr>
      </w:pPr>
    </w:p>
    <w:p w:rsidR="009B45B1" w:rsidRPr="00AD7B0C" w:rsidRDefault="009B45B1" w:rsidP="009B45B1">
      <w:pPr>
        <w:spacing w:line="360" w:lineRule="auto"/>
        <w:jc w:val="center"/>
        <w:rPr>
          <w:rFonts w:ascii="Georgia" w:hAnsi="Georgia" w:cs="Arial"/>
          <w:iCs/>
          <w:lang w:val="es-CO"/>
        </w:rPr>
      </w:pPr>
      <w:r w:rsidRPr="00FD0443">
        <w:rPr>
          <w:rFonts w:ascii="Georgia" w:hAnsi="Georgia" w:cs="Arial"/>
          <w:iCs/>
          <w:smallCaps/>
          <w:sz w:val="28"/>
          <w:lang w:val="es-CO"/>
        </w:rPr>
        <w:lastRenderedPageBreak/>
        <w:t>Pereira, R.</w:t>
      </w:r>
      <w:r w:rsidR="0075672C">
        <w:rPr>
          <w:rFonts w:ascii="Georgia" w:hAnsi="Georgia" w:cs="Arial"/>
          <w:iCs/>
          <w:smallCaps/>
          <w:sz w:val="28"/>
          <w:lang w:val="es-CO"/>
        </w:rPr>
        <w:t>,</w:t>
      </w:r>
      <w:r w:rsidRPr="00FD0443">
        <w:rPr>
          <w:rFonts w:ascii="Georgia" w:hAnsi="Georgia" w:cs="Arial"/>
          <w:iCs/>
          <w:smallCaps/>
          <w:sz w:val="28"/>
          <w:lang w:val="es-CO"/>
        </w:rPr>
        <w:t xml:space="preserve"> </w:t>
      </w:r>
      <w:r w:rsidR="0075672C">
        <w:rPr>
          <w:rFonts w:ascii="Georgia" w:hAnsi="Georgia" w:cs="Arial"/>
          <w:iCs/>
          <w:smallCaps/>
          <w:sz w:val="28"/>
          <w:lang w:val="es-CO"/>
        </w:rPr>
        <w:t xml:space="preserve">tres </w:t>
      </w:r>
      <w:r>
        <w:rPr>
          <w:rFonts w:ascii="Georgia" w:hAnsi="Georgia" w:cs="Arial"/>
          <w:iCs/>
          <w:smallCaps/>
          <w:sz w:val="28"/>
          <w:lang w:val="es-CO"/>
        </w:rPr>
        <w:t>(</w:t>
      </w:r>
      <w:r w:rsidR="0075672C">
        <w:rPr>
          <w:rFonts w:ascii="Georgia" w:hAnsi="Georgia" w:cs="Arial"/>
          <w:iCs/>
          <w:smallCaps/>
          <w:sz w:val="28"/>
          <w:lang w:val="es-CO"/>
        </w:rPr>
        <w:t>3</w:t>
      </w:r>
      <w:r w:rsidRPr="00FD0443">
        <w:rPr>
          <w:rFonts w:ascii="Georgia" w:hAnsi="Georgia" w:cs="Arial"/>
          <w:iCs/>
          <w:smallCaps/>
          <w:sz w:val="28"/>
          <w:lang w:val="es-CO"/>
        </w:rPr>
        <w:t xml:space="preserve">) de </w:t>
      </w:r>
      <w:r w:rsidR="00DC77A3">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315992" w:rsidRDefault="000147A2" w:rsidP="00971653">
      <w:pPr>
        <w:tabs>
          <w:tab w:val="left" w:pos="851"/>
          <w:tab w:val="left" w:pos="1416"/>
        </w:tabs>
        <w:spacing w:line="360" w:lineRule="auto"/>
        <w:rPr>
          <w:rFonts w:ascii="Georgia" w:hAnsi="Georgia" w:cs="Arial"/>
          <w:b/>
          <w:bCs/>
          <w:sz w:val="20"/>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315992" w:rsidRDefault="00FD0443" w:rsidP="00FD0443">
      <w:pPr>
        <w:pStyle w:val="Textoindependiente"/>
        <w:spacing w:line="360" w:lineRule="auto"/>
        <w:rPr>
          <w:rFonts w:ascii="Georgia" w:hAnsi="Georgia"/>
          <w:sz w:val="20"/>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315992"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315992" w:rsidRDefault="0099045D" w:rsidP="0099045D">
      <w:pPr>
        <w:pStyle w:val="Textoindependiente"/>
        <w:spacing w:line="360" w:lineRule="auto"/>
        <w:rPr>
          <w:rFonts w:ascii="Georgia" w:hAnsi="Georgia"/>
          <w:sz w:val="20"/>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el despacho judicial </w:t>
      </w:r>
      <w:r w:rsidR="00DC77A3">
        <w:rPr>
          <w:rFonts w:ascii="Georgia" w:hAnsi="Georgia" w:cs="Arial"/>
          <w:lang w:val="es-CO"/>
        </w:rPr>
        <w:t xml:space="preserve">se niega a tramitar el recurso de reposición que presentó en la acción popular No.2018-00379-00, por no estar sustentado, desconociendo la primacía del derecho sustancial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C82ED9">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315992" w:rsidRDefault="002B0607" w:rsidP="000A15D9">
      <w:pPr>
        <w:pStyle w:val="Textoindependiente"/>
        <w:spacing w:line="360" w:lineRule="auto"/>
        <w:rPr>
          <w:rFonts w:ascii="Georgia" w:hAnsi="Georgia"/>
          <w:sz w:val="20"/>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315992" w:rsidRDefault="00800EF6" w:rsidP="000A15D9">
      <w:pPr>
        <w:pStyle w:val="Textoindependiente"/>
        <w:spacing w:line="360" w:lineRule="auto"/>
        <w:rPr>
          <w:rFonts w:ascii="Georgia" w:hAnsi="Georgia"/>
          <w:sz w:val="20"/>
          <w:szCs w:val="24"/>
        </w:rPr>
      </w:pPr>
    </w:p>
    <w:p w:rsidR="007D0ECC" w:rsidRPr="00AD7B0C" w:rsidRDefault="00315992"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contenidos en los </w:t>
      </w:r>
      <w:r w:rsidR="00401168" w:rsidRPr="00AD7B0C">
        <w:rPr>
          <w:rFonts w:ascii="Georgia" w:hAnsi="Georgia" w:cs="Arial"/>
          <w:spacing w:val="-3"/>
          <w:lang w:val="es-ES_tradnl"/>
        </w:rPr>
        <w:t xml:space="preserve">artículos </w:t>
      </w:r>
      <w:r w:rsidR="00D25766">
        <w:rPr>
          <w:rFonts w:ascii="Georgia" w:hAnsi="Georgia" w:cs="Arial"/>
          <w:spacing w:val="-3"/>
          <w:lang w:val="es-ES_tradnl"/>
        </w:rPr>
        <w:t>13</w:t>
      </w:r>
      <w:r w:rsidR="00DC77A3">
        <w:rPr>
          <w:rFonts w:ascii="Georgia" w:hAnsi="Georgia" w:cs="Arial"/>
          <w:spacing w:val="-3"/>
          <w:lang w:val="es-ES_tradnl"/>
        </w:rPr>
        <w:t xml:space="preserve"> </w:t>
      </w:r>
      <w:r w:rsidR="00D25766">
        <w:rPr>
          <w:rFonts w:ascii="Georgia" w:hAnsi="Georgia" w:cs="Arial"/>
          <w:spacing w:val="-3"/>
          <w:lang w:val="es-ES_tradnl"/>
        </w:rPr>
        <w:t xml:space="preserve">y 86 de la CP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315992"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315992" w:rsidRDefault="00303E85" w:rsidP="000A15D9">
      <w:pPr>
        <w:pStyle w:val="Sinespaciado"/>
        <w:spacing w:line="360" w:lineRule="auto"/>
        <w:jc w:val="both"/>
        <w:rPr>
          <w:rFonts w:ascii="Georgia" w:hAnsi="Georgia" w:cs="Arial"/>
          <w:sz w:val="20"/>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DC77A3">
        <w:rPr>
          <w:rFonts w:ascii="Georgia" w:hAnsi="Georgia" w:cs="Arial"/>
        </w:rPr>
        <w:t xml:space="preserve">Tramitar la reposición; y, (ii) Aclarar si como coadyuvante es parte, sujeto procesal o tercero interesado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B0196F" w:rsidRPr="00315992" w:rsidRDefault="00B0196F" w:rsidP="000A15D9">
      <w:pPr>
        <w:spacing w:line="360" w:lineRule="auto"/>
        <w:rPr>
          <w:sz w:val="20"/>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0A15D9" w:rsidRPr="00315992" w:rsidRDefault="000A15D9" w:rsidP="003610E9">
      <w:pPr>
        <w:spacing w:line="360" w:lineRule="auto"/>
        <w:jc w:val="both"/>
        <w:rPr>
          <w:rFonts w:ascii="Georgia" w:hAnsi="Georgia"/>
          <w:sz w:val="22"/>
        </w:rPr>
      </w:pPr>
    </w:p>
    <w:p w:rsidR="003610E9" w:rsidRPr="00315992" w:rsidRDefault="0006677C" w:rsidP="003610E9">
      <w:pPr>
        <w:spacing w:line="360" w:lineRule="auto"/>
        <w:jc w:val="both"/>
        <w:rPr>
          <w:rFonts w:ascii="Georgia" w:hAnsi="Georgia" w:cs="Arial"/>
          <w:color w:val="000000"/>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DC77A3">
        <w:rPr>
          <w:rFonts w:ascii="Georgia" w:hAnsi="Georgia" w:cs="Arial"/>
          <w:color w:val="000000"/>
        </w:rPr>
        <w:t>25</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000A15D9">
        <w:rPr>
          <w:rFonts w:ascii="Georgia" w:hAnsi="Georgia" w:cs="Arial"/>
          <w:color w:val="000000"/>
        </w:rPr>
        <w:t xml:space="preserve">  se </w:t>
      </w:r>
      <w:r w:rsidR="00315992">
        <w:rPr>
          <w:rFonts w:ascii="Georgia" w:hAnsi="Georgia" w:cs="Arial"/>
          <w:color w:val="000000"/>
        </w:rPr>
        <w:t xml:space="preserv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D25766">
        <w:rPr>
          <w:rFonts w:ascii="Georgia" w:hAnsi="Georgia"/>
        </w:rPr>
        <w:t>4</w:t>
      </w:r>
      <w:r w:rsidRPr="0063183D">
        <w:rPr>
          <w:rFonts w:ascii="Georgia" w:hAnsi="Georgia"/>
        </w:rPr>
        <w:t>, ibídem)</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D25766">
        <w:rPr>
          <w:rFonts w:ascii="Georgia" w:hAnsi="Georgia" w:cs="Arial"/>
          <w:color w:val="000000"/>
        </w:rPr>
        <w:t>5 a 7</w:t>
      </w:r>
      <w:r w:rsidR="00C0628A">
        <w:rPr>
          <w:rFonts w:ascii="Georgia" w:hAnsi="Georgia" w:cs="Arial"/>
          <w:color w:val="000000"/>
        </w:rPr>
        <w:t>, ibídem). Contestaron</w:t>
      </w:r>
      <w:r w:rsidRPr="00703B98">
        <w:rPr>
          <w:rFonts w:ascii="Georgia" w:hAnsi="Georgia" w:cs="Arial"/>
          <w:color w:val="000000"/>
        </w:rPr>
        <w:t xml:space="preserve"> </w:t>
      </w:r>
      <w:r w:rsidR="000E68E3">
        <w:rPr>
          <w:rFonts w:ascii="Georgia" w:hAnsi="Georgia" w:cs="Arial"/>
          <w:color w:val="000000"/>
        </w:rPr>
        <w:t xml:space="preserve">la </w:t>
      </w:r>
      <w:r w:rsidR="0038158C" w:rsidRPr="00703B98">
        <w:rPr>
          <w:rFonts w:ascii="Georgia" w:hAnsi="Georgia" w:cs="Arial"/>
          <w:color w:val="000000"/>
        </w:rPr>
        <w:t>Procuraduría General de la Nación,</w:t>
      </w:r>
      <w:r w:rsidR="002E6C7C" w:rsidRPr="00703B98">
        <w:rPr>
          <w:rFonts w:ascii="Georgia" w:hAnsi="Georgia" w:cs="Arial"/>
          <w:color w:val="000000"/>
        </w:rPr>
        <w:t xml:space="preserve"> </w:t>
      </w:r>
      <w:r w:rsidR="00D25766">
        <w:rPr>
          <w:rFonts w:ascii="Georgia" w:hAnsi="Georgia" w:cs="Arial"/>
          <w:color w:val="000000"/>
        </w:rPr>
        <w:t>Regional</w:t>
      </w:r>
      <w:r w:rsidR="00A13C5E" w:rsidRPr="00703B98">
        <w:rPr>
          <w:rFonts w:ascii="Georgia" w:hAnsi="Georgia" w:cs="Arial"/>
          <w:color w:val="000000"/>
        </w:rPr>
        <w:t xml:space="preserve"> </w:t>
      </w:r>
      <w:r w:rsidR="00C0628A">
        <w:rPr>
          <w:rFonts w:ascii="Georgia" w:hAnsi="Georgia" w:cs="Arial"/>
          <w:color w:val="000000"/>
        </w:rPr>
        <w:t xml:space="preserve">Risaralda </w:t>
      </w:r>
      <w:r w:rsidR="00D25766">
        <w:rPr>
          <w:rFonts w:ascii="Georgia" w:hAnsi="Georgia" w:cs="Arial"/>
          <w:color w:val="000000"/>
        </w:rPr>
        <w:t>(Folio</w:t>
      </w:r>
      <w:r w:rsidR="00A13C5E" w:rsidRPr="00703B98">
        <w:rPr>
          <w:rFonts w:ascii="Georgia" w:hAnsi="Georgia" w:cs="Arial"/>
          <w:color w:val="000000"/>
        </w:rPr>
        <w:t xml:space="preserve"> </w:t>
      </w:r>
      <w:r w:rsidR="000E68E3">
        <w:rPr>
          <w:rFonts w:ascii="Georgia" w:hAnsi="Georgia" w:cs="Arial"/>
          <w:color w:val="000000"/>
        </w:rPr>
        <w:t>20, ibídem</w:t>
      </w:r>
      <w:r w:rsidR="00A13C5E" w:rsidRPr="00703B98">
        <w:rPr>
          <w:rFonts w:ascii="Georgia" w:hAnsi="Georgia" w:cs="Arial"/>
          <w:color w:val="000000"/>
        </w:rPr>
        <w:t>)</w:t>
      </w:r>
      <w:r w:rsidR="000E68E3">
        <w:rPr>
          <w:rFonts w:ascii="Georgia" w:hAnsi="Georgia" w:cs="Arial"/>
          <w:color w:val="000000"/>
        </w:rPr>
        <w:t xml:space="preserve"> y</w:t>
      </w:r>
      <w:r w:rsidR="000A15D9">
        <w:rPr>
          <w:rFonts w:ascii="Georgia" w:hAnsi="Georgia" w:cs="Arial"/>
          <w:color w:val="000000"/>
        </w:rPr>
        <w:t xml:space="preserve"> la </w:t>
      </w:r>
      <w:r w:rsidR="000E68E3">
        <w:rPr>
          <w:rFonts w:ascii="Georgia" w:hAnsi="Georgia" w:cs="Arial"/>
          <w:color w:val="000000"/>
        </w:rPr>
        <w:t xml:space="preserve">Alcaldía de Pereira </w:t>
      </w:r>
      <w:r w:rsidR="000A15D9">
        <w:rPr>
          <w:rFonts w:ascii="Georgia" w:hAnsi="Georgia" w:cs="Arial"/>
          <w:color w:val="000000"/>
        </w:rPr>
        <w:t>(Folio</w:t>
      </w:r>
      <w:r w:rsidR="000E68E3">
        <w:rPr>
          <w:rFonts w:ascii="Georgia" w:hAnsi="Georgia" w:cs="Arial"/>
          <w:color w:val="000000"/>
        </w:rPr>
        <w:t>s</w:t>
      </w:r>
      <w:r w:rsidR="000A15D9">
        <w:rPr>
          <w:rFonts w:ascii="Georgia" w:hAnsi="Georgia" w:cs="Arial"/>
          <w:color w:val="000000"/>
        </w:rPr>
        <w:t xml:space="preserve"> </w:t>
      </w:r>
      <w:r w:rsidR="000E68E3">
        <w:rPr>
          <w:rFonts w:ascii="Georgia" w:hAnsi="Georgia" w:cs="Arial"/>
          <w:color w:val="000000"/>
        </w:rPr>
        <w:t>22 a 25</w:t>
      </w:r>
      <w:r w:rsidR="000A15D9">
        <w:rPr>
          <w:rFonts w:ascii="Georgia" w:hAnsi="Georgia" w:cs="Arial"/>
          <w:color w:val="000000"/>
        </w:rPr>
        <w:t>, ib.)</w:t>
      </w:r>
      <w:r w:rsidR="000E68E3">
        <w:rPr>
          <w:rFonts w:ascii="Georgia" w:hAnsi="Georgia" w:cs="Arial"/>
          <w:color w:val="000000"/>
        </w:rPr>
        <w:t>. E</w:t>
      </w:r>
      <w:r w:rsidR="000A15D9">
        <w:rPr>
          <w:rFonts w:ascii="Georgia" w:hAnsi="Georgia" w:cs="Arial"/>
          <w:color w:val="000000"/>
        </w:rPr>
        <w:t xml:space="preserve">l Juzgado accionado </w:t>
      </w:r>
      <w:r w:rsidR="000E68E3">
        <w:rPr>
          <w:rFonts w:ascii="Georgia" w:hAnsi="Georgia" w:cs="Arial"/>
          <w:color w:val="000000"/>
        </w:rPr>
        <w:t xml:space="preserve">arrimó las copias requeridas </w:t>
      </w:r>
      <w:r w:rsidR="000A15D9">
        <w:rPr>
          <w:rFonts w:ascii="Georgia" w:hAnsi="Georgia" w:cs="Arial"/>
          <w:color w:val="000000"/>
        </w:rPr>
        <w:t>(</w:t>
      </w:r>
      <w:r w:rsidR="000E68E3">
        <w:rPr>
          <w:rFonts w:ascii="Georgia" w:hAnsi="Georgia" w:cs="Arial"/>
          <w:color w:val="000000"/>
        </w:rPr>
        <w:t>Folios 8 a 19</w:t>
      </w:r>
      <w:r w:rsidR="000A15D9">
        <w:rPr>
          <w:rFonts w:ascii="Georgia" w:hAnsi="Georgia" w:cs="Arial"/>
          <w:color w:val="000000"/>
        </w:rPr>
        <w:t>, ib.)</w:t>
      </w:r>
      <w:r w:rsidR="003610E9">
        <w:rPr>
          <w:rFonts w:ascii="Georgia" w:hAnsi="Georgia" w:cs="Arial"/>
        </w:rPr>
        <w:t>.</w:t>
      </w:r>
    </w:p>
    <w:p w:rsidR="00297AD8" w:rsidRPr="00315992" w:rsidRDefault="00297AD8" w:rsidP="0006677C">
      <w:pPr>
        <w:pStyle w:val="Prrafodelista"/>
        <w:spacing w:line="360" w:lineRule="auto"/>
        <w:ind w:left="0"/>
        <w:jc w:val="both"/>
        <w:rPr>
          <w:rFonts w:ascii="Georgia" w:hAnsi="Georgia" w:cs="Arial"/>
          <w:color w:val="000000"/>
          <w:sz w:val="2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315992" w:rsidRDefault="0006677C" w:rsidP="0006677C">
      <w:pPr>
        <w:pStyle w:val="Textoindependiente"/>
        <w:spacing w:line="360" w:lineRule="auto"/>
        <w:rPr>
          <w:rFonts w:ascii="Georgia" w:hAnsi="Georgia"/>
          <w:sz w:val="20"/>
          <w:szCs w:val="24"/>
        </w:rPr>
      </w:pPr>
    </w:p>
    <w:p w:rsidR="002E2956" w:rsidRDefault="000E68E3" w:rsidP="00D25766">
      <w:pPr>
        <w:pStyle w:val="Textoindependiente"/>
        <w:spacing w:line="360" w:lineRule="auto"/>
        <w:rPr>
          <w:rFonts w:ascii="Georgia" w:hAnsi="Georgia" w:cs="Arial"/>
          <w:color w:val="000000"/>
        </w:rPr>
      </w:pPr>
      <w:r>
        <w:rPr>
          <w:rFonts w:ascii="Georgia" w:hAnsi="Georgia" w:cs="Arial"/>
          <w:color w:val="000000"/>
        </w:rPr>
        <w:t xml:space="preserve">La </w:t>
      </w:r>
      <w:r w:rsidR="00C0628A">
        <w:rPr>
          <w:rFonts w:ascii="Georgia" w:hAnsi="Georgia" w:cs="Arial"/>
          <w:color w:val="000000"/>
        </w:rPr>
        <w:t>Procuraduría General de la Nación</w:t>
      </w:r>
      <w:r w:rsidR="00A13C5E">
        <w:rPr>
          <w:rFonts w:ascii="Georgia" w:hAnsi="Georgia" w:cs="Arial"/>
          <w:color w:val="000000"/>
        </w:rPr>
        <w:t xml:space="preserve">, </w:t>
      </w:r>
      <w:r w:rsidR="00D25766">
        <w:rPr>
          <w:rFonts w:ascii="Georgia" w:hAnsi="Georgia" w:cs="Arial"/>
          <w:color w:val="000000"/>
        </w:rPr>
        <w:t>Regional</w:t>
      </w:r>
      <w:r w:rsidR="00A86813">
        <w:rPr>
          <w:rFonts w:ascii="Georgia" w:hAnsi="Georgia" w:cs="Arial"/>
          <w:color w:val="000000"/>
        </w:rPr>
        <w:t xml:space="preserve"> </w:t>
      </w:r>
      <w:r w:rsidR="00C0628A">
        <w:rPr>
          <w:rFonts w:ascii="Georgia" w:hAnsi="Georgia" w:cs="Arial"/>
          <w:color w:val="000000"/>
        </w:rPr>
        <w:t>Risaralda</w:t>
      </w:r>
      <w:r w:rsidR="006046A2">
        <w:rPr>
          <w:rFonts w:ascii="Georgia" w:hAnsi="Georgia" w:cs="Arial"/>
          <w:color w:val="000000"/>
        </w:rPr>
        <w:t xml:space="preserve"> </w:t>
      </w:r>
      <w:r w:rsidR="002E2956">
        <w:rPr>
          <w:rFonts w:ascii="Georgia" w:hAnsi="Georgia" w:cs="Arial"/>
          <w:color w:val="000000"/>
        </w:rPr>
        <w:t>expresó</w:t>
      </w:r>
      <w:r w:rsidR="006046A2">
        <w:rPr>
          <w:rFonts w:ascii="Georgia" w:hAnsi="Georgia" w:cs="Arial"/>
          <w:color w:val="000000"/>
        </w:rPr>
        <w:t xml:space="preserve"> que la situación alegada es ajena a sus funciones como defensor</w:t>
      </w:r>
      <w:r w:rsidR="00C0628A">
        <w:rPr>
          <w:rFonts w:ascii="Georgia" w:hAnsi="Georgia" w:cs="Arial"/>
          <w:color w:val="000000"/>
        </w:rPr>
        <w:t>a</w:t>
      </w:r>
      <w:r w:rsidR="006046A2">
        <w:rPr>
          <w:rFonts w:ascii="Georgia" w:hAnsi="Georgia" w:cs="Arial"/>
          <w:color w:val="000000"/>
        </w:rPr>
        <w:t xml:space="preserve"> de los intereses colectivos </w:t>
      </w:r>
      <w:r>
        <w:rPr>
          <w:rFonts w:ascii="Georgia" w:hAnsi="Georgia" w:cs="Arial"/>
          <w:color w:val="000000"/>
        </w:rPr>
        <w:t>(Folio</w:t>
      </w:r>
      <w:r w:rsidR="00A13C5E">
        <w:rPr>
          <w:rFonts w:ascii="Georgia" w:hAnsi="Georgia" w:cs="Arial"/>
          <w:color w:val="000000"/>
        </w:rPr>
        <w:t xml:space="preserve"> </w:t>
      </w:r>
      <w:r>
        <w:rPr>
          <w:rFonts w:ascii="Georgia" w:hAnsi="Georgia" w:cs="Arial"/>
          <w:color w:val="000000"/>
        </w:rPr>
        <w:t>20</w:t>
      </w:r>
      <w:r w:rsidR="00A13C5E">
        <w:rPr>
          <w:rFonts w:ascii="Georgia" w:hAnsi="Georgia" w:cs="Arial"/>
          <w:color w:val="000000"/>
        </w:rPr>
        <w:t>, ib</w:t>
      </w:r>
      <w:r w:rsidR="007A6553">
        <w:rPr>
          <w:rFonts w:ascii="Georgia" w:hAnsi="Georgia" w:cs="Arial"/>
          <w:color w:val="000000"/>
        </w:rPr>
        <w:t>.)</w:t>
      </w:r>
      <w:r>
        <w:rPr>
          <w:rFonts w:ascii="Georgia" w:hAnsi="Georgia" w:cs="Arial"/>
          <w:color w:val="000000"/>
        </w:rPr>
        <w:t xml:space="preserve"> y la Alcaldía de Pereira alegó falta de legitimación por pasiva (Folios 22 a 25, ib.)</w:t>
      </w:r>
      <w:r w:rsidR="000A15D9">
        <w:rPr>
          <w:rFonts w:ascii="Georgia" w:hAnsi="Georgia" w:cs="Arial"/>
          <w:color w:val="000000"/>
        </w:rPr>
        <w:t>. Ambas solicitaron su desvinculación.</w:t>
      </w:r>
      <w:r w:rsidR="008240D9">
        <w:rPr>
          <w:rFonts w:ascii="Georgia" w:hAnsi="Georgia" w:cs="Arial"/>
          <w:color w:val="000000"/>
        </w:rPr>
        <w:t xml:space="preserve"> </w:t>
      </w:r>
    </w:p>
    <w:p w:rsidR="00A86813" w:rsidRPr="00315992" w:rsidRDefault="00A86813" w:rsidP="004173A5">
      <w:pPr>
        <w:pStyle w:val="Textoindependiente"/>
        <w:spacing w:line="360" w:lineRule="auto"/>
        <w:rPr>
          <w:rFonts w:ascii="Georgia" w:hAnsi="Georgia" w:cs="Arial"/>
          <w:color w:val="000000"/>
          <w:sz w:val="18"/>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315992"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w:t>
      </w:r>
      <w:r w:rsidR="000E68E3">
        <w:rPr>
          <w:rFonts w:ascii="Georgia" w:hAnsi="Georgia" w:cs="Arial"/>
          <w:color w:val="000000"/>
          <w:szCs w:val="24"/>
          <w:lang w:val="es-CO"/>
        </w:rPr>
        <w:t xml:space="preserve">Cuarto </w:t>
      </w:r>
      <w:r w:rsidR="00D94910">
        <w:rPr>
          <w:rFonts w:ascii="Georgia" w:hAnsi="Georgia" w:cs="Arial"/>
          <w:color w:val="000000"/>
          <w:szCs w:val="24"/>
        </w:rPr>
        <w:t xml:space="preserve">Civil </w:t>
      </w:r>
      <w:r w:rsidR="00813F39">
        <w:rPr>
          <w:rFonts w:ascii="Georgia" w:hAnsi="Georgia" w:cs="Arial"/>
          <w:color w:val="000000"/>
          <w:szCs w:val="24"/>
        </w:rPr>
        <w:t xml:space="preserve">del Circuito de </w:t>
      </w:r>
      <w:r w:rsidR="000E68E3">
        <w:rPr>
          <w:rFonts w:ascii="Georgia" w:hAnsi="Georgia" w:cs="Arial"/>
          <w:color w:val="000000"/>
          <w:szCs w:val="24"/>
        </w:rPr>
        <w:t>Pereira</w:t>
      </w:r>
      <w:r>
        <w:rPr>
          <w:rFonts w:ascii="Georgia" w:hAnsi="Georgia" w:cs="Arial"/>
          <w:color w:val="000000"/>
          <w:szCs w:val="24"/>
        </w:rPr>
        <w:t>.</w:t>
      </w:r>
    </w:p>
    <w:p w:rsidR="0006677C" w:rsidRPr="00315992"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315992" w:rsidRDefault="0006677C" w:rsidP="0006677C">
      <w:pPr>
        <w:pStyle w:val="Prrafodelista"/>
        <w:spacing w:line="360" w:lineRule="auto"/>
        <w:rPr>
          <w:rFonts w:ascii="Georgia" w:hAnsi="Georgia" w:cs="Arial"/>
          <w:sz w:val="18"/>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315992" w:rsidRDefault="0006677C" w:rsidP="0006677C">
      <w:pPr>
        <w:pStyle w:val="Prrafodelista"/>
        <w:spacing w:line="360" w:lineRule="auto"/>
        <w:rPr>
          <w:rFonts w:ascii="Georgia" w:hAnsi="Georgia" w:cs="Arial"/>
          <w:sz w:val="20"/>
          <w:lang w:val="es-CO"/>
        </w:rPr>
      </w:pPr>
    </w:p>
    <w:p w:rsidR="000666EF" w:rsidRPr="0075672C" w:rsidRDefault="0006677C" w:rsidP="0075672C">
      <w:pPr>
        <w:pStyle w:val="Prrafodelista"/>
        <w:numPr>
          <w:ilvl w:val="2"/>
          <w:numId w:val="18"/>
        </w:numPr>
        <w:spacing w:line="360" w:lineRule="auto"/>
        <w:jc w:val="both"/>
        <w:rPr>
          <w:rFonts w:ascii="Georgia" w:hAnsi="Georgia" w:cs="Arial"/>
          <w:spacing w:val="3"/>
        </w:rPr>
      </w:pPr>
      <w:r w:rsidRPr="0075672C">
        <w:rPr>
          <w:rFonts w:ascii="Georgia" w:hAnsi="Georgia"/>
          <w:smallCaps/>
          <w:sz w:val="22"/>
        </w:rPr>
        <w:t>La legitimación en la causa</w:t>
      </w:r>
      <w:r w:rsidRPr="0075672C">
        <w:rPr>
          <w:rFonts w:ascii="Georgia" w:hAnsi="Georgia"/>
          <w:smallCaps/>
        </w:rPr>
        <w:t xml:space="preserve">. </w:t>
      </w:r>
      <w:r w:rsidRPr="0075672C">
        <w:rPr>
          <w:rFonts w:ascii="Georgia" w:hAnsi="Georgia" w:cs="Arial"/>
        </w:rPr>
        <w:t xml:space="preserve">Se cumple por activa dado que el actor </w:t>
      </w:r>
      <w:r w:rsidR="008240D9" w:rsidRPr="0075672C">
        <w:rPr>
          <w:rFonts w:ascii="Georgia" w:hAnsi="Georgia" w:cs="Arial"/>
        </w:rPr>
        <w:t xml:space="preserve">es el promotor de la acción </w:t>
      </w:r>
      <w:r w:rsidR="00B657B5" w:rsidRPr="0075672C">
        <w:rPr>
          <w:rFonts w:ascii="Georgia" w:hAnsi="Georgia" w:cs="Arial"/>
        </w:rPr>
        <w:t>popular</w:t>
      </w:r>
      <w:r w:rsidRPr="0075672C">
        <w:rPr>
          <w:rFonts w:ascii="Georgia" w:hAnsi="Georgia" w:cs="Arial"/>
        </w:rPr>
        <w:t xml:space="preserve"> donde se reprochan la falta al debido proceso</w:t>
      </w:r>
      <w:r w:rsidR="00B657B5" w:rsidRPr="0075672C">
        <w:rPr>
          <w:rFonts w:ascii="Georgia" w:hAnsi="Georgia" w:cs="Arial"/>
        </w:rPr>
        <w:t xml:space="preserve"> (Folio </w:t>
      </w:r>
      <w:r w:rsidR="008240D9" w:rsidRPr="0075672C">
        <w:rPr>
          <w:rFonts w:ascii="Georgia" w:hAnsi="Georgia" w:cs="Arial"/>
        </w:rPr>
        <w:t>26</w:t>
      </w:r>
      <w:r w:rsidR="00B657B5" w:rsidRPr="0075672C">
        <w:rPr>
          <w:rFonts w:ascii="Georgia" w:hAnsi="Georgia" w:cs="Arial"/>
        </w:rPr>
        <w:t>, ib.)</w:t>
      </w:r>
      <w:r w:rsidRPr="0075672C">
        <w:rPr>
          <w:rFonts w:ascii="Georgia" w:hAnsi="Georgia" w:cs="Arial"/>
        </w:rPr>
        <w:t xml:space="preserve">. Y por pasiva, porque el accionado, es la autoridad judicial que conoce </w:t>
      </w:r>
      <w:r w:rsidR="00B657B5" w:rsidRPr="0075672C">
        <w:rPr>
          <w:rFonts w:ascii="Georgia" w:hAnsi="Georgia" w:cs="Arial"/>
        </w:rPr>
        <w:t>el juicio</w:t>
      </w:r>
      <w:r w:rsidR="00813F39" w:rsidRPr="0075672C">
        <w:rPr>
          <w:rFonts w:ascii="Georgia" w:hAnsi="Georgia"/>
        </w:rPr>
        <w:t>.</w:t>
      </w:r>
    </w:p>
    <w:p w:rsidR="00EE0CF1" w:rsidRPr="00315992"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315992" w:rsidRDefault="003E703E" w:rsidP="003E703E">
      <w:pPr>
        <w:pStyle w:val="Textoindependiente"/>
        <w:spacing w:line="360" w:lineRule="auto"/>
        <w:rPr>
          <w:rFonts w:ascii="Georgia" w:hAnsi="Georgia" w:cs="Arial"/>
          <w:sz w:val="20"/>
          <w:szCs w:val="24"/>
          <w:lang w:val="es-CO"/>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básicamente sustituyó la expresión “vías de hecho” por la de “causales genéricas de procedibilidad” y ensanchó las causales especiales, pasando de cuatro (4) a ocho (8).  En el mismo sentido Quiroga Natale</w:t>
      </w:r>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8240D9" w:rsidRPr="00315992" w:rsidRDefault="008240D9"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16"/>
          <w:lang w:val="es-ES_tradnl"/>
        </w:rPr>
      </w:pPr>
    </w:p>
    <w:p w:rsid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xml:space="preserve">, lo que evidencia </w:t>
      </w:r>
      <w:r w:rsidR="00315992">
        <w:rPr>
          <w:rFonts w:ascii="Georgia" w:hAnsi="Georgia" w:cs="Arial"/>
          <w:spacing w:val="-3"/>
          <w:lang w:val="es-ES_tradnl"/>
        </w:rPr>
        <w:t xml:space="preserve">  </w:t>
      </w:r>
      <w:r w:rsidRPr="00CB569A">
        <w:rPr>
          <w:rFonts w:ascii="Georgia" w:hAnsi="Georgia" w:cs="Arial"/>
          <w:spacing w:val="-3"/>
          <w:lang w:val="es-ES_tradnl"/>
        </w:rPr>
        <w:t xml:space="preserve">que </w:t>
      </w:r>
      <w:r w:rsidR="00315992">
        <w:rPr>
          <w:rFonts w:ascii="Georgia" w:hAnsi="Georgia" w:cs="Arial"/>
          <w:spacing w:val="-3"/>
          <w:lang w:val="es-ES_tradnl"/>
        </w:rPr>
        <w:t xml:space="preserve">  </w:t>
      </w:r>
      <w:r w:rsidRPr="00CB569A">
        <w:rPr>
          <w:rFonts w:ascii="Georgia" w:hAnsi="Georgia" w:cs="Arial"/>
          <w:spacing w:val="-3"/>
          <w:lang w:val="es-ES_tradnl"/>
        </w:rPr>
        <w:t xml:space="preserve">son </w:t>
      </w:r>
      <w:r w:rsidR="00315992">
        <w:rPr>
          <w:rFonts w:ascii="Georgia" w:hAnsi="Georgia" w:cs="Arial"/>
          <w:spacing w:val="-3"/>
          <w:lang w:val="es-ES_tradnl"/>
        </w:rPr>
        <w:t xml:space="preserve">  </w:t>
      </w:r>
      <w:r w:rsidRPr="00CB569A">
        <w:rPr>
          <w:rFonts w:ascii="Georgia" w:hAnsi="Georgia" w:cs="Arial"/>
          <w:spacing w:val="-3"/>
          <w:lang w:val="es-ES_tradnl"/>
        </w:rPr>
        <w:t xml:space="preserve">dos </w:t>
      </w:r>
      <w:r w:rsidR="00315992">
        <w:rPr>
          <w:rFonts w:ascii="Georgia" w:hAnsi="Georgia" w:cs="Arial"/>
          <w:spacing w:val="-3"/>
          <w:lang w:val="es-ES_tradnl"/>
        </w:rPr>
        <w:t xml:space="preserve">  </w:t>
      </w:r>
      <w:r w:rsidRPr="00CB569A">
        <w:rPr>
          <w:rFonts w:ascii="Georgia" w:hAnsi="Georgia" w:cs="Arial"/>
          <w:spacing w:val="-3"/>
          <w:lang w:val="es-ES_tradnl"/>
        </w:rPr>
        <w:t xml:space="preserve">planos </w:t>
      </w:r>
      <w:r w:rsidR="00315992">
        <w:rPr>
          <w:rFonts w:ascii="Georgia" w:hAnsi="Georgia" w:cs="Arial"/>
          <w:spacing w:val="-3"/>
          <w:lang w:val="es-ES_tradnl"/>
        </w:rPr>
        <w:t xml:space="preserve">  </w:t>
      </w:r>
      <w:r w:rsidRPr="00CB569A">
        <w:rPr>
          <w:rFonts w:ascii="Georgia" w:hAnsi="Georgia" w:cs="Arial"/>
          <w:spacing w:val="-3"/>
          <w:lang w:val="es-ES_tradnl"/>
        </w:rPr>
        <w:t xml:space="preserve">de </w:t>
      </w:r>
      <w:r w:rsidR="00315992">
        <w:rPr>
          <w:rFonts w:ascii="Georgia" w:hAnsi="Georgia" w:cs="Arial"/>
          <w:spacing w:val="-3"/>
          <w:lang w:val="es-ES_tradnl"/>
        </w:rPr>
        <w:t xml:space="preserve">  </w:t>
      </w:r>
      <w:r w:rsidRPr="00CB569A">
        <w:rPr>
          <w:rFonts w:ascii="Georgia" w:hAnsi="Georgia" w:cs="Arial"/>
          <w:spacing w:val="-3"/>
          <w:lang w:val="es-ES_tradnl"/>
        </w:rPr>
        <w:t xml:space="preserve">estudio </w:t>
      </w:r>
      <w:r w:rsidR="00315992">
        <w:rPr>
          <w:rFonts w:ascii="Georgia" w:hAnsi="Georgia" w:cs="Arial"/>
          <w:spacing w:val="-3"/>
          <w:lang w:val="es-ES_tradnl"/>
        </w:rPr>
        <w:t xml:space="preserve">  </w:t>
      </w:r>
      <w:r w:rsidRPr="00CB569A">
        <w:rPr>
          <w:rFonts w:ascii="Georgia" w:hAnsi="Georgia" w:cs="Arial"/>
          <w:spacing w:val="-3"/>
          <w:lang w:val="es-ES_tradnl"/>
        </w:rPr>
        <w:t xml:space="preserve">diversos, </w:t>
      </w:r>
      <w:r w:rsidR="00315992">
        <w:rPr>
          <w:rFonts w:ascii="Georgia" w:hAnsi="Georgia" w:cs="Arial"/>
          <w:spacing w:val="-3"/>
          <w:lang w:val="es-ES_tradnl"/>
        </w:rPr>
        <w:t xml:space="preserve"> </w:t>
      </w:r>
      <w:r w:rsidRPr="00CB569A">
        <w:rPr>
          <w:rFonts w:ascii="Georgia" w:hAnsi="Georgia" w:cs="Arial"/>
          <w:spacing w:val="-3"/>
          <w:lang w:val="es-ES_tradnl"/>
        </w:rPr>
        <w:t xml:space="preserve">entonces, </w:t>
      </w:r>
      <w:r w:rsidR="00315992">
        <w:rPr>
          <w:rFonts w:ascii="Georgia" w:hAnsi="Georgia" w:cs="Arial"/>
          <w:spacing w:val="-3"/>
          <w:lang w:val="es-ES_tradnl"/>
        </w:rPr>
        <w:t xml:space="preserve"> </w:t>
      </w:r>
      <w:r w:rsidRPr="00CB569A">
        <w:rPr>
          <w:rFonts w:ascii="Georgia" w:hAnsi="Georgia" w:cs="Arial"/>
          <w:spacing w:val="-3"/>
          <w:lang w:val="es-ES_tradnl"/>
        </w:rPr>
        <w:t xml:space="preserve">mal </w:t>
      </w:r>
      <w:r w:rsidR="00315992">
        <w:rPr>
          <w:rFonts w:ascii="Georgia" w:hAnsi="Georgia" w:cs="Arial"/>
          <w:spacing w:val="-3"/>
          <w:lang w:val="es-ES_tradnl"/>
        </w:rPr>
        <w:t xml:space="preserve"> </w:t>
      </w:r>
      <w:r w:rsidRPr="00CB569A">
        <w:rPr>
          <w:rFonts w:ascii="Georgia" w:hAnsi="Georgia" w:cs="Arial"/>
          <w:spacing w:val="-3"/>
          <w:lang w:val="es-ES_tradnl"/>
        </w:rPr>
        <w:t xml:space="preserve">puede </w:t>
      </w:r>
      <w:r w:rsidR="00315992">
        <w:rPr>
          <w:rFonts w:ascii="Georgia" w:hAnsi="Georgia" w:cs="Arial"/>
          <w:spacing w:val="-3"/>
          <w:lang w:val="es-ES_tradnl"/>
        </w:rPr>
        <w:t xml:space="preserve"> </w:t>
      </w:r>
      <w:r w:rsidRPr="00CB569A">
        <w:rPr>
          <w:rFonts w:ascii="Georgia" w:hAnsi="Georgia" w:cs="Arial"/>
          <w:spacing w:val="-3"/>
          <w:lang w:val="es-ES_tradnl"/>
        </w:rPr>
        <w:t xml:space="preserve">mutarse </w:t>
      </w:r>
      <w:r w:rsidR="00315992">
        <w:rPr>
          <w:rFonts w:ascii="Georgia" w:hAnsi="Georgia" w:cs="Arial"/>
          <w:spacing w:val="-3"/>
          <w:lang w:val="es-ES_tradnl"/>
        </w:rPr>
        <w:t xml:space="preserve"> </w:t>
      </w:r>
      <w:r w:rsidRPr="00CB569A">
        <w:rPr>
          <w:rFonts w:ascii="Georgia" w:hAnsi="Georgia" w:cs="Arial"/>
          <w:spacing w:val="-3"/>
          <w:lang w:val="es-ES_tradnl"/>
        </w:rPr>
        <w:t xml:space="preserve">en </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w:t>
      </w:r>
      <w:r w:rsidRPr="005E222A">
        <w:rPr>
          <w:rFonts w:ascii="Georgia" w:hAnsi="Georgia" w:cs="Arial"/>
          <w:spacing w:val="-3"/>
          <w:lang w:val="es-ES_tradnl"/>
        </w:rPr>
        <w:lastRenderedPageBreak/>
        <w:t>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E22A96" w:rsidRPr="00315992" w:rsidRDefault="00E22A96" w:rsidP="003E703E">
      <w:pPr>
        <w:pStyle w:val="Textoindependiente"/>
        <w:shd w:val="clear" w:color="auto" w:fill="FFFFFF" w:themeFill="background1"/>
        <w:spacing w:line="360" w:lineRule="auto"/>
        <w:rPr>
          <w:rFonts w:ascii="Georgia" w:hAnsi="Georgia" w:cs="Arial"/>
          <w:sz w:val="20"/>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B657B5" w:rsidRDefault="00C74846" w:rsidP="006A1FD7">
      <w:pPr>
        <w:pStyle w:val="Textoindependiente"/>
        <w:tabs>
          <w:tab w:val="clear" w:pos="0"/>
          <w:tab w:val="clear" w:pos="1416"/>
        </w:tabs>
        <w:spacing w:line="360" w:lineRule="auto"/>
        <w:rPr>
          <w:rFonts w:ascii="Georgia" w:hAnsi="Georgia"/>
          <w:sz w:val="20"/>
          <w:szCs w:val="24"/>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9"/>
      </w:r>
      <w:r w:rsidR="00124549">
        <w:rPr>
          <w:rFonts w:ascii="Georgia" w:hAnsi="Georgia" w:cs="Arial"/>
          <w:shd w:val="clear" w:color="auto" w:fill="FFFFFF"/>
        </w:rPr>
        <w:t xml:space="preserve">. </w:t>
      </w:r>
    </w:p>
    <w:p w:rsidR="000E68E3" w:rsidRPr="00315992" w:rsidRDefault="000E68E3" w:rsidP="00124549">
      <w:pPr>
        <w:spacing w:line="360" w:lineRule="auto"/>
        <w:jc w:val="both"/>
        <w:rPr>
          <w:rFonts w:ascii="Georgia" w:hAnsi="Georgia" w:cs="Arial"/>
          <w:sz w:val="20"/>
          <w:shd w:val="clear" w:color="auto" w:fill="FFFFFF"/>
        </w:rPr>
      </w:pPr>
    </w:p>
    <w:p w:rsidR="00B657B5" w:rsidRDefault="00B657B5" w:rsidP="00B657B5">
      <w:pPr>
        <w:pStyle w:val="Textoindependiente"/>
        <w:tabs>
          <w:tab w:val="clear" w:pos="0"/>
        </w:tabs>
        <w:spacing w:line="360" w:lineRule="auto"/>
        <w:rPr>
          <w:rFonts w:ascii="Georgia" w:hAnsi="Georgia" w:cs="Arial"/>
          <w:sz w:val="22"/>
          <w:szCs w:val="24"/>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subsidiaridad</w:t>
      </w:r>
      <w:r>
        <w:rPr>
          <w:rFonts w:ascii="Georgia" w:hAnsi="Georgia" w:cs="Arial"/>
        </w:rPr>
        <w:t xml:space="preserve"> de la tutela</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0"/>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A33A2C" w:rsidRDefault="00B657B5" w:rsidP="00B657B5">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w:t>
      </w:r>
      <w:r w:rsidR="00885549" w:rsidRPr="00885549">
        <w:rPr>
          <w:rFonts w:ascii="Georgia" w:hAnsi="Georgia" w:cs="Arial"/>
          <w:i/>
          <w:sz w:val="22"/>
          <w:szCs w:val="22"/>
        </w:rPr>
        <w:t>“</w:t>
      </w:r>
      <w:r w:rsidR="00885549" w:rsidRPr="00885549">
        <w:rPr>
          <w:rFonts w:ascii="Georgia" w:hAnsi="Georgia" w:cs="Arial"/>
          <w:i/>
          <w:iCs/>
          <w:sz w:val="22"/>
          <w:szCs w:val="22"/>
          <w:lang w:val="es-ES"/>
        </w:rPr>
        <w:t>(i)</w:t>
      </w:r>
      <w:r w:rsidR="00885549"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00885549" w:rsidRPr="00885549">
        <w:rPr>
          <w:rFonts w:ascii="Georgia" w:hAnsi="Georgia" w:cs="Arial"/>
          <w:sz w:val="22"/>
          <w:szCs w:val="22"/>
          <w:lang w:val="es-ES"/>
        </w:rPr>
        <w:t xml:space="preserve"> (…)</w:t>
      </w:r>
      <w:r w:rsidR="00885549">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2"/>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3"/>
      </w:r>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prohija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B657B5" w:rsidRPr="00315992" w:rsidRDefault="00B657B5" w:rsidP="00A33A2C">
      <w:pPr>
        <w:spacing w:line="360" w:lineRule="auto"/>
        <w:jc w:val="both"/>
        <w:rPr>
          <w:rFonts w:ascii="Georgia" w:hAnsi="Georgia" w:cs="Arial"/>
          <w:sz w:val="20"/>
        </w:rPr>
      </w:pPr>
    </w:p>
    <w:p w:rsidR="007A20DD" w:rsidRDefault="00393579" w:rsidP="0076285F">
      <w:pPr>
        <w:spacing w:line="360" w:lineRule="auto"/>
        <w:jc w:val="both"/>
        <w:rPr>
          <w:rFonts w:ascii="Georgia" w:hAnsi="Georgia" w:cs="Arial"/>
        </w:rPr>
      </w:pPr>
      <w:r>
        <w:rPr>
          <w:rFonts w:ascii="Georgia" w:hAnsi="Georgia" w:cs="Arial"/>
        </w:rPr>
        <w:lastRenderedPageBreak/>
        <w:t>Examinado e</w:t>
      </w:r>
      <w:r w:rsidR="0076285F" w:rsidRPr="0076285F">
        <w:rPr>
          <w:rFonts w:ascii="Georgia" w:hAnsi="Georgia" w:cs="Arial"/>
        </w:rPr>
        <w:t xml:space="preserve">l acervo probatorio </w:t>
      </w:r>
      <w:r w:rsidR="00885549">
        <w:rPr>
          <w:rFonts w:ascii="Georgia" w:hAnsi="Georgia" w:cs="Arial"/>
        </w:rPr>
        <w:t>se tiene que</w:t>
      </w:r>
      <w:r w:rsidR="004F53E2">
        <w:rPr>
          <w:rFonts w:ascii="Georgia" w:hAnsi="Georgia" w:cs="Arial"/>
        </w:rPr>
        <w:t xml:space="preserve"> </w:t>
      </w:r>
      <w:r w:rsidR="000E68E3">
        <w:rPr>
          <w:rFonts w:ascii="Georgia" w:hAnsi="Georgia" w:cs="Arial"/>
        </w:rPr>
        <w:t xml:space="preserve">la </w:t>
      </w:r>
      <w:r w:rsidR="00885549" w:rsidRPr="00885549">
        <w:rPr>
          <w:rFonts w:ascii="Georgia" w:hAnsi="Georgia" w:cs="Arial"/>
          <w:i/>
        </w:rPr>
        <w:t>a quo</w:t>
      </w:r>
      <w:r w:rsidR="000E68E3">
        <w:rPr>
          <w:rFonts w:ascii="Georgia" w:hAnsi="Georgia" w:cs="Arial"/>
          <w:i/>
        </w:rPr>
        <w:t xml:space="preserve"> </w:t>
      </w:r>
      <w:r w:rsidR="000E68E3">
        <w:rPr>
          <w:rFonts w:ascii="Georgia" w:hAnsi="Georgia" w:cs="Arial"/>
        </w:rPr>
        <w:t xml:space="preserve">mediante proveído del 16-05-2018 admitió la acción popular, recurrido en reposición por el señor Juan Morales, </w:t>
      </w:r>
      <w:r w:rsidR="00315992">
        <w:rPr>
          <w:rFonts w:ascii="Georgia" w:hAnsi="Georgia" w:cs="Arial"/>
        </w:rPr>
        <w:t xml:space="preserve">lo </w:t>
      </w:r>
      <w:r w:rsidR="000E68E3">
        <w:rPr>
          <w:rFonts w:ascii="Georgia" w:hAnsi="Georgia" w:cs="Arial"/>
        </w:rPr>
        <w:t xml:space="preserve">mantuvo incólume con </w:t>
      </w:r>
      <w:r w:rsidR="007A20DD">
        <w:rPr>
          <w:rFonts w:ascii="Georgia" w:hAnsi="Georgia" w:cs="Arial"/>
        </w:rPr>
        <w:t xml:space="preserve">providencia </w:t>
      </w:r>
      <w:r w:rsidR="000E68E3">
        <w:rPr>
          <w:rFonts w:ascii="Georgia" w:hAnsi="Georgia" w:cs="Arial"/>
        </w:rPr>
        <w:t xml:space="preserve">del 06-06-2018, controvertido también, pero por el señor Javier Elías Arias idárraga, </w:t>
      </w:r>
      <w:r w:rsidR="007A20DD">
        <w:rPr>
          <w:rFonts w:ascii="Georgia" w:hAnsi="Georgia" w:cs="Arial"/>
        </w:rPr>
        <w:t xml:space="preserve">con auto del 19-06-2018 </w:t>
      </w:r>
      <w:r w:rsidR="00315992">
        <w:rPr>
          <w:rFonts w:ascii="Georgia" w:hAnsi="Georgia" w:cs="Arial"/>
        </w:rPr>
        <w:t xml:space="preserve">lo </w:t>
      </w:r>
      <w:r w:rsidR="000E68E3">
        <w:rPr>
          <w:rFonts w:ascii="Georgia" w:hAnsi="Georgia" w:cs="Arial"/>
        </w:rPr>
        <w:t xml:space="preserve">rechazó por </w:t>
      </w:r>
      <w:r w:rsidR="007A20DD">
        <w:rPr>
          <w:rFonts w:ascii="Georgia" w:hAnsi="Georgia" w:cs="Arial"/>
        </w:rPr>
        <w:t>carecer de sustentación, entre otras decisiones, notificado con fijación en el estado del 20-06-2018, sin ser cuestionado a ese respecto por el promotor del amparo (Folios 11 a 18, este cuaderno).</w:t>
      </w:r>
    </w:p>
    <w:p w:rsidR="007A20DD" w:rsidRPr="00315992" w:rsidRDefault="007A20DD" w:rsidP="0076285F">
      <w:pPr>
        <w:spacing w:line="360" w:lineRule="auto"/>
        <w:jc w:val="both"/>
        <w:rPr>
          <w:rFonts w:ascii="Georgia" w:hAnsi="Georgia" w:cs="Arial"/>
          <w:sz w:val="20"/>
        </w:rPr>
      </w:pPr>
    </w:p>
    <w:p w:rsidR="00315992" w:rsidRDefault="007A20DD" w:rsidP="0076285F">
      <w:pPr>
        <w:spacing w:line="360" w:lineRule="auto"/>
        <w:jc w:val="both"/>
        <w:rPr>
          <w:rFonts w:ascii="Georgia" w:hAnsi="Georgia" w:cs="Arial"/>
          <w:lang w:val="es-CO"/>
        </w:rPr>
      </w:pPr>
      <w:r>
        <w:rPr>
          <w:rFonts w:ascii="Georgia" w:hAnsi="Georgia" w:cs="Arial"/>
        </w:rPr>
        <w:t xml:space="preserve">Según </w:t>
      </w:r>
      <w:r w:rsidR="00315992">
        <w:rPr>
          <w:rFonts w:ascii="Georgia" w:hAnsi="Georgia" w:cs="Arial"/>
        </w:rPr>
        <w:t xml:space="preserve">el </w:t>
      </w:r>
      <w:r>
        <w:rPr>
          <w:rFonts w:ascii="Georgia" w:hAnsi="Georgia" w:cs="Arial"/>
        </w:rPr>
        <w:t>recuento procesal, el accionante dejó de rebatir la decisión de la funcionaria judicial sobre el rechazo del recurso, medio ordinario procedente e idóneo para procurar la defensa de sus derechos al interior de ese trámite popular (Artículo 36, Ley 476)</w:t>
      </w:r>
      <w:r w:rsidR="00315992">
        <w:rPr>
          <w:rFonts w:ascii="Georgia" w:hAnsi="Georgia" w:cs="Arial"/>
        </w:rPr>
        <w:t>.</w:t>
      </w:r>
      <w:r>
        <w:rPr>
          <w:rFonts w:ascii="Georgia" w:hAnsi="Georgia" w:cs="Arial"/>
        </w:rPr>
        <w:t xml:space="preserve"> </w:t>
      </w:r>
      <w:r w:rsidR="00315992">
        <w:rPr>
          <w:rFonts w:ascii="Georgia" w:hAnsi="Georgia" w:cs="Arial"/>
        </w:rPr>
        <w:t>C</w:t>
      </w:r>
      <w:r>
        <w:rPr>
          <w:rFonts w:ascii="Georgia" w:hAnsi="Georgia" w:cs="Arial"/>
        </w:rPr>
        <w:t>omo quiera que dicho auto no resolvió la reposición</w:t>
      </w:r>
      <w:r w:rsidR="00315992">
        <w:rPr>
          <w:rFonts w:ascii="Georgia" w:hAnsi="Georgia" w:cs="Arial"/>
        </w:rPr>
        <w:t>,</w:t>
      </w:r>
      <w:r>
        <w:rPr>
          <w:rFonts w:ascii="Georgia" w:hAnsi="Georgia" w:cs="Arial"/>
        </w:rPr>
        <w:t xml:space="preserve"> era susceptible</w:t>
      </w:r>
      <w:r w:rsidR="00315992">
        <w:rPr>
          <w:rFonts w:ascii="Georgia" w:hAnsi="Georgia" w:cs="Arial"/>
        </w:rPr>
        <w:t xml:space="preserve"> de ser recurrido</w:t>
      </w:r>
      <w:r>
        <w:rPr>
          <w:rFonts w:ascii="Georgia" w:hAnsi="Georgia" w:cs="Arial"/>
        </w:rPr>
        <w:t xml:space="preserve"> sobre la </w:t>
      </w:r>
      <w:r>
        <w:rPr>
          <w:rFonts w:ascii="Georgia" w:hAnsi="Georgia" w:cs="Arial"/>
          <w:lang w:val="es-CO"/>
        </w:rPr>
        <w:t xml:space="preserve">exigencia de la sustentación (Artículo 318, inciso 2º, CGP), </w:t>
      </w:r>
      <w:r w:rsidR="00315992">
        <w:rPr>
          <w:rFonts w:ascii="Georgia" w:hAnsi="Georgia" w:cs="Arial"/>
          <w:lang w:val="es-CO"/>
        </w:rPr>
        <w:t xml:space="preserve">supuestamente, </w:t>
      </w:r>
      <w:r>
        <w:rPr>
          <w:rFonts w:ascii="Georgia" w:hAnsi="Georgia" w:cs="Arial"/>
          <w:lang w:val="es-CO"/>
        </w:rPr>
        <w:t xml:space="preserve">innecesaria </w:t>
      </w:r>
      <w:r w:rsidR="00315992">
        <w:rPr>
          <w:rFonts w:ascii="Georgia" w:hAnsi="Georgia" w:cs="Arial"/>
          <w:lang w:val="es-CO"/>
        </w:rPr>
        <w:t xml:space="preserve">para el actor </w:t>
      </w:r>
      <w:r>
        <w:rPr>
          <w:rFonts w:ascii="Georgia" w:hAnsi="Georgia" w:cs="Arial"/>
          <w:lang w:val="es-CO"/>
        </w:rPr>
        <w:t>en ese tipo de asuntos constitucional</w:t>
      </w:r>
      <w:r w:rsidR="00315992">
        <w:rPr>
          <w:rFonts w:ascii="Georgia" w:hAnsi="Georgia" w:cs="Arial"/>
          <w:lang w:val="es-CO"/>
        </w:rPr>
        <w:t>es</w:t>
      </w:r>
      <w:r>
        <w:rPr>
          <w:rFonts w:ascii="Georgia" w:hAnsi="Georgia" w:cs="Arial"/>
          <w:lang w:val="es-CO"/>
        </w:rPr>
        <w:t>, según lo expone en el libelo (Folio 1, este cuaderno)</w:t>
      </w:r>
      <w:r w:rsidR="005E75D6">
        <w:rPr>
          <w:rFonts w:ascii="Georgia" w:hAnsi="Georgia" w:cs="Arial"/>
          <w:lang w:val="es-CO"/>
        </w:rPr>
        <w:t xml:space="preserve">. </w:t>
      </w:r>
    </w:p>
    <w:p w:rsidR="00315992" w:rsidRPr="00315992" w:rsidRDefault="00315992" w:rsidP="0076285F">
      <w:pPr>
        <w:spacing w:line="360" w:lineRule="auto"/>
        <w:jc w:val="both"/>
        <w:rPr>
          <w:rFonts w:ascii="Georgia" w:hAnsi="Georgia" w:cs="Arial"/>
          <w:sz w:val="20"/>
          <w:lang w:val="es-CO"/>
        </w:rPr>
      </w:pPr>
    </w:p>
    <w:p w:rsidR="00315992" w:rsidRDefault="005E75D6" w:rsidP="00315992">
      <w:pPr>
        <w:spacing w:line="360" w:lineRule="auto"/>
        <w:jc w:val="both"/>
        <w:rPr>
          <w:rFonts w:ascii="Georgia" w:hAnsi="Georgia" w:cs="Arial"/>
        </w:rPr>
      </w:pPr>
      <w:r>
        <w:rPr>
          <w:rFonts w:ascii="Georgia" w:hAnsi="Georgia" w:cs="Arial"/>
          <w:lang w:val="es-CO"/>
        </w:rPr>
        <w:t xml:space="preserve">Claro es que endilga la afectación de derechos a una autoridad que no ha tenido la oportunidad de </w:t>
      </w:r>
      <w:r w:rsidR="007A20DD">
        <w:rPr>
          <w:rFonts w:ascii="Georgia" w:hAnsi="Georgia" w:cs="Arial"/>
          <w:lang w:val="es-CO"/>
        </w:rPr>
        <w:t>reparar sobre su determinación</w:t>
      </w:r>
      <w:r>
        <w:rPr>
          <w:rFonts w:ascii="Georgia" w:hAnsi="Georgia" w:cs="Arial"/>
          <w:lang w:val="es-CO"/>
        </w:rPr>
        <w:t xml:space="preserve">. </w:t>
      </w:r>
      <w:r w:rsidR="00315992">
        <w:rPr>
          <w:rFonts w:ascii="Georgia" w:hAnsi="Georgia" w:cs="Arial"/>
        </w:rPr>
        <w:t xml:space="preserve">Válido referir la postura de la </w:t>
      </w:r>
      <w:r w:rsidR="00315992" w:rsidRPr="00DB39AD">
        <w:rPr>
          <w:rFonts w:ascii="Georgia" w:hAnsi="Georgia" w:cs="Arial"/>
        </w:rPr>
        <w:t>CSJ</w:t>
      </w:r>
      <w:r w:rsidR="00315992" w:rsidRPr="00DB39AD">
        <w:rPr>
          <w:rStyle w:val="Refdenotaalpie"/>
          <w:rFonts w:ascii="Georgia" w:hAnsi="Georgia"/>
        </w:rPr>
        <w:footnoteReference w:id="14"/>
      </w:r>
      <w:r w:rsidR="00315992">
        <w:rPr>
          <w:rFonts w:ascii="Georgia" w:hAnsi="Georgia" w:cs="Arial"/>
        </w:rPr>
        <w:t xml:space="preserve"> respecto de la eficacia de ese recurso: </w:t>
      </w:r>
    </w:p>
    <w:p w:rsidR="00315992" w:rsidRPr="003C6D94" w:rsidRDefault="00315992" w:rsidP="00315992">
      <w:pPr>
        <w:spacing w:line="360" w:lineRule="auto"/>
        <w:jc w:val="both"/>
        <w:rPr>
          <w:rFonts w:ascii="Georgia" w:hAnsi="Georgia" w:cs="Arial"/>
          <w:sz w:val="20"/>
          <w:lang w:val="es-CO"/>
        </w:rPr>
      </w:pPr>
    </w:p>
    <w:p w:rsidR="00315992" w:rsidRPr="005C7E66" w:rsidRDefault="00315992" w:rsidP="00315992">
      <w:pPr>
        <w:ind w:left="709" w:right="618"/>
        <w:jc w:val="both"/>
        <w:rPr>
          <w:rFonts w:ascii="Georgia" w:hAnsi="Georgia" w:cs="Arial"/>
          <w:bCs/>
          <w:sz w:val="28"/>
          <w:szCs w:val="28"/>
          <w:lang w:eastAsia="x-none"/>
        </w:rPr>
      </w:pPr>
      <w:r w:rsidRPr="00DB39AD">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315992" w:rsidRPr="00315992" w:rsidRDefault="00315992" w:rsidP="0076285F">
      <w:pPr>
        <w:spacing w:line="360" w:lineRule="auto"/>
        <w:jc w:val="both"/>
        <w:rPr>
          <w:rFonts w:ascii="Georgia" w:hAnsi="Georgia" w:cs="Arial"/>
        </w:rPr>
      </w:pPr>
    </w:p>
    <w:p w:rsidR="00A33A2C" w:rsidRDefault="00415A6A" w:rsidP="00A33A2C">
      <w:pPr>
        <w:spacing w:line="360" w:lineRule="auto"/>
        <w:ind w:right="51"/>
        <w:jc w:val="both"/>
        <w:rPr>
          <w:rFonts w:ascii="Georgia" w:hAnsi="Georgia"/>
        </w:rPr>
      </w:pPr>
      <w:r>
        <w:rPr>
          <w:rFonts w:ascii="Georgia" w:hAnsi="Georgia"/>
        </w:rPr>
        <w:t xml:space="preserve">Sin lugar a dudas, </w:t>
      </w:r>
      <w:r w:rsidR="00315992">
        <w:rPr>
          <w:rFonts w:ascii="Georgia" w:hAnsi="Georgia"/>
        </w:rPr>
        <w:t xml:space="preserve">esta tutela es improcedente por carecer del </w:t>
      </w:r>
      <w:r>
        <w:rPr>
          <w:rFonts w:ascii="Georgia" w:hAnsi="Georgia"/>
        </w:rPr>
        <w:t>presupuesto de la subsidiarieda</w:t>
      </w:r>
      <w:r w:rsidR="005E75D6">
        <w:rPr>
          <w:rFonts w:ascii="Georgia" w:hAnsi="Georgia"/>
        </w:rPr>
        <w:t xml:space="preserve">d, sin que sea dable </w:t>
      </w:r>
      <w:r w:rsidR="00A33A2C">
        <w:rPr>
          <w:rFonts w:ascii="Georgia" w:hAnsi="Georgia"/>
        </w:rPr>
        <w:t xml:space="preserve">flexibilizar </w:t>
      </w:r>
      <w:r w:rsidR="005E75D6">
        <w:rPr>
          <w:rFonts w:ascii="Georgia" w:hAnsi="Georgia"/>
        </w:rPr>
        <w:t xml:space="preserve">su </w:t>
      </w:r>
      <w:r w:rsidR="00A33A2C">
        <w:rPr>
          <w:rFonts w:ascii="Georgia" w:hAnsi="Georgia"/>
        </w:rPr>
        <w:t>análisis</w:t>
      </w:r>
      <w:r w:rsidR="004A5232">
        <w:rPr>
          <w:rFonts w:ascii="Georgia" w:hAnsi="Georgia"/>
        </w:rPr>
        <w:t>,</w:t>
      </w:r>
      <w:r w:rsidR="00A33A2C">
        <w:rPr>
          <w:rFonts w:ascii="Georgia" w:hAnsi="Georgia"/>
        </w:rPr>
        <w:t xml:space="preserve">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5"/>
      </w:r>
      <w:r w:rsidR="005E75D6">
        <w:rPr>
          <w:rFonts w:ascii="Georgia" w:hAnsi="Georgia" w:cs="Arial"/>
          <w:bCs/>
          <w:szCs w:val="22"/>
          <w:lang w:val="es-CO"/>
        </w:rPr>
        <w:t xml:space="preserve">; tampoco que el mentado mecanismo </w:t>
      </w:r>
      <w:r w:rsidR="00C52875">
        <w:rPr>
          <w:rFonts w:ascii="Georgia" w:hAnsi="Georgia" w:cs="Arial"/>
          <w:bCs/>
          <w:szCs w:val="22"/>
          <w:lang w:val="es-CO"/>
        </w:rPr>
        <w:t>es</w:t>
      </w:r>
      <w:r w:rsidR="005E75D6">
        <w:rPr>
          <w:rFonts w:ascii="Georgia" w:hAnsi="Georgia" w:cs="Arial"/>
          <w:bCs/>
          <w:szCs w:val="22"/>
          <w:lang w:val="es-CO"/>
        </w:rPr>
        <w:t xml:space="preserve"> ineficaz</w:t>
      </w:r>
      <w:r w:rsidR="00C52875">
        <w:rPr>
          <w:rFonts w:ascii="Georgia" w:hAnsi="Georgia" w:cs="Arial"/>
          <w:bCs/>
          <w:szCs w:val="22"/>
          <w:lang w:val="es-CO"/>
        </w:rPr>
        <w:t>, menos</w:t>
      </w:r>
      <w:r w:rsidR="005E75D6">
        <w:rPr>
          <w:rFonts w:ascii="Georgia" w:hAnsi="Georgia" w:cs="Arial"/>
          <w:bCs/>
          <w:szCs w:val="22"/>
          <w:lang w:val="es-CO"/>
        </w:rPr>
        <w:t xml:space="preserve"> que sea inminente la causación de un perjuicio irremediable</w:t>
      </w:r>
      <w:r w:rsidR="005E75D6">
        <w:rPr>
          <w:rStyle w:val="Refdenotaalpie"/>
          <w:rFonts w:ascii="Georgia" w:hAnsi="Georgia"/>
          <w:bCs/>
          <w:szCs w:val="22"/>
          <w:lang w:val="es-CO"/>
        </w:rPr>
        <w:footnoteReference w:id="16"/>
      </w:r>
      <w:r w:rsidR="00A33A2C" w:rsidRPr="00B33A0F">
        <w:rPr>
          <w:rFonts w:ascii="Georgia" w:hAnsi="Georgia"/>
        </w:rPr>
        <w:t>.</w:t>
      </w:r>
    </w:p>
    <w:p w:rsidR="00A33A2C" w:rsidRPr="00315992" w:rsidRDefault="00A33A2C" w:rsidP="00124549">
      <w:pPr>
        <w:spacing w:line="360" w:lineRule="auto"/>
        <w:jc w:val="both"/>
        <w:rPr>
          <w:rFonts w:ascii="Georgia" w:hAnsi="Georgia" w:cs="Arial"/>
          <w:sz w:val="20"/>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315992" w:rsidRDefault="00F40F94" w:rsidP="00F40F94">
      <w:pPr>
        <w:pStyle w:val="Textoindependiente"/>
        <w:spacing w:line="360" w:lineRule="auto"/>
        <w:ind w:left="400"/>
        <w:rPr>
          <w:rFonts w:ascii="Georgia" w:hAnsi="Georgia"/>
          <w:sz w:val="20"/>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lastRenderedPageBreak/>
        <w:t xml:space="preserve">Con </w:t>
      </w:r>
      <w:r w:rsidR="0056094D">
        <w:rPr>
          <w:rFonts w:ascii="Georgia" w:hAnsi="Georgia" w:cs="Arial"/>
          <w:szCs w:val="24"/>
          <w:lang w:val="es-ES"/>
        </w:rPr>
        <w:t xml:space="preserve"> </w:t>
      </w:r>
      <w:r w:rsidRPr="00B33A0F">
        <w:rPr>
          <w:rFonts w:ascii="Georgia" w:hAnsi="Georgia" w:cs="Arial"/>
          <w:szCs w:val="24"/>
          <w:lang w:val="es-ES"/>
        </w:rPr>
        <w:t>fundamento</w:t>
      </w:r>
      <w:r w:rsidR="0056094D">
        <w:rPr>
          <w:rFonts w:ascii="Georgia" w:hAnsi="Georgia" w:cs="Arial"/>
          <w:szCs w:val="24"/>
          <w:lang w:val="es-ES"/>
        </w:rPr>
        <w:t xml:space="preserve"> </w:t>
      </w:r>
      <w:r w:rsidRPr="00B33A0F">
        <w:rPr>
          <w:rFonts w:ascii="Georgia" w:hAnsi="Georgia" w:cs="Arial"/>
          <w:szCs w:val="24"/>
          <w:lang w:val="es-ES"/>
        </w:rPr>
        <w:t xml:space="preserve">en las consideraciones </w:t>
      </w:r>
      <w:r w:rsidR="0056094D">
        <w:rPr>
          <w:rFonts w:ascii="Georgia" w:hAnsi="Georgia" w:cs="Arial"/>
          <w:szCs w:val="24"/>
          <w:lang w:val="es-ES"/>
        </w:rPr>
        <w:t xml:space="preserve">anotadas </w:t>
      </w:r>
      <w:r w:rsidR="004A5232">
        <w:rPr>
          <w:rFonts w:ascii="Georgia" w:hAnsi="Georgia" w:cs="Arial"/>
          <w:szCs w:val="24"/>
          <w:lang w:val="es-ES"/>
        </w:rPr>
        <w:t xml:space="preserve">se </w:t>
      </w:r>
      <w:r w:rsidR="00ED7914" w:rsidRPr="00ED7914">
        <w:rPr>
          <w:rFonts w:ascii="Georgia" w:hAnsi="Georgia" w:cs="Arial"/>
          <w:szCs w:val="24"/>
          <w:lang w:val="es-ES"/>
        </w:rPr>
        <w:t>declarará</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ED7914">
        <w:rPr>
          <w:rFonts w:ascii="Georgia" w:hAnsi="Georgia" w:cs="Arial"/>
          <w:szCs w:val="24"/>
          <w:lang w:val="es-ES"/>
        </w:rPr>
        <w:t xml:space="preserve"> </w:t>
      </w:r>
      <w:r w:rsidR="004A5232">
        <w:rPr>
          <w:rFonts w:ascii="Georgia" w:hAnsi="Georgia" w:cs="Arial"/>
          <w:szCs w:val="24"/>
          <w:lang w:val="es-ES"/>
        </w:rPr>
        <w:t xml:space="preserve">la </w:t>
      </w:r>
      <w:r w:rsidR="00ED7914">
        <w:rPr>
          <w:rFonts w:ascii="Georgia" w:hAnsi="Georgia" w:cs="Arial"/>
          <w:szCs w:val="24"/>
          <w:lang w:val="es-ES"/>
        </w:rPr>
        <w:t>tutela</w:t>
      </w:r>
      <w:r w:rsidR="00ED7914" w:rsidRPr="00ED7914">
        <w:rPr>
          <w:rFonts w:ascii="Georgia" w:hAnsi="Georgia" w:cs="Arial"/>
          <w:szCs w:val="24"/>
          <w:lang w:val="es-ES"/>
        </w:rPr>
        <w:t>.</w:t>
      </w:r>
    </w:p>
    <w:p w:rsidR="00315992" w:rsidRPr="00315992" w:rsidRDefault="00315992" w:rsidP="00ED7914">
      <w:pPr>
        <w:pStyle w:val="Textoindependiente"/>
        <w:spacing w:line="360" w:lineRule="auto"/>
        <w:rPr>
          <w:rFonts w:ascii="Georgia" w:hAnsi="Georgia" w:cs="Arial"/>
          <w:sz w:val="20"/>
          <w:szCs w:val="24"/>
          <w:lang w:val="es-ES"/>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sidR="004A5232">
        <w:rPr>
          <w:rFonts w:ascii="Georgia" w:hAnsi="Georgia" w:cs="Arial"/>
        </w:rPr>
        <w:t>formulada</w:t>
      </w:r>
      <w:r w:rsidRPr="00B33A0F">
        <w:rPr>
          <w:rFonts w:ascii="Georgia" w:hAnsi="Georgia" w:cs="Arial"/>
        </w:rPr>
        <w:t xml:space="preserve"> por el señor </w:t>
      </w:r>
      <w:r w:rsidR="00315992">
        <w:rPr>
          <w:rFonts w:ascii="Georgia" w:hAnsi="Georgia" w:cs="Arial"/>
        </w:rPr>
        <w:t xml:space="preserve">Javier Elías Arias Idárraga </w:t>
      </w:r>
      <w:r w:rsidRPr="00B33A0F">
        <w:rPr>
          <w:rFonts w:ascii="Georgia" w:hAnsi="Georgia" w:cs="Arial"/>
        </w:rPr>
        <w:t>contra el Juzgado</w:t>
      </w:r>
      <w:r>
        <w:rPr>
          <w:rFonts w:ascii="Georgia" w:hAnsi="Georgia" w:cs="Arial"/>
        </w:rPr>
        <w:t xml:space="preserve"> </w:t>
      </w:r>
      <w:r w:rsidR="00315992">
        <w:rPr>
          <w:rFonts w:ascii="Georgia" w:hAnsi="Georgia" w:cs="Arial"/>
          <w:lang w:val="es-CO"/>
        </w:rPr>
        <w:t xml:space="preserve">Cuarto </w:t>
      </w:r>
      <w:r w:rsidR="00083B24">
        <w:rPr>
          <w:rFonts w:ascii="Georgia" w:hAnsi="Georgia" w:cs="Arial"/>
        </w:rPr>
        <w:t xml:space="preserve">Civil del Circuito de </w:t>
      </w:r>
      <w:r w:rsidR="00315992">
        <w:rPr>
          <w:rFonts w:ascii="Georgia" w:hAnsi="Georgia" w:cs="Arial"/>
        </w:rPr>
        <w:t>Pereira</w:t>
      </w:r>
      <w:r>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ARCHIVAR 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Pr="00315992"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28" w:rsidRDefault="00B83228" w:rsidP="0099045D">
      <w:r>
        <w:separator/>
      </w:r>
    </w:p>
  </w:endnote>
  <w:endnote w:type="continuationSeparator" w:id="0">
    <w:p w:rsidR="00B83228" w:rsidRDefault="00B832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28" w:rsidRDefault="00B83228" w:rsidP="0099045D">
      <w:r>
        <w:separator/>
      </w:r>
    </w:p>
  </w:footnote>
  <w:footnote w:type="continuationSeparator" w:id="0">
    <w:p w:rsidR="00B83228" w:rsidRDefault="00B83228" w:rsidP="0099045D">
      <w:r>
        <w:continuationSeparator/>
      </w:r>
    </w:p>
  </w:footnote>
  <w:footnote w:id="1">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4">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5">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7">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La acción de tutela en el ordenamiento constitucional colombiano, Universidad Nacional de Colombia, Catalina Botero Marino, Ediprime Ltda., 2006, p.61-75.</w:t>
      </w:r>
    </w:p>
  </w:footnote>
  <w:footnote w:id="8">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0">
    <w:p w:rsidR="00B657B5" w:rsidRDefault="00B657B5" w:rsidP="00B657B5">
      <w:pPr>
        <w:pStyle w:val="Textonotapie"/>
        <w:jc w:val="both"/>
      </w:pPr>
      <w:r w:rsidRPr="00C45F3C">
        <w:rPr>
          <w:rStyle w:val="Refdenotaalpie"/>
        </w:rPr>
        <w:footnoteRef/>
      </w:r>
      <w:r w:rsidRPr="00C45F3C">
        <w:t xml:space="preserve"> CC. T-134 de 1994. </w:t>
      </w:r>
    </w:p>
  </w:footnote>
  <w:footnote w:id="11">
    <w:p w:rsidR="00B657B5" w:rsidRDefault="00B657B5" w:rsidP="00B657B5">
      <w:pPr>
        <w:pStyle w:val="Textonotapie"/>
      </w:pPr>
      <w:r w:rsidRPr="00C45F3C">
        <w:rPr>
          <w:rStyle w:val="Refdenotaalpie"/>
        </w:rPr>
        <w:footnoteRef/>
      </w:r>
      <w:r w:rsidRPr="00C45F3C">
        <w:t xml:space="preserve"> CC. </w:t>
      </w:r>
      <w:r w:rsidR="00885549">
        <w:t xml:space="preserve">T-180 de 2018, también pueden consultarse las </w:t>
      </w:r>
      <w:r w:rsidRPr="00C45F3C">
        <w:t>T-103 de 2014</w:t>
      </w:r>
      <w:r w:rsidR="00885549">
        <w:t xml:space="preserve"> y </w:t>
      </w:r>
      <w:r w:rsidR="00885549" w:rsidRPr="00C45F3C">
        <w:t>T-567 de 1998</w:t>
      </w:r>
      <w:r w:rsidRPr="00C45F3C">
        <w:t>.</w:t>
      </w:r>
    </w:p>
  </w:footnote>
  <w:footnote w:id="12">
    <w:p w:rsidR="00B657B5" w:rsidRDefault="00B657B5" w:rsidP="00B657B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B657B5" w:rsidRDefault="00B657B5" w:rsidP="00B657B5">
      <w:pPr>
        <w:pStyle w:val="Textonotapie"/>
        <w:jc w:val="both"/>
      </w:pPr>
      <w:r w:rsidRPr="00C45F3C">
        <w:rPr>
          <w:rStyle w:val="Refdenotaalpie"/>
        </w:rPr>
        <w:footnoteRef/>
      </w:r>
      <w:r>
        <w:t xml:space="preserve"> CSJ</w:t>
      </w:r>
      <w:r w:rsidRPr="00C45F3C">
        <w:t xml:space="preserve">. </w:t>
      </w:r>
      <w:r w:rsidR="00885549" w:rsidRPr="00885549">
        <w:t>STC8239-2018</w:t>
      </w:r>
      <w:r w:rsidR="00885549">
        <w:t xml:space="preserve">, </w:t>
      </w:r>
      <w:r w:rsidRPr="00C45F3C">
        <w:t>STC2349-2017, STC3931-2016, STC6121-2015 y sentencia del 02-09-2014, MP: Margarita Cabello B., No.23001-22-14-000-2014-00097-01;</w:t>
      </w:r>
    </w:p>
  </w:footnote>
  <w:footnote w:id="14">
    <w:p w:rsidR="00315992" w:rsidRDefault="00315992" w:rsidP="00315992">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5">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 w:id="16">
    <w:p w:rsidR="005E75D6" w:rsidRPr="005E75D6" w:rsidRDefault="005E75D6">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9B1A26">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DC77A3">
      <w:rPr>
        <w:rFonts w:ascii="Georgia" w:hAnsi="Georgia" w:cs="Calibri"/>
        <w:i/>
        <w:smallCaps/>
        <w:sz w:val="20"/>
        <w:szCs w:val="22"/>
      </w:rPr>
      <w:t>00546</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A26"/>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CE9"/>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76DA4"/>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5B28"/>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3228"/>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9A2"/>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6D2C-056F-449A-92FD-D61E6D5F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1900</Words>
  <Characters>10452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2018-07-12T14:03:00Z</cp:lastPrinted>
  <dcterms:created xsi:type="dcterms:W3CDTF">2018-08-01T15:54:00Z</dcterms:created>
  <dcterms:modified xsi:type="dcterms:W3CDTF">2018-10-18T16:44:00Z</dcterms:modified>
</cp:coreProperties>
</file>