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FC00A1" w:rsidRPr="00C5262E" w:rsidRDefault="00FC00A1" w:rsidP="00FC00A1">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222222"/>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C5262E">
        <w:rPr>
          <w:rFonts w:ascii="Arial" w:eastAsia="Calibri" w:hAnsi="Arial" w:cs="Arial"/>
          <w:color w:val="FF0000"/>
          <w:sz w:val="18"/>
          <w:szCs w:val="18"/>
          <w:lang w:val="es-CO" w:eastAsia="fr-FR"/>
        </w:rPr>
        <w:t>El contenido total y fiel de la decisión debe ser verificado en la Secretaría de esta Sala.</w:t>
      </w:r>
    </w:p>
    <w:p w:rsidR="00FC00A1" w:rsidRDefault="00FC00A1" w:rsidP="00FC00A1">
      <w:pPr>
        <w:widowControl/>
        <w:shd w:val="clear" w:color="auto" w:fill="FFFFFF"/>
        <w:autoSpaceDE/>
        <w:autoSpaceDN/>
        <w:adjustRightInd/>
        <w:ind w:left="1843" w:hanging="1843"/>
        <w:jc w:val="both"/>
        <w:rPr>
          <w:rFonts w:ascii="Arial" w:hAnsi="Arial" w:cs="Arial"/>
          <w:color w:val="222222"/>
          <w:sz w:val="18"/>
          <w:szCs w:val="18"/>
          <w:lang w:val="es-CO" w:eastAsia="fr-FR"/>
        </w:rPr>
      </w:pPr>
    </w:p>
    <w:p w:rsidR="00FC00A1" w:rsidRPr="00C5262E" w:rsidRDefault="00FC00A1" w:rsidP="00FC00A1">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sidRPr="00C5262E">
        <w:rPr>
          <w:rFonts w:ascii="Arial" w:hAnsi="Arial" w:cs="Arial"/>
          <w:color w:val="222222"/>
          <w:sz w:val="18"/>
          <w:szCs w:val="18"/>
          <w:lang w:val="es-CO" w:eastAsia="fr-FR"/>
        </w:rPr>
        <w:tab/>
      </w:r>
      <w:r>
        <w:rPr>
          <w:rFonts w:ascii="Arial" w:hAnsi="Arial" w:cs="Arial"/>
          <w:color w:val="222222"/>
          <w:sz w:val="18"/>
          <w:szCs w:val="18"/>
          <w:lang w:val="es-CO" w:eastAsia="fr-FR"/>
        </w:rPr>
        <w:t xml:space="preserve"> </w:t>
      </w:r>
      <w:r w:rsidRPr="00C5262E">
        <w:rPr>
          <w:rFonts w:ascii="Arial" w:hAnsi="Arial" w:cs="Arial"/>
          <w:color w:val="222222"/>
          <w:sz w:val="18"/>
          <w:szCs w:val="18"/>
          <w:lang w:val="es-CO" w:eastAsia="fr-FR"/>
        </w:rPr>
        <w:t xml:space="preserve">Sentencia  – 1ª instancia – </w:t>
      </w:r>
      <w:r>
        <w:rPr>
          <w:rFonts w:ascii="Arial" w:hAnsi="Arial" w:cs="Arial"/>
          <w:color w:val="222222"/>
          <w:sz w:val="18"/>
          <w:szCs w:val="18"/>
          <w:lang w:val="es-CO" w:eastAsia="fr-FR"/>
        </w:rPr>
        <w:t>6</w:t>
      </w:r>
      <w:r w:rsidRPr="00C5262E">
        <w:rPr>
          <w:rFonts w:ascii="Arial" w:hAnsi="Arial" w:cs="Arial"/>
          <w:color w:val="222222"/>
          <w:sz w:val="18"/>
          <w:szCs w:val="18"/>
          <w:lang w:val="es-CO" w:eastAsia="fr-FR"/>
        </w:rPr>
        <w:t xml:space="preserve"> de</w:t>
      </w:r>
      <w:r>
        <w:rPr>
          <w:rFonts w:ascii="Arial" w:hAnsi="Arial" w:cs="Arial"/>
          <w:color w:val="222222"/>
          <w:sz w:val="18"/>
          <w:szCs w:val="18"/>
          <w:lang w:val="es-CO" w:eastAsia="fr-FR"/>
        </w:rPr>
        <w:t xml:space="preserve"> agosto</w:t>
      </w:r>
      <w:r w:rsidRPr="00C5262E">
        <w:rPr>
          <w:rFonts w:ascii="Arial" w:hAnsi="Arial" w:cs="Arial"/>
          <w:color w:val="222222"/>
          <w:sz w:val="18"/>
          <w:szCs w:val="18"/>
          <w:lang w:val="es-CO" w:eastAsia="fr-FR"/>
        </w:rPr>
        <w:t xml:space="preserve"> de 2018</w:t>
      </w:r>
    </w:p>
    <w:p w:rsidR="00FC00A1" w:rsidRPr="00C5262E" w:rsidRDefault="00FC00A1" w:rsidP="00FC00A1">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r>
      <w:r>
        <w:rPr>
          <w:rFonts w:ascii="Arial" w:hAnsi="Arial" w:cs="Arial"/>
          <w:color w:val="222222"/>
          <w:sz w:val="18"/>
          <w:szCs w:val="18"/>
          <w:lang w:val="es-CO" w:eastAsia="fr-FR"/>
        </w:rPr>
        <w:t xml:space="preserve"> </w:t>
      </w:r>
      <w:r w:rsidRPr="00C5262E">
        <w:rPr>
          <w:rFonts w:ascii="Arial" w:hAnsi="Arial" w:cs="Arial"/>
          <w:color w:val="222222"/>
          <w:sz w:val="18"/>
          <w:szCs w:val="18"/>
          <w:lang w:val="es-CO" w:eastAsia="fr-FR"/>
        </w:rPr>
        <w:t xml:space="preserve">Acción de Tutela </w:t>
      </w:r>
    </w:p>
    <w:p w:rsidR="00FC00A1" w:rsidRPr="00FC00A1" w:rsidRDefault="00FC00A1" w:rsidP="00FC00A1">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FC00A1">
        <w:rPr>
          <w:rFonts w:ascii="Arial" w:hAnsi="Arial" w:cs="Arial"/>
          <w:color w:val="222222"/>
          <w:sz w:val="18"/>
          <w:szCs w:val="18"/>
          <w:lang w:val="es-CO" w:eastAsia="fr-FR"/>
        </w:rPr>
        <w:t xml:space="preserve">Accionante: </w:t>
      </w:r>
      <w:r w:rsidRPr="00FC00A1">
        <w:rPr>
          <w:rFonts w:ascii="Arial" w:hAnsi="Arial" w:cs="Arial"/>
          <w:color w:val="222222"/>
          <w:sz w:val="18"/>
          <w:szCs w:val="18"/>
          <w:lang w:val="es-CO" w:eastAsia="fr-FR"/>
        </w:rPr>
        <w:tab/>
      </w:r>
      <w:r>
        <w:rPr>
          <w:rFonts w:ascii="Arial" w:hAnsi="Arial" w:cs="Arial"/>
          <w:color w:val="222222"/>
          <w:sz w:val="18"/>
          <w:szCs w:val="18"/>
          <w:lang w:val="es-CO" w:eastAsia="fr-FR"/>
        </w:rPr>
        <w:t xml:space="preserve"> </w:t>
      </w:r>
      <w:r w:rsidRPr="00FC00A1">
        <w:rPr>
          <w:rFonts w:ascii="Arial" w:hAnsi="Arial" w:cs="Arial"/>
          <w:color w:val="222222"/>
          <w:sz w:val="18"/>
          <w:szCs w:val="18"/>
          <w:lang w:val="es-CO" w:eastAsia="fr-FR"/>
        </w:rPr>
        <w:t xml:space="preserve">Javier Elías Arias </w:t>
      </w:r>
      <w:proofErr w:type="spellStart"/>
      <w:r w:rsidRPr="00FC00A1">
        <w:rPr>
          <w:rFonts w:ascii="Arial" w:hAnsi="Arial" w:cs="Arial"/>
          <w:color w:val="222222"/>
          <w:sz w:val="18"/>
          <w:szCs w:val="18"/>
          <w:lang w:val="es-CO" w:eastAsia="fr-FR"/>
        </w:rPr>
        <w:t>Idárraga</w:t>
      </w:r>
      <w:proofErr w:type="spellEnd"/>
    </w:p>
    <w:p w:rsidR="00FC00A1" w:rsidRPr="00FC00A1" w:rsidRDefault="00FC00A1" w:rsidP="00FC00A1">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sidRPr="00FC00A1">
        <w:rPr>
          <w:rFonts w:ascii="Arial" w:hAnsi="Arial" w:cs="Arial"/>
          <w:color w:val="222222"/>
          <w:sz w:val="18"/>
          <w:szCs w:val="18"/>
          <w:lang w:val="es-CO" w:eastAsia="fr-FR"/>
        </w:rPr>
        <w:t>Juzgado Civil del Circuito de Santa Rosa de Cabal</w:t>
      </w:r>
      <w:r w:rsidRPr="00C5262E">
        <w:rPr>
          <w:rFonts w:ascii="Arial" w:hAnsi="Arial" w:cs="Arial"/>
          <w:color w:val="222222"/>
          <w:sz w:val="18"/>
          <w:szCs w:val="18"/>
          <w:lang w:val="es-CO" w:eastAsia="fr-FR"/>
        </w:rPr>
        <w:t xml:space="preserve"> </w:t>
      </w:r>
    </w:p>
    <w:p w:rsidR="00FC00A1" w:rsidRPr="00FC00A1" w:rsidRDefault="00FC00A1" w:rsidP="00FC00A1">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r w:rsidRPr="00FC00A1">
        <w:rPr>
          <w:rFonts w:ascii="Arial" w:hAnsi="Arial" w:cs="Arial"/>
          <w:color w:val="222222"/>
          <w:sz w:val="18"/>
          <w:szCs w:val="18"/>
          <w:lang w:val="es-CO" w:eastAsia="fr-FR"/>
        </w:rPr>
        <w:t>Duberney Grisales Herrera</w:t>
      </w:r>
    </w:p>
    <w:p w:rsidR="00FC00A1" w:rsidRDefault="00FC00A1" w:rsidP="00FC00A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C00A1" w:rsidRDefault="00FC00A1" w:rsidP="00FC00A1">
      <w:pPr>
        <w:pStyle w:val="Sinespaciado"/>
        <w:tabs>
          <w:tab w:val="left" w:pos="3579"/>
        </w:tabs>
        <w:spacing w:line="360" w:lineRule="auto"/>
        <w:jc w:val="center"/>
        <w:rPr>
          <w:rFonts w:ascii="Arial" w:hAnsi="Arial" w:cs="Arial"/>
          <w:b/>
          <w:sz w:val="18"/>
          <w:szCs w:val="18"/>
          <w:lang w:val="es-CO" w:eastAsia="fr-FR"/>
        </w:rPr>
      </w:pPr>
    </w:p>
    <w:p w:rsidR="00FC00A1" w:rsidRPr="00FC00A1" w:rsidRDefault="00FC00A1" w:rsidP="00FC00A1">
      <w:pPr>
        <w:pStyle w:val="Sinespaciado"/>
        <w:tabs>
          <w:tab w:val="left" w:pos="3579"/>
        </w:tabs>
        <w:jc w:val="both"/>
        <w:rPr>
          <w:rFonts w:ascii="Arial" w:hAnsi="Arial" w:cs="Arial"/>
          <w:b/>
          <w:sz w:val="22"/>
          <w:szCs w:val="22"/>
          <w:lang w:val="es-CO" w:eastAsia="fr-FR"/>
        </w:rPr>
      </w:pPr>
      <w:r w:rsidRPr="00FC00A1">
        <w:rPr>
          <w:rFonts w:ascii="Arial" w:hAnsi="Arial" w:cs="Arial"/>
          <w:b/>
          <w:sz w:val="22"/>
          <w:szCs w:val="22"/>
          <w:lang w:val="es-CO" w:eastAsia="fr-FR"/>
        </w:rPr>
        <w:t xml:space="preserve">Temas:                                             </w:t>
      </w:r>
      <w:r w:rsidRPr="00FC00A1">
        <w:rPr>
          <w:rFonts w:ascii="Arial" w:hAnsi="Arial" w:cs="Arial"/>
          <w:b/>
          <w:sz w:val="22"/>
          <w:szCs w:val="22"/>
          <w:lang w:eastAsia="fr-FR"/>
        </w:rPr>
        <w:t>DEBIDO PROCESO / TUTELA CONTRA PROVIDENCIA JUDICIAL /</w:t>
      </w:r>
      <w:r w:rsidRPr="00FC00A1">
        <w:rPr>
          <w:rFonts w:ascii="Arial" w:hAnsi="Arial" w:cs="Arial"/>
          <w:b/>
          <w:sz w:val="22"/>
          <w:szCs w:val="22"/>
          <w:lang w:val="es-CO" w:eastAsia="fr-FR"/>
        </w:rPr>
        <w:t xml:space="preserve"> SUBSIDIARIEDAD / AUTO APROBATORIO DE COSTAS NO FUE REFUTADO POR EL ACCIONANTE / IMPROCEDEN</w:t>
      </w:r>
      <w:r w:rsidR="006B70DB">
        <w:rPr>
          <w:rFonts w:ascii="Arial" w:hAnsi="Arial" w:cs="Arial"/>
          <w:b/>
          <w:sz w:val="22"/>
          <w:szCs w:val="22"/>
          <w:lang w:val="es-CO" w:eastAsia="fr-FR"/>
        </w:rPr>
        <w:t>TE.</w:t>
      </w:r>
    </w:p>
    <w:p w:rsidR="00FC00A1" w:rsidRDefault="00FC00A1" w:rsidP="00FC00A1">
      <w:pPr>
        <w:pStyle w:val="Sinespaciado"/>
        <w:tabs>
          <w:tab w:val="left" w:pos="3579"/>
        </w:tabs>
        <w:spacing w:line="360" w:lineRule="auto"/>
        <w:jc w:val="both"/>
        <w:rPr>
          <w:rFonts w:ascii="Arial" w:hAnsi="Arial" w:cs="Arial"/>
          <w:b/>
          <w:sz w:val="18"/>
          <w:szCs w:val="18"/>
          <w:lang w:val="es-CO" w:eastAsia="fr-FR"/>
        </w:rPr>
      </w:pPr>
    </w:p>
    <w:p w:rsidR="00FC00A1" w:rsidRPr="00FC00A1" w:rsidRDefault="00FC00A1" w:rsidP="00FC00A1">
      <w:pPr>
        <w:jc w:val="both"/>
        <w:rPr>
          <w:rFonts w:ascii="Arial" w:hAnsi="Arial" w:cs="Arial"/>
          <w:sz w:val="22"/>
          <w:szCs w:val="22"/>
        </w:rPr>
      </w:pPr>
      <w:r w:rsidRPr="00FC00A1">
        <w:rPr>
          <w:rFonts w:ascii="Arial" w:hAnsi="Arial" w:cs="Arial"/>
          <w:sz w:val="22"/>
          <w:szCs w:val="22"/>
        </w:rPr>
        <w:t xml:space="preserve">Examinado el acervo probatorio se tiene que la </w:t>
      </w:r>
      <w:r w:rsidRPr="00FC00A1">
        <w:rPr>
          <w:rFonts w:ascii="Arial" w:hAnsi="Arial" w:cs="Arial"/>
          <w:i/>
          <w:sz w:val="22"/>
          <w:szCs w:val="22"/>
        </w:rPr>
        <w:t xml:space="preserve">a quo </w:t>
      </w:r>
      <w:r w:rsidRPr="00FC00A1">
        <w:rPr>
          <w:rFonts w:ascii="Arial" w:hAnsi="Arial" w:cs="Arial"/>
          <w:sz w:val="22"/>
          <w:szCs w:val="22"/>
        </w:rPr>
        <w:t xml:space="preserve">mediante proveído del 12-07-2018 aprobó la liquidación de costas realizada por la secretaría, se notificó con fijación en el estado del 13-07-2018, y durante su ejecutoria fue recurrido por el señor Paulo César Lizcano Durán y Bancolombia </w:t>
      </w:r>
      <w:proofErr w:type="spellStart"/>
      <w:r w:rsidRPr="00FC00A1">
        <w:rPr>
          <w:rFonts w:ascii="Arial" w:hAnsi="Arial" w:cs="Arial"/>
          <w:sz w:val="22"/>
          <w:szCs w:val="22"/>
        </w:rPr>
        <w:t>SA</w:t>
      </w:r>
      <w:proofErr w:type="spellEnd"/>
      <w:r w:rsidRPr="00FC00A1">
        <w:rPr>
          <w:rFonts w:ascii="Arial" w:hAnsi="Arial" w:cs="Arial"/>
          <w:sz w:val="22"/>
          <w:szCs w:val="22"/>
        </w:rPr>
        <w:t>, mientras que el aquí accionante, guardó silencio. Tampoco obra memorial que refiera su renuncia a las costas (Disco compacto visible a folio 8, este cuaderno).</w:t>
      </w:r>
    </w:p>
    <w:p w:rsidR="00FC00A1" w:rsidRPr="00FC00A1" w:rsidRDefault="00FC00A1" w:rsidP="00FC00A1">
      <w:pPr>
        <w:jc w:val="both"/>
        <w:rPr>
          <w:rFonts w:ascii="Arial" w:hAnsi="Arial" w:cs="Arial"/>
          <w:sz w:val="22"/>
          <w:szCs w:val="22"/>
        </w:rPr>
      </w:pPr>
    </w:p>
    <w:p w:rsidR="00FC00A1" w:rsidRPr="00FC00A1" w:rsidRDefault="00FC00A1" w:rsidP="00FC00A1">
      <w:pPr>
        <w:jc w:val="both"/>
        <w:rPr>
          <w:rFonts w:ascii="Arial" w:hAnsi="Arial" w:cs="Arial"/>
          <w:bCs/>
          <w:sz w:val="22"/>
          <w:szCs w:val="22"/>
          <w:lang w:eastAsia="x-none"/>
        </w:rPr>
      </w:pPr>
      <w:r w:rsidRPr="00FC00A1">
        <w:rPr>
          <w:rFonts w:ascii="Arial" w:hAnsi="Arial" w:cs="Arial"/>
          <w:sz w:val="22"/>
          <w:szCs w:val="22"/>
        </w:rPr>
        <w:t xml:space="preserve">Según el recuento procesal, el interesado dejó de rebatir la decisión de la funcionaria judicial, medio ordinario procedente e idóneo para procurar la defensa de sus derechos al interior de ese trámite popular (Artículo 36, Ley 476 en consonancia con el artículo 366-5º, </w:t>
      </w:r>
      <w:proofErr w:type="spellStart"/>
      <w:r w:rsidRPr="00FC00A1">
        <w:rPr>
          <w:rFonts w:ascii="Arial" w:hAnsi="Arial" w:cs="Arial"/>
          <w:sz w:val="22"/>
          <w:szCs w:val="22"/>
        </w:rPr>
        <w:t>CGP</w:t>
      </w:r>
      <w:proofErr w:type="spellEnd"/>
      <w:r w:rsidRPr="00FC00A1">
        <w:rPr>
          <w:rFonts w:ascii="Arial" w:hAnsi="Arial" w:cs="Arial"/>
          <w:sz w:val="22"/>
          <w:szCs w:val="22"/>
        </w:rPr>
        <w:t>).</w:t>
      </w:r>
      <w:r w:rsidRPr="00FC00A1">
        <w:rPr>
          <w:rFonts w:ascii="Arial" w:hAnsi="Arial" w:cs="Arial"/>
          <w:sz w:val="22"/>
          <w:szCs w:val="22"/>
          <w:lang w:val="es-CO"/>
        </w:rPr>
        <w:t xml:space="preserve"> Claro es que endilga la afectación de derechos a una autoridad que no ha tenido la oportunidad de reparar sobre su determinación. </w:t>
      </w:r>
    </w:p>
    <w:p w:rsidR="00FC00A1" w:rsidRPr="00FC00A1" w:rsidRDefault="00FC00A1" w:rsidP="00FC00A1">
      <w:pPr>
        <w:jc w:val="both"/>
        <w:rPr>
          <w:rFonts w:ascii="Arial" w:hAnsi="Arial" w:cs="Arial"/>
          <w:sz w:val="22"/>
          <w:szCs w:val="22"/>
        </w:rPr>
      </w:pPr>
    </w:p>
    <w:p w:rsidR="00FC00A1" w:rsidRPr="00FC00A1" w:rsidRDefault="00FC00A1" w:rsidP="00FC00A1">
      <w:pPr>
        <w:ind w:right="51"/>
        <w:jc w:val="both"/>
        <w:rPr>
          <w:rFonts w:ascii="Arial" w:hAnsi="Arial" w:cs="Arial"/>
          <w:sz w:val="22"/>
          <w:szCs w:val="22"/>
        </w:rPr>
      </w:pPr>
      <w:r w:rsidRPr="00FC00A1">
        <w:rPr>
          <w:rFonts w:ascii="Arial" w:hAnsi="Arial" w:cs="Arial"/>
          <w:sz w:val="22"/>
          <w:szCs w:val="22"/>
        </w:rPr>
        <w:t xml:space="preserve">Sin lugar a dudas, esta tutela es improcedente por carecer del presupuesto de la subsidiariedad, sin que sea dable flexibilizar su análisis, toda vez que nada se arguyó y menos se acreditó, de tal forma que pudiera estimarse </w:t>
      </w:r>
      <w:r w:rsidRPr="00FC00A1">
        <w:rPr>
          <w:rFonts w:ascii="Arial" w:hAnsi="Arial" w:cs="Arial"/>
          <w:bCs/>
          <w:sz w:val="22"/>
          <w:szCs w:val="22"/>
          <w:lang w:val="es-CO"/>
        </w:rPr>
        <w:t>que el actor es una persona que requiere de protección reforzada</w:t>
      </w:r>
      <w:r w:rsidRPr="00FC00A1">
        <w:rPr>
          <w:rStyle w:val="Refdenotaalpie"/>
          <w:rFonts w:ascii="Arial" w:hAnsi="Arial" w:cs="Arial"/>
          <w:bCs/>
          <w:sz w:val="22"/>
          <w:szCs w:val="22"/>
          <w:lang w:val="es-CO"/>
        </w:rPr>
        <w:footnoteReference w:id="1"/>
      </w:r>
      <w:r w:rsidRPr="00FC00A1">
        <w:rPr>
          <w:rFonts w:ascii="Arial" w:hAnsi="Arial" w:cs="Arial"/>
          <w:bCs/>
          <w:sz w:val="22"/>
          <w:szCs w:val="22"/>
          <w:lang w:val="es-CO"/>
        </w:rPr>
        <w:t xml:space="preserve">; tampoco que el mentado mecanismo es ineficaz, menos que sea inminente la </w:t>
      </w:r>
      <w:proofErr w:type="spellStart"/>
      <w:r w:rsidRPr="00FC00A1">
        <w:rPr>
          <w:rFonts w:ascii="Arial" w:hAnsi="Arial" w:cs="Arial"/>
          <w:bCs/>
          <w:sz w:val="22"/>
          <w:szCs w:val="22"/>
          <w:lang w:val="es-CO"/>
        </w:rPr>
        <w:t>causación</w:t>
      </w:r>
      <w:proofErr w:type="spellEnd"/>
      <w:r w:rsidRPr="00FC00A1">
        <w:rPr>
          <w:rFonts w:ascii="Arial" w:hAnsi="Arial" w:cs="Arial"/>
          <w:bCs/>
          <w:sz w:val="22"/>
          <w:szCs w:val="22"/>
          <w:lang w:val="es-CO"/>
        </w:rPr>
        <w:t xml:space="preserve"> de un perjuicio irremediable</w:t>
      </w:r>
      <w:r w:rsidRPr="00FC00A1">
        <w:rPr>
          <w:rStyle w:val="Refdenotaalpie"/>
          <w:rFonts w:ascii="Arial" w:hAnsi="Arial" w:cs="Arial"/>
          <w:bCs/>
          <w:sz w:val="22"/>
          <w:szCs w:val="22"/>
          <w:lang w:val="es-CO"/>
        </w:rPr>
        <w:footnoteReference w:id="2"/>
      </w:r>
      <w:r w:rsidRPr="00FC00A1">
        <w:rPr>
          <w:rFonts w:ascii="Arial" w:hAnsi="Arial" w:cs="Arial"/>
          <w:sz w:val="22"/>
          <w:szCs w:val="22"/>
        </w:rPr>
        <w:t>.</w:t>
      </w:r>
    </w:p>
    <w:p w:rsidR="00FC00A1" w:rsidRPr="00FC00A1" w:rsidRDefault="00FC00A1" w:rsidP="00FC00A1">
      <w:pPr>
        <w:jc w:val="both"/>
        <w:rPr>
          <w:rFonts w:ascii="Arial" w:hAnsi="Arial" w:cs="Arial"/>
          <w:sz w:val="22"/>
          <w:szCs w:val="22"/>
          <w:lang w:val="es-ES_tradnl"/>
        </w:rPr>
      </w:pPr>
    </w:p>
    <w:p w:rsidR="00FC00A1" w:rsidRPr="00FC00A1" w:rsidRDefault="00FC00A1" w:rsidP="00FC00A1">
      <w:pPr>
        <w:pStyle w:val="Sinespaciado"/>
        <w:tabs>
          <w:tab w:val="left" w:pos="3579"/>
        </w:tabs>
        <w:jc w:val="both"/>
        <w:rPr>
          <w:rFonts w:ascii="Arial" w:hAnsi="Arial" w:cs="Arial"/>
          <w:w w:val="140"/>
          <w:sz w:val="22"/>
          <w:szCs w:val="22"/>
        </w:rPr>
      </w:pPr>
    </w:p>
    <w:p w:rsidR="00FC00A1" w:rsidRDefault="00FC00A1" w:rsidP="00FC00A1">
      <w:pPr>
        <w:pStyle w:val="Sinespaciado"/>
        <w:tabs>
          <w:tab w:val="left" w:pos="3579"/>
        </w:tabs>
        <w:spacing w:line="360" w:lineRule="auto"/>
        <w:jc w:val="center"/>
        <w:rPr>
          <w:rFonts w:ascii="Georgia" w:hAnsi="Georgia" w:cs="Arial"/>
          <w:w w:val="140"/>
          <w:sz w:val="14"/>
        </w:rPr>
      </w:pPr>
    </w:p>
    <w:p w:rsidR="00FC00A1" w:rsidRPr="00C5262E" w:rsidRDefault="00FC00A1" w:rsidP="00FC00A1">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FC00A1" w:rsidRDefault="00FC00A1" w:rsidP="002403C8">
      <w:pPr>
        <w:pStyle w:val="Sinespaciado"/>
        <w:tabs>
          <w:tab w:val="left" w:pos="3579"/>
        </w:tabs>
        <w:spacing w:line="360" w:lineRule="auto"/>
        <w:jc w:val="center"/>
        <w:rPr>
          <w:rFonts w:ascii="Georgia" w:hAnsi="Georgia" w:cs="Arial"/>
          <w:w w:val="140"/>
          <w:sz w:val="14"/>
        </w:rPr>
      </w:pPr>
    </w:p>
    <w:p w:rsidR="00FC00A1" w:rsidRDefault="00FC00A1" w:rsidP="002403C8">
      <w:pPr>
        <w:pStyle w:val="Sinespaciado"/>
        <w:tabs>
          <w:tab w:val="left" w:pos="3579"/>
        </w:tabs>
        <w:spacing w:line="360" w:lineRule="auto"/>
        <w:jc w:val="center"/>
        <w:rPr>
          <w:rFonts w:ascii="Georgia" w:hAnsi="Georgia" w:cs="Arial"/>
          <w:w w:val="140"/>
          <w:sz w:val="14"/>
        </w:rPr>
      </w:pPr>
    </w:p>
    <w:p w:rsidR="00FC00A1" w:rsidRDefault="00FC00A1" w:rsidP="002403C8">
      <w:pPr>
        <w:pStyle w:val="Sinespaciado"/>
        <w:tabs>
          <w:tab w:val="left" w:pos="3579"/>
        </w:tabs>
        <w:spacing w:line="360" w:lineRule="auto"/>
        <w:jc w:val="center"/>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 xml:space="preserve">Javier Elías Arias </w:t>
      </w:r>
      <w:proofErr w:type="spellStart"/>
      <w:r w:rsidR="00DC77A3">
        <w:rPr>
          <w:rFonts w:ascii="Georgia" w:hAnsi="Georgia" w:cs="Arial"/>
          <w:sz w:val="22"/>
        </w:rPr>
        <w:t>Idárraga</w:t>
      </w:r>
      <w:proofErr w:type="spellEnd"/>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DC77A3">
        <w:rPr>
          <w:rFonts w:ascii="Georgia" w:hAnsi="Georgia" w:cs="Arial"/>
          <w:sz w:val="22"/>
        </w:rPr>
        <w:t xml:space="preserve">Juzgado Civil </w:t>
      </w:r>
      <w:r w:rsidR="00C82ED9">
        <w:rPr>
          <w:rFonts w:ascii="Georgia" w:hAnsi="Georgia" w:cs="Arial"/>
          <w:sz w:val="22"/>
        </w:rPr>
        <w:t xml:space="preserve">del Circuito de </w:t>
      </w:r>
      <w:r w:rsidR="00EB19EB">
        <w:rPr>
          <w:rFonts w:ascii="Georgia" w:hAnsi="Georgia" w:cs="Arial"/>
          <w:sz w:val="22"/>
        </w:rPr>
        <w:t>Santa Rosa de Cabal</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EB19EB">
        <w:rPr>
          <w:rFonts w:ascii="Georgia" w:hAnsi="Georgia" w:cs="Arial"/>
          <w:sz w:val="22"/>
          <w:szCs w:val="22"/>
        </w:rPr>
        <w:t xml:space="preserve">Cristián Vásquez </w:t>
      </w:r>
      <w:r w:rsidR="00EB19EB">
        <w:rPr>
          <w:rFonts w:ascii="Georgia" w:hAnsi="Georgia" w:cs="Arial"/>
          <w:sz w:val="22"/>
          <w:szCs w:val="22"/>
          <w:lang w:val="es-CO"/>
        </w:rPr>
        <w:t xml:space="preserve">Arias </w:t>
      </w:r>
      <w:r w:rsidR="00EB19EB">
        <w:rPr>
          <w:rFonts w:ascii="Georgia" w:hAnsi="Georgia" w:cs="Arial"/>
          <w:sz w:val="22"/>
          <w:szCs w:val="22"/>
        </w:rPr>
        <w:t xml:space="preserve">y otros </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EB19EB">
        <w:rPr>
          <w:rFonts w:ascii="Georgia" w:hAnsi="Georgia" w:cs="Arial"/>
          <w:sz w:val="22"/>
        </w:rPr>
        <w:t>00555</w:t>
      </w:r>
      <w:r w:rsidR="0073460F">
        <w:rPr>
          <w:rFonts w:ascii="Georgia" w:hAnsi="Georgia" w:cs="Arial"/>
          <w:sz w:val="22"/>
        </w:rPr>
        <w:t>-00</w:t>
      </w:r>
      <w:r w:rsidR="00D25766">
        <w:rPr>
          <w:rFonts w:ascii="Georgia" w:hAnsi="Georgia" w:cs="Arial"/>
          <w:sz w:val="22"/>
        </w:rPr>
        <w:t xml:space="preserve"> (Interna No.</w:t>
      </w:r>
      <w:r w:rsidR="00EB19EB">
        <w:rPr>
          <w:rFonts w:ascii="Georgia" w:hAnsi="Georgia" w:cs="Arial"/>
          <w:sz w:val="22"/>
        </w:rPr>
        <w:t>555</w:t>
      </w:r>
      <w:r w:rsidR="00D25766">
        <w:rPr>
          <w:rFonts w:ascii="Georgia" w:hAnsi="Georgia" w:cs="Arial"/>
          <w:sz w:val="22"/>
        </w:rPr>
        <w:t>)</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p>
    <w:p w:rsidR="0099045D" w:rsidRPr="00AD7B0C" w:rsidRDefault="008E5334" w:rsidP="005E4D54">
      <w:pPr>
        <w:pStyle w:val="Textoindependiente"/>
        <w:spacing w:line="360" w:lineRule="auto"/>
        <w:ind w:left="708" w:hanging="708"/>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B45B1" w:rsidRPr="00AD7B0C" w:rsidRDefault="009B45B1" w:rsidP="009B45B1">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7E0A84">
        <w:rPr>
          <w:rFonts w:ascii="Georgia" w:hAnsi="Georgia"/>
          <w:sz w:val="22"/>
          <w:szCs w:val="22"/>
        </w:rPr>
        <w:t>279</w:t>
      </w:r>
      <w:r w:rsidR="00DC77A3">
        <w:rPr>
          <w:rFonts w:ascii="Georgia" w:hAnsi="Georgia"/>
          <w:sz w:val="22"/>
          <w:szCs w:val="22"/>
        </w:rPr>
        <w:t xml:space="preserve"> </w:t>
      </w:r>
      <w:r w:rsidRPr="00AD7B0C">
        <w:rPr>
          <w:rFonts w:ascii="Georgia" w:hAnsi="Georgia"/>
          <w:sz w:val="22"/>
          <w:szCs w:val="22"/>
        </w:rPr>
        <w:t>d</w:t>
      </w:r>
      <w:r>
        <w:rPr>
          <w:rFonts w:ascii="Georgia" w:hAnsi="Georgia"/>
          <w:sz w:val="22"/>
          <w:szCs w:val="22"/>
        </w:rPr>
        <w:t xml:space="preserve">e </w:t>
      </w:r>
      <w:r w:rsidR="007E0A84">
        <w:rPr>
          <w:rFonts w:ascii="Georgia" w:hAnsi="Georgia"/>
          <w:sz w:val="22"/>
          <w:szCs w:val="22"/>
        </w:rPr>
        <w:t>06</w:t>
      </w:r>
      <w:r w:rsidRPr="00AD7B0C">
        <w:rPr>
          <w:rFonts w:ascii="Georgia" w:hAnsi="Georgia"/>
          <w:sz w:val="22"/>
          <w:szCs w:val="22"/>
        </w:rPr>
        <w:t>-</w:t>
      </w:r>
      <w:r w:rsidR="00DC77A3">
        <w:rPr>
          <w:rFonts w:ascii="Georgia" w:hAnsi="Georgia"/>
          <w:sz w:val="22"/>
          <w:szCs w:val="22"/>
        </w:rPr>
        <w:t>08</w:t>
      </w:r>
      <w:r w:rsidRPr="00AD7B0C">
        <w:rPr>
          <w:rFonts w:ascii="Georgia" w:hAnsi="Georgia"/>
          <w:sz w:val="22"/>
          <w:szCs w:val="22"/>
        </w:rPr>
        <w:t>-</w:t>
      </w:r>
      <w:r>
        <w:rPr>
          <w:rFonts w:ascii="Georgia" w:hAnsi="Georgia"/>
          <w:sz w:val="22"/>
          <w:szCs w:val="22"/>
        </w:rPr>
        <w:t>2018</w:t>
      </w:r>
    </w:p>
    <w:p w:rsidR="009B45B1" w:rsidRPr="00AD7B0C" w:rsidRDefault="009B45B1" w:rsidP="009B45B1">
      <w:pPr>
        <w:pBdr>
          <w:bottom w:val="double" w:sz="6" w:space="1" w:color="auto"/>
        </w:pBdr>
        <w:spacing w:line="360" w:lineRule="auto"/>
        <w:jc w:val="center"/>
        <w:rPr>
          <w:rFonts w:ascii="Georgia" w:hAnsi="Georgia" w:cs="Arial"/>
          <w:b/>
          <w:bCs/>
          <w:sz w:val="18"/>
          <w:szCs w:val="22"/>
        </w:rPr>
      </w:pPr>
    </w:p>
    <w:p w:rsidR="009B45B1" w:rsidRPr="00AD7B0C" w:rsidRDefault="009B45B1" w:rsidP="009B45B1">
      <w:pPr>
        <w:spacing w:line="360" w:lineRule="auto"/>
        <w:jc w:val="center"/>
        <w:rPr>
          <w:rFonts w:ascii="Georgia" w:hAnsi="Georgia" w:cs="Arial"/>
          <w:b/>
          <w:bCs/>
          <w:szCs w:val="22"/>
        </w:rPr>
      </w:pPr>
    </w:p>
    <w:p w:rsidR="009B45B1" w:rsidRPr="00AD7B0C" w:rsidRDefault="009B45B1" w:rsidP="009B45B1">
      <w:pPr>
        <w:spacing w:line="360" w:lineRule="auto"/>
        <w:jc w:val="center"/>
        <w:rPr>
          <w:rFonts w:ascii="Georgia" w:hAnsi="Georgia" w:cs="Arial"/>
          <w:iCs/>
          <w:lang w:val="es-CO"/>
        </w:rPr>
      </w:pPr>
      <w:r w:rsidRPr="00FD0443">
        <w:rPr>
          <w:rFonts w:ascii="Georgia" w:hAnsi="Georgia" w:cs="Arial"/>
          <w:iCs/>
          <w:smallCaps/>
          <w:sz w:val="28"/>
          <w:lang w:val="es-CO"/>
        </w:rPr>
        <w:t>Pereira, R.</w:t>
      </w:r>
      <w:r w:rsidR="0075672C">
        <w:rPr>
          <w:rFonts w:ascii="Georgia" w:hAnsi="Georgia" w:cs="Arial"/>
          <w:iCs/>
          <w:smallCaps/>
          <w:sz w:val="28"/>
          <w:lang w:val="es-CO"/>
        </w:rPr>
        <w:t>,</w:t>
      </w:r>
      <w:r w:rsidRPr="00FD0443">
        <w:rPr>
          <w:rFonts w:ascii="Georgia" w:hAnsi="Georgia" w:cs="Arial"/>
          <w:iCs/>
          <w:smallCaps/>
          <w:sz w:val="28"/>
          <w:lang w:val="es-CO"/>
        </w:rPr>
        <w:t xml:space="preserve"> </w:t>
      </w:r>
      <w:r w:rsidR="007E0A84">
        <w:rPr>
          <w:rFonts w:ascii="Georgia" w:hAnsi="Georgia" w:cs="Arial"/>
          <w:iCs/>
          <w:smallCaps/>
          <w:sz w:val="28"/>
          <w:lang w:val="es-CO"/>
        </w:rPr>
        <w:t xml:space="preserve">seis </w:t>
      </w:r>
      <w:r>
        <w:rPr>
          <w:rFonts w:ascii="Georgia" w:hAnsi="Georgia" w:cs="Arial"/>
          <w:iCs/>
          <w:smallCaps/>
          <w:sz w:val="28"/>
          <w:lang w:val="es-CO"/>
        </w:rPr>
        <w:t>(</w:t>
      </w:r>
      <w:r w:rsidR="007E0A84">
        <w:rPr>
          <w:rFonts w:ascii="Georgia" w:hAnsi="Georgia" w:cs="Arial"/>
          <w:iCs/>
          <w:smallCaps/>
          <w:sz w:val="28"/>
          <w:lang w:val="es-CO"/>
        </w:rPr>
        <w:t>6</w:t>
      </w:r>
      <w:r w:rsidRPr="00FD0443">
        <w:rPr>
          <w:rFonts w:ascii="Georgia" w:hAnsi="Georgia" w:cs="Arial"/>
          <w:iCs/>
          <w:smallCaps/>
          <w:sz w:val="28"/>
          <w:lang w:val="es-CO"/>
        </w:rPr>
        <w:t xml:space="preserve">) de </w:t>
      </w:r>
      <w:r w:rsidR="00DC77A3">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814753"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814753" w:rsidRDefault="00FD0443" w:rsidP="00FD0443">
      <w:pPr>
        <w:pStyle w:val="Textoindependiente"/>
        <w:spacing w:line="360" w:lineRule="auto"/>
        <w:rPr>
          <w:rFonts w:ascii="Georgia" w:hAnsi="Georgia"/>
          <w:szCs w:val="24"/>
        </w:rPr>
      </w:pPr>
    </w:p>
    <w:p w:rsidR="00531350" w:rsidRDefault="00C82ED9"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814753"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814753" w:rsidRDefault="0099045D" w:rsidP="0099045D">
      <w:pPr>
        <w:pStyle w:val="Textoindependiente"/>
        <w:spacing w:line="360" w:lineRule="auto"/>
        <w:rPr>
          <w:rFonts w:ascii="Georgia" w:hAnsi="Georgia"/>
          <w:szCs w:val="24"/>
        </w:rPr>
      </w:pPr>
    </w:p>
    <w:p w:rsidR="00D25766" w:rsidRPr="007C23E2" w:rsidRDefault="00D25766" w:rsidP="000A15D9">
      <w:pPr>
        <w:spacing w:line="360" w:lineRule="auto"/>
        <w:jc w:val="both"/>
        <w:rPr>
          <w:rFonts w:ascii="Georgia" w:hAnsi="Georgia" w:cs="Arial"/>
          <w:lang w:val="es-CO"/>
        </w:rPr>
      </w:pPr>
      <w:r>
        <w:rPr>
          <w:rFonts w:ascii="Georgia" w:hAnsi="Georgia" w:cs="Arial"/>
          <w:lang w:val="es-CO"/>
        </w:rPr>
        <w:t>Mencionó el actor que</w:t>
      </w:r>
      <w:r w:rsidR="00C82ED9">
        <w:rPr>
          <w:rFonts w:ascii="Georgia" w:hAnsi="Georgia" w:cs="Arial"/>
          <w:lang w:val="es-CO"/>
        </w:rPr>
        <w:t xml:space="preserve"> </w:t>
      </w:r>
      <w:r w:rsidR="00EB19EB">
        <w:rPr>
          <w:rFonts w:ascii="Georgia" w:hAnsi="Georgia" w:cs="Arial"/>
          <w:lang w:val="es-CO"/>
        </w:rPr>
        <w:t xml:space="preserve">en la acción popular No.2016-00709-00 fueron liquidadas a su favor las costas procesales, pese a no ser parte, pues solo actúa como tercero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C82ED9">
        <w:rPr>
          <w:rFonts w:ascii="Georgia" w:hAnsi="Georgia" w:cs="Arial"/>
        </w:rPr>
        <w:t xml:space="preserve">este </w:t>
      </w:r>
      <w:r>
        <w:rPr>
          <w:rFonts w:ascii="Georgia" w:hAnsi="Georgia" w:cs="Arial"/>
        </w:rPr>
        <w:t>c</w:t>
      </w:r>
      <w:r w:rsidRPr="007C23E2">
        <w:rPr>
          <w:rFonts w:ascii="Georgia" w:hAnsi="Georgia" w:cs="Arial"/>
        </w:rPr>
        <w:t xml:space="preserve">uaderno). </w:t>
      </w:r>
    </w:p>
    <w:p w:rsidR="002B0607" w:rsidRPr="00814753" w:rsidRDefault="002B0607" w:rsidP="000A15D9">
      <w:pPr>
        <w:pStyle w:val="Textoindependiente"/>
        <w:spacing w:line="360" w:lineRule="auto"/>
        <w:rPr>
          <w:rFonts w:ascii="Georgia" w:hAnsi="Georgia"/>
          <w:szCs w:val="24"/>
        </w:rPr>
      </w:pPr>
    </w:p>
    <w:p w:rsidR="0099045D" w:rsidRPr="00AD7B0C" w:rsidRDefault="00265F36" w:rsidP="000A15D9">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814753" w:rsidRDefault="00800EF6" w:rsidP="000A15D9">
      <w:pPr>
        <w:pStyle w:val="Textoindependiente"/>
        <w:spacing w:line="360" w:lineRule="auto"/>
        <w:rPr>
          <w:rFonts w:ascii="Georgia" w:hAnsi="Georgia"/>
          <w:szCs w:val="24"/>
        </w:rPr>
      </w:pPr>
    </w:p>
    <w:p w:rsidR="007D0ECC" w:rsidRPr="00AD7B0C" w:rsidRDefault="00315992"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contenidos en los </w:t>
      </w:r>
      <w:r w:rsidR="00401168" w:rsidRPr="00AD7B0C">
        <w:rPr>
          <w:rFonts w:ascii="Georgia" w:hAnsi="Georgia" w:cs="Arial"/>
          <w:spacing w:val="-3"/>
          <w:lang w:val="es-ES_tradnl"/>
        </w:rPr>
        <w:t xml:space="preserve">artículos </w:t>
      </w:r>
      <w:r w:rsidR="00D25766">
        <w:rPr>
          <w:rFonts w:ascii="Georgia" w:hAnsi="Georgia" w:cs="Arial"/>
          <w:spacing w:val="-3"/>
          <w:lang w:val="es-ES_tradnl"/>
        </w:rPr>
        <w:t>13</w:t>
      </w:r>
      <w:r w:rsidR="00DC77A3">
        <w:rPr>
          <w:rFonts w:ascii="Georgia" w:hAnsi="Georgia" w:cs="Arial"/>
          <w:spacing w:val="-3"/>
          <w:lang w:val="es-ES_tradnl"/>
        </w:rPr>
        <w:t xml:space="preserve"> </w:t>
      </w:r>
      <w:r w:rsidR="00D25766">
        <w:rPr>
          <w:rFonts w:ascii="Georgia" w:hAnsi="Georgia" w:cs="Arial"/>
          <w:spacing w:val="-3"/>
          <w:lang w:val="es-ES_tradnl"/>
        </w:rPr>
        <w:t xml:space="preserve">y 86 de la CP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814753" w:rsidRDefault="003F6C16"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0A15D9">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814753" w:rsidRDefault="00303E85" w:rsidP="000A15D9">
      <w:pPr>
        <w:pStyle w:val="Sinespaciado"/>
        <w:spacing w:line="360" w:lineRule="auto"/>
        <w:jc w:val="both"/>
        <w:rPr>
          <w:rFonts w:ascii="Georgia" w:hAnsi="Georgia" w:cs="Arial"/>
          <w:szCs w:val="24"/>
        </w:rPr>
      </w:pPr>
    </w:p>
    <w:p w:rsidR="00B0196F" w:rsidRPr="000A15D9" w:rsidRDefault="008A0768" w:rsidP="000A15D9">
      <w:pPr>
        <w:spacing w:line="360" w:lineRule="auto"/>
        <w:jc w:val="both"/>
        <w:rPr>
          <w:rFonts w:ascii="Georgia" w:hAnsi="Georgia" w:cs="Arial"/>
        </w:rPr>
      </w:pPr>
      <w:r>
        <w:rPr>
          <w:rFonts w:ascii="Georgia" w:hAnsi="Georgia" w:cs="Arial"/>
        </w:rPr>
        <w:t xml:space="preserve">Pretende se ordene al </w:t>
      </w:r>
      <w:r w:rsidR="000A15D9">
        <w:rPr>
          <w:rFonts w:ascii="Georgia" w:hAnsi="Georgia" w:cs="Arial"/>
        </w:rPr>
        <w:t>Juzgado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EB3FB9">
        <w:rPr>
          <w:rFonts w:ascii="Georgia" w:hAnsi="Georgia" w:cs="Arial"/>
        </w:rPr>
        <w:t xml:space="preserve">Liquidar las costas, exclusivamente, a favor de actor popular, pues es su deseo desistir de las que le fueron otorgadas. También requiere que la Corporación: (i) Establezca si el coadyuvante en un asunto popular es un tercero; y, (ii) Brinde copias gratuitas del expediente de esta tutela </w:t>
      </w:r>
      <w:r w:rsidR="00C0628A" w:rsidRPr="00AD7B0C">
        <w:rPr>
          <w:rFonts w:ascii="Georgia" w:hAnsi="Georgia" w:cs="Arial"/>
          <w:spacing w:val="-3"/>
          <w:lang w:val="es-ES_tradnl"/>
        </w:rPr>
        <w:t>(Folio</w:t>
      </w:r>
      <w:r w:rsidR="00C0628A">
        <w:rPr>
          <w:rFonts w:ascii="Georgia" w:hAnsi="Georgia" w:cs="Arial"/>
          <w:spacing w:val="-3"/>
          <w:lang w:val="es-ES_tradnl"/>
        </w:rPr>
        <w:t xml:space="preserve"> 1, </w:t>
      </w:r>
      <w:r w:rsidR="00C0628A" w:rsidRPr="00AD7B0C">
        <w:rPr>
          <w:rFonts w:ascii="Georgia" w:hAnsi="Georgia" w:cs="Arial"/>
          <w:spacing w:val="-3"/>
          <w:lang w:val="es-ES_tradnl"/>
        </w:rPr>
        <w:t>este cuaderno)</w:t>
      </w:r>
      <w:r w:rsidR="00C0628A">
        <w:rPr>
          <w:rFonts w:ascii="Georgia" w:hAnsi="Georgia" w:cs="Arial"/>
          <w:spacing w:val="-3"/>
          <w:lang w:val="es-ES_tradnl"/>
        </w:rPr>
        <w:t>.</w:t>
      </w:r>
    </w:p>
    <w:p w:rsidR="00B0196F" w:rsidRPr="00315992" w:rsidRDefault="00B0196F" w:rsidP="000A15D9">
      <w:pPr>
        <w:spacing w:line="360" w:lineRule="auto"/>
        <w:rPr>
          <w:sz w:val="20"/>
          <w:lang w:val="es-CO"/>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0A15D9" w:rsidRPr="00814753" w:rsidRDefault="000A15D9" w:rsidP="003610E9">
      <w:pPr>
        <w:spacing w:line="360" w:lineRule="auto"/>
        <w:jc w:val="both"/>
        <w:rPr>
          <w:rFonts w:ascii="Georgia" w:hAnsi="Georgia"/>
        </w:rPr>
      </w:pPr>
    </w:p>
    <w:p w:rsidR="006F2D51" w:rsidRDefault="0006677C" w:rsidP="003610E9">
      <w:pPr>
        <w:spacing w:line="360" w:lineRule="auto"/>
        <w:jc w:val="both"/>
        <w:rPr>
          <w:rFonts w:ascii="Georgia" w:hAnsi="Georgia" w:cs="Arial"/>
          <w:color w:val="000000"/>
        </w:rPr>
      </w:pPr>
      <w:r w:rsidRPr="0063183D">
        <w:rPr>
          <w:rFonts w:ascii="Georgia" w:hAnsi="Georgia"/>
        </w:rPr>
        <w:t xml:space="preserve">En </w:t>
      </w:r>
      <w:r w:rsidR="000A15D9">
        <w:rPr>
          <w:rFonts w:ascii="Georgia" w:hAnsi="Georgia"/>
        </w:rPr>
        <w:t xml:space="preserve"> </w:t>
      </w:r>
      <w:r w:rsidRPr="0063183D">
        <w:rPr>
          <w:rFonts w:ascii="Georgia" w:hAnsi="Georgia"/>
        </w:rPr>
        <w:t xml:space="preserve">reparto ordinario </w:t>
      </w:r>
      <w:r w:rsidR="000A15D9">
        <w:rPr>
          <w:rFonts w:ascii="Georgia" w:hAnsi="Georgia"/>
        </w:rPr>
        <w:t xml:space="preserve"> </w:t>
      </w:r>
      <w:r w:rsidRPr="0063183D">
        <w:rPr>
          <w:rFonts w:ascii="Georgia" w:hAnsi="Georgia"/>
        </w:rPr>
        <w:t xml:space="preserve">se </w:t>
      </w:r>
      <w:r w:rsidR="000A15D9">
        <w:rPr>
          <w:rFonts w:ascii="Georgia" w:hAnsi="Georgia"/>
        </w:rPr>
        <w:t xml:space="preserve"> </w:t>
      </w:r>
      <w:r w:rsidR="00D25766">
        <w:rPr>
          <w:rFonts w:ascii="Georgia" w:hAnsi="Georgia"/>
        </w:rPr>
        <w:t xml:space="preserve">asignó </w:t>
      </w:r>
      <w:r w:rsidR="000A15D9">
        <w:rPr>
          <w:rFonts w:ascii="Georgia" w:hAnsi="Georgia"/>
        </w:rPr>
        <w:t xml:space="preserve"> </w:t>
      </w:r>
      <w:r w:rsidRPr="0063183D">
        <w:rPr>
          <w:rFonts w:ascii="Georgia" w:hAnsi="Georgia"/>
        </w:rPr>
        <w:t xml:space="preserve">a </w:t>
      </w:r>
      <w:r w:rsidR="000A15D9">
        <w:rPr>
          <w:rFonts w:ascii="Georgia" w:hAnsi="Georgia"/>
        </w:rPr>
        <w:t xml:space="preserve"> </w:t>
      </w:r>
      <w:r w:rsidRPr="0063183D">
        <w:rPr>
          <w:rFonts w:ascii="Georgia" w:hAnsi="Georgia"/>
        </w:rPr>
        <w:t xml:space="preserve">este </w:t>
      </w:r>
      <w:r w:rsidR="000A15D9">
        <w:rPr>
          <w:rFonts w:ascii="Georgia" w:hAnsi="Georgia"/>
        </w:rPr>
        <w:t xml:space="preserve"> </w:t>
      </w:r>
      <w:r w:rsidRPr="0063183D">
        <w:rPr>
          <w:rFonts w:ascii="Georgia" w:hAnsi="Georgia"/>
        </w:rPr>
        <w:t>Despacho</w:t>
      </w:r>
      <w:r w:rsidRPr="0063183D">
        <w:rPr>
          <w:rFonts w:ascii="Georgia" w:hAnsi="Georgia" w:cs="Arial"/>
          <w:color w:val="000000"/>
        </w:rPr>
        <w:t xml:space="preserve">, </w:t>
      </w:r>
      <w:r w:rsidR="000A15D9">
        <w:rPr>
          <w:rFonts w:ascii="Georgia" w:hAnsi="Georgia" w:cs="Arial"/>
          <w:color w:val="000000"/>
        </w:rPr>
        <w:t xml:space="preserve"> </w:t>
      </w:r>
      <w:r w:rsidRPr="0063183D">
        <w:rPr>
          <w:rFonts w:ascii="Georgia" w:hAnsi="Georgia" w:cs="Arial"/>
          <w:color w:val="000000"/>
        </w:rPr>
        <w:t xml:space="preserve">con </w:t>
      </w:r>
      <w:r w:rsidR="000A15D9">
        <w:rPr>
          <w:rFonts w:ascii="Georgia" w:hAnsi="Georgia" w:cs="Arial"/>
          <w:color w:val="000000"/>
        </w:rPr>
        <w:t xml:space="preserve"> </w:t>
      </w:r>
      <w:r w:rsidRPr="0063183D">
        <w:rPr>
          <w:rFonts w:ascii="Georgia" w:hAnsi="Georgia" w:cs="Arial"/>
          <w:color w:val="000000"/>
        </w:rPr>
        <w:t xml:space="preserve">providencia </w:t>
      </w:r>
      <w:r w:rsidR="000A15D9">
        <w:rPr>
          <w:rFonts w:ascii="Georgia" w:hAnsi="Georgia" w:cs="Arial"/>
          <w:color w:val="000000"/>
        </w:rPr>
        <w:t xml:space="preserve"> </w:t>
      </w:r>
      <w:r w:rsidRPr="0063183D">
        <w:rPr>
          <w:rFonts w:ascii="Georgia" w:hAnsi="Georgia" w:cs="Arial"/>
          <w:color w:val="000000"/>
        </w:rPr>
        <w:t xml:space="preserve">del </w:t>
      </w:r>
      <w:r w:rsidR="000A15D9">
        <w:rPr>
          <w:rFonts w:ascii="Georgia" w:hAnsi="Georgia" w:cs="Arial"/>
          <w:color w:val="000000"/>
        </w:rPr>
        <w:t xml:space="preserve"> </w:t>
      </w:r>
      <w:r w:rsidR="00DC77A3">
        <w:rPr>
          <w:rFonts w:ascii="Georgia" w:hAnsi="Georgia" w:cs="Arial"/>
          <w:color w:val="000000"/>
        </w:rPr>
        <w:t>25</w:t>
      </w:r>
      <w:r w:rsidR="00615827">
        <w:rPr>
          <w:rFonts w:ascii="Georgia" w:hAnsi="Georgia" w:cs="Arial"/>
          <w:color w:val="000000"/>
        </w:rPr>
        <w:t>-</w:t>
      </w:r>
      <w:r w:rsidR="00D25766">
        <w:rPr>
          <w:rFonts w:ascii="Georgia" w:hAnsi="Georgia" w:cs="Arial"/>
          <w:color w:val="000000"/>
        </w:rPr>
        <w:t>07</w:t>
      </w:r>
      <w:r w:rsidR="00615827">
        <w:rPr>
          <w:rFonts w:ascii="Georgia" w:hAnsi="Georgia" w:cs="Arial"/>
          <w:color w:val="000000"/>
        </w:rPr>
        <w:t>-2018</w:t>
      </w:r>
      <w:r w:rsidR="000A15D9">
        <w:rPr>
          <w:rFonts w:ascii="Georgia" w:hAnsi="Georgia" w:cs="Arial"/>
          <w:color w:val="000000"/>
        </w:rPr>
        <w:t xml:space="preserve">  se </w:t>
      </w:r>
      <w:r w:rsidR="00315992">
        <w:rPr>
          <w:rFonts w:ascii="Georgia" w:hAnsi="Georgia" w:cs="Arial"/>
          <w:color w:val="000000"/>
        </w:rPr>
        <w:t xml:space="preserve"> </w:t>
      </w:r>
      <w:r w:rsidR="00D25766">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00EB3FB9">
        <w:rPr>
          <w:rFonts w:ascii="Georgia" w:hAnsi="Georgia"/>
        </w:rPr>
        <w:t>s</w:t>
      </w:r>
      <w:r w:rsidRPr="0063183D">
        <w:rPr>
          <w:rFonts w:ascii="Georgia" w:hAnsi="Georgia"/>
        </w:rPr>
        <w:t xml:space="preserve"> </w:t>
      </w:r>
      <w:r w:rsidR="00D25766">
        <w:rPr>
          <w:rFonts w:ascii="Georgia" w:hAnsi="Georgia"/>
        </w:rPr>
        <w:t>4</w:t>
      </w:r>
      <w:r w:rsidRPr="0063183D">
        <w:rPr>
          <w:rFonts w:ascii="Georgia" w:hAnsi="Georgia"/>
        </w:rPr>
        <w:t>, ibídem)</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D25766">
        <w:rPr>
          <w:rFonts w:ascii="Georgia" w:hAnsi="Georgia" w:cs="Arial"/>
          <w:color w:val="000000"/>
        </w:rPr>
        <w:t xml:space="preserve">5 </w:t>
      </w:r>
      <w:r w:rsidR="00EB3FB9">
        <w:rPr>
          <w:rFonts w:ascii="Georgia" w:hAnsi="Georgia" w:cs="Arial"/>
          <w:color w:val="000000"/>
        </w:rPr>
        <w:t>y 6</w:t>
      </w:r>
      <w:r w:rsidR="00C0628A">
        <w:rPr>
          <w:rFonts w:ascii="Georgia" w:hAnsi="Georgia" w:cs="Arial"/>
          <w:color w:val="000000"/>
        </w:rPr>
        <w:t xml:space="preserve">, ibídem). </w:t>
      </w:r>
    </w:p>
    <w:p w:rsidR="006F2D51" w:rsidRPr="00814753" w:rsidRDefault="006F2D51" w:rsidP="003610E9">
      <w:pPr>
        <w:spacing w:line="360" w:lineRule="auto"/>
        <w:jc w:val="both"/>
        <w:rPr>
          <w:rFonts w:ascii="Georgia" w:hAnsi="Georgia" w:cs="Arial"/>
          <w:color w:val="000000"/>
        </w:rPr>
      </w:pPr>
    </w:p>
    <w:p w:rsidR="003610E9" w:rsidRPr="00315992" w:rsidRDefault="00C0628A" w:rsidP="003610E9">
      <w:pPr>
        <w:spacing w:line="360" w:lineRule="auto"/>
        <w:jc w:val="both"/>
        <w:rPr>
          <w:rFonts w:ascii="Georgia" w:hAnsi="Georgia" w:cs="Arial"/>
          <w:color w:val="000000"/>
        </w:rPr>
      </w:pPr>
      <w:r>
        <w:rPr>
          <w:rFonts w:ascii="Georgia" w:hAnsi="Georgia" w:cs="Arial"/>
          <w:color w:val="000000"/>
        </w:rPr>
        <w:t>Contestaron</w:t>
      </w:r>
      <w:r w:rsidR="0006677C" w:rsidRPr="00703B98">
        <w:rPr>
          <w:rFonts w:ascii="Georgia" w:hAnsi="Georgia" w:cs="Arial"/>
          <w:color w:val="000000"/>
        </w:rPr>
        <w:t xml:space="preserve"> </w:t>
      </w:r>
      <w:r w:rsidR="00EB3FB9">
        <w:rPr>
          <w:rFonts w:ascii="Georgia" w:hAnsi="Georgia" w:cs="Arial"/>
          <w:color w:val="000000"/>
        </w:rPr>
        <w:t xml:space="preserve">la funcionaria judicial accionada (Folio 7, ibídem), la Defensoría del Pueblo, Regional Cundinamarca (Folios 9 y 10, ib.), la </w:t>
      </w:r>
      <w:r w:rsidR="0038158C" w:rsidRPr="00703B98">
        <w:rPr>
          <w:rFonts w:ascii="Georgia" w:hAnsi="Georgia" w:cs="Arial"/>
          <w:color w:val="000000"/>
        </w:rPr>
        <w:t>Procuraduría General de la Nación,</w:t>
      </w:r>
      <w:r w:rsidR="002E6C7C" w:rsidRPr="00703B98">
        <w:rPr>
          <w:rFonts w:ascii="Georgia" w:hAnsi="Georgia" w:cs="Arial"/>
          <w:color w:val="000000"/>
        </w:rPr>
        <w:t xml:space="preserve"> </w:t>
      </w:r>
      <w:r w:rsidR="00D25766">
        <w:rPr>
          <w:rFonts w:ascii="Georgia" w:hAnsi="Georgia" w:cs="Arial"/>
          <w:color w:val="000000"/>
        </w:rPr>
        <w:t>Regional</w:t>
      </w:r>
      <w:r w:rsidR="00A13C5E" w:rsidRPr="00703B98">
        <w:rPr>
          <w:rFonts w:ascii="Georgia" w:hAnsi="Georgia" w:cs="Arial"/>
          <w:color w:val="000000"/>
        </w:rPr>
        <w:t xml:space="preserve"> </w:t>
      </w:r>
      <w:r>
        <w:rPr>
          <w:rFonts w:ascii="Georgia" w:hAnsi="Georgia" w:cs="Arial"/>
          <w:color w:val="000000"/>
        </w:rPr>
        <w:t xml:space="preserve">Risaralda </w:t>
      </w:r>
      <w:r w:rsidR="006F2D51">
        <w:rPr>
          <w:rFonts w:ascii="Georgia" w:hAnsi="Georgia" w:cs="Arial"/>
          <w:color w:val="000000"/>
        </w:rPr>
        <w:t xml:space="preserve">(PGNRR) </w:t>
      </w:r>
      <w:r w:rsidR="00D25766">
        <w:rPr>
          <w:rFonts w:ascii="Georgia" w:hAnsi="Georgia" w:cs="Arial"/>
          <w:color w:val="000000"/>
        </w:rPr>
        <w:t>(Folio</w:t>
      </w:r>
      <w:r w:rsidR="00A13C5E" w:rsidRPr="00703B98">
        <w:rPr>
          <w:rFonts w:ascii="Georgia" w:hAnsi="Georgia" w:cs="Arial"/>
          <w:color w:val="000000"/>
        </w:rPr>
        <w:t xml:space="preserve"> </w:t>
      </w:r>
      <w:r w:rsidR="00EB3FB9">
        <w:rPr>
          <w:rFonts w:ascii="Georgia" w:hAnsi="Georgia" w:cs="Arial"/>
          <w:color w:val="000000"/>
        </w:rPr>
        <w:t>12</w:t>
      </w:r>
      <w:r w:rsidR="000E68E3">
        <w:rPr>
          <w:rFonts w:ascii="Georgia" w:hAnsi="Georgia" w:cs="Arial"/>
          <w:color w:val="000000"/>
        </w:rPr>
        <w:t xml:space="preserve">, </w:t>
      </w:r>
      <w:r w:rsidR="00EB3FB9">
        <w:rPr>
          <w:rFonts w:ascii="Georgia" w:hAnsi="Georgia" w:cs="Arial"/>
          <w:color w:val="000000"/>
        </w:rPr>
        <w:t>ib.</w:t>
      </w:r>
      <w:r w:rsidR="00A13C5E" w:rsidRPr="00703B98">
        <w:rPr>
          <w:rFonts w:ascii="Georgia" w:hAnsi="Georgia" w:cs="Arial"/>
          <w:color w:val="000000"/>
        </w:rPr>
        <w:t>)</w:t>
      </w:r>
      <w:r w:rsidR="00EB3FB9">
        <w:rPr>
          <w:rFonts w:ascii="Georgia" w:hAnsi="Georgia" w:cs="Arial"/>
          <w:color w:val="000000"/>
        </w:rPr>
        <w:t>, la Personería de Bogotá (Folios 14 a 16, ib.), la Procuraduría General de la Nación, Regional Cundinamarca</w:t>
      </w:r>
      <w:r w:rsidR="006F2D51">
        <w:rPr>
          <w:rFonts w:ascii="Georgia" w:hAnsi="Georgia" w:cs="Arial"/>
          <w:color w:val="000000"/>
        </w:rPr>
        <w:t xml:space="preserve"> (PGNRC) (Folios 19 y 20, ib.), la Defensoría del Pueblo, Regional Bogotá (Folio 22, ib.), la Alcaldía Mayor de Bogotá (Folios 27 y 28, ib.)</w:t>
      </w:r>
      <w:r w:rsidR="00EB3FB9">
        <w:rPr>
          <w:rFonts w:ascii="Georgia" w:hAnsi="Georgia" w:cs="Arial"/>
          <w:color w:val="000000"/>
        </w:rPr>
        <w:t xml:space="preserve"> </w:t>
      </w:r>
      <w:r w:rsidR="000E68E3">
        <w:rPr>
          <w:rFonts w:ascii="Georgia" w:hAnsi="Georgia" w:cs="Arial"/>
          <w:color w:val="000000"/>
        </w:rPr>
        <w:t>y</w:t>
      </w:r>
      <w:r w:rsidR="000A15D9">
        <w:rPr>
          <w:rFonts w:ascii="Georgia" w:hAnsi="Georgia" w:cs="Arial"/>
          <w:color w:val="000000"/>
        </w:rPr>
        <w:t xml:space="preserve"> </w:t>
      </w:r>
      <w:r w:rsidR="006F2D51">
        <w:rPr>
          <w:rFonts w:ascii="Georgia" w:hAnsi="Georgia" w:cs="Arial"/>
          <w:color w:val="000000"/>
        </w:rPr>
        <w:t xml:space="preserve">el Procurador 4º Judicial II para Asuntos Civiles </w:t>
      </w:r>
      <w:r w:rsidR="000A15D9">
        <w:rPr>
          <w:rFonts w:ascii="Georgia" w:hAnsi="Georgia" w:cs="Arial"/>
          <w:color w:val="000000"/>
        </w:rPr>
        <w:t>(</w:t>
      </w:r>
      <w:r w:rsidR="000E68E3">
        <w:rPr>
          <w:rFonts w:ascii="Georgia" w:hAnsi="Georgia" w:cs="Arial"/>
          <w:color w:val="000000"/>
        </w:rPr>
        <w:t xml:space="preserve">Folios </w:t>
      </w:r>
      <w:r w:rsidR="006F2D51">
        <w:rPr>
          <w:rFonts w:ascii="Georgia" w:hAnsi="Georgia" w:cs="Arial"/>
          <w:color w:val="000000"/>
        </w:rPr>
        <w:t>50 y 51</w:t>
      </w:r>
      <w:r w:rsidR="000A15D9">
        <w:rPr>
          <w:rFonts w:ascii="Georgia" w:hAnsi="Georgia" w:cs="Arial"/>
          <w:color w:val="000000"/>
        </w:rPr>
        <w:t>, ib.)</w:t>
      </w:r>
      <w:r w:rsidR="003610E9">
        <w:rPr>
          <w:rFonts w:ascii="Georgia" w:hAnsi="Georgia" w:cs="Arial"/>
        </w:rPr>
        <w:t>.</w:t>
      </w:r>
    </w:p>
    <w:p w:rsidR="00297AD8" w:rsidRPr="00814753" w:rsidRDefault="00297AD8"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814753" w:rsidRDefault="0006677C" w:rsidP="0006677C">
      <w:pPr>
        <w:pStyle w:val="Textoindependiente"/>
        <w:spacing w:line="360" w:lineRule="auto"/>
        <w:rPr>
          <w:rFonts w:ascii="Georgia" w:hAnsi="Georgia"/>
          <w:szCs w:val="24"/>
        </w:rPr>
      </w:pPr>
    </w:p>
    <w:p w:rsidR="002E2956" w:rsidRDefault="006F2D51" w:rsidP="00D25766">
      <w:pPr>
        <w:pStyle w:val="Textoindependiente"/>
        <w:spacing w:line="360" w:lineRule="auto"/>
        <w:rPr>
          <w:rFonts w:ascii="Georgia" w:hAnsi="Georgia" w:cs="Arial"/>
          <w:color w:val="000000"/>
        </w:rPr>
      </w:pPr>
      <w:r>
        <w:rPr>
          <w:rFonts w:ascii="Georgia" w:hAnsi="Georgia" w:cs="Arial"/>
          <w:color w:val="000000"/>
        </w:rPr>
        <w:t xml:space="preserve">La </w:t>
      </w:r>
      <w:r w:rsidRPr="005E4D54">
        <w:rPr>
          <w:rFonts w:ascii="Georgia" w:hAnsi="Georgia" w:cs="Arial"/>
          <w:i/>
          <w:color w:val="000000"/>
        </w:rPr>
        <w:t>a quo</w:t>
      </w:r>
      <w:r>
        <w:rPr>
          <w:rFonts w:ascii="Georgia" w:hAnsi="Georgia" w:cs="Arial"/>
          <w:color w:val="000000"/>
        </w:rPr>
        <w:t xml:space="preserve"> accionada describió el estado actual de la acción popular, sin oponerse a las pretensiones tutelares (Folio 7, ib.), las Defensorías del Pueblo, Regionales Cundinamarca y Bogotá, la Personería y la Alcaldía Mayor de Bogotá, y el Procurador 4º Judicial II para Asuntos Civiles, alegaron falta de legitimación en la causa por pasiva (Folios 9, 10, 14, 15, 16, 22, 27, 28, 50 y 51, ib.), l</w:t>
      </w:r>
      <w:r w:rsidR="000E68E3">
        <w:rPr>
          <w:rFonts w:ascii="Georgia" w:hAnsi="Georgia" w:cs="Arial"/>
          <w:color w:val="000000"/>
        </w:rPr>
        <w:t xml:space="preserve">a </w:t>
      </w:r>
      <w:r>
        <w:rPr>
          <w:rFonts w:ascii="Georgia" w:hAnsi="Georgia" w:cs="Arial"/>
          <w:color w:val="000000"/>
        </w:rPr>
        <w:t xml:space="preserve">PGNRR </w:t>
      </w:r>
      <w:r w:rsidR="002E2956">
        <w:rPr>
          <w:rFonts w:ascii="Georgia" w:hAnsi="Georgia" w:cs="Arial"/>
          <w:color w:val="000000"/>
        </w:rPr>
        <w:t>expresó</w:t>
      </w:r>
      <w:r w:rsidR="006046A2">
        <w:rPr>
          <w:rFonts w:ascii="Georgia" w:hAnsi="Georgia" w:cs="Arial"/>
          <w:color w:val="000000"/>
        </w:rPr>
        <w:t xml:space="preserve"> que la situación alegada es ajena a sus funciones como defensor</w:t>
      </w:r>
      <w:r w:rsidR="00C0628A">
        <w:rPr>
          <w:rFonts w:ascii="Georgia" w:hAnsi="Georgia" w:cs="Arial"/>
          <w:color w:val="000000"/>
        </w:rPr>
        <w:t>a</w:t>
      </w:r>
      <w:r w:rsidR="006046A2">
        <w:rPr>
          <w:rFonts w:ascii="Georgia" w:hAnsi="Georgia" w:cs="Arial"/>
          <w:color w:val="000000"/>
        </w:rPr>
        <w:t xml:space="preserve"> de los intereses colectivos </w:t>
      </w:r>
      <w:r w:rsidR="000E68E3">
        <w:rPr>
          <w:rFonts w:ascii="Georgia" w:hAnsi="Georgia" w:cs="Arial"/>
          <w:color w:val="000000"/>
        </w:rPr>
        <w:t>(Folio</w:t>
      </w:r>
      <w:r w:rsidR="00A13C5E">
        <w:rPr>
          <w:rFonts w:ascii="Georgia" w:hAnsi="Georgia" w:cs="Arial"/>
          <w:color w:val="000000"/>
        </w:rPr>
        <w:t xml:space="preserve"> </w:t>
      </w:r>
      <w:r>
        <w:rPr>
          <w:rFonts w:ascii="Georgia" w:hAnsi="Georgia" w:cs="Arial"/>
          <w:color w:val="000000"/>
        </w:rPr>
        <w:t>12</w:t>
      </w:r>
      <w:r w:rsidR="00A13C5E">
        <w:rPr>
          <w:rFonts w:ascii="Georgia" w:hAnsi="Georgia" w:cs="Arial"/>
          <w:color w:val="000000"/>
        </w:rPr>
        <w:t>, ib</w:t>
      </w:r>
      <w:r w:rsidR="007A6553">
        <w:rPr>
          <w:rFonts w:ascii="Georgia" w:hAnsi="Georgia" w:cs="Arial"/>
          <w:color w:val="000000"/>
        </w:rPr>
        <w:t>.)</w:t>
      </w:r>
      <w:r>
        <w:rPr>
          <w:rFonts w:ascii="Georgia" w:hAnsi="Georgia" w:cs="Arial"/>
          <w:color w:val="000000"/>
        </w:rPr>
        <w:t>, la PGNRC adujo que el amparo carece de subsidiariedad porque el actor no ha agotado los recursos de ley (Folios 19 y 20, ib.)</w:t>
      </w:r>
      <w:r w:rsidR="000A15D9">
        <w:rPr>
          <w:rFonts w:ascii="Georgia" w:hAnsi="Georgia" w:cs="Arial"/>
          <w:color w:val="000000"/>
        </w:rPr>
        <w:t>.</w:t>
      </w:r>
      <w:r w:rsidR="008240D9">
        <w:rPr>
          <w:rFonts w:ascii="Georgia" w:hAnsi="Georgia" w:cs="Arial"/>
          <w:color w:val="000000"/>
        </w:rPr>
        <w:t xml:space="preserve"> </w:t>
      </w:r>
      <w:r>
        <w:rPr>
          <w:rFonts w:ascii="Georgia" w:hAnsi="Georgia" w:cs="Arial"/>
          <w:color w:val="000000"/>
        </w:rPr>
        <w:t>Todas pidieron ser desvinculadas.</w:t>
      </w:r>
    </w:p>
    <w:p w:rsidR="00A86813" w:rsidRPr="00814753" w:rsidRDefault="00A86813" w:rsidP="004173A5">
      <w:pPr>
        <w:pStyle w:val="Textoindependiente"/>
        <w:spacing w:line="360" w:lineRule="auto"/>
        <w:rPr>
          <w:rFonts w:ascii="Georgia" w:hAnsi="Georgia" w:cs="Arial"/>
          <w:color w:val="000000"/>
          <w:sz w:val="22"/>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814753" w:rsidRDefault="0006677C" w:rsidP="0006677C">
      <w:pPr>
        <w:pStyle w:val="Textoindependiente"/>
        <w:spacing w:line="360" w:lineRule="auto"/>
        <w:ind w:left="400"/>
        <w:rPr>
          <w:rFonts w:ascii="Georgia" w:hAnsi="Georgia"/>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Civil </w:t>
      </w:r>
      <w:r w:rsidR="00813F39">
        <w:rPr>
          <w:rFonts w:ascii="Georgia" w:hAnsi="Georgia" w:cs="Arial"/>
          <w:color w:val="000000"/>
          <w:szCs w:val="24"/>
        </w:rPr>
        <w:t xml:space="preserve">del Circuito de </w:t>
      </w:r>
      <w:r w:rsidR="006F2D51">
        <w:rPr>
          <w:rFonts w:ascii="Georgia" w:hAnsi="Georgia" w:cs="Arial"/>
          <w:color w:val="000000"/>
          <w:szCs w:val="24"/>
        </w:rPr>
        <w:t>Santa Rosa de Cabal</w:t>
      </w:r>
      <w:r>
        <w:rPr>
          <w:rFonts w:ascii="Georgia" w:hAnsi="Georgia" w:cs="Arial"/>
          <w:color w:val="000000"/>
          <w:szCs w:val="24"/>
        </w:rPr>
        <w:t>.</w:t>
      </w:r>
    </w:p>
    <w:p w:rsidR="0006677C" w:rsidRPr="00814753" w:rsidRDefault="0006677C" w:rsidP="0006677C">
      <w:pPr>
        <w:pStyle w:val="Sangra2detindependiente"/>
        <w:tabs>
          <w:tab w:val="left" w:pos="709"/>
        </w:tabs>
        <w:spacing w:after="0" w:line="360" w:lineRule="auto"/>
        <w:ind w:left="709" w:hanging="709"/>
        <w:jc w:val="both"/>
        <w:rPr>
          <w:rFonts w:ascii="Georgia" w:hAnsi="Georgia" w:cs="Arial"/>
          <w:sz w:val="24"/>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w:t>
      </w:r>
      <w:r w:rsidR="008240D9">
        <w:rPr>
          <w:rFonts w:ascii="Georgia" w:hAnsi="Georgia" w:cs="Arial"/>
        </w:rPr>
        <w:t xml:space="preserve">el </w:t>
      </w:r>
      <w:r>
        <w:rPr>
          <w:rFonts w:ascii="Georgia" w:hAnsi="Georgia" w:cs="Arial"/>
        </w:rPr>
        <w:t>escrito</w:t>
      </w:r>
      <w:r w:rsidRPr="00EB1DBB">
        <w:rPr>
          <w:rFonts w:ascii="Georgia" w:hAnsi="Georgia" w:cs="Arial"/>
        </w:rPr>
        <w:t xml:space="preserve"> de tutela?   </w:t>
      </w:r>
    </w:p>
    <w:p w:rsidR="0006677C" w:rsidRPr="00814753"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814753" w:rsidRDefault="0006677C" w:rsidP="0006677C">
      <w:pPr>
        <w:pStyle w:val="Prrafodelista"/>
        <w:spacing w:line="360" w:lineRule="auto"/>
        <w:rPr>
          <w:rFonts w:ascii="Georgia" w:hAnsi="Georgia" w:cs="Arial"/>
          <w:lang w:val="es-CO"/>
        </w:rPr>
      </w:pPr>
    </w:p>
    <w:p w:rsidR="000666EF" w:rsidRPr="006F2D51" w:rsidRDefault="0006677C" w:rsidP="006F2D51">
      <w:pPr>
        <w:pStyle w:val="Prrafodelista"/>
        <w:numPr>
          <w:ilvl w:val="2"/>
          <w:numId w:val="18"/>
        </w:numPr>
        <w:spacing w:line="360" w:lineRule="auto"/>
        <w:jc w:val="both"/>
        <w:rPr>
          <w:rFonts w:ascii="Georgia" w:hAnsi="Georgia" w:cs="Arial"/>
          <w:spacing w:val="3"/>
        </w:rPr>
      </w:pPr>
      <w:r w:rsidRPr="0075672C">
        <w:rPr>
          <w:rFonts w:ascii="Georgia" w:hAnsi="Georgia"/>
          <w:smallCaps/>
          <w:sz w:val="22"/>
        </w:rPr>
        <w:t>La legitimación en la causa</w:t>
      </w:r>
      <w:r w:rsidRPr="0075672C">
        <w:rPr>
          <w:rFonts w:ascii="Georgia" w:hAnsi="Georgia"/>
          <w:smallCaps/>
        </w:rPr>
        <w:t xml:space="preserve">. </w:t>
      </w:r>
      <w:r w:rsidRPr="0075672C">
        <w:rPr>
          <w:rFonts w:ascii="Georgia" w:hAnsi="Georgia" w:cs="Arial"/>
        </w:rPr>
        <w:t xml:space="preserve">Se cumple por activa dado que el actor </w:t>
      </w:r>
      <w:r w:rsidR="006F2D51">
        <w:rPr>
          <w:rFonts w:ascii="Georgia" w:hAnsi="Georgia" w:cs="Arial"/>
        </w:rPr>
        <w:t>actúa como coadyuvant</w:t>
      </w:r>
      <w:r w:rsidR="006F2D51" w:rsidRPr="006F2D51">
        <w:rPr>
          <w:rFonts w:ascii="Georgia" w:hAnsi="Georgia" w:cs="Arial"/>
        </w:rPr>
        <w:t xml:space="preserve">e </w:t>
      </w:r>
      <w:r w:rsidR="006F2D51">
        <w:rPr>
          <w:rFonts w:ascii="Georgia" w:hAnsi="Georgia" w:cs="Arial"/>
        </w:rPr>
        <w:t xml:space="preserve">en </w:t>
      </w:r>
      <w:r w:rsidR="008240D9" w:rsidRPr="006F2D51">
        <w:rPr>
          <w:rFonts w:ascii="Georgia" w:hAnsi="Georgia" w:cs="Arial"/>
        </w:rPr>
        <w:t xml:space="preserve">la acción </w:t>
      </w:r>
      <w:r w:rsidR="00B657B5" w:rsidRPr="006F2D51">
        <w:rPr>
          <w:rFonts w:ascii="Georgia" w:hAnsi="Georgia" w:cs="Arial"/>
        </w:rPr>
        <w:t>popular</w:t>
      </w:r>
      <w:r w:rsidR="006F2D51">
        <w:rPr>
          <w:rFonts w:ascii="Georgia" w:hAnsi="Georgia" w:cs="Arial"/>
        </w:rPr>
        <w:t xml:space="preserve"> donde se reprocha</w:t>
      </w:r>
      <w:r w:rsidRPr="006F2D51">
        <w:rPr>
          <w:rFonts w:ascii="Georgia" w:hAnsi="Georgia" w:cs="Arial"/>
        </w:rPr>
        <w:t xml:space="preserve"> la falta al debido proceso</w:t>
      </w:r>
      <w:r w:rsidR="00B657B5" w:rsidRPr="006F2D51">
        <w:rPr>
          <w:rFonts w:ascii="Georgia" w:hAnsi="Georgia" w:cs="Arial"/>
        </w:rPr>
        <w:t xml:space="preserve"> (Folio </w:t>
      </w:r>
      <w:r w:rsidR="008240D9" w:rsidRPr="006F2D51">
        <w:rPr>
          <w:rFonts w:ascii="Georgia" w:hAnsi="Georgia" w:cs="Arial"/>
        </w:rPr>
        <w:t>26</w:t>
      </w:r>
      <w:r w:rsidR="00B657B5" w:rsidRPr="006F2D51">
        <w:rPr>
          <w:rFonts w:ascii="Georgia" w:hAnsi="Georgia" w:cs="Arial"/>
        </w:rPr>
        <w:t>, ib.)</w:t>
      </w:r>
      <w:r w:rsidRPr="006F2D51">
        <w:rPr>
          <w:rFonts w:ascii="Georgia" w:hAnsi="Georgia" w:cs="Arial"/>
        </w:rPr>
        <w:t xml:space="preserve">. Y por pasiva, </w:t>
      </w:r>
      <w:r w:rsidR="00814753">
        <w:rPr>
          <w:rFonts w:ascii="Georgia" w:hAnsi="Georgia" w:cs="Arial"/>
        </w:rPr>
        <w:t xml:space="preserve">el Juzgado </w:t>
      </w:r>
      <w:r w:rsidRPr="006F2D51">
        <w:rPr>
          <w:rFonts w:ascii="Georgia" w:hAnsi="Georgia" w:cs="Arial"/>
        </w:rPr>
        <w:t>accionado</w:t>
      </w:r>
      <w:r w:rsidR="00814753">
        <w:rPr>
          <w:rFonts w:ascii="Georgia" w:hAnsi="Georgia" w:cs="Arial"/>
        </w:rPr>
        <w:t xml:space="preserve"> porque</w:t>
      </w:r>
      <w:r w:rsidRPr="006F2D51">
        <w:rPr>
          <w:rFonts w:ascii="Georgia" w:hAnsi="Georgia" w:cs="Arial"/>
        </w:rPr>
        <w:t xml:space="preserve"> es la autoridad judicial que conoce </w:t>
      </w:r>
      <w:r w:rsidR="00814753">
        <w:rPr>
          <w:rFonts w:ascii="Georgia" w:hAnsi="Georgia" w:cs="Arial"/>
        </w:rPr>
        <w:t>dicho asunto</w:t>
      </w:r>
      <w:r w:rsidR="00813F39" w:rsidRPr="006F2D51">
        <w:rPr>
          <w:rFonts w:ascii="Georgia" w:hAnsi="Georgia"/>
        </w:rPr>
        <w:t>.</w:t>
      </w: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814753" w:rsidRDefault="003E703E" w:rsidP="003E703E">
      <w:pPr>
        <w:pStyle w:val="Textoindependiente"/>
        <w:spacing w:line="360" w:lineRule="auto"/>
        <w:rPr>
          <w:rFonts w:ascii="Georgia" w:hAnsi="Georgia" w:cs="Arial"/>
          <w:szCs w:val="24"/>
          <w:lang w:val="es-CO"/>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4"/>
      </w:r>
      <w:r w:rsidRPr="00CB569A">
        <w:rPr>
          <w:rFonts w:ascii="Georgia" w:hAnsi="Georgia" w:cs="Arial"/>
          <w:spacing w:val="-3"/>
          <w:lang w:val="es-ES_tradnl"/>
        </w:rPr>
        <w:t>.</w:t>
      </w:r>
    </w:p>
    <w:p w:rsidR="008240D9" w:rsidRPr="00814753" w:rsidRDefault="008240D9"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315992"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xml:space="preserve">, lo que evidencia </w:t>
      </w:r>
      <w:r w:rsidR="00315992">
        <w:rPr>
          <w:rFonts w:ascii="Georgia" w:hAnsi="Georgia" w:cs="Arial"/>
          <w:spacing w:val="-3"/>
          <w:lang w:val="es-ES_tradnl"/>
        </w:rPr>
        <w:t xml:space="preserve">  </w:t>
      </w:r>
      <w:r w:rsidRPr="00CB569A">
        <w:rPr>
          <w:rFonts w:ascii="Georgia" w:hAnsi="Georgia" w:cs="Arial"/>
          <w:spacing w:val="-3"/>
          <w:lang w:val="es-ES_tradnl"/>
        </w:rPr>
        <w:t xml:space="preserve">que </w:t>
      </w:r>
      <w:r w:rsidR="00315992">
        <w:rPr>
          <w:rFonts w:ascii="Georgia" w:hAnsi="Georgia" w:cs="Arial"/>
          <w:spacing w:val="-3"/>
          <w:lang w:val="es-ES_tradnl"/>
        </w:rPr>
        <w:t xml:space="preserve">  </w:t>
      </w:r>
      <w:r w:rsidRPr="00CB569A">
        <w:rPr>
          <w:rFonts w:ascii="Georgia" w:hAnsi="Georgia" w:cs="Arial"/>
          <w:spacing w:val="-3"/>
          <w:lang w:val="es-ES_tradnl"/>
        </w:rPr>
        <w:t xml:space="preserve">son </w:t>
      </w:r>
      <w:r w:rsidR="00315992">
        <w:rPr>
          <w:rFonts w:ascii="Georgia" w:hAnsi="Georgia" w:cs="Arial"/>
          <w:spacing w:val="-3"/>
          <w:lang w:val="es-ES_tradnl"/>
        </w:rPr>
        <w:t xml:space="preserve">  </w:t>
      </w:r>
      <w:r w:rsidRPr="00CB569A">
        <w:rPr>
          <w:rFonts w:ascii="Georgia" w:hAnsi="Georgia" w:cs="Arial"/>
          <w:spacing w:val="-3"/>
          <w:lang w:val="es-ES_tradnl"/>
        </w:rPr>
        <w:t xml:space="preserve">dos </w:t>
      </w:r>
      <w:r w:rsidR="00315992">
        <w:rPr>
          <w:rFonts w:ascii="Georgia" w:hAnsi="Georgia" w:cs="Arial"/>
          <w:spacing w:val="-3"/>
          <w:lang w:val="es-ES_tradnl"/>
        </w:rPr>
        <w:t xml:space="preserve">  </w:t>
      </w:r>
      <w:r w:rsidRPr="00CB569A">
        <w:rPr>
          <w:rFonts w:ascii="Georgia" w:hAnsi="Georgia" w:cs="Arial"/>
          <w:spacing w:val="-3"/>
          <w:lang w:val="es-ES_tradnl"/>
        </w:rPr>
        <w:t xml:space="preserve">planos </w:t>
      </w:r>
      <w:r w:rsidR="00315992">
        <w:rPr>
          <w:rFonts w:ascii="Georgia" w:hAnsi="Georgia" w:cs="Arial"/>
          <w:spacing w:val="-3"/>
          <w:lang w:val="es-ES_tradnl"/>
        </w:rPr>
        <w:t xml:space="preserve">  </w:t>
      </w:r>
      <w:r w:rsidRPr="00CB569A">
        <w:rPr>
          <w:rFonts w:ascii="Georgia" w:hAnsi="Georgia" w:cs="Arial"/>
          <w:spacing w:val="-3"/>
          <w:lang w:val="es-ES_tradnl"/>
        </w:rPr>
        <w:t xml:space="preserve">de </w:t>
      </w:r>
      <w:r w:rsidR="00315992">
        <w:rPr>
          <w:rFonts w:ascii="Georgia" w:hAnsi="Georgia" w:cs="Arial"/>
          <w:spacing w:val="-3"/>
          <w:lang w:val="es-ES_tradnl"/>
        </w:rPr>
        <w:t xml:space="preserve">  </w:t>
      </w:r>
      <w:r w:rsidRPr="00CB569A">
        <w:rPr>
          <w:rFonts w:ascii="Georgia" w:hAnsi="Georgia" w:cs="Arial"/>
          <w:spacing w:val="-3"/>
          <w:lang w:val="es-ES_tradnl"/>
        </w:rPr>
        <w:t xml:space="preserve">estudio </w:t>
      </w:r>
      <w:r w:rsidR="00315992">
        <w:rPr>
          <w:rFonts w:ascii="Georgia" w:hAnsi="Georgia" w:cs="Arial"/>
          <w:spacing w:val="-3"/>
          <w:lang w:val="es-ES_tradnl"/>
        </w:rPr>
        <w:t xml:space="preserve">  </w:t>
      </w:r>
      <w:r w:rsidRPr="00CB569A">
        <w:rPr>
          <w:rFonts w:ascii="Georgia" w:hAnsi="Georgia" w:cs="Arial"/>
          <w:spacing w:val="-3"/>
          <w:lang w:val="es-ES_tradnl"/>
        </w:rPr>
        <w:t xml:space="preserve">diversos, </w:t>
      </w:r>
      <w:r w:rsidR="00315992">
        <w:rPr>
          <w:rFonts w:ascii="Georgia" w:hAnsi="Georgia" w:cs="Arial"/>
          <w:spacing w:val="-3"/>
          <w:lang w:val="es-ES_tradnl"/>
        </w:rPr>
        <w:t xml:space="preserve"> </w:t>
      </w:r>
      <w:r w:rsidRPr="00CB569A">
        <w:rPr>
          <w:rFonts w:ascii="Georgia" w:hAnsi="Georgia" w:cs="Arial"/>
          <w:spacing w:val="-3"/>
          <w:lang w:val="es-ES_tradnl"/>
        </w:rPr>
        <w:t xml:space="preserve">entonces, </w:t>
      </w:r>
      <w:r w:rsidR="00315992">
        <w:rPr>
          <w:rFonts w:ascii="Georgia" w:hAnsi="Georgia" w:cs="Arial"/>
          <w:spacing w:val="-3"/>
          <w:lang w:val="es-ES_tradnl"/>
        </w:rPr>
        <w:t xml:space="preserve"> </w:t>
      </w:r>
      <w:r w:rsidRPr="00CB569A">
        <w:rPr>
          <w:rFonts w:ascii="Georgia" w:hAnsi="Georgia" w:cs="Arial"/>
          <w:spacing w:val="-3"/>
          <w:lang w:val="es-ES_tradnl"/>
        </w:rPr>
        <w:t xml:space="preserve">mal </w:t>
      </w:r>
      <w:r w:rsidR="00315992">
        <w:rPr>
          <w:rFonts w:ascii="Georgia" w:hAnsi="Georgia" w:cs="Arial"/>
          <w:spacing w:val="-3"/>
          <w:lang w:val="es-ES_tradnl"/>
        </w:rPr>
        <w:t xml:space="preserve"> </w:t>
      </w:r>
      <w:r w:rsidRPr="00CB569A">
        <w:rPr>
          <w:rFonts w:ascii="Georgia" w:hAnsi="Georgia" w:cs="Arial"/>
          <w:spacing w:val="-3"/>
          <w:lang w:val="es-ES_tradnl"/>
        </w:rPr>
        <w:t xml:space="preserve">puede </w:t>
      </w:r>
      <w:r w:rsidR="00315992">
        <w:rPr>
          <w:rFonts w:ascii="Georgia" w:hAnsi="Georgia" w:cs="Arial"/>
          <w:spacing w:val="-3"/>
          <w:lang w:val="es-ES_tradnl"/>
        </w:rPr>
        <w:t xml:space="preserve"> </w:t>
      </w:r>
      <w:r w:rsidRPr="00CB569A">
        <w:rPr>
          <w:rFonts w:ascii="Georgia" w:hAnsi="Georgia" w:cs="Arial"/>
          <w:spacing w:val="-3"/>
          <w:lang w:val="es-ES_tradnl"/>
        </w:rPr>
        <w:t xml:space="preserve">mutarse </w:t>
      </w:r>
      <w:r w:rsidR="00315992">
        <w:rPr>
          <w:rFonts w:ascii="Georgia" w:hAnsi="Georgia" w:cs="Arial"/>
          <w:spacing w:val="-3"/>
          <w:lang w:val="es-ES_tradnl"/>
        </w:rPr>
        <w:t xml:space="preserve"> </w:t>
      </w:r>
      <w:r w:rsidRPr="00CB569A">
        <w:rPr>
          <w:rFonts w:ascii="Georgia" w:hAnsi="Georgia" w:cs="Arial"/>
          <w:spacing w:val="-3"/>
          <w:lang w:val="es-ES_tradnl"/>
        </w:rPr>
        <w:t xml:space="preserve">en </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CB569A">
        <w:rPr>
          <w:rFonts w:ascii="Georgia" w:hAnsi="Georgia" w:cs="Arial"/>
          <w:spacing w:val="-3"/>
          <w:lang w:val="es-ES_tradnl"/>
        </w:rPr>
        <w:lastRenderedPageBreak/>
        <w:t>constitucional</w:t>
      </w:r>
      <w:proofErr w:type="gramEnd"/>
      <w:r w:rsidRPr="00CB569A">
        <w:rPr>
          <w:rFonts w:ascii="Georgia" w:hAnsi="Georgia" w:cs="Arial"/>
          <w:spacing w:val="-3"/>
          <w:lang w:val="es-ES_tradnl"/>
        </w:rPr>
        <w:t xml:space="preserve">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w:t>
      </w:r>
    </w:p>
    <w:p w:rsidR="00B657B5" w:rsidRPr="00814753"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6"/>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7"/>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8"/>
      </w:r>
      <w:r w:rsidRPr="005E222A">
        <w:rPr>
          <w:rFonts w:ascii="Georgia" w:hAnsi="Georgia" w:cs="Arial"/>
          <w:spacing w:val="-3"/>
          <w:lang w:val="es-ES_tradnl"/>
        </w:rPr>
        <w:t>.</w:t>
      </w:r>
    </w:p>
    <w:p w:rsidR="00B657B5" w:rsidRPr="00814753"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9"/>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10"/>
      </w:r>
      <w:r w:rsidRPr="005E222A">
        <w:rPr>
          <w:rFonts w:ascii="Georgia" w:hAnsi="Georgia" w:cs="Arial"/>
          <w:spacing w:val="-3"/>
          <w:lang w:val="es-ES_tradnl"/>
        </w:rPr>
        <w:t>.</w:t>
      </w:r>
    </w:p>
    <w:p w:rsidR="00E22A96" w:rsidRPr="00814753" w:rsidRDefault="00E22A96" w:rsidP="003E703E">
      <w:pPr>
        <w:pStyle w:val="Textoindependiente"/>
        <w:shd w:val="clear" w:color="auto" w:fill="FFFFFF" w:themeFill="background1"/>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FC00A1" w:rsidRDefault="00FC00A1" w:rsidP="00124549">
      <w:pPr>
        <w:spacing w:line="360" w:lineRule="auto"/>
        <w:jc w:val="both"/>
        <w:rPr>
          <w:rFonts w:ascii="Georgia" w:hAnsi="Georgia" w:cs="Arial"/>
          <w:lang w:val="es-ES_tradnl"/>
        </w:rPr>
      </w:pPr>
    </w:p>
    <w:p w:rsidR="00124549" w:rsidRDefault="00771CD4" w:rsidP="00124549">
      <w:pPr>
        <w:spacing w:line="360" w:lineRule="auto"/>
        <w:jc w:val="both"/>
        <w:rPr>
          <w:rFonts w:ascii="Georgia" w:hAnsi="Georgia" w:cs="Arial"/>
          <w:shd w:val="clear" w:color="auto" w:fill="FFFFFF"/>
        </w:rPr>
      </w:pPr>
      <w:r>
        <w:rPr>
          <w:rFonts w:ascii="Georgia" w:hAnsi="Georgia" w:cs="Arial"/>
          <w:lang w:val="es-ES_tradnl"/>
        </w:rPr>
        <w:t xml:space="preserve">Dado </w:t>
      </w:r>
      <w:r w:rsidR="00124549"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11"/>
      </w:r>
      <w:r w:rsidR="00124549">
        <w:rPr>
          <w:rFonts w:ascii="Georgia" w:hAnsi="Georgia" w:cs="Arial"/>
          <w:shd w:val="clear" w:color="auto" w:fill="FFFFFF"/>
        </w:rPr>
        <w:t xml:space="preserve">. </w:t>
      </w:r>
    </w:p>
    <w:p w:rsidR="000E68E3" w:rsidRPr="00814753" w:rsidRDefault="000E68E3" w:rsidP="00124549">
      <w:pPr>
        <w:spacing w:line="360" w:lineRule="auto"/>
        <w:jc w:val="both"/>
        <w:rPr>
          <w:rFonts w:ascii="Georgia" w:hAnsi="Georgia" w:cs="Arial"/>
          <w:shd w:val="clear" w:color="auto" w:fill="FFFFFF"/>
        </w:rPr>
      </w:pPr>
    </w:p>
    <w:p w:rsidR="00B657B5" w:rsidRDefault="00B657B5" w:rsidP="00B657B5">
      <w:pPr>
        <w:pStyle w:val="Textoindependiente"/>
        <w:tabs>
          <w:tab w:val="clear" w:pos="0"/>
        </w:tabs>
        <w:spacing w:line="360" w:lineRule="auto"/>
        <w:rPr>
          <w:rFonts w:ascii="Georgia" w:hAnsi="Georgia" w:cs="Arial"/>
          <w:sz w:val="22"/>
          <w:szCs w:val="24"/>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subsidiaridad</w:t>
      </w:r>
      <w:r>
        <w:rPr>
          <w:rFonts w:ascii="Georgia" w:hAnsi="Georgia" w:cs="Arial"/>
        </w:rPr>
        <w:t xml:space="preserve"> de la tutela</w:t>
      </w:r>
      <w:r w:rsidRPr="001040B7">
        <w:rPr>
          <w:rFonts w:ascii="Georgia" w:hAnsi="Georgia" w:cs="Arial"/>
        </w:rPr>
        <w:t xml:space="preserve">, la jurisprudencia de la </w:t>
      </w:r>
      <w:r>
        <w:rPr>
          <w:rFonts w:ascii="Georgia" w:hAnsi="Georgia" w:cs="Arial"/>
        </w:rPr>
        <w:t>CC</w:t>
      </w:r>
      <w:r w:rsidRPr="004E68FB">
        <w:rPr>
          <w:rStyle w:val="Refdenotaalpie"/>
          <w:rFonts w:ascii="Georgia" w:hAnsi="Georgia" w:cs="Arial"/>
          <w:i/>
          <w:sz w:val="22"/>
          <w:szCs w:val="24"/>
        </w:rPr>
        <w:footnoteReference w:id="12"/>
      </w:r>
      <w:r>
        <w:rPr>
          <w:rFonts w:ascii="Georgia" w:hAnsi="Georgia" w:cs="Arial"/>
        </w:rPr>
        <w:t xml:space="preserv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814753" w:rsidRPr="00814753" w:rsidRDefault="00814753" w:rsidP="00B657B5">
      <w:pPr>
        <w:pStyle w:val="Textoindependiente"/>
        <w:tabs>
          <w:tab w:val="clear" w:pos="0"/>
        </w:tabs>
        <w:spacing w:line="360" w:lineRule="auto"/>
        <w:rPr>
          <w:rFonts w:ascii="Georgia" w:hAnsi="Georgia" w:cs="Arial"/>
          <w:szCs w:val="24"/>
          <w:lang w:val="es-CO"/>
        </w:rPr>
      </w:pPr>
    </w:p>
    <w:p w:rsidR="00A33A2C" w:rsidRDefault="00B657B5" w:rsidP="00B657B5">
      <w:pPr>
        <w:pStyle w:val="Textoindependiente"/>
        <w:tabs>
          <w:tab w:val="clear" w:pos="0"/>
        </w:tabs>
        <w:spacing w:line="360" w:lineRule="auto"/>
        <w:rPr>
          <w:rFonts w:ascii="Georgia" w:hAnsi="Georgia" w:cs="Arial"/>
        </w:rPr>
      </w:pPr>
      <w:r w:rsidRPr="00B657B5">
        <w:rPr>
          <w:rFonts w:ascii="Georgia" w:hAnsi="Georgia" w:cs="Arial"/>
          <w:szCs w:val="24"/>
        </w:rPr>
        <w:t>Por lo tanto,  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3"/>
      </w:r>
      <w:r w:rsidRPr="008379BB">
        <w:rPr>
          <w:rFonts w:ascii="Georgia" w:hAnsi="Georgia" w:cs="Arial"/>
          <w:szCs w:val="24"/>
        </w:rPr>
        <w:t xml:space="preserve">: </w:t>
      </w:r>
      <w:r w:rsidR="00885549" w:rsidRPr="00885549">
        <w:rPr>
          <w:rFonts w:ascii="Georgia" w:hAnsi="Georgia" w:cs="Arial"/>
          <w:i/>
          <w:sz w:val="22"/>
          <w:szCs w:val="22"/>
        </w:rPr>
        <w:t>“</w:t>
      </w:r>
      <w:r w:rsidR="00885549" w:rsidRPr="00885549">
        <w:rPr>
          <w:rFonts w:ascii="Georgia" w:hAnsi="Georgia" w:cs="Arial"/>
          <w:i/>
          <w:iCs/>
          <w:sz w:val="22"/>
          <w:szCs w:val="22"/>
          <w:lang w:val="es-ES"/>
        </w:rPr>
        <w:t>(i)</w:t>
      </w:r>
      <w:r w:rsidR="00885549"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00885549" w:rsidRPr="00885549">
        <w:rPr>
          <w:rFonts w:ascii="Georgia" w:hAnsi="Georgia" w:cs="Arial"/>
          <w:sz w:val="22"/>
          <w:szCs w:val="22"/>
          <w:lang w:val="es-ES"/>
        </w:rPr>
        <w:t xml:space="preserve"> (…)</w:t>
      </w:r>
      <w:r w:rsidR="00885549">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4"/>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5"/>
      </w:r>
      <w:r w:rsidRPr="008379BB">
        <w:rPr>
          <w:rFonts w:ascii="Georgia" w:hAnsi="Georgia" w:cs="Arial"/>
          <w:szCs w:val="24"/>
        </w:rPr>
        <w:t xml:space="preserve"> </w:t>
      </w:r>
      <w:r>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Pr>
          <w:rFonts w:ascii="Georgia" w:hAnsi="Georgia" w:cs="Arial"/>
          <w:szCs w:val="24"/>
        </w:rPr>
        <w:t xml:space="preserve"> </w:t>
      </w:r>
      <w:r w:rsidRPr="008379BB">
        <w:rPr>
          <w:rFonts w:ascii="Georgia" w:hAnsi="Georgia" w:cs="Arial"/>
          <w:szCs w:val="24"/>
        </w:rPr>
        <w:t xml:space="preserve">la </w:t>
      </w:r>
      <w:r>
        <w:rPr>
          <w:rFonts w:ascii="Georgia" w:hAnsi="Georgia" w:cs="Arial"/>
          <w:szCs w:val="24"/>
        </w:rPr>
        <w:t xml:space="preserve"> </w:t>
      </w:r>
      <w:r w:rsidRPr="008379BB">
        <w:rPr>
          <w:rFonts w:ascii="Georgia" w:hAnsi="Georgia" w:cs="Arial"/>
          <w:szCs w:val="24"/>
        </w:rPr>
        <w:t>improcedencia por aplicación del principio de subsidiariedad.</w:t>
      </w:r>
    </w:p>
    <w:p w:rsidR="00B657B5" w:rsidRPr="00814753" w:rsidRDefault="00B657B5" w:rsidP="00A33A2C">
      <w:pPr>
        <w:spacing w:line="360" w:lineRule="auto"/>
        <w:jc w:val="both"/>
        <w:rPr>
          <w:rFonts w:ascii="Georgia" w:hAnsi="Georgia" w:cs="Arial"/>
        </w:rPr>
      </w:pPr>
    </w:p>
    <w:p w:rsidR="007A20DD" w:rsidRDefault="00393579" w:rsidP="0076285F">
      <w:pPr>
        <w:spacing w:line="360" w:lineRule="auto"/>
        <w:jc w:val="both"/>
        <w:rPr>
          <w:rFonts w:ascii="Georgia" w:hAnsi="Georgia" w:cs="Arial"/>
        </w:rPr>
      </w:pPr>
      <w:r>
        <w:rPr>
          <w:rFonts w:ascii="Georgia" w:hAnsi="Georgia" w:cs="Arial"/>
        </w:rPr>
        <w:t>Examinado e</w:t>
      </w:r>
      <w:r w:rsidR="0076285F" w:rsidRPr="0076285F">
        <w:rPr>
          <w:rFonts w:ascii="Georgia" w:hAnsi="Georgia" w:cs="Arial"/>
        </w:rPr>
        <w:t xml:space="preserve">l acervo probatorio </w:t>
      </w:r>
      <w:r w:rsidR="00885549">
        <w:rPr>
          <w:rFonts w:ascii="Georgia" w:hAnsi="Georgia" w:cs="Arial"/>
        </w:rPr>
        <w:t>se tiene que</w:t>
      </w:r>
      <w:r w:rsidR="004F53E2">
        <w:rPr>
          <w:rFonts w:ascii="Georgia" w:hAnsi="Georgia" w:cs="Arial"/>
        </w:rPr>
        <w:t xml:space="preserve"> </w:t>
      </w:r>
      <w:r w:rsidR="000E68E3">
        <w:rPr>
          <w:rFonts w:ascii="Georgia" w:hAnsi="Georgia" w:cs="Arial"/>
        </w:rPr>
        <w:t xml:space="preserve">la </w:t>
      </w:r>
      <w:r w:rsidR="00885549" w:rsidRPr="00885549">
        <w:rPr>
          <w:rFonts w:ascii="Georgia" w:hAnsi="Georgia" w:cs="Arial"/>
          <w:i/>
        </w:rPr>
        <w:t>a quo</w:t>
      </w:r>
      <w:r w:rsidR="000E68E3">
        <w:rPr>
          <w:rFonts w:ascii="Georgia" w:hAnsi="Georgia" w:cs="Arial"/>
          <w:i/>
        </w:rPr>
        <w:t xml:space="preserve"> </w:t>
      </w:r>
      <w:r w:rsidR="000E68E3">
        <w:rPr>
          <w:rFonts w:ascii="Georgia" w:hAnsi="Georgia" w:cs="Arial"/>
        </w:rPr>
        <w:t xml:space="preserve">mediante proveído del </w:t>
      </w:r>
      <w:r w:rsidR="00814753">
        <w:rPr>
          <w:rFonts w:ascii="Georgia" w:hAnsi="Georgia" w:cs="Arial"/>
        </w:rPr>
        <w:t>12</w:t>
      </w:r>
      <w:r w:rsidR="000E68E3">
        <w:rPr>
          <w:rFonts w:ascii="Georgia" w:hAnsi="Georgia" w:cs="Arial"/>
        </w:rPr>
        <w:t>-</w:t>
      </w:r>
      <w:r w:rsidR="00814753">
        <w:rPr>
          <w:rFonts w:ascii="Georgia" w:hAnsi="Georgia" w:cs="Arial"/>
        </w:rPr>
        <w:t>07</w:t>
      </w:r>
      <w:r w:rsidR="000E68E3">
        <w:rPr>
          <w:rFonts w:ascii="Georgia" w:hAnsi="Georgia" w:cs="Arial"/>
        </w:rPr>
        <w:t xml:space="preserve">-2018 </w:t>
      </w:r>
      <w:r w:rsidR="00814753">
        <w:rPr>
          <w:rFonts w:ascii="Georgia" w:hAnsi="Georgia" w:cs="Arial"/>
        </w:rPr>
        <w:t>aprobó la liquidación de costa</w:t>
      </w:r>
      <w:r w:rsidR="007E0A84">
        <w:rPr>
          <w:rFonts w:ascii="Georgia" w:hAnsi="Georgia" w:cs="Arial"/>
        </w:rPr>
        <w:t>s</w:t>
      </w:r>
      <w:r w:rsidR="00814753">
        <w:rPr>
          <w:rFonts w:ascii="Georgia" w:hAnsi="Georgia" w:cs="Arial"/>
        </w:rPr>
        <w:t xml:space="preserve"> realizada por la secretaría, se notificó con fijación en el estado del 13-07-2018</w:t>
      </w:r>
      <w:r w:rsidR="007E0A84">
        <w:rPr>
          <w:rFonts w:ascii="Georgia" w:hAnsi="Georgia" w:cs="Arial"/>
        </w:rPr>
        <w:t>,</w:t>
      </w:r>
      <w:r w:rsidR="00814753">
        <w:rPr>
          <w:rFonts w:ascii="Georgia" w:hAnsi="Georgia" w:cs="Arial"/>
        </w:rPr>
        <w:t xml:space="preserve"> y durante su ejecutoria fue recurrido por </w:t>
      </w:r>
      <w:r w:rsidR="007E0A84">
        <w:rPr>
          <w:rFonts w:ascii="Georgia" w:hAnsi="Georgia" w:cs="Arial"/>
        </w:rPr>
        <w:t xml:space="preserve">el </w:t>
      </w:r>
      <w:r w:rsidR="00814753">
        <w:rPr>
          <w:rFonts w:ascii="Georgia" w:hAnsi="Georgia" w:cs="Arial"/>
        </w:rPr>
        <w:t xml:space="preserve">señor Paulo César Lizcano Durán y Bancolombia SA, mientras que el aquí accionante, guardó silencio. Tampoco obra memorial que refiera su renuncia a las costas </w:t>
      </w:r>
      <w:r w:rsidR="007A20DD">
        <w:rPr>
          <w:rFonts w:ascii="Georgia" w:hAnsi="Georgia" w:cs="Arial"/>
        </w:rPr>
        <w:t>(</w:t>
      </w:r>
      <w:r w:rsidR="00814753">
        <w:rPr>
          <w:rFonts w:ascii="Georgia" w:hAnsi="Georgia" w:cs="Arial"/>
        </w:rPr>
        <w:t xml:space="preserve">Disco compacto visible a folio 8, </w:t>
      </w:r>
      <w:r w:rsidR="007A20DD">
        <w:rPr>
          <w:rFonts w:ascii="Georgia" w:hAnsi="Georgia" w:cs="Arial"/>
        </w:rPr>
        <w:t>este cuaderno).</w:t>
      </w:r>
    </w:p>
    <w:p w:rsidR="007A20DD" w:rsidRPr="00315992" w:rsidRDefault="007A20DD" w:rsidP="0076285F">
      <w:pPr>
        <w:spacing w:line="360" w:lineRule="auto"/>
        <w:jc w:val="both"/>
        <w:rPr>
          <w:rFonts w:ascii="Georgia" w:hAnsi="Georgia" w:cs="Arial"/>
          <w:sz w:val="20"/>
        </w:rPr>
      </w:pPr>
    </w:p>
    <w:p w:rsidR="00315992" w:rsidRPr="005C7E66" w:rsidRDefault="007A20DD" w:rsidP="005A02E0">
      <w:pPr>
        <w:spacing w:line="360" w:lineRule="auto"/>
        <w:jc w:val="both"/>
        <w:rPr>
          <w:rFonts w:ascii="Georgia" w:hAnsi="Georgia" w:cs="Arial"/>
          <w:bCs/>
          <w:sz w:val="28"/>
          <w:szCs w:val="28"/>
          <w:lang w:eastAsia="x-none"/>
        </w:rPr>
      </w:pPr>
      <w:r>
        <w:rPr>
          <w:rFonts w:ascii="Georgia" w:hAnsi="Georgia" w:cs="Arial"/>
        </w:rPr>
        <w:t xml:space="preserve">Según </w:t>
      </w:r>
      <w:r w:rsidR="00315992">
        <w:rPr>
          <w:rFonts w:ascii="Georgia" w:hAnsi="Georgia" w:cs="Arial"/>
        </w:rPr>
        <w:t xml:space="preserve">el </w:t>
      </w:r>
      <w:r>
        <w:rPr>
          <w:rFonts w:ascii="Georgia" w:hAnsi="Georgia" w:cs="Arial"/>
        </w:rPr>
        <w:t xml:space="preserve">recuento procesal, el </w:t>
      </w:r>
      <w:r w:rsidR="00814753">
        <w:rPr>
          <w:rFonts w:ascii="Georgia" w:hAnsi="Georgia" w:cs="Arial"/>
        </w:rPr>
        <w:t xml:space="preserve">interesado </w:t>
      </w:r>
      <w:r>
        <w:rPr>
          <w:rFonts w:ascii="Georgia" w:hAnsi="Georgia" w:cs="Arial"/>
        </w:rPr>
        <w:t>dejó de rebatir la decisión de la funcionaria judicial, medio ordinario procedente e idóneo para procurar la defensa de sus derechos al interior de ese trámite popular (Artículo 36, Ley 476</w:t>
      </w:r>
      <w:r w:rsidR="00814753">
        <w:rPr>
          <w:rFonts w:ascii="Georgia" w:hAnsi="Georgia" w:cs="Arial"/>
        </w:rPr>
        <w:t xml:space="preserve"> en consonancia con el artículo 366-5º, CGP</w:t>
      </w:r>
      <w:r>
        <w:rPr>
          <w:rFonts w:ascii="Georgia" w:hAnsi="Georgia" w:cs="Arial"/>
        </w:rPr>
        <w:t>)</w:t>
      </w:r>
      <w:r w:rsidR="00315992">
        <w:rPr>
          <w:rFonts w:ascii="Georgia" w:hAnsi="Georgia" w:cs="Arial"/>
        </w:rPr>
        <w:t>.</w:t>
      </w:r>
      <w:r w:rsidR="005E75D6">
        <w:rPr>
          <w:rFonts w:ascii="Georgia" w:hAnsi="Georgia" w:cs="Arial"/>
          <w:lang w:val="es-CO"/>
        </w:rPr>
        <w:t xml:space="preserve"> Claro es que endilga la afectación de derechos a una autoridad que no ha tenido la oportunidad de </w:t>
      </w:r>
      <w:r>
        <w:rPr>
          <w:rFonts w:ascii="Georgia" w:hAnsi="Georgia" w:cs="Arial"/>
          <w:lang w:val="es-CO"/>
        </w:rPr>
        <w:t>reparar sobre su determinación</w:t>
      </w:r>
      <w:r w:rsidR="005E75D6">
        <w:rPr>
          <w:rFonts w:ascii="Georgia" w:hAnsi="Georgia" w:cs="Arial"/>
          <w:lang w:val="es-CO"/>
        </w:rPr>
        <w:t xml:space="preserve">. </w:t>
      </w:r>
    </w:p>
    <w:p w:rsidR="00315992" w:rsidRPr="00315992" w:rsidRDefault="00315992" w:rsidP="0076285F">
      <w:pPr>
        <w:spacing w:line="360" w:lineRule="auto"/>
        <w:jc w:val="both"/>
        <w:rPr>
          <w:rFonts w:ascii="Georgia" w:hAnsi="Georgia" w:cs="Arial"/>
        </w:rPr>
      </w:pPr>
    </w:p>
    <w:p w:rsidR="00A33A2C" w:rsidRDefault="00415A6A" w:rsidP="00A33A2C">
      <w:pPr>
        <w:spacing w:line="360" w:lineRule="auto"/>
        <w:ind w:right="51"/>
        <w:jc w:val="both"/>
        <w:rPr>
          <w:rFonts w:ascii="Georgia" w:hAnsi="Georgia"/>
        </w:rPr>
      </w:pPr>
      <w:r>
        <w:rPr>
          <w:rFonts w:ascii="Georgia" w:hAnsi="Georgia"/>
        </w:rPr>
        <w:t xml:space="preserve">Sin lugar a dudas, </w:t>
      </w:r>
      <w:r w:rsidR="00315992">
        <w:rPr>
          <w:rFonts w:ascii="Georgia" w:hAnsi="Georgia"/>
        </w:rPr>
        <w:t xml:space="preserve">esta tutela es improcedente por carecer del </w:t>
      </w:r>
      <w:r>
        <w:rPr>
          <w:rFonts w:ascii="Georgia" w:hAnsi="Georgia"/>
        </w:rPr>
        <w:t>presupuesto de la subsidiarieda</w:t>
      </w:r>
      <w:r w:rsidR="005E75D6">
        <w:rPr>
          <w:rFonts w:ascii="Georgia" w:hAnsi="Georgia"/>
        </w:rPr>
        <w:t xml:space="preserve">d, sin que sea dable </w:t>
      </w:r>
      <w:r w:rsidR="00A33A2C">
        <w:rPr>
          <w:rFonts w:ascii="Georgia" w:hAnsi="Georgia"/>
        </w:rPr>
        <w:t xml:space="preserve">flexibilizar </w:t>
      </w:r>
      <w:r w:rsidR="005E75D6">
        <w:rPr>
          <w:rFonts w:ascii="Georgia" w:hAnsi="Georgia"/>
        </w:rPr>
        <w:t xml:space="preserve">su </w:t>
      </w:r>
      <w:r w:rsidR="00A33A2C">
        <w:rPr>
          <w:rFonts w:ascii="Georgia" w:hAnsi="Georgia"/>
        </w:rPr>
        <w:t>análisis</w:t>
      </w:r>
      <w:r w:rsidR="004A5232">
        <w:rPr>
          <w:rFonts w:ascii="Georgia" w:hAnsi="Georgia"/>
        </w:rPr>
        <w:t>,</w:t>
      </w:r>
      <w:r w:rsidR="00A33A2C">
        <w:rPr>
          <w:rFonts w:ascii="Georgia" w:hAnsi="Georgia"/>
        </w:rPr>
        <w:t xml:space="preserve"> 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acreditó</w:t>
      </w:r>
      <w:r w:rsidR="004A5232">
        <w:rPr>
          <w:rFonts w:ascii="Georgia" w:hAnsi="Georgia"/>
        </w:rPr>
        <w:t xml:space="preserve">, </w:t>
      </w:r>
      <w:r w:rsidR="00A33A2C" w:rsidRPr="00B33A0F">
        <w:rPr>
          <w:rFonts w:ascii="Georgia" w:hAnsi="Georgia"/>
        </w:rPr>
        <w:t xml:space="preserve">de </w:t>
      </w:r>
      <w:r w:rsidR="004A5232">
        <w:rPr>
          <w:rFonts w:ascii="Georgia" w:hAnsi="Georgia"/>
        </w:rPr>
        <w:t xml:space="preserve">tal </w:t>
      </w:r>
      <w:r w:rsidR="00A33A2C" w:rsidRPr="00B33A0F">
        <w:rPr>
          <w:rFonts w:ascii="Georgia" w:hAnsi="Georgia"/>
        </w:rPr>
        <w:t xml:space="preserve">forma que pudiera estimarse </w:t>
      </w:r>
      <w:r w:rsidR="00A33A2C" w:rsidRPr="00B33A0F">
        <w:rPr>
          <w:rFonts w:ascii="Georgia" w:hAnsi="Georgia" w:cs="Arial"/>
          <w:bCs/>
          <w:szCs w:val="22"/>
          <w:lang w:val="es-CO"/>
        </w:rPr>
        <w:t xml:space="preserve">que </w:t>
      </w:r>
      <w:r w:rsidR="004A5232">
        <w:rPr>
          <w:rFonts w:ascii="Georgia" w:hAnsi="Georgia" w:cs="Arial"/>
          <w:bCs/>
          <w:szCs w:val="22"/>
          <w:lang w:val="es-CO"/>
        </w:rPr>
        <w:t xml:space="preserve">el actor es </w:t>
      </w:r>
      <w:r w:rsidR="00A33A2C" w:rsidRPr="00B33A0F">
        <w:rPr>
          <w:rFonts w:ascii="Georgia" w:hAnsi="Georgia" w:cs="Arial"/>
          <w:bCs/>
          <w:szCs w:val="22"/>
          <w:lang w:val="es-CO"/>
        </w:rPr>
        <w:t>una persona que requiere de protección reforzada</w:t>
      </w:r>
      <w:r w:rsidR="00A33A2C" w:rsidRPr="00B33A0F">
        <w:rPr>
          <w:rStyle w:val="Refdenotaalpie"/>
          <w:rFonts w:ascii="Georgia" w:hAnsi="Georgia"/>
          <w:bCs/>
          <w:szCs w:val="22"/>
          <w:lang w:val="es-CO"/>
        </w:rPr>
        <w:footnoteReference w:id="16"/>
      </w:r>
      <w:r w:rsidR="005E75D6">
        <w:rPr>
          <w:rFonts w:ascii="Georgia" w:hAnsi="Georgia" w:cs="Arial"/>
          <w:bCs/>
          <w:szCs w:val="22"/>
          <w:lang w:val="es-CO"/>
        </w:rPr>
        <w:t xml:space="preserve">; tampoco que el mentado mecanismo </w:t>
      </w:r>
      <w:r w:rsidR="00C52875">
        <w:rPr>
          <w:rFonts w:ascii="Georgia" w:hAnsi="Georgia" w:cs="Arial"/>
          <w:bCs/>
          <w:szCs w:val="22"/>
          <w:lang w:val="es-CO"/>
        </w:rPr>
        <w:t>es</w:t>
      </w:r>
      <w:r w:rsidR="005E75D6">
        <w:rPr>
          <w:rFonts w:ascii="Georgia" w:hAnsi="Georgia" w:cs="Arial"/>
          <w:bCs/>
          <w:szCs w:val="22"/>
          <w:lang w:val="es-CO"/>
        </w:rPr>
        <w:t xml:space="preserve"> ineficaz</w:t>
      </w:r>
      <w:r w:rsidR="00C52875">
        <w:rPr>
          <w:rFonts w:ascii="Georgia" w:hAnsi="Georgia" w:cs="Arial"/>
          <w:bCs/>
          <w:szCs w:val="22"/>
          <w:lang w:val="es-CO"/>
        </w:rPr>
        <w:t>, menos</w:t>
      </w:r>
      <w:r w:rsidR="005E75D6">
        <w:rPr>
          <w:rFonts w:ascii="Georgia" w:hAnsi="Georgia" w:cs="Arial"/>
          <w:bCs/>
          <w:szCs w:val="22"/>
          <w:lang w:val="es-CO"/>
        </w:rPr>
        <w:t xml:space="preserve"> que sea inminente la </w:t>
      </w:r>
      <w:proofErr w:type="spellStart"/>
      <w:r w:rsidR="005E75D6">
        <w:rPr>
          <w:rFonts w:ascii="Georgia" w:hAnsi="Georgia" w:cs="Arial"/>
          <w:bCs/>
          <w:szCs w:val="22"/>
          <w:lang w:val="es-CO"/>
        </w:rPr>
        <w:t>causación</w:t>
      </w:r>
      <w:proofErr w:type="spellEnd"/>
      <w:r w:rsidR="005E75D6">
        <w:rPr>
          <w:rFonts w:ascii="Georgia" w:hAnsi="Georgia" w:cs="Arial"/>
          <w:bCs/>
          <w:szCs w:val="22"/>
          <w:lang w:val="es-CO"/>
        </w:rPr>
        <w:t xml:space="preserve"> de un perjuicio irremediable</w:t>
      </w:r>
      <w:r w:rsidR="005E75D6">
        <w:rPr>
          <w:rStyle w:val="Refdenotaalpie"/>
          <w:rFonts w:ascii="Georgia" w:hAnsi="Georgia"/>
          <w:bCs/>
          <w:szCs w:val="22"/>
          <w:lang w:val="es-CO"/>
        </w:rPr>
        <w:footnoteReference w:id="17"/>
      </w:r>
      <w:r w:rsidR="00A33A2C" w:rsidRPr="00B33A0F">
        <w:rPr>
          <w:rFonts w:ascii="Georgia" w:hAnsi="Georgia"/>
        </w:rPr>
        <w:t>.</w:t>
      </w:r>
    </w:p>
    <w:p w:rsidR="00A33A2C" w:rsidRDefault="00A33A2C" w:rsidP="00124549">
      <w:pPr>
        <w:spacing w:line="360" w:lineRule="auto"/>
        <w:jc w:val="both"/>
        <w:rPr>
          <w:rFonts w:ascii="Georgia" w:hAnsi="Georgia" w:cs="Arial"/>
          <w:lang w:val="es-ES_tradnl"/>
        </w:rPr>
      </w:pPr>
    </w:p>
    <w:p w:rsidR="005A02E0" w:rsidRDefault="005A02E0" w:rsidP="005A02E0">
      <w:pPr>
        <w:pStyle w:val="Textoindependiente"/>
        <w:spacing w:line="360" w:lineRule="auto"/>
        <w:rPr>
          <w:rFonts w:ascii="Georgia" w:hAnsi="Georgia" w:cs="Arial"/>
          <w:sz w:val="28"/>
          <w:szCs w:val="28"/>
        </w:rPr>
      </w:pPr>
      <w:r w:rsidRPr="005F3769">
        <w:rPr>
          <w:rFonts w:ascii="Georgia" w:hAnsi="Georgia" w:cs="Arial"/>
          <w:szCs w:val="24"/>
        </w:rPr>
        <w:t>Por último, se accede al pedimento de copias, mas como se trata de la reproducción de todo el expediente, al tenor de lo preceptuado en el artículo 114-4º, CGP, se ordenará que las actuaciones sean escaneadas y remitidas al correo electrónico suministrado por el interesado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5A02E0" w:rsidRPr="00DD0230" w:rsidRDefault="005A02E0" w:rsidP="005A02E0">
      <w:pPr>
        <w:pStyle w:val="Textoindependiente"/>
        <w:spacing w:line="360" w:lineRule="auto"/>
        <w:rPr>
          <w:rFonts w:ascii="Georgia" w:hAnsi="Georgia" w:cs="Arial"/>
          <w:szCs w:val="28"/>
        </w:rPr>
      </w:pPr>
    </w:p>
    <w:p w:rsidR="005A02E0" w:rsidRDefault="005A02E0" w:rsidP="005A02E0">
      <w:pPr>
        <w:pStyle w:val="Textoindependiente"/>
        <w:spacing w:line="360" w:lineRule="auto"/>
        <w:rPr>
          <w:rFonts w:ascii="Georgia" w:hAnsi="Georgia" w:cs="Arial"/>
          <w:sz w:val="28"/>
          <w:szCs w:val="28"/>
        </w:rPr>
      </w:pPr>
      <w:r>
        <w:rPr>
          <w:rFonts w:ascii="Georgia" w:hAnsi="Georgia" w:cs="Arial"/>
          <w:szCs w:val="24"/>
        </w:rPr>
        <w:t>Conoce la Sala la exención que a este respecto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Pr>
          <w:rFonts w:ascii="Georgia" w:hAnsi="Georgia" w:cs="Arial"/>
          <w:szCs w:val="24"/>
        </w:rPr>
        <w:t xml:space="preserve"> (2018)</w:t>
      </w:r>
      <w:r w:rsidRPr="00C804CF">
        <w:rPr>
          <w:rStyle w:val="Refdenotaalpie"/>
          <w:rFonts w:ascii="Georgia" w:hAnsi="Georgia"/>
          <w:szCs w:val="24"/>
        </w:rPr>
        <w:footnoteReference w:id="18"/>
      </w:r>
      <w:r>
        <w:rPr>
          <w:rFonts w:ascii="Georgia" w:hAnsi="Georgia" w:cs="Arial"/>
          <w:szCs w:val="24"/>
        </w:rPr>
        <w:t>, que comparte esta Sala</w:t>
      </w:r>
      <w:r w:rsidRPr="00C804CF">
        <w:rPr>
          <w:rFonts w:ascii="Georgia" w:hAnsi="Georgia" w:cs="Arial"/>
          <w:szCs w:val="24"/>
        </w:rPr>
        <w:t>.</w:t>
      </w:r>
      <w:r>
        <w:rPr>
          <w:rFonts w:ascii="Georgia" w:hAnsi="Georgia" w:cs="Arial"/>
          <w:sz w:val="28"/>
          <w:szCs w:val="28"/>
        </w:rPr>
        <w:t xml:space="preserve"> </w:t>
      </w:r>
    </w:p>
    <w:p w:rsidR="005A02E0" w:rsidRPr="005A02E0" w:rsidRDefault="005A02E0"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Pr="00315992" w:rsidRDefault="00F40F94" w:rsidP="00F40F94">
      <w:pPr>
        <w:pStyle w:val="Textoindependiente"/>
        <w:spacing w:line="360" w:lineRule="auto"/>
        <w:ind w:left="400"/>
        <w:rPr>
          <w:rFonts w:ascii="Georgia" w:hAnsi="Georgia"/>
          <w:sz w:val="20"/>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w:t>
      </w:r>
      <w:r w:rsidR="0056094D">
        <w:rPr>
          <w:rFonts w:ascii="Georgia" w:hAnsi="Georgia" w:cs="Arial"/>
          <w:szCs w:val="24"/>
          <w:lang w:val="es-ES"/>
        </w:rPr>
        <w:t xml:space="preserve"> </w:t>
      </w:r>
      <w:r w:rsidRPr="00B33A0F">
        <w:rPr>
          <w:rFonts w:ascii="Georgia" w:hAnsi="Georgia" w:cs="Arial"/>
          <w:szCs w:val="24"/>
          <w:lang w:val="es-ES"/>
        </w:rPr>
        <w:t>fundamento</w:t>
      </w:r>
      <w:r w:rsidR="0056094D">
        <w:rPr>
          <w:rFonts w:ascii="Georgia" w:hAnsi="Georgia" w:cs="Arial"/>
          <w:szCs w:val="24"/>
          <w:lang w:val="es-ES"/>
        </w:rPr>
        <w:t xml:space="preserve"> </w:t>
      </w:r>
      <w:r w:rsidRPr="00B33A0F">
        <w:rPr>
          <w:rFonts w:ascii="Georgia" w:hAnsi="Georgia" w:cs="Arial"/>
          <w:szCs w:val="24"/>
          <w:lang w:val="es-ES"/>
        </w:rPr>
        <w:t xml:space="preserve">en las consideraciones </w:t>
      </w:r>
      <w:r w:rsidR="0056094D">
        <w:rPr>
          <w:rFonts w:ascii="Georgia" w:hAnsi="Georgia" w:cs="Arial"/>
          <w:szCs w:val="24"/>
          <w:lang w:val="es-ES"/>
        </w:rPr>
        <w:t>anotadas</w:t>
      </w:r>
      <w:r w:rsidR="00683198">
        <w:rPr>
          <w:rFonts w:ascii="Georgia" w:hAnsi="Georgia" w:cs="Arial"/>
          <w:szCs w:val="24"/>
          <w:lang w:val="es-ES"/>
        </w:rPr>
        <w:t>: (i)</w:t>
      </w:r>
      <w:r w:rsidR="0056094D">
        <w:rPr>
          <w:rFonts w:ascii="Georgia" w:hAnsi="Georgia" w:cs="Arial"/>
          <w:szCs w:val="24"/>
          <w:lang w:val="es-ES"/>
        </w:rPr>
        <w:t xml:space="preserve"> </w:t>
      </w:r>
      <w:r w:rsidR="00683198">
        <w:rPr>
          <w:rFonts w:ascii="Georgia" w:hAnsi="Georgia" w:cs="Arial"/>
          <w:szCs w:val="24"/>
          <w:lang w:val="es-ES"/>
        </w:rPr>
        <w:t>S</w:t>
      </w:r>
      <w:r w:rsidR="004A5232">
        <w:rPr>
          <w:rFonts w:ascii="Georgia" w:hAnsi="Georgia" w:cs="Arial"/>
          <w:szCs w:val="24"/>
          <w:lang w:val="es-ES"/>
        </w:rPr>
        <w:t xml:space="preserve">e </w:t>
      </w:r>
      <w:r w:rsidR="00ED7914" w:rsidRPr="00ED7914">
        <w:rPr>
          <w:rFonts w:ascii="Georgia" w:hAnsi="Georgia" w:cs="Arial"/>
          <w:szCs w:val="24"/>
          <w:lang w:val="es-ES"/>
        </w:rPr>
        <w:t>declarará</w:t>
      </w:r>
      <w:r w:rsidR="00ED7914">
        <w:rPr>
          <w:rFonts w:ascii="Georgia" w:hAnsi="Georgia" w:cs="Arial"/>
          <w:szCs w:val="24"/>
          <w:lang w:val="es-ES"/>
        </w:rPr>
        <w:t xml:space="preserve"> </w:t>
      </w:r>
      <w:r w:rsidR="00ED7914" w:rsidRPr="00ED7914">
        <w:rPr>
          <w:rFonts w:ascii="Georgia" w:hAnsi="Georgia" w:cs="Arial"/>
          <w:szCs w:val="24"/>
          <w:lang w:val="es-ES"/>
        </w:rPr>
        <w:t>improcedente</w:t>
      </w:r>
      <w:r w:rsidR="00ED7914">
        <w:rPr>
          <w:rFonts w:ascii="Georgia" w:hAnsi="Georgia" w:cs="Arial"/>
          <w:szCs w:val="24"/>
          <w:lang w:val="es-ES"/>
        </w:rPr>
        <w:t xml:space="preserve"> </w:t>
      </w:r>
      <w:r w:rsidR="004A5232">
        <w:rPr>
          <w:rFonts w:ascii="Georgia" w:hAnsi="Georgia" w:cs="Arial"/>
          <w:szCs w:val="24"/>
          <w:lang w:val="es-ES"/>
        </w:rPr>
        <w:t xml:space="preserve">la </w:t>
      </w:r>
      <w:r w:rsidR="00ED7914">
        <w:rPr>
          <w:rFonts w:ascii="Georgia" w:hAnsi="Georgia" w:cs="Arial"/>
          <w:szCs w:val="24"/>
          <w:lang w:val="es-ES"/>
        </w:rPr>
        <w:t>tutela</w:t>
      </w:r>
      <w:r w:rsidR="00683198">
        <w:rPr>
          <w:rFonts w:ascii="Georgia" w:hAnsi="Georgia" w:cs="Arial"/>
          <w:szCs w:val="24"/>
          <w:lang w:val="es-ES"/>
        </w:rPr>
        <w:t xml:space="preserve">; y, (ii) </w:t>
      </w:r>
      <w:r w:rsidR="00683198">
        <w:rPr>
          <w:rFonts w:ascii="Georgia" w:hAnsi="Georgia"/>
        </w:rPr>
        <w:t xml:space="preserve">Se dispondrá </w:t>
      </w:r>
      <w:r w:rsidR="00683198">
        <w:rPr>
          <w:rFonts w:ascii="Georgia" w:hAnsi="Georgia" w:cs="Arial"/>
        </w:rPr>
        <w:t>escanear y remitir todo el expediente al correo electrónico suministrado por el actor.</w:t>
      </w:r>
    </w:p>
    <w:p w:rsidR="00315992" w:rsidRPr="00315992" w:rsidRDefault="00315992" w:rsidP="00ED7914">
      <w:pPr>
        <w:pStyle w:val="Textoindependiente"/>
        <w:spacing w:line="360" w:lineRule="auto"/>
        <w:rPr>
          <w:rFonts w:ascii="Georgia" w:hAnsi="Georgia" w:cs="Arial"/>
          <w:sz w:val="20"/>
          <w:szCs w:val="24"/>
          <w:lang w:val="es-ES"/>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7F338E">
        <w:rPr>
          <w:rFonts w:ascii="Georgia" w:hAnsi="Georgia" w:cs="Arial"/>
        </w:rPr>
        <w:t xml:space="preserve"> de Colombia</w:t>
      </w:r>
      <w:r w:rsidRPr="00D22B05">
        <w:rPr>
          <w:rFonts w:ascii="Georgia" w:hAnsi="Georgia" w:cs="Arial"/>
        </w:rPr>
        <w:t xml:space="preserve">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w:t>
      </w:r>
      <w:r w:rsidR="004A5232">
        <w:rPr>
          <w:rFonts w:ascii="Georgia" w:hAnsi="Georgia" w:cs="Arial"/>
        </w:rPr>
        <w:t>formulada</w:t>
      </w:r>
      <w:r w:rsidRPr="00B33A0F">
        <w:rPr>
          <w:rFonts w:ascii="Georgia" w:hAnsi="Georgia" w:cs="Arial"/>
        </w:rPr>
        <w:t xml:space="preserve"> por el señor </w:t>
      </w:r>
      <w:r w:rsidR="00315992">
        <w:rPr>
          <w:rFonts w:ascii="Georgia" w:hAnsi="Georgia" w:cs="Arial"/>
        </w:rPr>
        <w:t xml:space="preserve">Javier Elías Arias </w:t>
      </w:r>
      <w:proofErr w:type="spellStart"/>
      <w:r w:rsidR="00315992">
        <w:rPr>
          <w:rFonts w:ascii="Georgia" w:hAnsi="Georgia" w:cs="Arial"/>
        </w:rPr>
        <w:t>Idárraga</w:t>
      </w:r>
      <w:proofErr w:type="spellEnd"/>
      <w:r w:rsidR="00315992">
        <w:rPr>
          <w:rFonts w:ascii="Georgia" w:hAnsi="Georgia" w:cs="Arial"/>
        </w:rPr>
        <w:t xml:space="preserve"> </w:t>
      </w:r>
      <w:r w:rsidRPr="00B33A0F">
        <w:rPr>
          <w:rFonts w:ascii="Georgia" w:hAnsi="Georgia" w:cs="Arial"/>
        </w:rPr>
        <w:t>contra el Juzgado</w:t>
      </w:r>
      <w:r>
        <w:rPr>
          <w:rFonts w:ascii="Georgia" w:hAnsi="Georgia" w:cs="Arial"/>
        </w:rPr>
        <w:t xml:space="preserve"> </w:t>
      </w:r>
      <w:r w:rsidR="00083B24">
        <w:rPr>
          <w:rFonts w:ascii="Georgia" w:hAnsi="Georgia" w:cs="Arial"/>
        </w:rPr>
        <w:t xml:space="preserve">Civil del Circuito de </w:t>
      </w:r>
      <w:r w:rsidR="00683198">
        <w:rPr>
          <w:rFonts w:ascii="Georgia" w:hAnsi="Georgia" w:cs="Arial"/>
        </w:rPr>
        <w:t>Santa Rosa de Cabal</w:t>
      </w:r>
      <w:r>
        <w:rPr>
          <w:rFonts w:ascii="Georgia" w:hAnsi="Georgia" w:cs="Arial"/>
        </w:rPr>
        <w:t>.</w:t>
      </w:r>
    </w:p>
    <w:p w:rsidR="00683198" w:rsidRPr="00683198" w:rsidRDefault="00683198" w:rsidP="00683198">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8314EF" w:rsidRPr="00683198" w:rsidRDefault="00683198" w:rsidP="006E1E8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83198">
        <w:rPr>
          <w:rFonts w:ascii="Georgia" w:hAnsi="Georgia"/>
        </w:rPr>
        <w:t>ESCANEAR todo el expediente de este amparo constitucional y REMITIR el archivo al correo electrónico suministrado por el actor, previo pago del arancel judicial por el accionante</w:t>
      </w:r>
      <w:r w:rsidRPr="00683198">
        <w:rPr>
          <w:rFonts w:ascii="Georgia" w:hAnsi="Georgia" w:cs="Arial"/>
        </w:rPr>
        <w:t>.</w:t>
      </w: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7E0A84" w:rsidRDefault="007E0A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7E0A84" w:rsidRDefault="007E0A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7E0A84" w:rsidRDefault="007E0A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lastRenderedPageBreak/>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7E0A84" w:rsidRDefault="007E0A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7E0A84" w:rsidRDefault="007E0A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7E0A84" w:rsidRDefault="007E0A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bookmarkStart w:id="0" w:name="_GoBack"/>
      <w:bookmarkEnd w:id="0"/>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A6" w:rsidRDefault="002C39A6" w:rsidP="0099045D">
      <w:r>
        <w:separator/>
      </w:r>
    </w:p>
  </w:endnote>
  <w:endnote w:type="continuationSeparator" w:id="0">
    <w:p w:rsidR="002C39A6" w:rsidRDefault="002C39A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A6" w:rsidRDefault="002C39A6" w:rsidP="0099045D">
      <w:r>
        <w:separator/>
      </w:r>
    </w:p>
  </w:footnote>
  <w:footnote w:type="continuationSeparator" w:id="0">
    <w:p w:rsidR="002C39A6" w:rsidRDefault="002C39A6" w:rsidP="0099045D">
      <w:r>
        <w:continuationSeparator/>
      </w:r>
    </w:p>
  </w:footnote>
  <w:footnote w:id="1">
    <w:p w:rsidR="00FC00A1" w:rsidRPr="007D3087" w:rsidRDefault="00FC00A1" w:rsidP="00FC00A1">
      <w:pPr>
        <w:pStyle w:val="Textonotapie"/>
      </w:pPr>
      <w:r w:rsidRPr="007D3087">
        <w:rPr>
          <w:rStyle w:val="Refdenotaalpie"/>
        </w:rPr>
        <w:footnoteRef/>
      </w:r>
      <w:r w:rsidRPr="007D3087">
        <w:t xml:space="preserve"> CC</w:t>
      </w:r>
      <w:r w:rsidRPr="00595E1E">
        <w:t>.  T-089 de 2018</w:t>
      </w:r>
      <w:r>
        <w:t xml:space="preserve">, SU-210 de 2017 y </w:t>
      </w:r>
      <w:r w:rsidRPr="007D3087">
        <w:t>T-717 de 2011.</w:t>
      </w:r>
    </w:p>
  </w:footnote>
  <w:footnote w:id="2">
    <w:p w:rsidR="00FC00A1" w:rsidRPr="005E75D6" w:rsidRDefault="00FC00A1" w:rsidP="00FC00A1">
      <w:pPr>
        <w:pStyle w:val="Textonotapie"/>
        <w:rPr>
          <w:lang w:val="es-CO"/>
        </w:rPr>
      </w:pPr>
      <w:r>
        <w:rPr>
          <w:rStyle w:val="Refdenotaalpie"/>
        </w:rPr>
        <w:footnoteRef/>
      </w:r>
      <w:r>
        <w:t xml:space="preserve"> </w:t>
      </w:r>
      <w:r w:rsidRPr="00C45F3C">
        <w:t xml:space="preserve">CC. </w:t>
      </w:r>
      <w:r>
        <w:t>T-180 de 2018.</w:t>
      </w:r>
    </w:p>
  </w:footnote>
  <w:footnote w:id="3">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4">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5">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6">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7">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8">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9">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10">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11">
    <w:p w:rsidR="00124549" w:rsidRPr="00714579" w:rsidRDefault="00124549" w:rsidP="00124549">
      <w:pPr>
        <w:pStyle w:val="Textonotapie"/>
        <w:jc w:val="both"/>
      </w:pPr>
      <w:r w:rsidRPr="00714579">
        <w:rPr>
          <w:rStyle w:val="Refdenotaalpie"/>
        </w:rPr>
        <w:footnoteRef/>
      </w:r>
      <w:r w:rsidRPr="00714579">
        <w:t xml:space="preserve"> CC. T-103 </w:t>
      </w:r>
      <w:r w:rsidR="00595E1E">
        <w:t xml:space="preserve">y 396 </w:t>
      </w:r>
      <w:r w:rsidRPr="00714579">
        <w:t>de 2014</w:t>
      </w:r>
      <w:r w:rsidRPr="00714579">
        <w:rPr>
          <w:bCs/>
        </w:rPr>
        <w:t>.</w:t>
      </w:r>
    </w:p>
  </w:footnote>
  <w:footnote w:id="12">
    <w:p w:rsidR="00B657B5" w:rsidRDefault="00B657B5" w:rsidP="00B657B5">
      <w:pPr>
        <w:pStyle w:val="Textonotapie"/>
        <w:jc w:val="both"/>
      </w:pPr>
      <w:r w:rsidRPr="00C45F3C">
        <w:rPr>
          <w:rStyle w:val="Refdenotaalpie"/>
        </w:rPr>
        <w:footnoteRef/>
      </w:r>
      <w:r w:rsidRPr="00C45F3C">
        <w:t xml:space="preserve"> CC. T-134 de 1994. </w:t>
      </w:r>
    </w:p>
  </w:footnote>
  <w:footnote w:id="13">
    <w:p w:rsidR="00B657B5" w:rsidRDefault="00B657B5" w:rsidP="00B657B5">
      <w:pPr>
        <w:pStyle w:val="Textonotapie"/>
      </w:pPr>
      <w:r w:rsidRPr="00C45F3C">
        <w:rPr>
          <w:rStyle w:val="Refdenotaalpie"/>
        </w:rPr>
        <w:footnoteRef/>
      </w:r>
      <w:r w:rsidRPr="00C45F3C">
        <w:t xml:space="preserve"> CC. </w:t>
      </w:r>
      <w:r w:rsidR="00885549">
        <w:t xml:space="preserve">T-180 de 2018, también pueden consultarse las </w:t>
      </w:r>
      <w:r w:rsidRPr="00C45F3C">
        <w:t>T-103 de 2014</w:t>
      </w:r>
      <w:r w:rsidR="00885549">
        <w:t xml:space="preserve"> y </w:t>
      </w:r>
      <w:r w:rsidR="00885549" w:rsidRPr="00C45F3C">
        <w:t>T-567 de 1998</w:t>
      </w:r>
      <w:r w:rsidRPr="00C45F3C">
        <w:t>.</w:t>
      </w:r>
    </w:p>
  </w:footnote>
  <w:footnote w:id="14">
    <w:p w:rsidR="00B657B5" w:rsidRDefault="00B657B5" w:rsidP="00B657B5">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5">
    <w:p w:rsidR="00B657B5" w:rsidRDefault="00B657B5" w:rsidP="00B657B5">
      <w:pPr>
        <w:pStyle w:val="Textonotapie"/>
        <w:jc w:val="both"/>
      </w:pPr>
      <w:r w:rsidRPr="00C45F3C">
        <w:rPr>
          <w:rStyle w:val="Refdenotaalpie"/>
        </w:rPr>
        <w:footnoteRef/>
      </w:r>
      <w:r>
        <w:t xml:space="preserve"> CSJ</w:t>
      </w:r>
      <w:r w:rsidRPr="00C45F3C">
        <w:t xml:space="preserve">. </w:t>
      </w:r>
      <w:r w:rsidR="00885549" w:rsidRPr="00885549">
        <w:t>STC8239-2018</w:t>
      </w:r>
      <w:r w:rsidR="00885549">
        <w:t xml:space="preserve">, </w:t>
      </w:r>
      <w:r w:rsidRPr="00C45F3C">
        <w:t>STC2349-2017, STC3931-2016, STC6121-2015 y sentencia del 02-09-2014, MP: Margarita Cabello B., No.23001-22-14-000-2014-00097-01;</w:t>
      </w:r>
    </w:p>
  </w:footnote>
  <w:footnote w:id="16">
    <w:p w:rsidR="00A33A2C" w:rsidRPr="007D3087" w:rsidRDefault="00A33A2C" w:rsidP="00A33A2C">
      <w:pPr>
        <w:pStyle w:val="Textonotapie"/>
      </w:pPr>
      <w:r w:rsidRPr="007D3087">
        <w:rPr>
          <w:rStyle w:val="Refdenotaalpie"/>
        </w:rPr>
        <w:footnoteRef/>
      </w:r>
      <w:r w:rsidRPr="007D3087">
        <w:t xml:space="preserve"> CC</w:t>
      </w:r>
      <w:r w:rsidRPr="00595E1E">
        <w:t xml:space="preserve">.  </w:t>
      </w:r>
      <w:r w:rsidR="00A63F04" w:rsidRPr="00595E1E">
        <w:t>T-089 de 2018</w:t>
      </w:r>
      <w:r w:rsidR="00A63F04">
        <w:t xml:space="preserve">, </w:t>
      </w:r>
      <w:r>
        <w:t xml:space="preserve">SU-210 de 2017 y </w:t>
      </w:r>
      <w:r w:rsidRPr="007D3087">
        <w:t>T-717 de 2011.</w:t>
      </w:r>
    </w:p>
  </w:footnote>
  <w:footnote w:id="17">
    <w:p w:rsidR="005E75D6" w:rsidRPr="005E75D6" w:rsidRDefault="005E75D6">
      <w:pPr>
        <w:pStyle w:val="Textonotapie"/>
        <w:rPr>
          <w:lang w:val="es-CO"/>
        </w:rPr>
      </w:pPr>
      <w:r>
        <w:rPr>
          <w:rStyle w:val="Refdenotaalpie"/>
        </w:rPr>
        <w:footnoteRef/>
      </w:r>
      <w:r>
        <w:t xml:space="preserve"> </w:t>
      </w:r>
      <w:r w:rsidRPr="00C45F3C">
        <w:t xml:space="preserve">CC. </w:t>
      </w:r>
      <w:r>
        <w:t>T-180 de 2018.</w:t>
      </w:r>
    </w:p>
  </w:footnote>
  <w:footnote w:id="18">
    <w:p w:rsidR="005A02E0" w:rsidRPr="00C804CF" w:rsidRDefault="005A02E0" w:rsidP="005A02E0">
      <w:pPr>
        <w:pStyle w:val="Textonotapie"/>
        <w:rPr>
          <w:lang w:val="es-CO"/>
        </w:rPr>
      </w:pPr>
      <w:r>
        <w:rPr>
          <w:rStyle w:val="Refdenotaalpie"/>
        </w:rPr>
        <w:footnoteRef/>
      </w:r>
      <w:r>
        <w:t xml:space="preserve"> </w:t>
      </w:r>
      <w:r>
        <w:rPr>
          <w:lang w:val="es-CO"/>
        </w:rPr>
        <w:t xml:space="preserve">CSJ. Auto del 12-07-2018, </w:t>
      </w:r>
      <w:proofErr w:type="spellStart"/>
      <w:r>
        <w:rPr>
          <w:lang w:val="es-CO"/>
        </w:rPr>
        <w:t>MP</w:t>
      </w:r>
      <w:proofErr w:type="spellEnd"/>
      <w:r>
        <w:rPr>
          <w:lang w:val="es-CO"/>
        </w:rPr>
        <w:t xml:space="preserve">: </w:t>
      </w:r>
      <w:proofErr w:type="spellStart"/>
      <w:r>
        <w:rPr>
          <w:lang w:val="es-CO"/>
        </w:rPr>
        <w:t>Tejeiro</w:t>
      </w:r>
      <w:proofErr w:type="spellEnd"/>
      <w:r>
        <w:rPr>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6B70DB">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EB19EB">
      <w:rPr>
        <w:rFonts w:ascii="Georgia" w:hAnsi="Georgia" w:cs="Calibri"/>
        <w:i/>
        <w:smallCaps/>
        <w:sz w:val="20"/>
        <w:szCs w:val="22"/>
      </w:rPr>
      <w:t>00555</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0698"/>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9A6"/>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4CF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740"/>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2E0"/>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D54"/>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198"/>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0DB"/>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D51"/>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0A84"/>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75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0530"/>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571"/>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9EB"/>
    <w:rsid w:val="00EB1DC2"/>
    <w:rsid w:val="00EB2529"/>
    <w:rsid w:val="00EB2EF8"/>
    <w:rsid w:val="00EB3D45"/>
    <w:rsid w:val="00EB3F66"/>
    <w:rsid w:val="00EB3FB9"/>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908"/>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0A1"/>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1C95-0D96-44ED-B9BA-7DAFC40B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2030</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2018-08-06T13:33:00Z</cp:lastPrinted>
  <dcterms:created xsi:type="dcterms:W3CDTF">2018-08-03T16:28:00Z</dcterms:created>
  <dcterms:modified xsi:type="dcterms:W3CDTF">2018-10-18T17:45:00Z</dcterms:modified>
</cp:coreProperties>
</file>