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0B5BB7" w:rsidRDefault="000B5BB7" w:rsidP="002403C8">
      <w:pPr>
        <w:pStyle w:val="Sinespaciado"/>
        <w:tabs>
          <w:tab w:val="left" w:pos="3579"/>
        </w:tabs>
        <w:spacing w:line="360" w:lineRule="auto"/>
        <w:jc w:val="center"/>
        <w:rPr>
          <w:rFonts w:ascii="Georgia" w:hAnsi="Georgia" w:cs="Arial"/>
          <w:w w:val="140"/>
          <w:sz w:val="14"/>
        </w:rPr>
      </w:pPr>
    </w:p>
    <w:p w:rsidR="000B5BB7" w:rsidRDefault="000B5BB7" w:rsidP="002403C8">
      <w:pPr>
        <w:pStyle w:val="Sinespaciado"/>
        <w:tabs>
          <w:tab w:val="left" w:pos="3579"/>
        </w:tabs>
        <w:spacing w:line="360" w:lineRule="auto"/>
        <w:jc w:val="center"/>
        <w:rPr>
          <w:rFonts w:ascii="Georgia" w:hAnsi="Georgia" w:cs="Arial"/>
          <w:w w:val="140"/>
          <w:sz w:val="14"/>
        </w:rPr>
      </w:pPr>
    </w:p>
    <w:p w:rsidR="000B5BB7" w:rsidRDefault="000B5BB7" w:rsidP="000B5BB7">
      <w:pPr>
        <w:widowControl/>
        <w:pBdr>
          <w:top w:val="single" w:sz="4" w:space="1" w:color="auto"/>
          <w:left w:val="single" w:sz="4" w:space="4" w:color="auto"/>
          <w:bottom w:val="single" w:sz="4" w:space="1" w:color="auto"/>
          <w:right w:val="single" w:sz="4" w:space="4" w:color="auto"/>
        </w:pBdr>
        <w:shd w:val="clear" w:color="auto" w:fill="FFFFFF"/>
        <w:autoSpaceDE/>
        <w:adjustRightInd/>
        <w:rPr>
          <w:rFonts w:ascii="Arial" w:hAnsi="Arial" w:cs="Arial"/>
          <w:color w:val="FF0000"/>
          <w:sz w:val="18"/>
          <w:szCs w:val="18"/>
          <w:lang w:val="es-CO" w:eastAsia="fr-FR"/>
        </w:rPr>
      </w:pPr>
      <w:r>
        <w:rPr>
          <w:rFonts w:ascii="Arial"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val="es-CO" w:eastAsia="fr-FR"/>
        </w:rPr>
        <w:t>El contenido total y fiel de la decisión debe ser verificado en la Secretaría de esta Sala.</w:t>
      </w:r>
    </w:p>
    <w:p w:rsidR="000B5BB7" w:rsidRPr="000B5BB7" w:rsidRDefault="000B5BB7" w:rsidP="000B5BB7">
      <w:pPr>
        <w:rPr>
          <w:rFonts w:ascii="Arial" w:hAnsi="Arial" w:cs="Arial"/>
          <w:sz w:val="22"/>
          <w:szCs w:val="22"/>
          <w:lang w:val="es-ES_tradnl" w:eastAsia="fr-FR"/>
        </w:rPr>
      </w:pPr>
    </w:p>
    <w:p w:rsidR="000B5BB7" w:rsidRPr="00C06810" w:rsidRDefault="000B5BB7" w:rsidP="00C06810">
      <w:pPr>
        <w:rPr>
          <w:rFonts w:ascii="Arial" w:hAnsi="Arial" w:cs="Arial"/>
          <w:sz w:val="22"/>
          <w:szCs w:val="22"/>
          <w:lang w:val="es-ES_tradnl" w:eastAsia="fr-FR"/>
        </w:rPr>
      </w:pPr>
      <w:r w:rsidRPr="00C06810">
        <w:rPr>
          <w:rFonts w:ascii="Arial" w:hAnsi="Arial" w:cs="Arial"/>
          <w:sz w:val="22"/>
          <w:szCs w:val="22"/>
          <w:lang w:val="es-ES_tradnl" w:eastAsia="fr-FR"/>
        </w:rPr>
        <w:t>Asunto</w:t>
      </w:r>
      <w:r w:rsidRPr="00C06810">
        <w:rPr>
          <w:rFonts w:ascii="Arial" w:hAnsi="Arial" w:cs="Arial"/>
          <w:sz w:val="22"/>
          <w:szCs w:val="22"/>
          <w:lang w:val="es-ES_tradnl" w:eastAsia="fr-FR"/>
        </w:rPr>
        <w:tab/>
      </w:r>
      <w:r w:rsidRPr="00C06810">
        <w:rPr>
          <w:rFonts w:ascii="Arial" w:hAnsi="Arial" w:cs="Arial"/>
          <w:sz w:val="22"/>
          <w:szCs w:val="22"/>
          <w:lang w:val="es-ES_tradnl" w:eastAsia="fr-FR"/>
        </w:rPr>
        <w:tab/>
        <w:t xml:space="preserve">         </w:t>
      </w:r>
      <w:r w:rsidR="00C06810" w:rsidRPr="00C06810">
        <w:rPr>
          <w:rFonts w:ascii="Arial" w:hAnsi="Arial" w:cs="Arial"/>
          <w:sz w:val="22"/>
          <w:szCs w:val="22"/>
          <w:lang w:val="es-ES_tradnl" w:eastAsia="fr-FR"/>
        </w:rPr>
        <w:t>: Sentencia de tutela 1</w:t>
      </w:r>
      <w:r w:rsidRPr="00C06810">
        <w:rPr>
          <w:rFonts w:ascii="Arial" w:hAnsi="Arial" w:cs="Arial"/>
          <w:sz w:val="22"/>
          <w:szCs w:val="22"/>
          <w:lang w:val="es-ES_tradnl" w:eastAsia="fr-FR"/>
        </w:rPr>
        <w:t>ª</w:t>
      </w:r>
      <w:r w:rsidR="00C06810" w:rsidRPr="00C06810">
        <w:rPr>
          <w:rFonts w:ascii="Arial" w:hAnsi="Arial" w:cs="Arial"/>
          <w:sz w:val="22"/>
          <w:szCs w:val="22"/>
          <w:lang w:val="es-ES_tradnl" w:eastAsia="fr-FR"/>
        </w:rPr>
        <w:t xml:space="preserve"> instancia</w:t>
      </w:r>
      <w:r w:rsidRPr="00C06810">
        <w:rPr>
          <w:rFonts w:ascii="Arial" w:hAnsi="Arial" w:cs="Arial"/>
          <w:sz w:val="22"/>
          <w:szCs w:val="22"/>
          <w:lang w:val="es-ES_tradnl" w:eastAsia="fr-FR"/>
        </w:rPr>
        <w:t xml:space="preserve">.- </w:t>
      </w:r>
      <w:r w:rsidR="00C06810" w:rsidRPr="00C06810">
        <w:rPr>
          <w:rFonts w:ascii="Arial" w:hAnsi="Arial" w:cs="Arial"/>
          <w:sz w:val="22"/>
          <w:szCs w:val="22"/>
          <w:lang w:val="es-ES_tradnl" w:eastAsia="fr-FR"/>
        </w:rPr>
        <w:t>27</w:t>
      </w:r>
      <w:r w:rsidRPr="00C06810">
        <w:rPr>
          <w:rFonts w:ascii="Arial" w:hAnsi="Arial" w:cs="Arial"/>
          <w:sz w:val="22"/>
          <w:szCs w:val="22"/>
          <w:lang w:val="es-ES_tradnl" w:eastAsia="fr-FR"/>
        </w:rPr>
        <w:t xml:space="preserve"> de agosto de 2018</w:t>
      </w:r>
    </w:p>
    <w:p w:rsidR="000B5BB7" w:rsidRPr="00C06810" w:rsidRDefault="000B5BB7" w:rsidP="00C06810">
      <w:pPr>
        <w:rPr>
          <w:rFonts w:ascii="Arial" w:hAnsi="Arial" w:cs="Arial"/>
          <w:sz w:val="22"/>
          <w:szCs w:val="22"/>
          <w:lang w:val="es-ES_tradnl" w:eastAsia="fr-FR"/>
        </w:rPr>
      </w:pPr>
      <w:r w:rsidRPr="00C06810">
        <w:rPr>
          <w:rFonts w:ascii="Arial" w:hAnsi="Arial" w:cs="Arial"/>
          <w:sz w:val="22"/>
          <w:szCs w:val="22"/>
          <w:lang w:val="es-ES_tradnl" w:eastAsia="fr-FR"/>
        </w:rPr>
        <w:t>Accionante (s)</w:t>
      </w:r>
      <w:r w:rsidRPr="00C06810">
        <w:rPr>
          <w:rFonts w:ascii="Arial" w:hAnsi="Arial" w:cs="Arial"/>
          <w:sz w:val="22"/>
          <w:szCs w:val="22"/>
          <w:lang w:val="es-ES_tradnl" w:eastAsia="fr-FR"/>
        </w:rPr>
        <w:tab/>
        <w:t xml:space="preserve">         </w:t>
      </w:r>
      <w:r w:rsidR="00C06810">
        <w:rPr>
          <w:rFonts w:ascii="Arial" w:hAnsi="Arial" w:cs="Arial"/>
          <w:sz w:val="22"/>
          <w:szCs w:val="22"/>
          <w:lang w:val="es-ES_tradnl" w:eastAsia="fr-FR"/>
        </w:rPr>
        <w:t>:</w:t>
      </w:r>
      <w:r w:rsidRPr="00C06810">
        <w:rPr>
          <w:rFonts w:ascii="Arial" w:hAnsi="Arial" w:cs="Arial"/>
          <w:sz w:val="22"/>
          <w:szCs w:val="22"/>
          <w:lang w:val="es-ES_tradnl" w:eastAsia="fr-FR"/>
        </w:rPr>
        <w:t xml:space="preserve"> </w:t>
      </w:r>
      <w:r w:rsidRPr="00C06810">
        <w:rPr>
          <w:rFonts w:ascii="Arial" w:hAnsi="Arial" w:cs="Arial"/>
          <w:sz w:val="22"/>
          <w:szCs w:val="22"/>
        </w:rPr>
        <w:t xml:space="preserve">Javier Elías Arias Idárraga- </w:t>
      </w:r>
    </w:p>
    <w:p w:rsidR="00C06810" w:rsidRPr="00C06810" w:rsidRDefault="000B5BB7" w:rsidP="00C06810">
      <w:pPr>
        <w:pStyle w:val="Textoindependiente"/>
        <w:spacing w:line="240" w:lineRule="auto"/>
        <w:rPr>
          <w:rFonts w:ascii="Arial" w:hAnsi="Arial" w:cs="Arial"/>
          <w:sz w:val="22"/>
        </w:rPr>
      </w:pPr>
      <w:r w:rsidRPr="00C06810">
        <w:rPr>
          <w:rFonts w:ascii="Arial" w:hAnsi="Arial" w:cs="Arial"/>
          <w:sz w:val="22"/>
          <w:szCs w:val="22"/>
          <w:lang w:eastAsia="fr-FR"/>
        </w:rPr>
        <w:t>Accionado (s)</w:t>
      </w:r>
      <w:r w:rsidRPr="00C06810">
        <w:rPr>
          <w:rFonts w:ascii="Arial" w:hAnsi="Arial" w:cs="Arial"/>
          <w:sz w:val="22"/>
          <w:szCs w:val="22"/>
          <w:lang w:eastAsia="fr-FR"/>
        </w:rPr>
        <w:tab/>
        <w:t xml:space="preserve">          : </w:t>
      </w:r>
      <w:r w:rsidR="00C06810" w:rsidRPr="00C06810">
        <w:rPr>
          <w:rFonts w:ascii="Arial" w:hAnsi="Arial" w:cs="Arial"/>
          <w:sz w:val="22"/>
        </w:rPr>
        <w:t xml:space="preserve">Juzgado Tercero Civil del Circuito de Pereira </w:t>
      </w:r>
    </w:p>
    <w:p w:rsidR="00C06810" w:rsidRPr="00C06810" w:rsidRDefault="00C06810" w:rsidP="00C06810">
      <w:pPr>
        <w:pStyle w:val="Textoindependiente"/>
        <w:spacing w:line="240" w:lineRule="auto"/>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w:t>
      </w:r>
      <w:r w:rsidRPr="00C06810">
        <w:rPr>
          <w:rFonts w:ascii="Arial" w:hAnsi="Arial" w:cs="Arial"/>
          <w:sz w:val="22"/>
          <w:szCs w:val="22"/>
        </w:rPr>
        <w:t>: Defensoría del Pueblo, Regional Risaralda y otros</w:t>
      </w:r>
    </w:p>
    <w:p w:rsidR="00C06810" w:rsidRPr="00C06810" w:rsidRDefault="000B5BB7" w:rsidP="00C06810">
      <w:pPr>
        <w:pStyle w:val="Textoindependiente"/>
        <w:spacing w:line="240" w:lineRule="auto"/>
        <w:rPr>
          <w:rFonts w:ascii="Arial" w:hAnsi="Arial" w:cs="Arial"/>
          <w:sz w:val="22"/>
        </w:rPr>
      </w:pPr>
      <w:r w:rsidRPr="00C06810">
        <w:rPr>
          <w:rFonts w:ascii="Arial" w:hAnsi="Arial" w:cs="Arial"/>
          <w:sz w:val="22"/>
          <w:szCs w:val="22"/>
          <w:lang w:eastAsia="fr-FR"/>
        </w:rPr>
        <w:t>Radicación</w:t>
      </w:r>
      <w:r w:rsidRPr="00C06810">
        <w:rPr>
          <w:rFonts w:ascii="Arial" w:hAnsi="Arial" w:cs="Arial"/>
          <w:sz w:val="22"/>
          <w:szCs w:val="22"/>
          <w:lang w:eastAsia="fr-FR"/>
        </w:rPr>
        <w:tab/>
        <w:t xml:space="preserve">          :</w:t>
      </w:r>
      <w:r w:rsidRPr="00C06810">
        <w:rPr>
          <w:rFonts w:ascii="Arial" w:hAnsi="Arial" w:cs="Arial"/>
          <w:sz w:val="22"/>
          <w:szCs w:val="22"/>
        </w:rPr>
        <w:t xml:space="preserve"> </w:t>
      </w:r>
      <w:r w:rsidR="00C06810" w:rsidRPr="00C06810">
        <w:rPr>
          <w:rFonts w:ascii="Arial" w:hAnsi="Arial" w:cs="Arial"/>
          <w:sz w:val="22"/>
        </w:rPr>
        <w:t>2018-00639-00 (Interno No.639)</w:t>
      </w:r>
    </w:p>
    <w:p w:rsidR="000B5BB7" w:rsidRPr="00C06810" w:rsidRDefault="000B5BB7" w:rsidP="00C06810">
      <w:pPr>
        <w:rPr>
          <w:rFonts w:ascii="Arial" w:hAnsi="Arial" w:cs="Arial"/>
          <w:sz w:val="22"/>
          <w:szCs w:val="22"/>
          <w:lang w:val="es-ES_tradnl" w:eastAsia="fr-FR"/>
        </w:rPr>
      </w:pPr>
      <w:r w:rsidRPr="00C06810">
        <w:rPr>
          <w:rFonts w:ascii="Arial" w:hAnsi="Arial" w:cs="Arial"/>
          <w:sz w:val="22"/>
          <w:szCs w:val="22"/>
          <w:lang w:val="es-ES_tradnl" w:eastAsia="fr-FR"/>
        </w:rPr>
        <w:t>Magistrado Ponente : Duberney Grisales Herrera</w:t>
      </w:r>
    </w:p>
    <w:p w:rsidR="000B5BB7" w:rsidRPr="00C06810" w:rsidRDefault="000B5BB7" w:rsidP="00C06810">
      <w:pPr>
        <w:rPr>
          <w:rFonts w:ascii="Arial" w:hAnsi="Arial" w:cs="Arial"/>
          <w:b/>
          <w:bCs/>
          <w:iCs/>
          <w:sz w:val="22"/>
          <w:szCs w:val="22"/>
          <w:lang w:val="es-CO" w:eastAsia="fr-FR"/>
        </w:rPr>
      </w:pPr>
    </w:p>
    <w:p w:rsidR="00C06810" w:rsidRPr="00C06810" w:rsidRDefault="00C06810" w:rsidP="00C06810">
      <w:pPr>
        <w:jc w:val="both"/>
        <w:rPr>
          <w:rFonts w:ascii="Arial" w:hAnsi="Arial" w:cs="Arial"/>
          <w:b/>
          <w:bCs/>
          <w:iCs/>
          <w:sz w:val="22"/>
          <w:szCs w:val="22"/>
          <w:lang w:val="es-CO" w:eastAsia="fr-FR"/>
        </w:rPr>
      </w:pPr>
    </w:p>
    <w:p w:rsidR="000B5BB7" w:rsidRPr="00C06810" w:rsidRDefault="00C06810" w:rsidP="00C06810">
      <w:pPr>
        <w:jc w:val="both"/>
        <w:rPr>
          <w:rFonts w:ascii="Arial" w:hAnsi="Arial" w:cs="Arial"/>
          <w:b/>
          <w:bCs/>
          <w:iCs/>
          <w:sz w:val="22"/>
          <w:szCs w:val="22"/>
          <w:lang w:val="es-CO" w:eastAsia="fr-FR"/>
        </w:rPr>
      </w:pPr>
      <w:r w:rsidRPr="00C06810">
        <w:rPr>
          <w:rFonts w:ascii="Arial" w:hAnsi="Arial" w:cs="Arial"/>
          <w:b/>
          <w:bCs/>
          <w:iCs/>
          <w:sz w:val="22"/>
          <w:szCs w:val="22"/>
          <w:lang w:val="es-CO" w:eastAsia="fr-FR"/>
        </w:rPr>
        <w:t>TEMAS:</w:t>
      </w:r>
      <w:r w:rsidRPr="00C06810">
        <w:rPr>
          <w:rFonts w:ascii="Arial" w:hAnsi="Arial" w:cs="Arial"/>
          <w:b/>
          <w:sz w:val="22"/>
          <w:szCs w:val="22"/>
          <w:lang w:val="es-CO" w:eastAsia="fr-FR"/>
        </w:rPr>
        <w:t xml:space="preserve">        </w:t>
      </w:r>
      <w:r>
        <w:rPr>
          <w:rFonts w:ascii="Arial" w:hAnsi="Arial" w:cs="Arial"/>
          <w:b/>
          <w:sz w:val="22"/>
          <w:szCs w:val="22"/>
          <w:lang w:val="es-CO" w:eastAsia="fr-FR"/>
        </w:rPr>
        <w:tab/>
      </w:r>
      <w:r>
        <w:rPr>
          <w:rFonts w:ascii="Arial" w:hAnsi="Arial" w:cs="Arial"/>
          <w:b/>
          <w:sz w:val="22"/>
          <w:szCs w:val="22"/>
          <w:lang w:val="es-CO" w:eastAsia="fr-FR"/>
        </w:rPr>
        <w:tab/>
      </w:r>
      <w:r w:rsidRPr="00C06810">
        <w:rPr>
          <w:rFonts w:ascii="Arial" w:hAnsi="Arial" w:cs="Arial"/>
          <w:b/>
          <w:sz w:val="22"/>
          <w:szCs w:val="22"/>
          <w:lang w:eastAsia="fr-FR"/>
        </w:rPr>
        <w:t>DEBIDO PROCESO / TUTELA CONTRA PROVIDENCIA JUDICIAL /</w:t>
      </w:r>
      <w:r w:rsidRPr="00C06810">
        <w:rPr>
          <w:rFonts w:ascii="Arial" w:hAnsi="Arial" w:cs="Arial"/>
          <w:b/>
          <w:sz w:val="22"/>
          <w:szCs w:val="22"/>
          <w:lang w:val="es-CO" w:eastAsia="fr-FR"/>
        </w:rPr>
        <w:t xml:space="preserve"> FALSEDAD EN LA NARRACIÓN FÁCTICA / APLICACIÓN DEL ARTÍCULO </w:t>
      </w:r>
      <w:r w:rsidRPr="00C06810">
        <w:rPr>
          <w:rFonts w:ascii="Arial" w:hAnsi="Arial" w:cs="Arial"/>
          <w:b/>
          <w:sz w:val="22"/>
          <w:szCs w:val="22"/>
          <w:lang w:val="es-ES_tradnl"/>
        </w:rPr>
        <w:t xml:space="preserve">ARTÍCULO 5º, LEY 472 PENDIENTE DE RESOLVER/ INEXISTENCIA PRINCIPIO DE SUBSIDIARIEDAD/ PREMATURA/ </w:t>
      </w:r>
      <w:r w:rsidR="00FB0540">
        <w:rPr>
          <w:rFonts w:ascii="Arial" w:hAnsi="Arial" w:cs="Arial"/>
          <w:b/>
          <w:sz w:val="22"/>
          <w:szCs w:val="22"/>
          <w:lang w:val="es-ES_tradnl"/>
        </w:rPr>
        <w:t xml:space="preserve">NIEGA - </w:t>
      </w:r>
      <w:bookmarkStart w:id="0" w:name="_GoBack"/>
      <w:bookmarkEnd w:id="0"/>
      <w:r w:rsidR="00FB0540">
        <w:rPr>
          <w:rFonts w:ascii="Arial" w:hAnsi="Arial" w:cs="Arial"/>
          <w:b/>
          <w:sz w:val="22"/>
          <w:szCs w:val="22"/>
          <w:lang w:val="es-ES_tradnl"/>
        </w:rPr>
        <w:t>IMPROCEDENTE</w:t>
      </w:r>
    </w:p>
    <w:p w:rsidR="000B5BB7" w:rsidRPr="00C06810" w:rsidRDefault="000B5BB7" w:rsidP="00C06810">
      <w:pPr>
        <w:jc w:val="both"/>
        <w:rPr>
          <w:rFonts w:ascii="Arial" w:hAnsi="Arial" w:cs="Arial"/>
          <w:b/>
          <w:bCs/>
          <w:iCs/>
          <w:sz w:val="22"/>
          <w:szCs w:val="22"/>
          <w:lang w:val="es-CO" w:eastAsia="fr-FR"/>
        </w:rPr>
      </w:pPr>
    </w:p>
    <w:p w:rsidR="00C06810" w:rsidRPr="00C06810" w:rsidRDefault="00C06810" w:rsidP="00C06810">
      <w:pPr>
        <w:pStyle w:val="Textoindependiente"/>
        <w:spacing w:line="240" w:lineRule="auto"/>
        <w:rPr>
          <w:rFonts w:ascii="Arial" w:hAnsi="Arial" w:cs="Arial"/>
          <w:sz w:val="22"/>
          <w:szCs w:val="22"/>
        </w:rPr>
      </w:pPr>
      <w:r w:rsidRPr="00C06810">
        <w:rPr>
          <w:rFonts w:ascii="Arial" w:hAnsi="Arial" w:cs="Arial"/>
          <w:sz w:val="22"/>
          <w:szCs w:val="22"/>
        </w:rPr>
        <w:t>De acuerdo con el informe rendido por la funcionaria accionada, el actor es conocedor de que cuenta el Juzgado con una dependencia ubicada en el primer piso del Palacio de Justicia local, donde se proyectan, en general, las decisiones de las acciones populares que tiene asignadas, donde puede consultarlas, tal como lo ha hecho en anteriores ocasiones (Folios 13 y 14, este cuaderno).</w:t>
      </w:r>
    </w:p>
    <w:p w:rsidR="00C06810" w:rsidRPr="00C06810" w:rsidRDefault="00C06810" w:rsidP="00C06810">
      <w:pPr>
        <w:pStyle w:val="Textoindependiente"/>
        <w:spacing w:line="240" w:lineRule="auto"/>
        <w:rPr>
          <w:rFonts w:ascii="Arial" w:hAnsi="Arial" w:cs="Arial"/>
          <w:sz w:val="22"/>
          <w:szCs w:val="22"/>
        </w:rPr>
      </w:pPr>
    </w:p>
    <w:p w:rsidR="00C06810" w:rsidRPr="00C06810" w:rsidRDefault="00C06810" w:rsidP="00C06810">
      <w:pPr>
        <w:pStyle w:val="Textoindependiente"/>
        <w:spacing w:line="240" w:lineRule="auto"/>
        <w:rPr>
          <w:rFonts w:ascii="Arial" w:hAnsi="Arial" w:cs="Arial"/>
          <w:sz w:val="22"/>
          <w:szCs w:val="22"/>
          <w:lang w:val="es-CO"/>
        </w:rPr>
      </w:pPr>
      <w:r w:rsidRPr="00C06810">
        <w:rPr>
          <w:rFonts w:ascii="Arial" w:hAnsi="Arial" w:cs="Arial"/>
          <w:sz w:val="22"/>
          <w:szCs w:val="22"/>
        </w:rPr>
        <w:t xml:space="preserve">Así las cosas, refulge obvio que es falsa la narración fáctica, pues se endilga </w:t>
      </w:r>
      <w:r w:rsidRPr="00C06810">
        <w:rPr>
          <w:rFonts w:ascii="Arial" w:hAnsi="Arial" w:cs="Arial"/>
          <w:sz w:val="22"/>
          <w:szCs w:val="22"/>
          <w:lang w:val="es-CO"/>
        </w:rPr>
        <w:t xml:space="preserve">la afectación de derechos con ocasión de una negativa inexistente. Está claro que el actor formuló el amparo a sabiendas de que sí podía consultar el expediente, de tal suerte que se denegará esta acción de tutela, en cuanto a dicha pretensión tutelar. </w:t>
      </w:r>
    </w:p>
    <w:p w:rsidR="000B5BB7" w:rsidRPr="00C06810" w:rsidRDefault="00C06810" w:rsidP="00C06810">
      <w:pPr>
        <w:rPr>
          <w:rFonts w:ascii="Arial" w:hAnsi="Arial" w:cs="Arial"/>
          <w:w w:val="140"/>
          <w:sz w:val="22"/>
          <w:szCs w:val="22"/>
        </w:rPr>
      </w:pPr>
      <w:r w:rsidRPr="00C06810">
        <w:rPr>
          <w:rFonts w:ascii="Arial" w:hAnsi="Arial" w:cs="Arial"/>
          <w:w w:val="140"/>
          <w:sz w:val="22"/>
          <w:szCs w:val="22"/>
        </w:rPr>
        <w:t>(…)</w:t>
      </w:r>
    </w:p>
    <w:p w:rsidR="00C06810" w:rsidRPr="00C06810" w:rsidRDefault="00C06810" w:rsidP="00C06810">
      <w:pPr>
        <w:jc w:val="both"/>
        <w:rPr>
          <w:rFonts w:ascii="Arial" w:hAnsi="Arial" w:cs="Arial"/>
          <w:sz w:val="22"/>
          <w:szCs w:val="22"/>
        </w:rPr>
      </w:pPr>
      <w:r w:rsidRPr="00C06810">
        <w:rPr>
          <w:rFonts w:ascii="Arial" w:hAnsi="Arial" w:cs="Arial"/>
          <w:sz w:val="22"/>
          <w:szCs w:val="22"/>
        </w:rPr>
        <w:t>Frente a la subsidiaridad, la jurisprudencia de la CC</w:t>
      </w:r>
      <w:r w:rsidRPr="00C06810">
        <w:rPr>
          <w:rStyle w:val="Refdenotaalpie"/>
          <w:rFonts w:ascii="Arial" w:hAnsi="Arial" w:cs="Arial"/>
          <w:sz w:val="22"/>
          <w:szCs w:val="22"/>
        </w:rPr>
        <w:footnoteReference w:id="1"/>
      </w:r>
      <w:r w:rsidRPr="00C06810">
        <w:rPr>
          <w:rFonts w:ascii="Arial" w:hAnsi="Arial" w:cs="Arial"/>
          <w:sz w:val="22"/>
          <w:szCs w:val="22"/>
        </w:rPr>
        <w:t xml:space="preserve"> recordó: </w:t>
      </w:r>
      <w:r w:rsidRPr="00C06810">
        <w:rPr>
          <w:rFonts w:ascii="Arial" w:hAnsi="Arial" w:cs="Arial"/>
          <w:i/>
          <w:sz w:val="22"/>
          <w:szCs w:val="22"/>
        </w:rPr>
        <w:t xml:space="preserve">“(…) </w:t>
      </w:r>
      <w:r w:rsidRPr="00C06810">
        <w:rPr>
          <w:rFonts w:ascii="Arial" w:hAnsi="Arial" w:cs="Arial"/>
          <w:bCs/>
          <w:i/>
          <w:sz w:val="22"/>
          <w:szCs w:val="22"/>
        </w:rPr>
        <w:t xml:space="preserve">que el requisito de subsidiariedad cuando se atacan decisiones judiciales, se analiza de forma diferenciada en los siguientes escenarios: (i) cuando el proceso ha concluido; o </w:t>
      </w:r>
      <w:r w:rsidRPr="00C06810">
        <w:rPr>
          <w:rFonts w:ascii="Arial" w:hAnsi="Arial" w:cs="Arial"/>
          <w:bCs/>
          <w:i/>
          <w:sz w:val="22"/>
          <w:szCs w:val="22"/>
          <w:u w:val="single"/>
        </w:rPr>
        <w:t>(ii) se encuentra en curso</w:t>
      </w:r>
      <w:r w:rsidRPr="00C06810">
        <w:rPr>
          <w:rFonts w:ascii="Arial" w:hAnsi="Arial" w:cs="Arial"/>
          <w:bCs/>
          <w:i/>
          <w:sz w:val="22"/>
          <w:szCs w:val="22"/>
          <w:u w:val="single"/>
          <w:vertAlign w:val="superscript"/>
        </w:rPr>
        <w:footnoteReference w:id="2"/>
      </w:r>
      <w:r w:rsidRPr="00C06810">
        <w:rPr>
          <w:rFonts w:ascii="Arial" w:hAnsi="Arial" w:cs="Arial"/>
          <w:bCs/>
          <w:i/>
          <w:sz w:val="22"/>
          <w:szCs w:val="22"/>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C06810">
        <w:rPr>
          <w:rFonts w:ascii="Arial" w:hAnsi="Arial" w:cs="Arial"/>
          <w:bCs/>
          <w:sz w:val="22"/>
          <w:szCs w:val="22"/>
        </w:rPr>
        <w:t xml:space="preserve"> (Sublínea fuera de texto).</w:t>
      </w:r>
      <w:r w:rsidRPr="00C06810">
        <w:rPr>
          <w:rFonts w:ascii="Arial" w:hAnsi="Arial" w:cs="Arial"/>
          <w:sz w:val="22"/>
          <w:szCs w:val="22"/>
        </w:rPr>
        <w:t xml:space="preserve"> Criterio también expuesto por la CSJ</w:t>
      </w:r>
      <w:r w:rsidRPr="00C06810">
        <w:rPr>
          <w:rFonts w:ascii="Arial" w:hAnsi="Arial" w:cs="Arial"/>
          <w:sz w:val="22"/>
          <w:szCs w:val="22"/>
          <w:vertAlign w:val="superscript"/>
        </w:rPr>
        <w:footnoteReference w:id="3"/>
      </w:r>
      <w:r w:rsidRPr="00C06810">
        <w:rPr>
          <w:rFonts w:ascii="Arial" w:hAnsi="Arial" w:cs="Arial"/>
          <w:sz w:val="22"/>
          <w:szCs w:val="22"/>
        </w:rPr>
        <w:t>.</w:t>
      </w:r>
    </w:p>
    <w:p w:rsidR="00C06810" w:rsidRPr="00C06810" w:rsidRDefault="00C06810" w:rsidP="00C06810">
      <w:pPr>
        <w:jc w:val="both"/>
        <w:rPr>
          <w:rFonts w:ascii="Arial" w:hAnsi="Arial" w:cs="Arial"/>
          <w:sz w:val="22"/>
          <w:szCs w:val="22"/>
          <w:lang w:val="es-ES_tradnl"/>
        </w:rPr>
      </w:pPr>
    </w:p>
    <w:p w:rsidR="00C06810" w:rsidRPr="00C06810" w:rsidRDefault="00C06810" w:rsidP="00C06810">
      <w:pPr>
        <w:jc w:val="both"/>
        <w:rPr>
          <w:rFonts w:ascii="Arial" w:hAnsi="Arial" w:cs="Arial"/>
          <w:sz w:val="22"/>
          <w:szCs w:val="22"/>
        </w:rPr>
      </w:pPr>
      <w:r w:rsidRPr="00C06810">
        <w:rPr>
          <w:rFonts w:ascii="Arial" w:hAnsi="Arial" w:cs="Arial"/>
          <w:sz w:val="22"/>
          <w:szCs w:val="22"/>
        </w:rPr>
        <w:t xml:space="preserve">Revisado el acervo probatorio se tiene que el 13-08-2018, mismo día en que radicó este amparo, el accionante solicitó al Despacho Judicial aplicar la mentada norma, entre otros pedimentos, y todavía está pendiente de resolverse (Folio 63, expediente digital del disco compacto visible a folio 17, este cuaderno); providencia que, por demás, podrá recurrir en el momento oportuno (Artículo 36, Ley 472). </w:t>
      </w:r>
    </w:p>
    <w:p w:rsidR="00C87E7B" w:rsidRDefault="00C87E7B" w:rsidP="00C06810">
      <w:pPr>
        <w:jc w:val="both"/>
        <w:rPr>
          <w:rFonts w:ascii="Arial" w:hAnsi="Arial" w:cs="Arial"/>
          <w:sz w:val="22"/>
          <w:szCs w:val="22"/>
        </w:rPr>
      </w:pPr>
    </w:p>
    <w:p w:rsidR="00C06810" w:rsidRPr="00C06810" w:rsidRDefault="00C06810" w:rsidP="00C06810">
      <w:pPr>
        <w:jc w:val="both"/>
        <w:rPr>
          <w:rFonts w:ascii="Arial" w:hAnsi="Arial" w:cs="Arial"/>
          <w:sz w:val="22"/>
          <w:szCs w:val="22"/>
        </w:rPr>
      </w:pPr>
      <w:r w:rsidRPr="00C06810">
        <w:rPr>
          <w:rFonts w:ascii="Arial" w:hAnsi="Arial" w:cs="Arial"/>
          <w:sz w:val="22"/>
          <w:szCs w:val="22"/>
        </w:rPr>
        <w:t xml:space="preserve">Sin lugar a dudas, </w:t>
      </w:r>
      <w:r w:rsidRPr="00C06810">
        <w:rPr>
          <w:rFonts w:ascii="Arial" w:hAnsi="Arial" w:cs="Arial"/>
          <w:sz w:val="22"/>
          <w:szCs w:val="22"/>
          <w:lang w:val="es-CO"/>
        </w:rPr>
        <w:t>fue prematura la promoción de esta tutela</w:t>
      </w:r>
      <w:r w:rsidRPr="00C06810">
        <w:rPr>
          <w:rFonts w:ascii="Arial" w:hAnsi="Arial" w:cs="Arial"/>
          <w:sz w:val="22"/>
          <w:szCs w:val="22"/>
          <w:lang w:val="es-ES_tradnl"/>
        </w:rPr>
        <w:t xml:space="preserve">. El interesado se anticipó a la resolución del problema jurídico planteado ante la </w:t>
      </w:r>
      <w:r w:rsidRPr="00C06810">
        <w:rPr>
          <w:rFonts w:ascii="Arial" w:hAnsi="Arial" w:cs="Arial"/>
          <w:i/>
          <w:sz w:val="22"/>
          <w:szCs w:val="22"/>
          <w:lang w:val="es-ES_tradnl"/>
        </w:rPr>
        <w:t>a quo</w:t>
      </w:r>
      <w:r w:rsidRPr="00C06810">
        <w:rPr>
          <w:rFonts w:ascii="Arial" w:hAnsi="Arial" w:cs="Arial"/>
          <w:sz w:val="22"/>
          <w:szCs w:val="22"/>
          <w:lang w:val="es-ES_tradnl"/>
        </w:rPr>
        <w:t xml:space="preserve"> y ahora pretende que sea desatado en sede de tutela, sin esperar sus resultas en el trámite ordinario. Como se acotó, este amparo es improcedente por carecer de subsidiariedad, y así se declarará. </w:t>
      </w:r>
      <w:r w:rsidRPr="00C06810">
        <w:rPr>
          <w:rFonts w:ascii="Arial" w:hAnsi="Arial" w:cs="Arial"/>
          <w:sz w:val="22"/>
          <w:szCs w:val="22"/>
        </w:rPr>
        <w:t>Criterio expuesto por la CC</w:t>
      </w:r>
      <w:r w:rsidRPr="00C06810">
        <w:rPr>
          <w:rStyle w:val="Refdenotaalpie"/>
          <w:rFonts w:ascii="Arial" w:hAnsi="Arial" w:cs="Arial"/>
          <w:sz w:val="22"/>
          <w:szCs w:val="22"/>
        </w:rPr>
        <w:footnoteReference w:id="4"/>
      </w:r>
      <w:r w:rsidRPr="00C06810">
        <w:rPr>
          <w:rFonts w:ascii="Arial" w:hAnsi="Arial" w:cs="Arial"/>
          <w:sz w:val="22"/>
          <w:szCs w:val="22"/>
        </w:rPr>
        <w:t xml:space="preserve"> y la CSJ</w:t>
      </w:r>
      <w:r w:rsidRPr="00C06810">
        <w:rPr>
          <w:rFonts w:ascii="Arial" w:hAnsi="Arial" w:cs="Arial"/>
          <w:sz w:val="22"/>
          <w:szCs w:val="22"/>
          <w:vertAlign w:val="superscript"/>
        </w:rPr>
        <w:footnoteReference w:id="5"/>
      </w:r>
      <w:r w:rsidRPr="00C06810">
        <w:rPr>
          <w:rFonts w:ascii="Arial" w:hAnsi="Arial" w:cs="Arial"/>
          <w:sz w:val="22"/>
          <w:szCs w:val="22"/>
        </w:rPr>
        <w:t>.</w:t>
      </w:r>
    </w:p>
    <w:p w:rsidR="00C06810" w:rsidRPr="00C06810" w:rsidRDefault="00C06810" w:rsidP="00C06810">
      <w:pPr>
        <w:jc w:val="both"/>
        <w:rPr>
          <w:rFonts w:ascii="Arial" w:hAnsi="Arial" w:cs="Arial"/>
          <w:sz w:val="22"/>
          <w:szCs w:val="22"/>
          <w:lang w:val="es-ES_tradnl"/>
        </w:rPr>
      </w:pPr>
    </w:p>
    <w:p w:rsidR="000B5BB7" w:rsidRDefault="000B5BB7" w:rsidP="002403C8">
      <w:pPr>
        <w:pStyle w:val="Sinespaciado"/>
        <w:tabs>
          <w:tab w:val="left" w:pos="3579"/>
        </w:tabs>
        <w:spacing w:line="360" w:lineRule="auto"/>
        <w:jc w:val="center"/>
        <w:rPr>
          <w:rFonts w:ascii="Georgia" w:hAnsi="Georgia" w:cs="Arial"/>
          <w:w w:val="140"/>
          <w:sz w:val="14"/>
        </w:rPr>
      </w:pPr>
    </w:p>
    <w:p w:rsidR="000B5BB7" w:rsidRDefault="000B5BB7" w:rsidP="002403C8">
      <w:pPr>
        <w:pStyle w:val="Sinespaciado"/>
        <w:tabs>
          <w:tab w:val="left" w:pos="3579"/>
        </w:tabs>
        <w:spacing w:line="360" w:lineRule="auto"/>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DC5CF9">
        <w:rPr>
          <w:rFonts w:ascii="Georgia" w:hAnsi="Georgia" w:cs="Arial"/>
          <w:sz w:val="22"/>
        </w:rPr>
        <w:t>Javier Elías Arias Idárraga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3135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DC5CF9">
        <w:rPr>
          <w:rFonts w:ascii="Georgia" w:hAnsi="Georgia" w:cs="Arial"/>
          <w:sz w:val="22"/>
          <w:szCs w:val="22"/>
        </w:rPr>
        <w:t>Defensoría del Pueblo, Regional Risaralda 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DC5CF9">
        <w:rPr>
          <w:rFonts w:ascii="Georgia" w:hAnsi="Georgia" w:cs="Arial"/>
          <w:sz w:val="22"/>
        </w:rPr>
        <w:t>2018-</w:t>
      </w:r>
      <w:r w:rsidR="00612010">
        <w:rPr>
          <w:rFonts w:ascii="Georgia" w:hAnsi="Georgia" w:cs="Arial"/>
          <w:sz w:val="22"/>
        </w:rPr>
        <w:t>00639</w:t>
      </w:r>
      <w:r w:rsidR="00DC5CF9">
        <w:rPr>
          <w:rFonts w:ascii="Georgia" w:hAnsi="Georgia" w:cs="Arial"/>
          <w:sz w:val="22"/>
        </w:rPr>
        <w:t>-00 (Interno No.</w:t>
      </w:r>
      <w:r w:rsidR="00612010">
        <w:rPr>
          <w:rFonts w:ascii="Georgia" w:hAnsi="Georgia" w:cs="Arial"/>
          <w:sz w:val="22"/>
        </w:rPr>
        <w:t>639</w:t>
      </w:r>
      <w:r w:rsidR="00DC5CF9">
        <w:rPr>
          <w:rFonts w:ascii="Georgia" w:hAnsi="Georgia" w:cs="Arial"/>
          <w:sz w:val="22"/>
        </w:rPr>
        <w:t>)</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r w:rsidR="00095BA2">
        <w:rPr>
          <w:rFonts w:ascii="Georgia" w:hAnsi="Georgia" w:cs="Arial"/>
          <w:sz w:val="22"/>
          <w:szCs w:val="22"/>
        </w:rPr>
        <w:t>–</w:t>
      </w:r>
      <w:r w:rsidR="00C52C17">
        <w:rPr>
          <w:rFonts w:ascii="Georgia" w:hAnsi="Georgia" w:cs="Arial"/>
          <w:sz w:val="22"/>
          <w:szCs w:val="22"/>
        </w:rPr>
        <w:t xml:space="preserve"> </w:t>
      </w:r>
      <w:r w:rsidR="00095BA2">
        <w:rPr>
          <w:rFonts w:ascii="Georgia" w:hAnsi="Georgia" w:cs="Arial"/>
          <w:sz w:val="22"/>
          <w:szCs w:val="22"/>
        </w:rPr>
        <w:t>Inexistencia fáctica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r w:rsidR="0099045D" w:rsidRPr="00AD7B0C">
        <w:rPr>
          <w:rFonts w:ascii="Georgia" w:hAnsi="Georgia"/>
          <w:smallCaps/>
          <w:sz w:val="22"/>
          <w:szCs w:val="22"/>
        </w:rPr>
        <w:t>Duberney Grisales Herrera</w:t>
      </w:r>
    </w:p>
    <w:p w:rsidR="002843D3" w:rsidRPr="00AD7B0C" w:rsidRDefault="002843D3" w:rsidP="002843D3">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sidR="0073371D">
        <w:rPr>
          <w:rFonts w:ascii="Georgia" w:hAnsi="Georgia"/>
          <w:sz w:val="22"/>
          <w:szCs w:val="22"/>
        </w:rPr>
        <w:t>314</w:t>
      </w:r>
      <w:r>
        <w:rPr>
          <w:rFonts w:ascii="Georgia" w:hAnsi="Georgia"/>
          <w:sz w:val="22"/>
          <w:szCs w:val="22"/>
        </w:rPr>
        <w:t xml:space="preserve"> </w:t>
      </w:r>
      <w:r w:rsidRPr="00AD7B0C">
        <w:rPr>
          <w:rFonts w:ascii="Georgia" w:hAnsi="Georgia"/>
          <w:sz w:val="22"/>
          <w:szCs w:val="22"/>
        </w:rPr>
        <w:t>d</w:t>
      </w:r>
      <w:r>
        <w:rPr>
          <w:rFonts w:ascii="Georgia" w:hAnsi="Georgia"/>
          <w:sz w:val="22"/>
          <w:szCs w:val="22"/>
        </w:rPr>
        <w:t xml:space="preserve">e </w:t>
      </w:r>
      <w:r w:rsidR="0073371D">
        <w:rPr>
          <w:rFonts w:ascii="Georgia" w:hAnsi="Georgia"/>
          <w:sz w:val="22"/>
          <w:szCs w:val="22"/>
        </w:rPr>
        <w:t>27</w:t>
      </w:r>
      <w:r w:rsidRPr="00AD7B0C">
        <w:rPr>
          <w:rFonts w:ascii="Georgia" w:hAnsi="Georgia"/>
          <w:sz w:val="22"/>
          <w:szCs w:val="22"/>
        </w:rPr>
        <w:t>-</w:t>
      </w:r>
      <w:r>
        <w:rPr>
          <w:rFonts w:ascii="Georgia" w:hAnsi="Georgia"/>
          <w:sz w:val="22"/>
          <w:szCs w:val="22"/>
        </w:rPr>
        <w:t>08</w:t>
      </w:r>
      <w:r w:rsidRPr="00AD7B0C">
        <w:rPr>
          <w:rFonts w:ascii="Georgia" w:hAnsi="Georgia"/>
          <w:sz w:val="22"/>
          <w:szCs w:val="22"/>
        </w:rPr>
        <w:t>-</w:t>
      </w:r>
      <w:r>
        <w:rPr>
          <w:rFonts w:ascii="Georgia" w:hAnsi="Georgia"/>
          <w:sz w:val="22"/>
          <w:szCs w:val="22"/>
        </w:rPr>
        <w:t>2018</w:t>
      </w:r>
    </w:p>
    <w:p w:rsidR="002843D3" w:rsidRPr="006A0696" w:rsidRDefault="002843D3" w:rsidP="002843D3">
      <w:pPr>
        <w:pBdr>
          <w:bottom w:val="double" w:sz="6" w:space="1" w:color="auto"/>
        </w:pBdr>
        <w:spacing w:line="360" w:lineRule="auto"/>
        <w:jc w:val="center"/>
        <w:rPr>
          <w:rFonts w:ascii="Georgia" w:hAnsi="Georgia" w:cs="Arial"/>
          <w:b/>
          <w:bCs/>
          <w:sz w:val="18"/>
          <w:szCs w:val="22"/>
          <w:lang w:val="es-CO"/>
        </w:rPr>
      </w:pPr>
    </w:p>
    <w:p w:rsidR="002843D3" w:rsidRPr="00AD7B0C" w:rsidRDefault="002843D3" w:rsidP="002843D3">
      <w:pPr>
        <w:spacing w:line="360" w:lineRule="auto"/>
        <w:jc w:val="center"/>
        <w:rPr>
          <w:rFonts w:ascii="Georgia" w:hAnsi="Georgia" w:cs="Arial"/>
          <w:b/>
          <w:bCs/>
          <w:szCs w:val="22"/>
        </w:rPr>
      </w:pPr>
    </w:p>
    <w:p w:rsidR="002843D3" w:rsidRPr="00AD7B0C" w:rsidRDefault="002843D3" w:rsidP="002843D3">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sidR="0073371D">
        <w:rPr>
          <w:rFonts w:ascii="Georgia" w:hAnsi="Georgia" w:cs="Arial"/>
          <w:iCs/>
          <w:smallCaps/>
          <w:sz w:val="28"/>
          <w:lang w:val="es-CO"/>
        </w:rPr>
        <w:t xml:space="preserve">veintisiete </w:t>
      </w:r>
      <w:r>
        <w:rPr>
          <w:rFonts w:ascii="Georgia" w:hAnsi="Georgia" w:cs="Arial"/>
          <w:iCs/>
          <w:smallCaps/>
          <w:sz w:val="28"/>
          <w:lang w:val="es-CO"/>
        </w:rPr>
        <w:t>(</w:t>
      </w:r>
      <w:r w:rsidR="0073371D">
        <w:rPr>
          <w:rFonts w:ascii="Georgia" w:hAnsi="Georgia" w:cs="Arial"/>
          <w:iCs/>
          <w:smallCaps/>
          <w:sz w:val="28"/>
          <w:lang w:val="es-CO"/>
        </w:rPr>
        <w:t>27</w:t>
      </w:r>
      <w:r w:rsidRPr="00FD0443">
        <w:rPr>
          <w:rFonts w:ascii="Georgia" w:hAnsi="Georgia" w:cs="Arial"/>
          <w:iCs/>
          <w:smallCaps/>
          <w:sz w:val="28"/>
          <w:lang w:val="es-CO"/>
        </w:rPr>
        <w:t xml:space="preserve">) de </w:t>
      </w:r>
      <w:r>
        <w:rPr>
          <w:rFonts w:ascii="Georgia" w:hAnsi="Georgia" w:cs="Arial"/>
          <w:iCs/>
          <w:smallCaps/>
          <w:sz w:val="28"/>
          <w:lang w:val="es-CO"/>
        </w:rPr>
        <w:t xml:space="preserve">agosto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DC5CF9" w:rsidP="00531350">
      <w:pPr>
        <w:pStyle w:val="Textoindependiente"/>
        <w:spacing w:line="360" w:lineRule="auto"/>
        <w:rPr>
          <w:rFonts w:ascii="Georgia" w:hAnsi="Georgia"/>
          <w:szCs w:val="24"/>
        </w:rPr>
      </w:pPr>
      <w:r>
        <w:rPr>
          <w:rFonts w:ascii="Georgia" w:hAnsi="Georgia"/>
          <w:szCs w:val="24"/>
        </w:rPr>
        <w:t xml:space="preserve">La tutela </w:t>
      </w:r>
      <w:r w:rsidR="00531350" w:rsidRPr="00D63D82">
        <w:rPr>
          <w:rFonts w:ascii="Georgia" w:hAnsi="Georgia"/>
          <w:szCs w:val="24"/>
        </w:rPr>
        <w:t>de la referencia, adelantadas las debidas actuaciones con el trámite preferente y sumario, sin que se eviden</w:t>
      </w:r>
      <w:r>
        <w:rPr>
          <w:rFonts w:ascii="Georgia" w:hAnsi="Georgia"/>
          <w:szCs w:val="24"/>
        </w:rPr>
        <w:t>cien causales de nulidad que la</w:t>
      </w:r>
      <w:r w:rsidR="00531350" w:rsidRPr="00D63D82">
        <w:rPr>
          <w:rFonts w:ascii="Georgia" w:hAnsi="Georgia"/>
          <w:szCs w:val="24"/>
        </w:rPr>
        <w:t xml:space="preserve"> invaliden</w:t>
      </w:r>
      <w:r w:rsidR="00531350">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C51F1A" w:rsidRDefault="00095BA2" w:rsidP="00C51F1A">
      <w:pPr>
        <w:pStyle w:val="Textoindependiente"/>
        <w:spacing w:line="360" w:lineRule="auto"/>
        <w:rPr>
          <w:rFonts w:ascii="Georgia" w:hAnsi="Georgia"/>
          <w:szCs w:val="24"/>
        </w:rPr>
      </w:pPr>
      <w:r>
        <w:rPr>
          <w:rFonts w:ascii="Georgia" w:hAnsi="Georgia"/>
          <w:szCs w:val="24"/>
        </w:rPr>
        <w:t xml:space="preserve">Sostuvo </w:t>
      </w:r>
      <w:r w:rsidR="00F109A0" w:rsidRPr="00C51F1A">
        <w:rPr>
          <w:rFonts w:ascii="Georgia" w:hAnsi="Georgia"/>
          <w:szCs w:val="24"/>
        </w:rPr>
        <w:t>el</w:t>
      </w:r>
      <w:r w:rsidR="006573CE" w:rsidRPr="00C51F1A">
        <w:rPr>
          <w:rFonts w:ascii="Georgia" w:hAnsi="Georgia"/>
          <w:szCs w:val="24"/>
        </w:rPr>
        <w:t xml:space="preserve"> </w:t>
      </w:r>
      <w:r w:rsidR="00531350" w:rsidRPr="00C51F1A">
        <w:rPr>
          <w:rFonts w:ascii="Georgia" w:hAnsi="Georgia"/>
          <w:szCs w:val="24"/>
        </w:rPr>
        <w:t>actor</w:t>
      </w:r>
      <w:r w:rsidR="00793B0B" w:rsidRPr="00C51F1A">
        <w:rPr>
          <w:rFonts w:ascii="Georgia" w:hAnsi="Georgia"/>
          <w:szCs w:val="24"/>
        </w:rPr>
        <w:t xml:space="preserve"> </w:t>
      </w:r>
      <w:r w:rsidR="00FD0443" w:rsidRPr="00C51F1A">
        <w:rPr>
          <w:rFonts w:ascii="Georgia" w:hAnsi="Georgia"/>
          <w:szCs w:val="24"/>
        </w:rPr>
        <w:t xml:space="preserve">que </w:t>
      </w:r>
      <w:r w:rsidR="00BC2FEA">
        <w:rPr>
          <w:rFonts w:ascii="Georgia" w:hAnsi="Georgia"/>
          <w:szCs w:val="24"/>
        </w:rPr>
        <w:t xml:space="preserve">en el Juzgado accionado se le impidió revisar la acción popular No.2018-00074-00 </w:t>
      </w:r>
      <w:r w:rsidR="00C51F1A" w:rsidRPr="00C51F1A">
        <w:rPr>
          <w:rFonts w:ascii="Georgia" w:hAnsi="Georgia"/>
          <w:szCs w:val="24"/>
        </w:rPr>
        <w:t>(</w:t>
      </w:r>
      <w:r w:rsidR="004B1EB8" w:rsidRPr="00C51F1A">
        <w:rPr>
          <w:rFonts w:ascii="Georgia" w:hAnsi="Georgia"/>
          <w:szCs w:val="24"/>
        </w:rPr>
        <w:t xml:space="preserve">Folio </w:t>
      </w:r>
      <w:r w:rsidR="00401168" w:rsidRPr="00C51F1A">
        <w:rPr>
          <w:rFonts w:ascii="Georgia" w:hAnsi="Georgia"/>
          <w:szCs w:val="24"/>
        </w:rPr>
        <w:t>1</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3460F">
        <w:rPr>
          <w:rFonts w:ascii="Georgia" w:hAnsi="Georgia" w:cs="Arial"/>
          <w:spacing w:val="-3"/>
          <w:lang w:val="es-ES_tradnl"/>
        </w:rPr>
        <w:t xml:space="preserve"> y </w:t>
      </w:r>
      <w:r w:rsidR="00DC5CF9">
        <w:rPr>
          <w:rFonts w:ascii="Georgia" w:hAnsi="Georgia" w:cs="Arial"/>
          <w:spacing w:val="-3"/>
          <w:lang w:val="es-ES_tradnl"/>
        </w:rPr>
        <w:t>86 de la CP</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DC5CF9">
        <w:rPr>
          <w:rFonts w:ascii="Georgia" w:hAnsi="Georgia" w:cs="Arial"/>
          <w:spacing w:val="-3"/>
          <w:lang w:val="es-ES_tradnl"/>
        </w:rPr>
        <w:t xml:space="preserve"> </w:t>
      </w:r>
      <w:r w:rsidR="00BE752B">
        <w:rPr>
          <w:rFonts w:ascii="Georgia" w:hAnsi="Georgia" w:cs="Arial"/>
          <w:spacing w:val="-3"/>
          <w:lang w:val="es-ES_tradnl"/>
        </w:rPr>
        <w:t>1</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C703F6">
        <w:rPr>
          <w:rFonts w:ascii="Georgia" w:hAnsi="Georgia"/>
          <w:szCs w:val="24"/>
        </w:rPr>
        <w:t>S</w:t>
      </w:r>
      <w:r w:rsidRPr="00AD7B0C">
        <w:rPr>
          <w:rFonts w:ascii="Georgia" w:hAnsi="Georgia"/>
          <w:szCs w:val="24"/>
        </w:rPr>
        <w:t xml:space="preserve"> PETICI</w:t>
      </w:r>
      <w:r w:rsidR="00C703F6">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53EC9" w:rsidRPr="00DC5CF9" w:rsidRDefault="00B53EC9" w:rsidP="00B53EC9">
      <w:pPr>
        <w:spacing w:line="360" w:lineRule="auto"/>
        <w:jc w:val="both"/>
        <w:rPr>
          <w:rFonts w:ascii="Georgia" w:hAnsi="Georgia" w:cs="Arial"/>
        </w:rPr>
      </w:pPr>
      <w:r w:rsidRPr="00607E09">
        <w:rPr>
          <w:rFonts w:ascii="Georgia" w:hAnsi="Georgia" w:cs="Arial"/>
        </w:rPr>
        <w:t xml:space="preserve">Se pretende </w:t>
      </w:r>
      <w:r>
        <w:rPr>
          <w:rFonts w:ascii="Georgia" w:hAnsi="Georgia" w:cs="Arial"/>
        </w:rPr>
        <w:t xml:space="preserve">ordenar </w:t>
      </w:r>
      <w:r w:rsidRPr="00607E09">
        <w:rPr>
          <w:rFonts w:ascii="Georgia" w:hAnsi="Georgia" w:cs="Arial"/>
        </w:rPr>
        <w:t>al accionado</w:t>
      </w:r>
      <w:r w:rsidR="0029582F">
        <w:rPr>
          <w:rFonts w:ascii="Georgia" w:hAnsi="Georgia" w:cs="Arial"/>
        </w:rPr>
        <w:t>: (</w:t>
      </w:r>
      <w:r>
        <w:rPr>
          <w:rFonts w:ascii="Georgia" w:hAnsi="Georgia" w:cs="Arial"/>
        </w:rPr>
        <w:t xml:space="preserve">i) </w:t>
      </w:r>
      <w:r w:rsidR="00BC2FEA">
        <w:rPr>
          <w:rFonts w:ascii="Georgia" w:hAnsi="Georgia" w:cs="Arial"/>
        </w:rPr>
        <w:t>Conservar las acciones populares en el Despacho para poder revisarlas; y, (ii) Aplicar el artículo 5, Ley 472</w:t>
      </w:r>
      <w:r w:rsidR="00DC5CF9">
        <w:rPr>
          <w:rFonts w:ascii="Georgia" w:hAnsi="Georgia" w:cs="Arial"/>
        </w:rPr>
        <w:t xml:space="preserve">. Además, requiere de esta Corporación que le brinde copias físicas gratuitas de todo lo actuado </w:t>
      </w:r>
      <w:r w:rsidRPr="00AD7B0C">
        <w:rPr>
          <w:rFonts w:ascii="Georgia" w:hAnsi="Georgia" w:cs="Arial"/>
          <w:spacing w:val="-3"/>
          <w:lang w:val="es-ES_tradnl"/>
        </w:rPr>
        <w:t>(Folio</w:t>
      </w:r>
      <w:r w:rsidR="00DC5CF9">
        <w:rPr>
          <w:rFonts w:ascii="Georgia" w:hAnsi="Georgia" w:cs="Arial"/>
          <w:spacing w:val="-3"/>
          <w:lang w:val="es-ES_tradnl"/>
        </w:rPr>
        <w:t xml:space="preserve"> 1</w:t>
      </w:r>
      <w:r>
        <w:rPr>
          <w:rFonts w:ascii="Georgia" w:hAnsi="Georgia" w:cs="Arial"/>
          <w:spacing w:val="-3"/>
          <w:lang w:val="es-ES_tradnl"/>
        </w:rPr>
        <w:t xml:space="preserve">, </w:t>
      </w:r>
      <w:r w:rsidRPr="00AD7B0C">
        <w:rPr>
          <w:rFonts w:ascii="Georgia" w:hAnsi="Georgia" w:cs="Arial"/>
          <w:spacing w:val="-3"/>
          <w:lang w:val="es-ES_tradnl"/>
        </w:rPr>
        <w:t>este cuaderno).</w:t>
      </w:r>
    </w:p>
    <w:p w:rsidR="00B53EC9" w:rsidRDefault="00B53EC9" w:rsidP="00B53EC9">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9E33C9" w:rsidRDefault="0006677C" w:rsidP="009E33C9">
      <w:pPr>
        <w:pStyle w:val="Textoindependiente"/>
        <w:spacing w:line="360" w:lineRule="auto"/>
        <w:rPr>
          <w:rFonts w:ascii="Georgia" w:hAnsi="Georgia" w:cs="Arial"/>
          <w:color w:val="000000"/>
        </w:rPr>
      </w:pPr>
      <w:r w:rsidRPr="0063183D">
        <w:rPr>
          <w:rFonts w:ascii="Georgia" w:hAnsi="Georgia"/>
        </w:rPr>
        <w:t xml:space="preserve">En reparto ordinario del </w:t>
      </w:r>
      <w:r w:rsidR="00BC2FEA">
        <w:rPr>
          <w:rFonts w:ascii="Georgia" w:hAnsi="Georgia"/>
        </w:rPr>
        <w:t>13</w:t>
      </w:r>
      <w:r w:rsidR="00DC5CF9">
        <w:rPr>
          <w:rFonts w:ascii="Georgia" w:hAnsi="Georgia"/>
        </w:rPr>
        <w:t>-</w:t>
      </w:r>
      <w:r w:rsidR="00BC2FEA">
        <w:rPr>
          <w:rFonts w:ascii="Georgia" w:hAnsi="Georgia"/>
        </w:rPr>
        <w:t>08</w:t>
      </w:r>
      <w:r w:rsidRPr="0063183D">
        <w:rPr>
          <w:rFonts w:ascii="Georgia" w:hAnsi="Georgia"/>
        </w:rPr>
        <w:t xml:space="preserve">-2018 se </w:t>
      </w:r>
      <w:r w:rsidR="00DC5CF9">
        <w:rPr>
          <w:rFonts w:ascii="Georgia" w:hAnsi="Georgia"/>
        </w:rPr>
        <w:t xml:space="preserve">asignó </w:t>
      </w:r>
      <w:r w:rsidRPr="0063183D">
        <w:rPr>
          <w:rFonts w:ascii="Georgia" w:hAnsi="Georgia"/>
        </w:rPr>
        <w:t>a este Despacho</w:t>
      </w:r>
      <w:r w:rsidRPr="0063183D">
        <w:rPr>
          <w:rFonts w:ascii="Georgia" w:hAnsi="Georgia" w:cs="Arial"/>
          <w:color w:val="000000"/>
        </w:rPr>
        <w:t xml:space="preserve">, con providencia del </w:t>
      </w:r>
      <w:r w:rsidR="00BC2FEA">
        <w:rPr>
          <w:rFonts w:ascii="Georgia" w:hAnsi="Georgia" w:cs="Arial"/>
          <w:color w:val="000000"/>
        </w:rPr>
        <w:t>15</w:t>
      </w:r>
      <w:r w:rsidR="00615827">
        <w:rPr>
          <w:rFonts w:ascii="Georgia" w:hAnsi="Georgia" w:cs="Arial"/>
          <w:color w:val="000000"/>
        </w:rPr>
        <w:t>-</w:t>
      </w:r>
      <w:r w:rsidR="00BC2FEA">
        <w:rPr>
          <w:rFonts w:ascii="Georgia" w:hAnsi="Georgia" w:cs="Arial"/>
          <w:color w:val="000000"/>
        </w:rPr>
        <w:t>08</w:t>
      </w:r>
      <w:r w:rsidR="00615827">
        <w:rPr>
          <w:rFonts w:ascii="Georgia" w:hAnsi="Georgia" w:cs="Arial"/>
          <w:color w:val="000000"/>
        </w:rPr>
        <w:t>-2018</w:t>
      </w:r>
      <w:r w:rsidRPr="0063183D">
        <w:rPr>
          <w:rFonts w:ascii="Georgia" w:hAnsi="Georgia" w:cs="Arial"/>
          <w:color w:val="000000"/>
        </w:rPr>
        <w:t xml:space="preserve"> se </w:t>
      </w:r>
      <w:r w:rsidR="00DC5CF9">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 xml:space="preserve">entre otros ordenamientos (Folios </w:t>
      </w:r>
      <w:r w:rsidR="00DC5CF9">
        <w:rPr>
          <w:rFonts w:ascii="Georgia" w:hAnsi="Georgia"/>
        </w:rPr>
        <w:t>4</w:t>
      </w:r>
      <w:r w:rsidRPr="0063183D">
        <w:rPr>
          <w:rFonts w:ascii="Georgia" w:hAnsi="Georgia"/>
        </w:rPr>
        <w:t>, ibídem)</w:t>
      </w:r>
      <w:r w:rsidRPr="0063183D">
        <w:rPr>
          <w:rFonts w:ascii="Georgia" w:hAnsi="Georgia" w:cs="Arial"/>
          <w:color w:val="000000"/>
        </w:rPr>
        <w:t xml:space="preserve">. Fueron debidamente enterados los extremos de la acción (Folios </w:t>
      </w:r>
      <w:r w:rsidR="00BC2FEA">
        <w:rPr>
          <w:rFonts w:ascii="Georgia" w:hAnsi="Georgia" w:cs="Arial"/>
          <w:color w:val="000000"/>
        </w:rPr>
        <w:t>5 y 6</w:t>
      </w:r>
      <w:r w:rsidRPr="0063183D">
        <w:rPr>
          <w:rFonts w:ascii="Georgia" w:hAnsi="Georgia" w:cs="Arial"/>
          <w:color w:val="000000"/>
        </w:rPr>
        <w:t xml:space="preserve">, ibídem). Contestó la </w:t>
      </w:r>
      <w:r w:rsidR="00DC5CF9">
        <w:rPr>
          <w:rFonts w:ascii="Georgia" w:hAnsi="Georgia" w:cs="Arial"/>
          <w:color w:val="000000"/>
        </w:rPr>
        <w:t>Procuraduría General de la Nación</w:t>
      </w:r>
      <w:r w:rsidR="00B53EC9">
        <w:rPr>
          <w:rFonts w:ascii="Georgia" w:hAnsi="Georgia" w:cs="Arial"/>
          <w:color w:val="000000"/>
        </w:rPr>
        <w:t xml:space="preserve">, Regional </w:t>
      </w:r>
      <w:r w:rsidR="00DC5CF9">
        <w:rPr>
          <w:rFonts w:ascii="Georgia" w:hAnsi="Georgia" w:cs="Arial"/>
          <w:color w:val="000000"/>
        </w:rPr>
        <w:t xml:space="preserve">Risaralda (PGNRR) </w:t>
      </w:r>
      <w:r w:rsidR="00B53EC9">
        <w:rPr>
          <w:rFonts w:ascii="Georgia" w:hAnsi="Georgia" w:cs="Arial"/>
          <w:color w:val="000000"/>
        </w:rPr>
        <w:lastRenderedPageBreak/>
        <w:t xml:space="preserve">(Folios </w:t>
      </w:r>
      <w:r w:rsidR="00BC2FEA">
        <w:rPr>
          <w:rFonts w:ascii="Georgia" w:hAnsi="Georgia" w:cs="Arial"/>
          <w:color w:val="000000"/>
        </w:rPr>
        <w:t>7</w:t>
      </w:r>
      <w:r w:rsidR="00B53EC9">
        <w:rPr>
          <w:rFonts w:ascii="Georgia" w:hAnsi="Georgia" w:cs="Arial"/>
          <w:color w:val="000000"/>
        </w:rPr>
        <w:t>, ib</w:t>
      </w:r>
      <w:r w:rsidR="00B53EC9" w:rsidRPr="009C31C3">
        <w:rPr>
          <w:rFonts w:ascii="Georgia" w:hAnsi="Georgia" w:cs="Arial"/>
          <w:color w:val="000000"/>
        </w:rPr>
        <w:t>.</w:t>
      </w:r>
      <w:r w:rsidR="00DC5CF9">
        <w:rPr>
          <w:rFonts w:ascii="Georgia" w:hAnsi="Georgia" w:cs="Arial"/>
          <w:color w:val="000000"/>
        </w:rPr>
        <w:t>)</w:t>
      </w:r>
      <w:r w:rsidR="00BC2FEA">
        <w:rPr>
          <w:rFonts w:ascii="Georgia" w:hAnsi="Georgia" w:cs="Arial"/>
          <w:color w:val="000000"/>
        </w:rPr>
        <w:t xml:space="preserve">, la Personería de Pereira (Folios 9 y 10, ib.) y la funcionaria accionada </w:t>
      </w:r>
      <w:r w:rsidR="00B53EC9">
        <w:rPr>
          <w:rFonts w:ascii="Georgia" w:hAnsi="Georgia" w:cs="Arial"/>
          <w:color w:val="000000"/>
        </w:rPr>
        <w:t xml:space="preserve">(Folios </w:t>
      </w:r>
      <w:r w:rsidR="00BC2FEA">
        <w:rPr>
          <w:rFonts w:ascii="Georgia" w:hAnsi="Georgia" w:cs="Arial"/>
          <w:color w:val="000000"/>
        </w:rPr>
        <w:t>13 a 17</w:t>
      </w:r>
      <w:r w:rsidR="00C66E5E">
        <w:rPr>
          <w:rFonts w:ascii="Georgia" w:hAnsi="Georgia" w:cs="Arial"/>
          <w:color w:val="000000"/>
        </w:rPr>
        <w:t>, ib.)</w:t>
      </w:r>
      <w:r w:rsidR="009E33C9">
        <w:rPr>
          <w:rFonts w:ascii="Georgia" w:hAnsi="Georgia" w:cs="Arial"/>
          <w:color w:val="000000"/>
        </w:rPr>
        <w:t xml:space="preserve">. </w:t>
      </w:r>
    </w:p>
    <w:p w:rsidR="00B53EC9" w:rsidRDefault="00B53EC9"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2B5F48">
        <w:rPr>
          <w:rFonts w:ascii="Georgia" w:hAnsi="Georgia"/>
        </w:rPr>
        <w:t>S</w:t>
      </w:r>
      <w:r w:rsidRPr="00EB1DBB">
        <w:rPr>
          <w:rFonts w:ascii="Georgia" w:hAnsi="Georgia"/>
        </w:rPr>
        <w:t xml:space="preserve"> SINOPSIS DE LA</w:t>
      </w:r>
      <w:r w:rsidR="002B5F48">
        <w:rPr>
          <w:rFonts w:ascii="Georgia" w:hAnsi="Georgia"/>
        </w:rPr>
        <w:t>S</w:t>
      </w:r>
      <w:r w:rsidRPr="00EB1DBB">
        <w:rPr>
          <w:rFonts w:ascii="Georgia" w:hAnsi="Georgia"/>
        </w:rPr>
        <w:t xml:space="preserve"> RESPUESTA</w:t>
      </w:r>
      <w:r w:rsidR="002B5F48">
        <w:rPr>
          <w:rFonts w:ascii="Georgia" w:hAnsi="Georgia"/>
        </w:rPr>
        <w:t>S</w:t>
      </w:r>
    </w:p>
    <w:p w:rsidR="0006677C" w:rsidRDefault="0006677C" w:rsidP="0006677C">
      <w:pPr>
        <w:pStyle w:val="Textoindependiente"/>
        <w:spacing w:line="360" w:lineRule="auto"/>
        <w:rPr>
          <w:rFonts w:ascii="Georgia" w:hAnsi="Georgia"/>
          <w:sz w:val="20"/>
          <w:szCs w:val="24"/>
        </w:rPr>
      </w:pPr>
    </w:p>
    <w:p w:rsidR="004D7622" w:rsidRDefault="009B63DA" w:rsidP="004D7622">
      <w:pPr>
        <w:pStyle w:val="Textoindependiente"/>
        <w:spacing w:line="360" w:lineRule="auto"/>
        <w:rPr>
          <w:rFonts w:ascii="Georgia" w:hAnsi="Georgia" w:cs="Arial"/>
          <w:color w:val="000000"/>
        </w:rPr>
      </w:pPr>
      <w:r>
        <w:rPr>
          <w:rFonts w:ascii="Georgia" w:hAnsi="Georgia" w:cs="Arial"/>
          <w:color w:val="000000"/>
        </w:rPr>
        <w:t>La PGN</w:t>
      </w:r>
      <w:r w:rsidR="00613198">
        <w:rPr>
          <w:rFonts w:ascii="Georgia" w:hAnsi="Georgia" w:cs="Arial"/>
          <w:color w:val="000000"/>
        </w:rPr>
        <w:t>RR</w:t>
      </w:r>
      <w:r w:rsidR="009C31C3">
        <w:rPr>
          <w:rFonts w:ascii="Georgia" w:hAnsi="Georgia" w:cs="Arial"/>
          <w:color w:val="000000"/>
        </w:rPr>
        <w:t xml:space="preserve"> </w:t>
      </w:r>
      <w:r w:rsidR="005106D1">
        <w:rPr>
          <w:rFonts w:ascii="Georgia" w:hAnsi="Georgia" w:cs="Arial"/>
          <w:color w:val="000000"/>
        </w:rPr>
        <w:t xml:space="preserve">y la Personería de Pereira refirieron </w:t>
      </w:r>
      <w:r>
        <w:rPr>
          <w:rFonts w:ascii="Georgia" w:hAnsi="Georgia" w:cs="Arial"/>
          <w:color w:val="000000"/>
        </w:rPr>
        <w:t xml:space="preserve">que </w:t>
      </w:r>
      <w:r w:rsidRPr="00044916">
        <w:rPr>
          <w:rFonts w:ascii="Georgia" w:hAnsi="Georgia"/>
          <w:szCs w:val="24"/>
        </w:rPr>
        <w:t xml:space="preserve">la situación </w:t>
      </w:r>
      <w:r w:rsidR="00613198">
        <w:rPr>
          <w:rFonts w:ascii="Georgia" w:hAnsi="Georgia"/>
          <w:szCs w:val="24"/>
        </w:rPr>
        <w:t xml:space="preserve">expuesta </w:t>
      </w:r>
      <w:r w:rsidRPr="00044916">
        <w:rPr>
          <w:rFonts w:ascii="Georgia" w:hAnsi="Georgia"/>
          <w:szCs w:val="24"/>
        </w:rPr>
        <w:t xml:space="preserve">es ajena a sus funciones como </w:t>
      </w:r>
      <w:r w:rsidR="005106D1" w:rsidRPr="00044916">
        <w:rPr>
          <w:rFonts w:ascii="Georgia" w:hAnsi="Georgia"/>
          <w:szCs w:val="24"/>
        </w:rPr>
        <w:t>defensor</w:t>
      </w:r>
      <w:r w:rsidR="005106D1">
        <w:rPr>
          <w:rFonts w:ascii="Georgia" w:hAnsi="Georgia"/>
          <w:szCs w:val="24"/>
        </w:rPr>
        <w:t xml:space="preserve">es </w:t>
      </w:r>
      <w:r w:rsidRPr="00044916">
        <w:rPr>
          <w:rFonts w:ascii="Georgia" w:hAnsi="Georgia"/>
          <w:szCs w:val="24"/>
        </w:rPr>
        <w:t>de los intereses colectivos</w:t>
      </w:r>
      <w:r>
        <w:rPr>
          <w:rFonts w:ascii="Georgia" w:hAnsi="Georgia"/>
          <w:szCs w:val="24"/>
        </w:rPr>
        <w:t xml:space="preserve"> </w:t>
      </w:r>
      <w:r w:rsidR="005106D1">
        <w:rPr>
          <w:rFonts w:ascii="Georgia" w:hAnsi="Georgia" w:cs="Arial"/>
          <w:color w:val="000000"/>
        </w:rPr>
        <w:t>(Folios 7, 9 y 10, ib.)</w:t>
      </w:r>
      <w:r w:rsidR="004D7622">
        <w:rPr>
          <w:rFonts w:ascii="Georgia" w:hAnsi="Georgia" w:cs="Arial"/>
          <w:color w:val="000000"/>
        </w:rPr>
        <w:t xml:space="preserve">. </w:t>
      </w:r>
      <w:r w:rsidR="00613198">
        <w:rPr>
          <w:rFonts w:ascii="Georgia" w:hAnsi="Georgia" w:cs="Arial"/>
          <w:color w:val="000000"/>
        </w:rPr>
        <w:t xml:space="preserve">Ambas </w:t>
      </w:r>
      <w:r w:rsidR="005106D1">
        <w:rPr>
          <w:rFonts w:ascii="Georgia" w:hAnsi="Georgia" w:cs="Arial"/>
          <w:color w:val="000000"/>
        </w:rPr>
        <w:t xml:space="preserve">pidieron </w:t>
      </w:r>
      <w:r w:rsidR="00613198">
        <w:rPr>
          <w:rFonts w:ascii="Georgia" w:hAnsi="Georgia" w:cs="Arial"/>
          <w:color w:val="000000"/>
        </w:rPr>
        <w:t xml:space="preserve">su desvinculación. </w:t>
      </w:r>
      <w:r w:rsidR="005106D1">
        <w:rPr>
          <w:rFonts w:ascii="Georgia" w:hAnsi="Georgia" w:cs="Arial"/>
          <w:color w:val="000000"/>
        </w:rPr>
        <w:t>Y la Jueza accionada manifestó que en manera alguna le ha impedido al accionante la revisión de los expedientes de acciones populares, pues siempre ha podido consultarlos en su filial ubicada en el primer piso del Palacio de Justicia local (Oficina 105), por lo que pidió negar el amparo en su contra.</w:t>
      </w:r>
    </w:p>
    <w:p w:rsidR="009B63DA" w:rsidRDefault="009B63DA" w:rsidP="009B63DA">
      <w:pPr>
        <w:pStyle w:val="Textoindependiente"/>
        <w:spacing w:line="360" w:lineRule="auto"/>
        <w:rPr>
          <w:rFonts w:ascii="Georgia" w:hAnsi="Georgia" w:cs="Arial"/>
          <w:color w:val="000000"/>
        </w:rPr>
      </w:pPr>
    </w:p>
    <w:p w:rsidR="0006677C" w:rsidRPr="00613198" w:rsidRDefault="0006677C" w:rsidP="00613198">
      <w:pPr>
        <w:pStyle w:val="Prrafodelista"/>
        <w:numPr>
          <w:ilvl w:val="0"/>
          <w:numId w:val="18"/>
        </w:numPr>
        <w:spacing w:line="360" w:lineRule="auto"/>
        <w:jc w:val="both"/>
        <w:rPr>
          <w:rFonts w:ascii="Georgia" w:hAnsi="Georgia"/>
        </w:rPr>
      </w:pPr>
      <w:r w:rsidRPr="00613198">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 xml:space="preserve">la </w:t>
      </w:r>
      <w:r w:rsidR="00215000">
        <w:rPr>
          <w:rFonts w:ascii="Georgia" w:hAnsi="Georgia" w:cs="Arial"/>
        </w:rPr>
        <w:t>acción popular</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0666EF" w:rsidRPr="00091F09" w:rsidRDefault="0006677C" w:rsidP="00213DFF">
      <w:pPr>
        <w:pStyle w:val="Prrafodelista"/>
        <w:numPr>
          <w:ilvl w:val="2"/>
          <w:numId w:val="18"/>
        </w:numPr>
        <w:spacing w:line="360" w:lineRule="auto"/>
        <w:jc w:val="both"/>
        <w:rPr>
          <w:rFonts w:ascii="Georgia" w:hAnsi="Georgia"/>
        </w:rPr>
      </w:pPr>
      <w:r w:rsidRPr="00091F09">
        <w:rPr>
          <w:rFonts w:ascii="Georgia" w:hAnsi="Georgia"/>
          <w:smallCaps/>
          <w:sz w:val="22"/>
        </w:rPr>
        <w:t>La legitimación en la causa</w:t>
      </w:r>
      <w:r w:rsidRPr="00091F09">
        <w:rPr>
          <w:rFonts w:ascii="Georgia" w:hAnsi="Georgia"/>
          <w:smallCaps/>
        </w:rPr>
        <w:t xml:space="preserve">. </w:t>
      </w:r>
      <w:r w:rsidRPr="00091F09">
        <w:rPr>
          <w:rFonts w:ascii="Georgia" w:hAnsi="Georgia" w:cs="Arial"/>
        </w:rPr>
        <w:t xml:space="preserve">Se cumple por activa dado que el actor promovió </w:t>
      </w:r>
      <w:r w:rsidR="00613198" w:rsidRPr="00091F09">
        <w:rPr>
          <w:rFonts w:ascii="Georgia" w:hAnsi="Georgia" w:cs="Arial"/>
        </w:rPr>
        <w:t xml:space="preserve">la acción popular </w:t>
      </w:r>
      <w:r w:rsidRPr="00091F09">
        <w:rPr>
          <w:rFonts w:ascii="Georgia" w:hAnsi="Georgia" w:cs="Arial"/>
        </w:rPr>
        <w:t xml:space="preserve">donde se reprocha la falta al debido proceso. Y por pasiva, </w:t>
      </w:r>
      <w:r w:rsidR="00613198" w:rsidRPr="00091F09">
        <w:rPr>
          <w:rFonts w:ascii="Georgia" w:hAnsi="Georgia" w:cs="Arial"/>
        </w:rPr>
        <w:t xml:space="preserve">el juzgado accionado </w:t>
      </w:r>
      <w:r w:rsidRPr="00091F09">
        <w:rPr>
          <w:rFonts w:ascii="Georgia" w:hAnsi="Georgia" w:cs="Arial"/>
        </w:rPr>
        <w:t xml:space="preserve">porque es la autoridad judicial que conoce </w:t>
      </w:r>
      <w:r w:rsidR="00613198" w:rsidRPr="00091F09">
        <w:rPr>
          <w:rFonts w:ascii="Georgia" w:hAnsi="Georgia" w:cs="Arial"/>
        </w:rPr>
        <w:t>de ese trámite</w:t>
      </w:r>
      <w:r w:rsidR="00813F39" w:rsidRPr="00091F09">
        <w:rPr>
          <w:rFonts w:ascii="Georgia" w:hAnsi="Georgia"/>
        </w:rPr>
        <w:t>.</w:t>
      </w:r>
    </w:p>
    <w:p w:rsidR="00215000" w:rsidRDefault="00215000" w:rsidP="00215000">
      <w:pPr>
        <w:spacing w:line="360" w:lineRule="auto"/>
        <w:jc w:val="both"/>
        <w:rPr>
          <w:rFonts w:ascii="Georgia" w:hAnsi="Georgia"/>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613198"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Pr>
          <w:rFonts w:ascii="Georgia" w:hAnsi="Georgia" w:cs="Arial"/>
          <w:szCs w:val="24"/>
        </w:rPr>
        <w:t xml:space="preserve"> </w:t>
      </w:r>
      <w:r w:rsidRPr="00AD7B0C">
        <w:rPr>
          <w:rFonts w:ascii="Georgia" w:hAnsi="Georgia" w:cs="Arial"/>
          <w:szCs w:val="24"/>
        </w:rPr>
        <w:t>del</w:t>
      </w:r>
      <w:r>
        <w:rPr>
          <w:rFonts w:ascii="Georgia" w:hAnsi="Georgia" w:cs="Arial"/>
          <w:szCs w:val="24"/>
        </w:rPr>
        <w:t xml:space="preserve"> </w:t>
      </w:r>
      <w:r w:rsidRPr="00AD7B0C">
        <w:rPr>
          <w:rFonts w:ascii="Georgia" w:hAnsi="Georgia" w:cs="Arial"/>
          <w:szCs w:val="24"/>
        </w:rPr>
        <w:t xml:space="preserve"> Decreto </w:t>
      </w:r>
      <w:r>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6"/>
      </w:r>
      <w:r w:rsidRPr="00AD7B0C">
        <w:rPr>
          <w:rFonts w:ascii="Georgia" w:hAnsi="Georgia" w:cs="Arial"/>
          <w:szCs w:val="24"/>
        </w:rPr>
        <w:t>, básicamente sustituyó la expresión “vías de hecho”</w:t>
      </w:r>
      <w:r>
        <w:rPr>
          <w:rFonts w:ascii="Georgia" w:hAnsi="Georgia" w:cs="Arial"/>
          <w:szCs w:val="24"/>
        </w:rPr>
        <w:t xml:space="preserve"> </w:t>
      </w:r>
      <w:r w:rsidRPr="00AD7B0C">
        <w:rPr>
          <w:rFonts w:ascii="Georgia" w:hAnsi="Georgia" w:cs="Arial"/>
          <w:szCs w:val="24"/>
        </w:rPr>
        <w:t>por la de “causales genéricas de procedibilidad” y ensanchó las causales especiales, pasando de cuatro (4) a ocho (8).  En el mismo sentido Quiroga Natale</w:t>
      </w:r>
      <w:r w:rsidRPr="00AD7B0C">
        <w:rPr>
          <w:rStyle w:val="Refdenotaalpie"/>
          <w:rFonts w:ascii="Georgia" w:hAnsi="Georgia"/>
          <w:szCs w:val="24"/>
        </w:rPr>
        <w:footnoteReference w:id="7"/>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8"/>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2005</w:t>
      </w:r>
      <w:r w:rsidRPr="00AD7B0C">
        <w:rPr>
          <w:rStyle w:val="Refdenotaalpie"/>
          <w:rFonts w:ascii="Georgia" w:hAnsi="Georgia" w:cs="Arial"/>
          <w:szCs w:val="24"/>
        </w:rPr>
        <w:footnoteReference w:id="9"/>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10"/>
      </w:r>
      <w:r w:rsidRPr="00AD7B0C">
        <w:rPr>
          <w:rFonts w:ascii="Georgia" w:hAnsi="Georgia" w:cs="Arial"/>
          <w:szCs w:val="24"/>
        </w:rPr>
        <w:t xml:space="preserve"> (</w:t>
      </w:r>
      <w:r w:rsidR="00215000">
        <w:rPr>
          <w:rFonts w:ascii="Georgia" w:hAnsi="Georgia" w:cs="Arial"/>
          <w:szCs w:val="24"/>
        </w:rPr>
        <w:t>2018</w:t>
      </w:r>
      <w:r w:rsidRPr="00AD7B0C">
        <w:rPr>
          <w:rFonts w:ascii="Georgia" w:hAnsi="Georgia" w:cs="Arial"/>
          <w:szCs w:val="24"/>
        </w:rPr>
        <w:t>)</w:t>
      </w:r>
      <w:r w:rsidRPr="00AD7B0C">
        <w:rPr>
          <w:rStyle w:val="Refdenotaalpie"/>
          <w:rFonts w:ascii="Georgia" w:hAnsi="Georgia"/>
          <w:szCs w:val="24"/>
        </w:rPr>
        <w:footnoteReference w:id="11"/>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12"/>
      </w:r>
      <w:r w:rsidRPr="00AD7B0C">
        <w:rPr>
          <w:rFonts w:ascii="Georgia" w:hAnsi="Georgia" w:cs="Arial"/>
          <w:szCs w:val="24"/>
        </w:rPr>
        <w:t>.</w:t>
      </w:r>
    </w:p>
    <w:p w:rsidR="00613198" w:rsidRPr="00776930" w:rsidRDefault="00613198" w:rsidP="00613198">
      <w:pPr>
        <w:pStyle w:val="Textoindependiente"/>
        <w:shd w:val="clear" w:color="auto" w:fill="FFFFFF" w:themeFill="background1"/>
        <w:spacing w:line="360" w:lineRule="auto"/>
        <w:rPr>
          <w:rFonts w:ascii="Georgia" w:hAnsi="Georgia" w:cs="Arial"/>
          <w:sz w:val="20"/>
          <w:szCs w:val="24"/>
        </w:rPr>
      </w:pPr>
    </w:p>
    <w:p w:rsidR="00613198" w:rsidRPr="00AD7B0C" w:rsidRDefault="00613198" w:rsidP="00613198">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13"/>
      </w:r>
      <w:r w:rsidRPr="00AD7B0C">
        <w:rPr>
          <w:rFonts w:ascii="Georgia" w:hAnsi="Georgia" w:cs="Arial"/>
          <w:szCs w:val="24"/>
        </w:rPr>
        <w:t xml:space="preserve"> y Quinche Ramírez</w:t>
      </w:r>
      <w:r w:rsidRPr="00AD7B0C">
        <w:rPr>
          <w:rStyle w:val="Refdenotaalpie"/>
          <w:rFonts w:ascii="Georgia" w:hAnsi="Georgia" w:cs="Arial"/>
          <w:szCs w:val="24"/>
        </w:rPr>
        <w:footnoteReference w:id="14"/>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BA7F81" w:rsidRDefault="00BA7F81" w:rsidP="00BA7F81">
      <w:pPr>
        <w:spacing w:line="360" w:lineRule="auto"/>
        <w:jc w:val="both"/>
        <w:rPr>
          <w:rFonts w:ascii="Georgia" w:hAnsi="Georgia" w:cs="Arial"/>
          <w:lang w:val="es-ES_tradnl"/>
        </w:rPr>
      </w:pPr>
    </w:p>
    <w:p w:rsidR="00BA7F81" w:rsidRPr="00091F09" w:rsidRDefault="00C56EDA" w:rsidP="00BA7F81">
      <w:pPr>
        <w:pStyle w:val="Prrafodelista"/>
        <w:numPr>
          <w:ilvl w:val="1"/>
          <w:numId w:val="18"/>
        </w:numPr>
        <w:spacing w:line="360" w:lineRule="auto"/>
        <w:jc w:val="both"/>
        <w:rPr>
          <w:rFonts w:ascii="Georgia" w:hAnsi="Georgia" w:cs="Arial"/>
          <w:lang w:val="es-ES_tradnl"/>
        </w:rPr>
      </w:pPr>
      <w:r>
        <w:rPr>
          <w:rFonts w:ascii="Georgia" w:hAnsi="Georgia" w:cs="Times New Roman"/>
          <w:smallCaps/>
          <w:spacing w:val="-3"/>
          <w:sz w:val="22"/>
          <w:lang w:val="es-ES_tradnl"/>
        </w:rPr>
        <w:t>La i</w:t>
      </w:r>
      <w:r w:rsidR="00BA7F81">
        <w:rPr>
          <w:rFonts w:ascii="Georgia" w:hAnsi="Georgia" w:cs="Times New Roman"/>
          <w:smallCaps/>
          <w:spacing w:val="-3"/>
          <w:sz w:val="22"/>
          <w:lang w:val="es-ES_tradnl"/>
        </w:rPr>
        <w:t xml:space="preserve">nexistencia fáctica </w:t>
      </w:r>
    </w:p>
    <w:p w:rsidR="00091F09" w:rsidRPr="00BA7F81" w:rsidRDefault="00091F09" w:rsidP="00091F09">
      <w:pPr>
        <w:pStyle w:val="Prrafodelista"/>
        <w:spacing w:line="360" w:lineRule="auto"/>
        <w:ind w:left="720"/>
        <w:jc w:val="both"/>
        <w:rPr>
          <w:rFonts w:ascii="Georgia" w:hAnsi="Georgia" w:cs="Arial"/>
          <w:lang w:val="es-ES_tradnl"/>
        </w:rPr>
      </w:pPr>
    </w:p>
    <w:p w:rsidR="00613198" w:rsidRDefault="00613198" w:rsidP="00C75CB7">
      <w:pPr>
        <w:pStyle w:val="Textoindependiente"/>
        <w:spacing w:line="360" w:lineRule="auto"/>
        <w:rPr>
          <w:rFonts w:ascii="Georgia" w:hAnsi="Georgia"/>
          <w:lang w:val="es-CO"/>
        </w:rPr>
      </w:pPr>
      <w:r>
        <w:rPr>
          <w:rFonts w:ascii="Georgia" w:hAnsi="Georgia" w:cs="Arial"/>
          <w:lang w:val="es-CO"/>
        </w:rPr>
        <w:t xml:space="preserve">Sin necesidad de verificar el cumplimiento de los presupuestos de procedencia del amparo constitucional, desde ya advierte esta Magistratura </w:t>
      </w:r>
      <w:r w:rsidR="00524659">
        <w:rPr>
          <w:rFonts w:ascii="Georgia" w:hAnsi="Georgia" w:cs="Arial"/>
          <w:lang w:val="es-CO"/>
        </w:rPr>
        <w:t>su fracaso</w:t>
      </w:r>
      <w:r w:rsidR="00091F09">
        <w:rPr>
          <w:rFonts w:ascii="Georgia" w:hAnsi="Georgia" w:cs="Arial"/>
          <w:lang w:val="es-CO"/>
        </w:rPr>
        <w:t xml:space="preserve"> en torno a la revisión del expediente de la acción popular No.2018-00074-00</w:t>
      </w:r>
      <w:r>
        <w:rPr>
          <w:rFonts w:ascii="Georgia" w:hAnsi="Georgia" w:cs="Arial"/>
          <w:lang w:val="es-CO"/>
        </w:rPr>
        <w:t>, atendida la e</w:t>
      </w:r>
      <w:r w:rsidR="00C75CB7">
        <w:rPr>
          <w:rFonts w:ascii="Georgia" w:hAnsi="Georgia" w:cs="Arial"/>
          <w:lang w:val="es-CO"/>
        </w:rPr>
        <w:t xml:space="preserve">vidente </w:t>
      </w:r>
      <w:r w:rsidR="00C75CB7" w:rsidRPr="001219A7">
        <w:rPr>
          <w:rFonts w:ascii="Georgia" w:hAnsi="Georgia" w:cs="Arial"/>
        </w:rPr>
        <w:t xml:space="preserve">ausencia </w:t>
      </w:r>
      <w:r w:rsidR="00C75CB7" w:rsidRPr="001219A7">
        <w:rPr>
          <w:rFonts w:ascii="Georgia" w:hAnsi="Georgia"/>
          <w:lang w:val="es-CO"/>
        </w:rPr>
        <w:t xml:space="preserve">de los hechos vulneradores o amenazantes de los derechos </w:t>
      </w:r>
      <w:r>
        <w:rPr>
          <w:rFonts w:ascii="Georgia" w:hAnsi="Georgia"/>
          <w:lang w:val="es-CO"/>
        </w:rPr>
        <w:t>invocados en el libelo</w:t>
      </w:r>
      <w:r w:rsidR="00C75CB7">
        <w:rPr>
          <w:rFonts w:ascii="Georgia" w:hAnsi="Georgia"/>
          <w:lang w:val="es-CO"/>
        </w:rPr>
        <w:t xml:space="preserve">. </w:t>
      </w:r>
    </w:p>
    <w:p w:rsidR="00215000" w:rsidRDefault="00215000" w:rsidP="00C75CB7">
      <w:pPr>
        <w:pStyle w:val="Textoindependiente"/>
        <w:spacing w:line="360" w:lineRule="auto"/>
        <w:rPr>
          <w:rFonts w:ascii="Georgia" w:hAnsi="Georgia"/>
          <w:lang w:val="es-CO"/>
        </w:rPr>
      </w:pPr>
    </w:p>
    <w:p w:rsidR="00091F09" w:rsidRDefault="00091F09" w:rsidP="00C75CB7">
      <w:pPr>
        <w:pStyle w:val="Textoindependiente"/>
        <w:spacing w:line="360" w:lineRule="auto"/>
        <w:rPr>
          <w:rFonts w:ascii="Georgia" w:hAnsi="Georgia" w:cs="Arial"/>
        </w:rPr>
      </w:pPr>
      <w:r>
        <w:rPr>
          <w:rFonts w:ascii="Georgia" w:hAnsi="Georgia" w:cs="Arial"/>
        </w:rPr>
        <w:t xml:space="preserve">De acuerdo con el informe rendido por la </w:t>
      </w:r>
      <w:r w:rsidR="001C7C8D">
        <w:rPr>
          <w:rFonts w:ascii="Georgia" w:hAnsi="Georgia" w:cs="Arial"/>
        </w:rPr>
        <w:t xml:space="preserve">funcionaria accionada, </w:t>
      </w:r>
      <w:r>
        <w:rPr>
          <w:rFonts w:ascii="Georgia" w:hAnsi="Georgia" w:cs="Arial"/>
        </w:rPr>
        <w:t xml:space="preserve">el actor es conocedor de que cuenta </w:t>
      </w:r>
      <w:r w:rsidR="001C7C8D">
        <w:rPr>
          <w:rFonts w:ascii="Georgia" w:hAnsi="Georgia" w:cs="Arial"/>
        </w:rPr>
        <w:t xml:space="preserve">el Juzgado </w:t>
      </w:r>
      <w:r>
        <w:rPr>
          <w:rFonts w:ascii="Georgia" w:hAnsi="Georgia" w:cs="Arial"/>
        </w:rPr>
        <w:t xml:space="preserve">con una dependencia ubicada en el primer piso del Palacio de Justicia </w:t>
      </w:r>
      <w:r>
        <w:rPr>
          <w:rFonts w:ascii="Georgia" w:hAnsi="Georgia" w:cs="Arial"/>
        </w:rPr>
        <w:lastRenderedPageBreak/>
        <w:t>local</w:t>
      </w:r>
      <w:r w:rsidR="001C7C8D">
        <w:rPr>
          <w:rFonts w:ascii="Georgia" w:hAnsi="Georgia" w:cs="Arial"/>
        </w:rPr>
        <w:t>,</w:t>
      </w:r>
      <w:r>
        <w:rPr>
          <w:rFonts w:ascii="Georgia" w:hAnsi="Georgia" w:cs="Arial"/>
        </w:rPr>
        <w:t xml:space="preserve"> donde se proyectan</w:t>
      </w:r>
      <w:r w:rsidR="001C7C8D">
        <w:rPr>
          <w:rFonts w:ascii="Georgia" w:hAnsi="Georgia" w:cs="Arial"/>
        </w:rPr>
        <w:t>,</w:t>
      </w:r>
      <w:r>
        <w:rPr>
          <w:rFonts w:ascii="Georgia" w:hAnsi="Georgia" w:cs="Arial"/>
        </w:rPr>
        <w:t xml:space="preserve"> en general</w:t>
      </w:r>
      <w:r w:rsidR="001C7C8D">
        <w:rPr>
          <w:rFonts w:ascii="Georgia" w:hAnsi="Georgia" w:cs="Arial"/>
        </w:rPr>
        <w:t>,</w:t>
      </w:r>
      <w:r>
        <w:rPr>
          <w:rFonts w:ascii="Georgia" w:hAnsi="Georgia" w:cs="Arial"/>
        </w:rPr>
        <w:t xml:space="preserve"> las decisiones de las acciones populares que tiene asignadas, donde puede consultarlas, tal como lo ha hecho en anteriores ocasiones (Folios 13 y 14,</w:t>
      </w:r>
      <w:r w:rsidR="000D475D">
        <w:rPr>
          <w:rFonts w:ascii="Georgia" w:hAnsi="Georgia" w:cs="Arial"/>
        </w:rPr>
        <w:t xml:space="preserve"> </w:t>
      </w:r>
      <w:r>
        <w:rPr>
          <w:rFonts w:ascii="Georgia" w:hAnsi="Georgia" w:cs="Arial"/>
        </w:rPr>
        <w:t>este cuaderno).</w:t>
      </w:r>
    </w:p>
    <w:p w:rsidR="00091F09" w:rsidRDefault="00091F09" w:rsidP="00C75CB7">
      <w:pPr>
        <w:pStyle w:val="Textoindependiente"/>
        <w:spacing w:line="360" w:lineRule="auto"/>
        <w:rPr>
          <w:rFonts w:ascii="Georgia" w:hAnsi="Georgia" w:cs="Arial"/>
        </w:rPr>
      </w:pPr>
    </w:p>
    <w:p w:rsidR="000D475D" w:rsidRDefault="00091F09" w:rsidP="00C75CB7">
      <w:pPr>
        <w:pStyle w:val="Textoindependiente"/>
        <w:spacing w:line="360" w:lineRule="auto"/>
        <w:rPr>
          <w:rFonts w:ascii="Georgia" w:hAnsi="Georgia" w:cs="Arial"/>
          <w:lang w:val="es-CO"/>
        </w:rPr>
      </w:pPr>
      <w:r>
        <w:rPr>
          <w:rFonts w:ascii="Georgia" w:hAnsi="Georgia" w:cs="Arial"/>
        </w:rPr>
        <w:t xml:space="preserve">Así las cosas, refulge obvio que es falsa la narración fáctica, </w:t>
      </w:r>
      <w:r w:rsidR="00524659">
        <w:rPr>
          <w:rFonts w:ascii="Georgia" w:hAnsi="Georgia" w:cs="Arial"/>
        </w:rPr>
        <w:t xml:space="preserve">pues se endilga </w:t>
      </w:r>
      <w:r w:rsidR="00C75CB7">
        <w:rPr>
          <w:rFonts w:ascii="Georgia" w:hAnsi="Georgia" w:cs="Arial"/>
          <w:lang w:val="es-CO"/>
        </w:rPr>
        <w:t xml:space="preserve">la </w:t>
      </w:r>
      <w:r w:rsidR="00C75CB7" w:rsidRPr="00A62F8F">
        <w:rPr>
          <w:rFonts w:ascii="Georgia" w:hAnsi="Georgia" w:cs="Arial"/>
          <w:lang w:val="es-CO"/>
        </w:rPr>
        <w:t xml:space="preserve">afectación </w:t>
      </w:r>
      <w:r w:rsidR="00C75CB7">
        <w:rPr>
          <w:rFonts w:ascii="Georgia" w:hAnsi="Georgia" w:cs="Arial"/>
          <w:lang w:val="es-CO"/>
        </w:rPr>
        <w:t xml:space="preserve">de derechos </w:t>
      </w:r>
      <w:r w:rsidR="00C75CB7" w:rsidRPr="00A62F8F">
        <w:rPr>
          <w:rFonts w:ascii="Georgia" w:hAnsi="Georgia" w:cs="Arial"/>
          <w:lang w:val="es-CO"/>
        </w:rPr>
        <w:t xml:space="preserve">con ocasión de </w:t>
      </w:r>
      <w:r w:rsidR="00C75CB7">
        <w:rPr>
          <w:rFonts w:ascii="Georgia" w:hAnsi="Georgia" w:cs="Arial"/>
          <w:lang w:val="es-CO"/>
        </w:rPr>
        <w:t xml:space="preserve">una </w:t>
      </w:r>
      <w:r>
        <w:rPr>
          <w:rFonts w:ascii="Georgia" w:hAnsi="Georgia" w:cs="Arial"/>
          <w:lang w:val="es-CO"/>
        </w:rPr>
        <w:t xml:space="preserve">negativa </w:t>
      </w:r>
      <w:r w:rsidR="00C75CB7">
        <w:rPr>
          <w:rFonts w:ascii="Georgia" w:hAnsi="Georgia" w:cs="Arial"/>
          <w:lang w:val="es-CO"/>
        </w:rPr>
        <w:t>inexistente</w:t>
      </w:r>
      <w:r w:rsidR="000D475D">
        <w:rPr>
          <w:rFonts w:ascii="Georgia" w:hAnsi="Georgia" w:cs="Arial"/>
          <w:lang w:val="es-CO"/>
        </w:rPr>
        <w:t>. Está claro que el actor formuló el amparo a sabiendas de que sí podía consultar el expediente</w:t>
      </w:r>
      <w:r w:rsidR="00524659">
        <w:rPr>
          <w:rFonts w:ascii="Georgia" w:hAnsi="Georgia" w:cs="Arial"/>
          <w:lang w:val="es-CO"/>
        </w:rPr>
        <w:t xml:space="preserve">, de tal suerte que se </w:t>
      </w:r>
      <w:r w:rsidR="000D475D">
        <w:rPr>
          <w:rFonts w:ascii="Georgia" w:hAnsi="Georgia" w:cs="Arial"/>
          <w:lang w:val="es-CO"/>
        </w:rPr>
        <w:t>de</w:t>
      </w:r>
      <w:r w:rsidR="00524659">
        <w:rPr>
          <w:rFonts w:ascii="Georgia" w:hAnsi="Georgia" w:cs="Arial"/>
          <w:lang w:val="es-CO"/>
        </w:rPr>
        <w:t>negará esta acción de tutela</w:t>
      </w:r>
      <w:r w:rsidR="00A157C9">
        <w:rPr>
          <w:rFonts w:ascii="Georgia" w:hAnsi="Georgia" w:cs="Arial"/>
          <w:lang w:val="es-CO"/>
        </w:rPr>
        <w:t xml:space="preserve">, en cuanto a </w:t>
      </w:r>
      <w:r>
        <w:rPr>
          <w:rFonts w:ascii="Georgia" w:hAnsi="Georgia" w:cs="Arial"/>
          <w:lang w:val="es-CO"/>
        </w:rPr>
        <w:t>dicha pretensión tutelar.</w:t>
      </w:r>
      <w:r w:rsidR="000D475D">
        <w:rPr>
          <w:rFonts w:ascii="Georgia" w:hAnsi="Georgia" w:cs="Arial"/>
          <w:lang w:val="es-CO"/>
        </w:rPr>
        <w:t xml:space="preserve"> </w:t>
      </w:r>
    </w:p>
    <w:p w:rsidR="00524659" w:rsidRDefault="00524659" w:rsidP="00C75CB7">
      <w:pPr>
        <w:pStyle w:val="Textoindependiente"/>
        <w:spacing w:line="360" w:lineRule="auto"/>
        <w:rPr>
          <w:rFonts w:ascii="Georgia" w:hAnsi="Georgia" w:cs="Arial"/>
          <w:lang w:val="es-CO"/>
        </w:rPr>
      </w:pPr>
    </w:p>
    <w:p w:rsidR="00524659" w:rsidRPr="00524659" w:rsidRDefault="00524659" w:rsidP="00524659">
      <w:pPr>
        <w:pStyle w:val="Textoindependiente"/>
        <w:numPr>
          <w:ilvl w:val="1"/>
          <w:numId w:val="18"/>
        </w:numPr>
        <w:spacing w:line="360" w:lineRule="auto"/>
        <w:rPr>
          <w:rFonts w:ascii="Georgia" w:hAnsi="Georgia" w:cs="Arial"/>
          <w:smallCaps/>
          <w:lang w:val="es-CO"/>
        </w:rPr>
      </w:pPr>
      <w:r w:rsidRPr="00524659">
        <w:rPr>
          <w:rFonts w:ascii="Georgia" w:hAnsi="Georgia" w:cs="Arial"/>
          <w:smallCaps/>
          <w:lang w:val="es-CO"/>
        </w:rPr>
        <w:t>La subsidiariedad</w:t>
      </w:r>
    </w:p>
    <w:p w:rsidR="00BA7F81" w:rsidRPr="00BA7F81" w:rsidRDefault="00BA7F81" w:rsidP="00BA7F81">
      <w:pPr>
        <w:pStyle w:val="Prrafodelista"/>
        <w:spacing w:line="360" w:lineRule="auto"/>
        <w:ind w:left="400"/>
        <w:jc w:val="both"/>
        <w:rPr>
          <w:rFonts w:ascii="Georgia" w:hAnsi="Georgia" w:cs="Arial"/>
          <w:lang w:val="es-ES_tradnl"/>
        </w:rPr>
      </w:pPr>
    </w:p>
    <w:p w:rsidR="00BA7F81" w:rsidRPr="00BA7F81" w:rsidRDefault="00451619" w:rsidP="00BA7F81">
      <w:pPr>
        <w:spacing w:line="360" w:lineRule="auto"/>
        <w:jc w:val="both"/>
        <w:rPr>
          <w:rFonts w:ascii="Georgia" w:hAnsi="Georgia" w:cs="Arial"/>
          <w:lang w:val="es-ES_tradnl"/>
        </w:rPr>
      </w:pPr>
      <w:r>
        <w:rPr>
          <w:rFonts w:ascii="Georgia" w:hAnsi="Georgia" w:cs="Arial"/>
          <w:lang w:val="es-ES_tradnl"/>
        </w:rPr>
        <w:t xml:space="preserve">De otro la dado, en lo que toca con la irregularidad procesal relacionada </w:t>
      </w:r>
      <w:r w:rsidR="003B7CC4">
        <w:rPr>
          <w:rFonts w:ascii="Georgia" w:hAnsi="Georgia" w:cs="Arial"/>
          <w:lang w:val="es-ES_tradnl"/>
        </w:rPr>
        <w:t>con la aplicación del artículo 5º, Ley 472</w:t>
      </w:r>
      <w:r>
        <w:rPr>
          <w:rFonts w:ascii="Georgia" w:hAnsi="Georgia" w:cs="Arial"/>
          <w:lang w:val="es-ES_tradnl"/>
        </w:rPr>
        <w:t xml:space="preserve">, es palmario que </w:t>
      </w:r>
      <w:r w:rsidR="003B7CC4">
        <w:rPr>
          <w:rFonts w:ascii="Georgia" w:hAnsi="Georgia" w:cs="Arial"/>
          <w:lang w:val="es-ES_tradnl"/>
        </w:rPr>
        <w:t xml:space="preserve">este aspecto particular </w:t>
      </w:r>
      <w:r w:rsidR="003B7CC4">
        <w:rPr>
          <w:rFonts w:ascii="Georgia" w:hAnsi="Georgia" w:cs="Arial"/>
          <w:lang w:val="es-CO"/>
        </w:rPr>
        <w:t xml:space="preserve">el </w:t>
      </w:r>
      <w:r>
        <w:rPr>
          <w:rFonts w:ascii="Georgia" w:hAnsi="Georgia" w:cs="Arial"/>
          <w:lang w:val="es-ES_tradnl"/>
        </w:rPr>
        <w:t xml:space="preserve">amparo es improcedente por el incumplimiento de </w:t>
      </w:r>
      <w:r w:rsidRPr="00B33A0F">
        <w:rPr>
          <w:rFonts w:ascii="Georgia" w:hAnsi="Georgia" w:cs="Arial"/>
          <w:lang w:val="es-ES_tradnl"/>
        </w:rPr>
        <w:t>uno de los siete (7) requisitos generales de procedibilidad, como lo es el de la subsidiariedad</w:t>
      </w:r>
      <w:r w:rsidR="00BA7F81" w:rsidRPr="00BA7F81">
        <w:rPr>
          <w:rFonts w:ascii="Georgia" w:hAnsi="Georgia" w:cs="Arial"/>
          <w:lang w:val="es-ES_tradnl"/>
        </w:rPr>
        <w:t xml:space="preserve">, </w:t>
      </w:r>
      <w:r>
        <w:rPr>
          <w:rFonts w:ascii="Georgia" w:hAnsi="Georgia" w:cs="Arial"/>
          <w:lang w:val="es-ES_tradnl"/>
        </w:rPr>
        <w:t xml:space="preserve">en la medida </w:t>
      </w:r>
      <w:r w:rsidR="00BA7F81" w:rsidRPr="00BA7F81">
        <w:rPr>
          <w:rFonts w:ascii="Georgia" w:hAnsi="Georgia" w:cs="Arial"/>
          <w:lang w:val="es-ES_tradnl"/>
        </w:rPr>
        <w:t xml:space="preserve">que </w:t>
      </w:r>
      <w:r w:rsidR="00BA7F81" w:rsidRPr="00BA7F81">
        <w:rPr>
          <w:rFonts w:ascii="Georgia" w:hAnsi="Georgia" w:cs="Arial"/>
        </w:rPr>
        <w:t xml:space="preserve">no puede implementarse como </w:t>
      </w:r>
      <w:r w:rsidR="00BA7F81" w:rsidRPr="00BA7F81">
        <w:rPr>
          <w:rFonts w:ascii="Georgia" w:hAnsi="Georgia" w:cs="Arial"/>
          <w:shd w:val="clear" w:color="auto" w:fill="FFFFFF"/>
        </w:rPr>
        <w:t>mecanismo alternativo o paralelo para resolver problemas jurídicos que deben ser resueltos en el trámite ordinario</w:t>
      </w:r>
      <w:r w:rsidR="00BA7F81" w:rsidRPr="007C23E2">
        <w:rPr>
          <w:rStyle w:val="Refdenotaalpie"/>
          <w:rFonts w:ascii="Georgia" w:hAnsi="Georgia" w:cs="Arial"/>
        </w:rPr>
        <w:footnoteReference w:id="15"/>
      </w:r>
      <w:r w:rsidR="00BA7F81" w:rsidRPr="00BA7F81">
        <w:rPr>
          <w:rFonts w:ascii="Georgia" w:hAnsi="Georgia" w:cs="Arial"/>
          <w:lang w:val="es-ES_tradnl"/>
        </w:rPr>
        <w:t>.</w:t>
      </w:r>
    </w:p>
    <w:p w:rsidR="00124549" w:rsidRDefault="00124549" w:rsidP="00124549">
      <w:pPr>
        <w:spacing w:line="360" w:lineRule="auto"/>
        <w:jc w:val="both"/>
        <w:rPr>
          <w:rFonts w:ascii="Georgia" w:hAnsi="Georgia" w:cs="Arial"/>
          <w:lang w:val="es-ES_tradnl"/>
        </w:rPr>
      </w:pPr>
    </w:p>
    <w:p w:rsidR="007A03EE" w:rsidRPr="00F61CAB" w:rsidRDefault="007A03EE" w:rsidP="007A03EE">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CC</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(Sublínea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8"/>
      </w:r>
      <w:r w:rsidRPr="00F61CAB">
        <w:rPr>
          <w:rFonts w:ascii="Georgia" w:hAnsi="Georgia" w:cs="Arial"/>
        </w:rPr>
        <w:t>.</w:t>
      </w:r>
    </w:p>
    <w:p w:rsidR="007A03EE" w:rsidRDefault="007A03EE" w:rsidP="00124549">
      <w:pPr>
        <w:spacing w:line="360" w:lineRule="auto"/>
        <w:jc w:val="both"/>
        <w:rPr>
          <w:rFonts w:ascii="Georgia" w:hAnsi="Georgia" w:cs="Arial"/>
          <w:lang w:val="es-ES_tradnl"/>
        </w:rPr>
      </w:pPr>
    </w:p>
    <w:p w:rsidR="003B7CC4" w:rsidRDefault="007A03EE" w:rsidP="00A33A2C">
      <w:pPr>
        <w:spacing w:line="360" w:lineRule="auto"/>
        <w:jc w:val="both"/>
        <w:rPr>
          <w:rFonts w:ascii="Georgia" w:hAnsi="Georgia" w:cs="Arial"/>
        </w:rPr>
      </w:pPr>
      <w:r>
        <w:rPr>
          <w:rFonts w:ascii="Georgia" w:hAnsi="Georgia" w:cs="Arial"/>
        </w:rPr>
        <w:t>R</w:t>
      </w:r>
      <w:r w:rsidR="003B7CC4">
        <w:rPr>
          <w:rFonts w:ascii="Georgia" w:hAnsi="Georgia" w:cs="Arial"/>
        </w:rPr>
        <w:t xml:space="preserve">evisado </w:t>
      </w:r>
      <w:r w:rsidR="00451619">
        <w:rPr>
          <w:rFonts w:ascii="Georgia" w:hAnsi="Georgia" w:cs="Arial"/>
        </w:rPr>
        <w:t xml:space="preserve">el acervo probatorio </w:t>
      </w:r>
      <w:r w:rsidR="003B7CC4">
        <w:rPr>
          <w:rFonts w:ascii="Georgia" w:hAnsi="Georgia" w:cs="Arial"/>
        </w:rPr>
        <w:t>se tiene que el 13-08-2018, mismo día en que radicó este amparo, el accionante solicitó al Despacho Judicial aplicar la mentada norma, entre otros pedimentos</w:t>
      </w:r>
      <w:r w:rsidR="004472D1">
        <w:rPr>
          <w:rFonts w:ascii="Georgia" w:hAnsi="Georgia" w:cs="Arial"/>
        </w:rPr>
        <w:t>,</w:t>
      </w:r>
      <w:r>
        <w:rPr>
          <w:rFonts w:ascii="Georgia" w:hAnsi="Georgia" w:cs="Arial"/>
        </w:rPr>
        <w:t xml:space="preserve"> y todavía está </w:t>
      </w:r>
      <w:r w:rsidR="003B7CC4">
        <w:rPr>
          <w:rFonts w:ascii="Georgia" w:hAnsi="Georgia" w:cs="Arial"/>
        </w:rPr>
        <w:t xml:space="preserve">pendiente de resolverse (Folio 63, expediente digital del disco compacto visible a folio 17, este cuaderno); providencia que, por demás, podrá recurrir </w:t>
      </w:r>
      <w:r w:rsidR="001C7C8D">
        <w:rPr>
          <w:rFonts w:ascii="Georgia" w:hAnsi="Georgia" w:cs="Arial"/>
        </w:rPr>
        <w:t xml:space="preserve">en el momento oportuno </w:t>
      </w:r>
      <w:r w:rsidR="003B7CC4">
        <w:rPr>
          <w:rFonts w:ascii="Georgia" w:hAnsi="Georgia" w:cs="Arial"/>
        </w:rPr>
        <w:t xml:space="preserve">(Artículo 36, Ley 472). </w:t>
      </w:r>
    </w:p>
    <w:p w:rsidR="004472D1" w:rsidRPr="00F61CAB" w:rsidRDefault="004472D1" w:rsidP="004472D1">
      <w:pPr>
        <w:spacing w:line="360" w:lineRule="auto"/>
        <w:jc w:val="both"/>
        <w:rPr>
          <w:rFonts w:ascii="Georgia" w:hAnsi="Georgia" w:cs="Arial"/>
        </w:rPr>
      </w:pPr>
      <w:r>
        <w:rPr>
          <w:rFonts w:ascii="Georgia" w:hAnsi="Georgia" w:cs="Arial"/>
        </w:rPr>
        <w:t xml:space="preserve">Sin lugar a dudas, </w:t>
      </w:r>
      <w:r>
        <w:rPr>
          <w:rFonts w:ascii="Georgia" w:hAnsi="Georgia"/>
          <w:lang w:val="es-CO"/>
        </w:rPr>
        <w:t>fue prematura</w:t>
      </w:r>
      <w:r w:rsidRPr="004C28E3">
        <w:rPr>
          <w:rFonts w:ascii="Georgia" w:hAnsi="Georgia"/>
          <w:lang w:val="es-CO"/>
        </w:rPr>
        <w:t xml:space="preserve"> </w:t>
      </w:r>
      <w:r w:rsidR="00612D3B" w:rsidRPr="004C28E3">
        <w:rPr>
          <w:rFonts w:ascii="Georgia" w:hAnsi="Georgia"/>
          <w:lang w:val="es-CO"/>
        </w:rPr>
        <w:t xml:space="preserve">la promoción </w:t>
      </w:r>
      <w:r w:rsidR="00612D3B">
        <w:rPr>
          <w:rFonts w:ascii="Georgia" w:hAnsi="Georgia"/>
          <w:lang w:val="es-CO"/>
        </w:rPr>
        <w:t xml:space="preserve">de </w:t>
      </w:r>
      <w:r>
        <w:rPr>
          <w:rFonts w:ascii="Georgia" w:hAnsi="Georgia"/>
          <w:lang w:val="es-CO"/>
        </w:rPr>
        <w:t xml:space="preserve">esta </w:t>
      </w:r>
      <w:r w:rsidR="00612D3B">
        <w:rPr>
          <w:rFonts w:ascii="Georgia" w:hAnsi="Georgia"/>
          <w:lang w:val="es-CO"/>
        </w:rPr>
        <w:t>tutela</w:t>
      </w:r>
      <w:r>
        <w:rPr>
          <w:rFonts w:ascii="Georgia" w:hAnsi="Georgia" w:cs="Arial"/>
          <w:lang w:val="es-ES_tradnl"/>
        </w:rPr>
        <w:t xml:space="preserve">. </w:t>
      </w:r>
      <w:r w:rsidR="001C7C8D">
        <w:rPr>
          <w:rFonts w:ascii="Georgia" w:hAnsi="Georgia" w:cs="Arial"/>
          <w:lang w:val="es-ES_tradnl"/>
        </w:rPr>
        <w:t xml:space="preserve">El interesado se </w:t>
      </w:r>
      <w:r>
        <w:rPr>
          <w:rFonts w:ascii="Georgia" w:hAnsi="Georgia" w:cs="Arial"/>
          <w:lang w:val="es-ES_tradnl"/>
        </w:rPr>
        <w:t xml:space="preserve">anticipó a la resolución del problema jurídico planteado ante la </w:t>
      </w:r>
      <w:r w:rsidRPr="004472D1">
        <w:rPr>
          <w:rFonts w:ascii="Georgia" w:hAnsi="Georgia" w:cs="Arial"/>
          <w:i/>
          <w:lang w:val="es-ES_tradnl"/>
        </w:rPr>
        <w:t>a quo</w:t>
      </w:r>
      <w:r>
        <w:rPr>
          <w:rFonts w:ascii="Georgia" w:hAnsi="Georgia" w:cs="Arial"/>
          <w:lang w:val="es-ES_tradnl"/>
        </w:rPr>
        <w:t xml:space="preserve"> y ahora pretende que sea desatado en sede de tutela, sin esperar sus resultas en el trámite ordinario. Como se </w:t>
      </w:r>
      <w:r w:rsidR="001C7C8D">
        <w:rPr>
          <w:rFonts w:ascii="Georgia" w:hAnsi="Georgia" w:cs="Arial"/>
          <w:lang w:val="es-ES_tradnl"/>
        </w:rPr>
        <w:t xml:space="preserve">acotó, este </w:t>
      </w:r>
      <w:r>
        <w:rPr>
          <w:rFonts w:ascii="Georgia" w:hAnsi="Georgia" w:cs="Arial"/>
          <w:lang w:val="es-ES_tradnl"/>
        </w:rPr>
        <w:t>amparo es improcedente por carecer de subsidiariedad</w:t>
      </w:r>
      <w:r w:rsidR="001C7C8D">
        <w:rPr>
          <w:rFonts w:ascii="Georgia" w:hAnsi="Georgia" w:cs="Arial"/>
          <w:lang w:val="es-ES_tradnl"/>
        </w:rPr>
        <w:t>,</w:t>
      </w:r>
      <w:r>
        <w:rPr>
          <w:rFonts w:ascii="Georgia" w:hAnsi="Georgia" w:cs="Arial"/>
          <w:lang w:val="es-ES_tradnl"/>
        </w:rPr>
        <w:t xml:space="preserve"> y así se declarará. </w:t>
      </w:r>
      <w:r>
        <w:rPr>
          <w:rFonts w:ascii="Georgia" w:hAnsi="Georgia" w:cs="Arial"/>
        </w:rPr>
        <w:t xml:space="preserve">Criterio </w:t>
      </w:r>
      <w:r>
        <w:rPr>
          <w:rFonts w:ascii="Georgia" w:hAnsi="Georgia" w:cs="Arial"/>
        </w:rPr>
        <w:lastRenderedPageBreak/>
        <w:t xml:space="preserve">expuesto </w:t>
      </w:r>
      <w:r w:rsidR="007A03EE">
        <w:rPr>
          <w:rFonts w:ascii="Georgia" w:hAnsi="Georgia" w:cs="Arial"/>
        </w:rPr>
        <w:t xml:space="preserve">por </w:t>
      </w:r>
      <w:r w:rsidRPr="00F61CAB">
        <w:rPr>
          <w:rFonts w:ascii="Georgia" w:hAnsi="Georgia" w:cs="Arial"/>
        </w:rPr>
        <w:t>la CC</w:t>
      </w:r>
      <w:r w:rsidRPr="001040B7">
        <w:rPr>
          <w:rStyle w:val="Refdenotaalpie"/>
          <w:rFonts w:ascii="Georgia" w:hAnsi="Georgia"/>
        </w:rPr>
        <w:footnoteReference w:id="19"/>
      </w:r>
      <w:r w:rsidR="007A03EE">
        <w:rPr>
          <w:rFonts w:ascii="Georgia" w:hAnsi="Georgia" w:cs="Arial"/>
        </w:rPr>
        <w:t xml:space="preserve"> y </w:t>
      </w:r>
      <w:r w:rsidRPr="00F61CAB">
        <w:rPr>
          <w:rFonts w:ascii="Georgia" w:hAnsi="Georgia" w:cs="Arial"/>
        </w:rPr>
        <w:t>la CSJ</w:t>
      </w:r>
      <w:r w:rsidRPr="00F61CAB">
        <w:rPr>
          <w:rFonts w:ascii="Georgia" w:hAnsi="Georgia" w:cs="Arial"/>
          <w:vertAlign w:val="superscript"/>
        </w:rPr>
        <w:footnoteReference w:id="20"/>
      </w:r>
      <w:r w:rsidRPr="00F61CAB">
        <w:rPr>
          <w:rFonts w:ascii="Georgia" w:hAnsi="Georgia" w:cs="Arial"/>
        </w:rPr>
        <w:t>.</w:t>
      </w:r>
    </w:p>
    <w:p w:rsidR="004472D1" w:rsidRDefault="004472D1" w:rsidP="004472D1">
      <w:pPr>
        <w:spacing w:line="360" w:lineRule="auto"/>
        <w:jc w:val="both"/>
        <w:rPr>
          <w:rFonts w:ascii="Georgia" w:hAnsi="Georgia" w:cs="Arial"/>
          <w:lang w:val="es-ES_tradnl"/>
        </w:rPr>
      </w:pPr>
    </w:p>
    <w:p w:rsidR="004472D1" w:rsidRPr="00283521" w:rsidRDefault="004472D1" w:rsidP="004472D1">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w:t>
      </w:r>
      <w:r>
        <w:rPr>
          <w:rFonts w:ascii="Georgia" w:hAnsi="Georgia"/>
        </w:rPr>
        <w:t xml:space="preserve">alegato o prueba de </w:t>
      </w:r>
      <w:r w:rsidRPr="00283521">
        <w:rPr>
          <w:rFonts w:ascii="Georgia" w:hAnsi="Georgia"/>
        </w:rPr>
        <w:t xml:space="preserve">circunstancia </w:t>
      </w:r>
      <w:r>
        <w:rPr>
          <w:rFonts w:ascii="Georgia" w:hAnsi="Georgia"/>
        </w:rPr>
        <w:t xml:space="preserve">especial </w:t>
      </w:r>
      <w:r w:rsidRPr="00283521">
        <w:rPr>
          <w:rFonts w:ascii="Georgia" w:hAnsi="Georgia"/>
        </w:rPr>
        <w:t xml:space="preserve">alguna que la flexibilice. </w:t>
      </w:r>
      <w:r w:rsidR="001C7C8D">
        <w:rPr>
          <w:rFonts w:ascii="Georgia" w:hAnsi="Georgia" w:cs="Arial"/>
          <w:bCs/>
          <w:szCs w:val="22"/>
          <w:lang w:val="es-CO"/>
        </w:rPr>
        <w:t>N</w:t>
      </w:r>
      <w:r>
        <w:rPr>
          <w:rFonts w:ascii="Georgia" w:hAnsi="Georgia" w:cs="Arial"/>
          <w:bCs/>
          <w:szCs w:val="22"/>
          <w:lang w:val="es-CO"/>
        </w:rPr>
        <w:t>o</w:t>
      </w:r>
      <w:r w:rsidR="001C7C8D">
        <w:rPr>
          <w:rFonts w:ascii="Georgia" w:hAnsi="Georgia" w:cs="Arial"/>
          <w:bCs/>
          <w:szCs w:val="22"/>
          <w:lang w:val="es-CO"/>
        </w:rPr>
        <w:t xml:space="preserve"> se trata de </w:t>
      </w:r>
      <w:r w:rsidRPr="00283521">
        <w:rPr>
          <w:rFonts w:ascii="Georgia" w:hAnsi="Georgia" w:cs="Arial"/>
          <w:bCs/>
          <w:szCs w:val="22"/>
          <w:lang w:val="es-CO"/>
        </w:rPr>
        <w:t>una persona que requiera protección reforzada</w:t>
      </w:r>
      <w:r w:rsidRPr="00283521">
        <w:rPr>
          <w:rStyle w:val="Refdenotaalpie"/>
          <w:rFonts w:ascii="Georgia" w:hAnsi="Georgia"/>
          <w:bCs/>
          <w:szCs w:val="22"/>
          <w:lang w:val="es-CO"/>
        </w:rPr>
        <w:footnoteReference w:id="21"/>
      </w:r>
      <w:r w:rsidR="001C7C8D">
        <w:rPr>
          <w:rFonts w:ascii="Georgia" w:hAnsi="Georgia" w:cs="Arial"/>
          <w:bCs/>
          <w:szCs w:val="22"/>
          <w:lang w:val="es-CO"/>
        </w:rPr>
        <w:t xml:space="preserve"> </w:t>
      </w:r>
      <w:r>
        <w:rPr>
          <w:rFonts w:ascii="Georgia" w:hAnsi="Georgia" w:cs="Arial"/>
          <w:bCs/>
          <w:szCs w:val="22"/>
          <w:lang w:val="es-CO"/>
        </w:rPr>
        <w:t xml:space="preserve">y tampoco es </w:t>
      </w:r>
      <w:r w:rsidRPr="00283521">
        <w:rPr>
          <w:rFonts w:ascii="Georgia" w:hAnsi="Georgia" w:cs="Arial"/>
          <w:bCs/>
          <w:szCs w:val="22"/>
          <w:lang w:val="es-CO"/>
        </w:rPr>
        <w:t>inminente la causación de un perjuicio irremediable</w:t>
      </w:r>
      <w:r w:rsidRPr="00283521">
        <w:rPr>
          <w:rStyle w:val="Refdenotaalpie"/>
          <w:rFonts w:ascii="Georgia" w:hAnsi="Georgia"/>
          <w:bCs/>
          <w:szCs w:val="22"/>
          <w:lang w:val="es-CO"/>
        </w:rPr>
        <w:footnoteReference w:id="22"/>
      </w:r>
      <w:r w:rsidRPr="00283521">
        <w:rPr>
          <w:rFonts w:ascii="Georgia" w:hAnsi="Georgia"/>
        </w:rPr>
        <w:t xml:space="preserve">. </w:t>
      </w:r>
    </w:p>
    <w:p w:rsidR="004472D1" w:rsidRDefault="004472D1" w:rsidP="00612D3B">
      <w:pPr>
        <w:spacing w:line="360" w:lineRule="auto"/>
        <w:jc w:val="both"/>
        <w:rPr>
          <w:rFonts w:ascii="Georgia" w:hAnsi="Georgia"/>
          <w:lang w:val="es-CO"/>
        </w:rPr>
      </w:pPr>
    </w:p>
    <w:p w:rsidR="00612D3B" w:rsidRDefault="00612D3B" w:rsidP="00612D3B">
      <w:pPr>
        <w:pStyle w:val="Textoindependiente"/>
        <w:spacing w:line="360" w:lineRule="auto"/>
        <w:rPr>
          <w:rFonts w:ascii="Georgia" w:hAnsi="Georgia" w:cs="Arial"/>
          <w:sz w:val="28"/>
          <w:szCs w:val="28"/>
        </w:rPr>
      </w:pPr>
      <w:r w:rsidRPr="005F3769">
        <w:rPr>
          <w:rFonts w:ascii="Georgia" w:hAnsi="Georgia" w:cs="Arial"/>
          <w:szCs w:val="24"/>
        </w:rPr>
        <w:t>Por último, se accede</w:t>
      </w:r>
      <w:r w:rsidR="00AD2A76">
        <w:rPr>
          <w:rFonts w:ascii="Georgia" w:hAnsi="Georgia" w:cs="Arial"/>
          <w:szCs w:val="24"/>
        </w:rPr>
        <w:t>rá</w:t>
      </w:r>
      <w:r w:rsidRPr="005F3769">
        <w:rPr>
          <w:rFonts w:ascii="Georgia" w:hAnsi="Georgia" w:cs="Arial"/>
          <w:szCs w:val="24"/>
        </w:rPr>
        <w:t xml:space="preserve"> al pedimento de copias </w:t>
      </w:r>
      <w:r>
        <w:rPr>
          <w:rFonts w:ascii="Georgia" w:hAnsi="Georgia" w:cs="Arial"/>
        </w:rPr>
        <w:t>(Folio 1, ib.)</w:t>
      </w:r>
      <w:r w:rsidRPr="005F3769">
        <w:rPr>
          <w:rFonts w:ascii="Georgia" w:hAnsi="Georgia" w:cs="Arial"/>
          <w:szCs w:val="24"/>
        </w:rPr>
        <w:t>, mas como se trata de la reproducción de todo el expediente, al tenor de lo preceptuado en el artículo 114-4º, CGP, se ordenará que las 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612D3B" w:rsidRPr="00DD0230" w:rsidRDefault="00612D3B" w:rsidP="00612D3B">
      <w:pPr>
        <w:pStyle w:val="Textoindependiente"/>
        <w:spacing w:line="360" w:lineRule="auto"/>
        <w:rPr>
          <w:rFonts w:ascii="Georgia" w:hAnsi="Georgia" w:cs="Arial"/>
          <w:szCs w:val="28"/>
        </w:rPr>
      </w:pPr>
    </w:p>
    <w:p w:rsidR="00612D3B" w:rsidRDefault="00612D3B" w:rsidP="00612D3B">
      <w:pPr>
        <w:pStyle w:val="Textoindependiente"/>
        <w:spacing w:line="360" w:lineRule="auto"/>
        <w:rPr>
          <w:rFonts w:ascii="Georgia" w:hAnsi="Georgia" w:cs="Arial"/>
          <w:sz w:val="28"/>
          <w:szCs w:val="28"/>
        </w:rPr>
      </w:pPr>
      <w:r>
        <w:rPr>
          <w:rFonts w:ascii="Georgia" w:hAnsi="Georgia" w:cs="Arial"/>
          <w:szCs w:val="24"/>
        </w:rPr>
        <w:t>Conoce la Sala la exención que a este respec</w:t>
      </w:r>
      <w:r w:rsidR="00215000">
        <w:rPr>
          <w:rFonts w:ascii="Georgia" w:hAnsi="Georgia" w:cs="Arial"/>
          <w:szCs w:val="24"/>
        </w:rPr>
        <w:t>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sidRPr="00C804CF">
        <w:rPr>
          <w:rStyle w:val="Refdenotaalpie"/>
          <w:rFonts w:ascii="Georgia" w:hAnsi="Georgia"/>
          <w:szCs w:val="24"/>
        </w:rPr>
        <w:footnoteReference w:id="23"/>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612D3B" w:rsidRPr="00AD2A76" w:rsidRDefault="00612D3B" w:rsidP="00124549">
      <w:pPr>
        <w:spacing w:line="360" w:lineRule="auto"/>
        <w:jc w:val="both"/>
        <w:rPr>
          <w:rFonts w:ascii="Georgia" w:hAnsi="Georgia" w:cs="Arial"/>
          <w:sz w:val="22"/>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AD2A76" w:rsidRDefault="00F40F94" w:rsidP="00F40F94">
      <w:pPr>
        <w:pStyle w:val="Textoindependiente"/>
        <w:spacing w:line="360" w:lineRule="auto"/>
        <w:ind w:left="400"/>
        <w:rPr>
          <w:rFonts w:ascii="Georgia" w:hAnsi="Georgia"/>
          <w:sz w:val="22"/>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ED7914" w:rsidRPr="00ED7914">
        <w:rPr>
          <w:rFonts w:ascii="Georgia" w:hAnsi="Georgia" w:cs="Arial"/>
          <w:szCs w:val="24"/>
          <w:lang w:val="es-ES"/>
        </w:rPr>
        <w:t>(i)</w:t>
      </w:r>
      <w:r w:rsidR="00ED7914">
        <w:rPr>
          <w:rFonts w:ascii="Georgia" w:hAnsi="Georgia" w:cs="Arial"/>
          <w:szCs w:val="24"/>
          <w:lang w:val="es-ES"/>
        </w:rPr>
        <w:t xml:space="preserve"> </w:t>
      </w:r>
      <w:r w:rsidR="00F86727" w:rsidRPr="00ED7914">
        <w:rPr>
          <w:rFonts w:ascii="Georgia" w:hAnsi="Georgia" w:cs="Arial"/>
          <w:szCs w:val="24"/>
          <w:lang w:val="es-ES"/>
        </w:rPr>
        <w:t>Se</w:t>
      </w:r>
      <w:r w:rsidR="00F86727">
        <w:rPr>
          <w:rFonts w:ascii="Georgia" w:hAnsi="Georgia" w:cs="Arial"/>
          <w:szCs w:val="24"/>
          <w:lang w:val="es-ES"/>
        </w:rPr>
        <w:t xml:space="preserve"> negará </w:t>
      </w:r>
      <w:r w:rsidR="00825B28">
        <w:rPr>
          <w:rFonts w:ascii="Georgia" w:hAnsi="Georgia" w:cs="Arial"/>
          <w:szCs w:val="24"/>
          <w:lang w:val="es-ES"/>
        </w:rPr>
        <w:t xml:space="preserve">la acción de tutela </w:t>
      </w:r>
      <w:r w:rsidR="003E2111" w:rsidRPr="00ED7914">
        <w:rPr>
          <w:rFonts w:ascii="Georgia" w:hAnsi="Georgia" w:cs="Arial"/>
          <w:szCs w:val="24"/>
          <w:lang w:val="es-ES"/>
        </w:rPr>
        <w:t xml:space="preserve">en contra del </w:t>
      </w:r>
      <w:r w:rsidR="00825B28">
        <w:rPr>
          <w:rFonts w:ascii="Georgia" w:hAnsi="Georgia" w:cs="Arial"/>
          <w:szCs w:val="24"/>
          <w:lang w:val="es-ES"/>
        </w:rPr>
        <w:t xml:space="preserve">Juzgado Tercero Civil del Circuito de Pereira, en lo referente a </w:t>
      </w:r>
      <w:r w:rsidR="001C7C8D">
        <w:rPr>
          <w:rFonts w:ascii="Georgia" w:hAnsi="Georgia" w:cs="Arial"/>
          <w:szCs w:val="24"/>
          <w:lang w:val="es-ES"/>
        </w:rPr>
        <w:t>la consulta del expdeiente de la acción popular No.2018-00074-00</w:t>
      </w:r>
      <w:r w:rsidR="00825B28">
        <w:rPr>
          <w:rFonts w:ascii="Georgia" w:hAnsi="Georgia" w:cs="Arial"/>
          <w:szCs w:val="24"/>
          <w:lang w:val="es-ES"/>
        </w:rPr>
        <w:t>; también,</w:t>
      </w:r>
      <w:r w:rsidR="001C7C8D">
        <w:rPr>
          <w:rFonts w:ascii="Georgia" w:hAnsi="Georgia" w:cs="Arial"/>
          <w:szCs w:val="24"/>
          <w:lang w:val="es-ES"/>
        </w:rPr>
        <w:t xml:space="preserve"> (ii) Se declarará improcedente</w:t>
      </w:r>
      <w:r w:rsidR="00825B28">
        <w:rPr>
          <w:rFonts w:ascii="Georgia" w:hAnsi="Georgia" w:cs="Arial"/>
          <w:szCs w:val="24"/>
          <w:lang w:val="es-ES"/>
        </w:rPr>
        <w:t xml:space="preserve">, pero respecto </w:t>
      </w:r>
      <w:r w:rsidR="001C7C8D">
        <w:rPr>
          <w:rFonts w:ascii="Georgia" w:hAnsi="Georgia" w:cs="Arial"/>
          <w:szCs w:val="24"/>
          <w:lang w:val="es-ES"/>
        </w:rPr>
        <w:t>de la aplicación del artículo 5º, Ley 472</w:t>
      </w:r>
      <w:r w:rsidR="00825B28">
        <w:rPr>
          <w:rFonts w:ascii="Georgia" w:hAnsi="Georgia" w:cs="Arial"/>
          <w:szCs w:val="24"/>
          <w:lang w:val="es-ES"/>
        </w:rPr>
        <w:t xml:space="preserve">, por carecer de subsidiariedad; </w:t>
      </w:r>
      <w:r w:rsidR="001C7C8D">
        <w:rPr>
          <w:rFonts w:ascii="Georgia" w:hAnsi="Georgia" w:cs="Arial"/>
          <w:szCs w:val="24"/>
          <w:lang w:val="es-ES"/>
        </w:rPr>
        <w:t xml:space="preserve">y, (iii) </w:t>
      </w:r>
      <w:r w:rsidR="00A157C9">
        <w:rPr>
          <w:rFonts w:ascii="Georgia" w:hAnsi="Georgia" w:cs="Arial"/>
        </w:rPr>
        <w:t>Se ordenará escanear y remitir todo el expediente al correo electrónico suministrado por el actor</w:t>
      </w:r>
      <w:r w:rsidR="00ED7914" w:rsidRPr="00ED7914">
        <w:rPr>
          <w:rFonts w:ascii="Georgia" w:hAnsi="Georgia" w:cs="Arial"/>
          <w:szCs w:val="24"/>
          <w:lang w:val="es-ES"/>
        </w:rPr>
        <w:t>.</w:t>
      </w:r>
    </w:p>
    <w:p w:rsidR="001C7C8D" w:rsidRDefault="001C7C8D" w:rsidP="00ED7914">
      <w:pPr>
        <w:pStyle w:val="Textoindependiente"/>
        <w:spacing w:line="360" w:lineRule="auto"/>
        <w:rPr>
          <w:rFonts w:ascii="Georgia" w:hAnsi="Georgia" w:cs="Arial"/>
          <w:szCs w:val="24"/>
          <w:lang w:val="es-ES"/>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xml:space="preserve">, administrando Justicia, en nombre de la República </w:t>
      </w:r>
      <w:r w:rsidR="00A157C9">
        <w:rPr>
          <w:rFonts w:ascii="Georgia" w:hAnsi="Georgia" w:cs="Arial"/>
        </w:rPr>
        <w:t xml:space="preserve">de Colombia </w:t>
      </w:r>
      <w:r w:rsidRPr="00D22B05">
        <w:rPr>
          <w:rFonts w:ascii="Georgia" w:hAnsi="Georgia" w:cs="Arial"/>
        </w:rPr>
        <w:t>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F A L L A,</w:t>
      </w:r>
    </w:p>
    <w:p w:rsidR="00A0113E" w:rsidRPr="00A157C9" w:rsidRDefault="00A0113E" w:rsidP="00BB7438">
      <w:pPr>
        <w:pStyle w:val="Textoindependiente"/>
        <w:spacing w:line="360" w:lineRule="auto"/>
        <w:jc w:val="center"/>
        <w:rPr>
          <w:rFonts w:ascii="Georgia" w:hAnsi="Georgia" w:cs="Arial"/>
          <w:bCs/>
        </w:rPr>
      </w:pPr>
    </w:p>
    <w:p w:rsidR="00F86727" w:rsidRDefault="007619E5"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lastRenderedPageBreak/>
        <w:t>NEGAR</w:t>
      </w:r>
      <w:r w:rsidR="003E2111">
        <w:rPr>
          <w:rFonts w:ascii="Georgia" w:hAnsi="Georgia"/>
        </w:rPr>
        <w:t xml:space="preserve">, </w:t>
      </w:r>
      <w:r w:rsidR="003E2111">
        <w:rPr>
          <w:rFonts w:ascii="Georgia" w:hAnsi="Georgia" w:cs="Arial"/>
        </w:rPr>
        <w:t>por ausencia fáctica,</w:t>
      </w:r>
      <w:r>
        <w:rPr>
          <w:rFonts w:ascii="Georgia" w:hAnsi="Georgia"/>
        </w:rPr>
        <w:t xml:space="preserve"> </w:t>
      </w:r>
      <w:r w:rsidR="00A157C9">
        <w:rPr>
          <w:rFonts w:ascii="Georgia" w:hAnsi="Georgia"/>
        </w:rPr>
        <w:t>la acción de tutela formulada</w:t>
      </w:r>
      <w:r w:rsidR="004007C3">
        <w:rPr>
          <w:rFonts w:ascii="Georgia" w:hAnsi="Georgia"/>
        </w:rPr>
        <w:t xml:space="preserve"> por el señor </w:t>
      </w:r>
      <w:r w:rsidR="00A157C9">
        <w:rPr>
          <w:rFonts w:ascii="Georgia" w:hAnsi="Georgia" w:cs="Arial"/>
        </w:rPr>
        <w:t>Javier El</w:t>
      </w:r>
      <w:r w:rsidR="002843D3">
        <w:rPr>
          <w:rFonts w:ascii="Georgia" w:hAnsi="Georgia" w:cs="Arial"/>
        </w:rPr>
        <w:t>í</w:t>
      </w:r>
      <w:r w:rsidR="00A157C9">
        <w:rPr>
          <w:rFonts w:ascii="Georgia" w:hAnsi="Georgia" w:cs="Arial"/>
        </w:rPr>
        <w:t xml:space="preserve">as Arias Adaraja </w:t>
      </w:r>
      <w:r w:rsidR="00F86727" w:rsidRPr="00B33A0F">
        <w:rPr>
          <w:rFonts w:ascii="Georgia" w:hAnsi="Georgia" w:cs="Arial"/>
        </w:rPr>
        <w:t xml:space="preserve">contra </w:t>
      </w:r>
      <w:r w:rsidR="003E2111">
        <w:rPr>
          <w:rFonts w:ascii="Georgia" w:hAnsi="Georgia"/>
        </w:rPr>
        <w:t xml:space="preserve">el Juzgado Tercero Civil del Circuito de Pereira, en torno a </w:t>
      </w:r>
      <w:r w:rsidR="00A157C9">
        <w:rPr>
          <w:rFonts w:ascii="Georgia" w:hAnsi="Georgia"/>
        </w:rPr>
        <w:t xml:space="preserve">la </w:t>
      </w:r>
      <w:r w:rsidR="001C7C8D">
        <w:rPr>
          <w:rFonts w:ascii="Georgia" w:hAnsi="Georgia"/>
        </w:rPr>
        <w:t>consulta del expediente de la acción popular No.2018-00074-00.</w:t>
      </w:r>
    </w:p>
    <w:p w:rsidR="00F86727" w:rsidRPr="00A157C9" w:rsidRDefault="00F86727" w:rsidP="00A157C9">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A465A" w:rsidRDefault="009E770D"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w:t>
      </w:r>
      <w:r w:rsidR="00A157C9">
        <w:rPr>
          <w:rFonts w:ascii="Georgia" w:hAnsi="Georgia" w:cs="Arial"/>
        </w:rPr>
        <w:t xml:space="preserve">el amparo respecto de la </w:t>
      </w:r>
      <w:r w:rsidR="001C7C8D">
        <w:rPr>
          <w:rFonts w:ascii="Georgia" w:hAnsi="Georgia" w:cs="Arial"/>
        </w:rPr>
        <w:t>aplicación del artículo 5º, Ley 472,</w:t>
      </w:r>
      <w:r w:rsidR="00A157C9">
        <w:rPr>
          <w:rFonts w:ascii="Georgia" w:hAnsi="Georgia" w:cs="Arial"/>
        </w:rPr>
        <w:t xml:space="preserve"> según lo expuesto</w:t>
      </w:r>
      <w:r w:rsidRPr="004007C3">
        <w:rPr>
          <w:rFonts w:ascii="Georgia" w:hAnsi="Georgia" w:cs="Arial"/>
        </w:rPr>
        <w:t>.</w:t>
      </w:r>
    </w:p>
    <w:p w:rsidR="00A157C9" w:rsidRPr="00A157C9" w:rsidRDefault="00A157C9" w:rsidP="00A157C9">
      <w:pPr>
        <w:pStyle w:val="Prrafodelista"/>
        <w:spacing w:line="360" w:lineRule="auto"/>
        <w:rPr>
          <w:rFonts w:ascii="Georgia" w:hAnsi="Georgia" w:cs="Arial"/>
        </w:rPr>
      </w:pPr>
    </w:p>
    <w:p w:rsidR="00A157C9" w:rsidRDefault="00A157C9"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ESCANEAR todo el expediente de este amparo constitucional y REMITIR el archivo al correo electrónico suministrado por el actor, previo pago del arancel judicial por el accionante</w:t>
      </w:r>
      <w:r>
        <w:rPr>
          <w:rFonts w:ascii="Georgia" w:hAnsi="Georgia" w:cs="Arial"/>
        </w:rPr>
        <w:t>.</w:t>
      </w:r>
    </w:p>
    <w:p w:rsidR="00A157C9" w:rsidRPr="00A157C9" w:rsidRDefault="00A157C9" w:rsidP="00A157C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A157C9" w:rsidRDefault="009E770D" w:rsidP="00A157C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lang w:val="es-CO"/>
        </w:rPr>
      </w:pPr>
    </w:p>
    <w:p w:rsidR="00BB7438" w:rsidRPr="006E01D9" w:rsidRDefault="00BB7438" w:rsidP="00A157C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ARCHIVAR el expediente, previa anotaciones en los libros radicadores.</w:t>
      </w:r>
    </w:p>
    <w:p w:rsidR="0089352F" w:rsidRPr="00A157C9"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r w:rsidRPr="006A1FD7">
        <w:rPr>
          <w:rFonts w:ascii="Georgia" w:hAnsi="Georgia"/>
          <w:smallCaps/>
          <w:sz w:val="28"/>
          <w:szCs w:val="24"/>
          <w:lang w:val="en-US"/>
        </w:rPr>
        <w:t>Notifíquese,</w:t>
      </w: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A157C9" w:rsidRDefault="00A157C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8"/>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E3" w:rsidRDefault="001B7DE3" w:rsidP="0099045D">
      <w:r>
        <w:separator/>
      </w:r>
    </w:p>
  </w:endnote>
  <w:endnote w:type="continuationSeparator" w:id="0">
    <w:p w:rsidR="001B7DE3" w:rsidRDefault="001B7DE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E3" w:rsidRDefault="001B7DE3" w:rsidP="0099045D">
      <w:r>
        <w:separator/>
      </w:r>
    </w:p>
  </w:footnote>
  <w:footnote w:type="continuationSeparator" w:id="0">
    <w:p w:rsidR="001B7DE3" w:rsidRDefault="001B7DE3" w:rsidP="0099045D">
      <w:r>
        <w:continuationSeparator/>
      </w:r>
    </w:p>
  </w:footnote>
  <w:footnote w:id="1">
    <w:p w:rsidR="00C06810" w:rsidRPr="00714579" w:rsidRDefault="00C06810" w:rsidP="00C06810">
      <w:pPr>
        <w:pStyle w:val="Textonotapie"/>
      </w:pPr>
      <w:r w:rsidRPr="00714579">
        <w:rPr>
          <w:rStyle w:val="Refdenotaalpie"/>
        </w:rPr>
        <w:footnoteRef/>
      </w:r>
      <w:r w:rsidRPr="00714579">
        <w:t xml:space="preserve"> CC. T-600 de 2017.</w:t>
      </w:r>
    </w:p>
  </w:footnote>
  <w:footnote w:id="2">
    <w:p w:rsidR="00C06810" w:rsidRPr="00714579" w:rsidRDefault="00C06810" w:rsidP="00C06810">
      <w:pPr>
        <w:pStyle w:val="Textonotapie"/>
      </w:pPr>
      <w:r w:rsidRPr="00714579">
        <w:rPr>
          <w:vertAlign w:val="superscript"/>
        </w:rPr>
        <w:footnoteRef/>
      </w:r>
      <w:r w:rsidRPr="00714579">
        <w:t xml:space="preserve"> CC. T-103 y 396 de 2014, entre otras. </w:t>
      </w:r>
    </w:p>
  </w:footnote>
  <w:footnote w:id="3">
    <w:p w:rsidR="00C06810" w:rsidRPr="00F61CAB" w:rsidRDefault="00C06810" w:rsidP="00C06810">
      <w:pPr>
        <w:pStyle w:val="Textonotapie"/>
        <w:jc w:val="both"/>
      </w:pPr>
      <w:r w:rsidRPr="00F61CAB">
        <w:rPr>
          <w:rStyle w:val="Refdenotaalpie"/>
        </w:rPr>
        <w:footnoteRef/>
      </w:r>
      <w:r>
        <w:t xml:space="preserve"> CSJ</w:t>
      </w:r>
      <w:r w:rsidRPr="00F61CAB">
        <w:t>. STC3950-2016.</w:t>
      </w:r>
    </w:p>
  </w:footnote>
  <w:footnote w:id="4">
    <w:p w:rsidR="00C06810" w:rsidRPr="00714579" w:rsidRDefault="00C06810" w:rsidP="00C06810">
      <w:pPr>
        <w:pStyle w:val="Textonotapie"/>
      </w:pPr>
      <w:r w:rsidRPr="00714579">
        <w:rPr>
          <w:rStyle w:val="Refdenotaalpie"/>
        </w:rPr>
        <w:footnoteRef/>
      </w:r>
      <w:r w:rsidRPr="00714579">
        <w:t xml:space="preserve"> CC. T-600 de 2017.</w:t>
      </w:r>
    </w:p>
  </w:footnote>
  <w:footnote w:id="5">
    <w:p w:rsidR="00C06810" w:rsidRPr="00F61CAB" w:rsidRDefault="00C06810" w:rsidP="00C06810">
      <w:pPr>
        <w:pStyle w:val="Textonotapie"/>
        <w:jc w:val="both"/>
      </w:pPr>
      <w:r w:rsidRPr="00F61CAB">
        <w:rPr>
          <w:rStyle w:val="Refdenotaalpie"/>
        </w:rPr>
        <w:footnoteRef/>
      </w:r>
      <w:r>
        <w:t xml:space="preserve"> CSJ. </w:t>
      </w:r>
      <w:r w:rsidRPr="00F61CAB">
        <w:t>STC3950-2016.</w:t>
      </w:r>
    </w:p>
  </w:footnote>
  <w:footnote w:id="6">
    <w:p w:rsidR="00613198" w:rsidRPr="002D2187" w:rsidRDefault="00613198" w:rsidP="00613198">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7">
    <w:p w:rsidR="00613198" w:rsidRPr="002D2187" w:rsidRDefault="00613198" w:rsidP="00613198">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8">
    <w:p w:rsidR="00613198" w:rsidRPr="00C74846" w:rsidRDefault="00613198" w:rsidP="00613198">
      <w:pPr>
        <w:pStyle w:val="Textonotapie"/>
        <w:jc w:val="both"/>
      </w:pPr>
      <w:r w:rsidRPr="00C74846">
        <w:rPr>
          <w:rStyle w:val="Refdenotaalpie"/>
        </w:rPr>
        <w:footnoteRef/>
      </w:r>
      <w:r w:rsidRPr="00C74846">
        <w:t xml:space="preserve"> </w:t>
      </w:r>
      <w:r w:rsidRPr="00C74846">
        <w:rPr>
          <w:lang w:val="es-MX"/>
        </w:rPr>
        <w:t>CC. T-917 de 2011.</w:t>
      </w:r>
    </w:p>
  </w:footnote>
  <w:footnote w:id="9">
    <w:p w:rsidR="00613198" w:rsidRPr="00C74846" w:rsidRDefault="00613198" w:rsidP="00613198">
      <w:pPr>
        <w:pStyle w:val="Textonotapie"/>
        <w:jc w:val="both"/>
      </w:pPr>
      <w:r w:rsidRPr="00C74846">
        <w:rPr>
          <w:rStyle w:val="Refdenotaalpie"/>
        </w:rPr>
        <w:footnoteRef/>
      </w:r>
      <w:r w:rsidRPr="00C74846">
        <w:rPr>
          <w:lang w:val="es-MX"/>
        </w:rPr>
        <w:t xml:space="preserve"> CC. C-590 de 2005.</w:t>
      </w:r>
    </w:p>
  </w:footnote>
  <w:footnote w:id="10">
    <w:p w:rsidR="00613198" w:rsidRPr="00C74846" w:rsidRDefault="00613198" w:rsidP="00613198">
      <w:pPr>
        <w:pStyle w:val="Textonotapie"/>
        <w:jc w:val="both"/>
      </w:pPr>
      <w:r w:rsidRPr="00C74846">
        <w:rPr>
          <w:rStyle w:val="Refdenotaalpie"/>
        </w:rPr>
        <w:footnoteRef/>
      </w:r>
      <w:r w:rsidRPr="00C74846">
        <w:rPr>
          <w:lang w:val="es-MX"/>
        </w:rPr>
        <w:t xml:space="preserve"> CC. </w:t>
      </w:r>
      <w:r w:rsidRPr="00C74846">
        <w:rPr>
          <w:bCs/>
        </w:rPr>
        <w:t>SU-222 de 2016</w:t>
      </w:r>
      <w:r w:rsidR="00215000">
        <w:rPr>
          <w:bCs/>
        </w:rPr>
        <w:t xml:space="preserve"> y </w:t>
      </w:r>
      <w:r w:rsidR="00215000" w:rsidRPr="00C74846">
        <w:rPr>
          <w:bCs/>
          <w:lang w:val="es-ES_tradnl"/>
        </w:rPr>
        <w:t>T-137 de 2017</w:t>
      </w:r>
      <w:r w:rsidRPr="00C74846">
        <w:rPr>
          <w:lang w:val="es-MX"/>
        </w:rPr>
        <w:t>.</w:t>
      </w:r>
    </w:p>
  </w:footnote>
  <w:footnote w:id="11">
    <w:p w:rsidR="00613198" w:rsidRPr="00C74846" w:rsidRDefault="00613198" w:rsidP="00613198">
      <w:pPr>
        <w:pStyle w:val="Textonotapie"/>
        <w:rPr>
          <w:b/>
          <w:bCs/>
        </w:rPr>
      </w:pPr>
      <w:r w:rsidRPr="00C74846">
        <w:rPr>
          <w:rStyle w:val="Refdenotaalpie"/>
        </w:rPr>
        <w:footnoteRef/>
      </w:r>
      <w:r w:rsidRPr="00C74846">
        <w:t xml:space="preserve"> </w:t>
      </w:r>
      <w:r w:rsidRPr="00C74846">
        <w:rPr>
          <w:bCs/>
          <w:lang w:val="es-ES_tradnl"/>
        </w:rPr>
        <w:t>CC.</w:t>
      </w:r>
      <w:r w:rsidR="00215000">
        <w:rPr>
          <w:bCs/>
          <w:lang w:val="es-ES_tradnl"/>
        </w:rPr>
        <w:t xml:space="preserve"> SU-004 de 2018</w:t>
      </w:r>
      <w:r w:rsidRPr="00C74846">
        <w:rPr>
          <w:bCs/>
          <w:lang w:val="es-ES_tradnl"/>
        </w:rPr>
        <w:t>.</w:t>
      </w:r>
    </w:p>
  </w:footnote>
  <w:footnote w:id="12">
    <w:p w:rsidR="00613198" w:rsidRPr="00C74846" w:rsidRDefault="00613198" w:rsidP="00613198">
      <w:pPr>
        <w:pStyle w:val="Textonotapie"/>
        <w:rPr>
          <w:lang w:val="es-CO"/>
        </w:rPr>
      </w:pPr>
      <w:r w:rsidRPr="00C74846">
        <w:rPr>
          <w:rStyle w:val="Refdenotaalpie"/>
        </w:rPr>
        <w:footnoteRef/>
      </w:r>
      <w:r w:rsidRPr="00C74846">
        <w:t xml:space="preserve"> </w:t>
      </w:r>
      <w:r w:rsidRPr="00C74846">
        <w:rPr>
          <w:lang w:val="es-MX"/>
        </w:rPr>
        <w:t>CC. T-307 de 2015.</w:t>
      </w:r>
    </w:p>
  </w:footnote>
  <w:footnote w:id="13">
    <w:p w:rsidR="00613198" w:rsidRPr="00C74846" w:rsidRDefault="00613198" w:rsidP="00613198">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14">
    <w:p w:rsidR="00613198" w:rsidRPr="00C74846" w:rsidRDefault="00613198" w:rsidP="00613198">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5">
    <w:p w:rsidR="00BA7F81" w:rsidRDefault="00BA7F81" w:rsidP="00BA7F81">
      <w:pPr>
        <w:pStyle w:val="Textonotapie"/>
        <w:jc w:val="both"/>
      </w:pPr>
      <w:r w:rsidRPr="00C45F3C">
        <w:rPr>
          <w:rStyle w:val="Refdenotaalpie"/>
        </w:rPr>
        <w:footnoteRef/>
      </w:r>
      <w:r w:rsidRPr="00C45F3C">
        <w:t xml:space="preserve"> CC. T-103 de 2014 y </w:t>
      </w:r>
      <w:r w:rsidRPr="00C45F3C">
        <w:rPr>
          <w:bCs/>
        </w:rPr>
        <w:t>SU-297 de 2015.</w:t>
      </w:r>
    </w:p>
  </w:footnote>
  <w:footnote w:id="16">
    <w:p w:rsidR="007A03EE" w:rsidRPr="00714579" w:rsidRDefault="007A03EE" w:rsidP="007A03EE">
      <w:pPr>
        <w:pStyle w:val="Textonotapie"/>
      </w:pPr>
      <w:r w:rsidRPr="00714579">
        <w:rPr>
          <w:rStyle w:val="Refdenotaalpie"/>
        </w:rPr>
        <w:footnoteRef/>
      </w:r>
      <w:r w:rsidRPr="00714579">
        <w:t xml:space="preserve"> CC. T-600 de 2017.</w:t>
      </w:r>
    </w:p>
  </w:footnote>
  <w:footnote w:id="17">
    <w:p w:rsidR="007A03EE" w:rsidRPr="00714579" w:rsidRDefault="007A03EE" w:rsidP="007A03EE">
      <w:pPr>
        <w:pStyle w:val="Textonotapie"/>
      </w:pPr>
      <w:r w:rsidRPr="00714579">
        <w:rPr>
          <w:vertAlign w:val="superscript"/>
        </w:rPr>
        <w:footnoteRef/>
      </w:r>
      <w:r w:rsidRPr="00714579">
        <w:t xml:space="preserve"> CC. T-103 y 396 de 2014, entre otras. </w:t>
      </w:r>
    </w:p>
  </w:footnote>
  <w:footnote w:id="18">
    <w:p w:rsidR="007A03EE" w:rsidRPr="00F61CAB" w:rsidRDefault="007A03EE" w:rsidP="007A03EE">
      <w:pPr>
        <w:pStyle w:val="Textonotapie"/>
        <w:jc w:val="both"/>
      </w:pPr>
      <w:r w:rsidRPr="00F61CAB">
        <w:rPr>
          <w:rStyle w:val="Refdenotaalpie"/>
        </w:rPr>
        <w:footnoteRef/>
      </w:r>
      <w:r>
        <w:t xml:space="preserve"> CSJ</w:t>
      </w:r>
      <w:r w:rsidRPr="00F61CAB">
        <w:t>. STC3950-2016.</w:t>
      </w:r>
    </w:p>
  </w:footnote>
  <w:footnote w:id="19">
    <w:p w:rsidR="004472D1" w:rsidRPr="00714579" w:rsidRDefault="004472D1" w:rsidP="004472D1">
      <w:pPr>
        <w:pStyle w:val="Textonotapie"/>
      </w:pPr>
      <w:r w:rsidRPr="00714579">
        <w:rPr>
          <w:rStyle w:val="Refdenotaalpie"/>
        </w:rPr>
        <w:footnoteRef/>
      </w:r>
      <w:r w:rsidRPr="00714579">
        <w:t xml:space="preserve"> CC. T-600 de 2017.</w:t>
      </w:r>
    </w:p>
  </w:footnote>
  <w:footnote w:id="20">
    <w:p w:rsidR="004472D1" w:rsidRPr="00F61CAB" w:rsidRDefault="004472D1" w:rsidP="004472D1">
      <w:pPr>
        <w:pStyle w:val="Textonotapie"/>
        <w:jc w:val="both"/>
      </w:pPr>
      <w:r w:rsidRPr="00F61CAB">
        <w:rPr>
          <w:rStyle w:val="Refdenotaalpie"/>
        </w:rPr>
        <w:footnoteRef/>
      </w:r>
      <w:r>
        <w:t xml:space="preserve"> CSJ. </w:t>
      </w:r>
      <w:r w:rsidRPr="00F61CAB">
        <w:t>STC3950-2016.</w:t>
      </w:r>
    </w:p>
  </w:footnote>
  <w:footnote w:id="21">
    <w:p w:rsidR="004472D1" w:rsidRPr="007D3087" w:rsidRDefault="004472D1" w:rsidP="004472D1">
      <w:pPr>
        <w:pStyle w:val="Textonotapie"/>
      </w:pPr>
      <w:r w:rsidRPr="00103E5E">
        <w:rPr>
          <w:rStyle w:val="Refdenotaalpie"/>
        </w:rPr>
        <w:footnoteRef/>
      </w:r>
      <w:r w:rsidRPr="00103E5E">
        <w:t xml:space="preserve"> CC.  T-089 de 2018, SU-210 de 2017 y T-717 de 2011.</w:t>
      </w:r>
    </w:p>
  </w:footnote>
  <w:footnote w:id="22">
    <w:p w:rsidR="004472D1" w:rsidRPr="005E75D6" w:rsidRDefault="004472D1" w:rsidP="004472D1">
      <w:pPr>
        <w:pStyle w:val="Textonotapie"/>
        <w:rPr>
          <w:lang w:val="es-CO"/>
        </w:rPr>
      </w:pPr>
      <w:r>
        <w:rPr>
          <w:rStyle w:val="Refdenotaalpie"/>
        </w:rPr>
        <w:footnoteRef/>
      </w:r>
      <w:r>
        <w:t xml:space="preserve"> </w:t>
      </w:r>
      <w:r w:rsidRPr="00C45F3C">
        <w:t xml:space="preserve">CC. </w:t>
      </w:r>
      <w:r>
        <w:t>T-180 de 2018.</w:t>
      </w:r>
    </w:p>
  </w:footnote>
  <w:footnote w:id="23">
    <w:p w:rsidR="00612D3B" w:rsidRPr="00C804CF" w:rsidRDefault="00612D3B" w:rsidP="00612D3B">
      <w:pPr>
        <w:pStyle w:val="Textonotapie"/>
        <w:rPr>
          <w:lang w:val="es-CO"/>
        </w:rPr>
      </w:pPr>
      <w:r>
        <w:rPr>
          <w:rStyle w:val="Refdenotaalpie"/>
        </w:rPr>
        <w:footnoteRef/>
      </w:r>
      <w:r>
        <w:t xml:space="preserve"> </w:t>
      </w:r>
      <w:r>
        <w:rPr>
          <w:lang w:val="es-CO"/>
        </w:rPr>
        <w:t xml:space="preserve">CSJ. Auto del 12-07-2018, MP: Tejeiro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B0540">
      <w:rPr>
        <w:rFonts w:ascii="Georgia" w:hAnsi="Georgia" w:cs="Calibri"/>
        <w:i/>
        <w:noProof/>
        <w:sz w:val="20"/>
      </w:rPr>
      <w:t>7</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612010">
      <w:rPr>
        <w:rFonts w:ascii="Georgia" w:hAnsi="Georgia" w:cs="Calibri"/>
        <w:i/>
        <w:smallCaps/>
        <w:sz w:val="20"/>
        <w:szCs w:val="22"/>
      </w:rPr>
      <w:t>00639</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1F09"/>
    <w:rsid w:val="0009208D"/>
    <w:rsid w:val="00092B1F"/>
    <w:rsid w:val="0009333F"/>
    <w:rsid w:val="000933B4"/>
    <w:rsid w:val="000938B9"/>
    <w:rsid w:val="00093C3D"/>
    <w:rsid w:val="00095798"/>
    <w:rsid w:val="00095BA2"/>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BB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0BE2"/>
    <w:rsid w:val="000D113E"/>
    <w:rsid w:val="000D152C"/>
    <w:rsid w:val="000D1769"/>
    <w:rsid w:val="000D25F0"/>
    <w:rsid w:val="000D2B3D"/>
    <w:rsid w:val="000D2D98"/>
    <w:rsid w:val="000D31B6"/>
    <w:rsid w:val="000D364C"/>
    <w:rsid w:val="000D3948"/>
    <w:rsid w:val="000D3F22"/>
    <w:rsid w:val="000D41CB"/>
    <w:rsid w:val="000D475D"/>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5AF"/>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24E9"/>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5C92"/>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DE3"/>
    <w:rsid w:val="001B7FDA"/>
    <w:rsid w:val="001C04E2"/>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C8D"/>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000"/>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109"/>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3D3"/>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2F"/>
    <w:rsid w:val="00295F3F"/>
    <w:rsid w:val="002964BE"/>
    <w:rsid w:val="002972E0"/>
    <w:rsid w:val="00297686"/>
    <w:rsid w:val="00297747"/>
    <w:rsid w:val="002978F5"/>
    <w:rsid w:val="00297C65"/>
    <w:rsid w:val="00297FEC"/>
    <w:rsid w:val="002A04ED"/>
    <w:rsid w:val="002A0B92"/>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48"/>
    <w:rsid w:val="002B5FD5"/>
    <w:rsid w:val="002B6002"/>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1F0"/>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098"/>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B7CC4"/>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111"/>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7C3"/>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2D1"/>
    <w:rsid w:val="00447A55"/>
    <w:rsid w:val="00447C7B"/>
    <w:rsid w:val="00450A8F"/>
    <w:rsid w:val="00450F26"/>
    <w:rsid w:val="004513F3"/>
    <w:rsid w:val="00451431"/>
    <w:rsid w:val="00451619"/>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279"/>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0B9F"/>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622"/>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6D1"/>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59"/>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957"/>
    <w:rsid w:val="005747A0"/>
    <w:rsid w:val="00574B3D"/>
    <w:rsid w:val="00574D42"/>
    <w:rsid w:val="00575815"/>
    <w:rsid w:val="00575F20"/>
    <w:rsid w:val="00576247"/>
    <w:rsid w:val="005764A9"/>
    <w:rsid w:val="00576899"/>
    <w:rsid w:val="00576F44"/>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10"/>
    <w:rsid w:val="00612099"/>
    <w:rsid w:val="006122FF"/>
    <w:rsid w:val="00612366"/>
    <w:rsid w:val="0061267D"/>
    <w:rsid w:val="00612AA7"/>
    <w:rsid w:val="00612C75"/>
    <w:rsid w:val="00612CE9"/>
    <w:rsid w:val="00612D07"/>
    <w:rsid w:val="00612D3B"/>
    <w:rsid w:val="00612DCE"/>
    <w:rsid w:val="006130B7"/>
    <w:rsid w:val="00613198"/>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463"/>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696"/>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B78D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94C"/>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A21"/>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78F"/>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71D"/>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9E5"/>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3EE"/>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C5D"/>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B28"/>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3F7"/>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3DA"/>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1C3"/>
    <w:rsid w:val="009C3B9F"/>
    <w:rsid w:val="009C4833"/>
    <w:rsid w:val="009C4A9B"/>
    <w:rsid w:val="009C568C"/>
    <w:rsid w:val="009C56B0"/>
    <w:rsid w:val="009C670F"/>
    <w:rsid w:val="009C6852"/>
    <w:rsid w:val="009C6C4A"/>
    <w:rsid w:val="009C7990"/>
    <w:rsid w:val="009C7E68"/>
    <w:rsid w:val="009D00E1"/>
    <w:rsid w:val="009D0139"/>
    <w:rsid w:val="009D0229"/>
    <w:rsid w:val="009D05A6"/>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D7363"/>
    <w:rsid w:val="009E0652"/>
    <w:rsid w:val="009E0807"/>
    <w:rsid w:val="009E0C05"/>
    <w:rsid w:val="009E0C6A"/>
    <w:rsid w:val="009E0CA9"/>
    <w:rsid w:val="009E1812"/>
    <w:rsid w:val="009E1F62"/>
    <w:rsid w:val="009E20CD"/>
    <w:rsid w:val="009E250D"/>
    <w:rsid w:val="009E25C9"/>
    <w:rsid w:val="009E2673"/>
    <w:rsid w:val="009E326C"/>
    <w:rsid w:val="009E32AB"/>
    <w:rsid w:val="009E33C9"/>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8C5"/>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7C9"/>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E56"/>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A76"/>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83"/>
    <w:rsid w:val="00B30DF5"/>
    <w:rsid w:val="00B31041"/>
    <w:rsid w:val="00B311C6"/>
    <w:rsid w:val="00B313DA"/>
    <w:rsid w:val="00B32064"/>
    <w:rsid w:val="00B3248E"/>
    <w:rsid w:val="00B32B3A"/>
    <w:rsid w:val="00B32DFA"/>
    <w:rsid w:val="00B33037"/>
    <w:rsid w:val="00B338A6"/>
    <w:rsid w:val="00B33954"/>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5643"/>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EC9"/>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F81"/>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2FEA"/>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681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859"/>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180"/>
    <w:rsid w:val="00C56710"/>
    <w:rsid w:val="00C56EDA"/>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E5E"/>
    <w:rsid w:val="00C66F52"/>
    <w:rsid w:val="00C6708D"/>
    <w:rsid w:val="00C674FF"/>
    <w:rsid w:val="00C67674"/>
    <w:rsid w:val="00C67724"/>
    <w:rsid w:val="00C703F6"/>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5CB7"/>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87E7B"/>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0D"/>
    <w:rsid w:val="00CF1947"/>
    <w:rsid w:val="00CF1F92"/>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484"/>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5CF9"/>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61F0"/>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1962"/>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27"/>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1A7"/>
    <w:rsid w:val="00FA6651"/>
    <w:rsid w:val="00FA67CA"/>
    <w:rsid w:val="00FA6C8A"/>
    <w:rsid w:val="00FA6D29"/>
    <w:rsid w:val="00FA7F1F"/>
    <w:rsid w:val="00FB00D7"/>
    <w:rsid w:val="00FB0496"/>
    <w:rsid w:val="00FB0540"/>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ABB"/>
    <w:rsid w:val="00FB6CFE"/>
    <w:rsid w:val="00FB715E"/>
    <w:rsid w:val="00FB72A5"/>
    <w:rsid w:val="00FB7B22"/>
    <w:rsid w:val="00FC06A3"/>
    <w:rsid w:val="00FC0892"/>
    <w:rsid w:val="00FC3205"/>
    <w:rsid w:val="00FC4973"/>
    <w:rsid w:val="00FC49B7"/>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17FA-376C-4539-A68B-C024DA51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2193</Words>
  <Characters>12064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2018-08-02T21:08:00Z</cp:lastPrinted>
  <dcterms:created xsi:type="dcterms:W3CDTF">2018-08-23T18:38:00Z</dcterms:created>
  <dcterms:modified xsi:type="dcterms:W3CDTF">2018-10-18T19:31:00Z</dcterms:modified>
</cp:coreProperties>
</file>