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B9" w:rsidRDefault="005C44B9" w:rsidP="005C44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 xml:space="preserve">El contenido total y fiel de la decisión debe ser </w:t>
      </w:r>
      <w:r w:rsidR="007E1D0A">
        <w:rPr>
          <w:rFonts w:ascii="Arial" w:hAnsi="Arial" w:cs="Arial"/>
          <w:color w:val="FF0000"/>
          <w:sz w:val="18"/>
          <w:szCs w:val="18"/>
          <w:lang w:eastAsia="fr-FR"/>
        </w:rPr>
        <w:t>verificado en la respectiva Secretaría</w:t>
      </w:r>
      <w:bookmarkStart w:id="0" w:name="_GoBack"/>
      <w:bookmarkEnd w:id="0"/>
      <w:r>
        <w:rPr>
          <w:rFonts w:ascii="Arial" w:hAnsi="Arial" w:cs="Arial"/>
          <w:color w:val="FF0000"/>
          <w:sz w:val="18"/>
          <w:szCs w:val="18"/>
          <w:lang w:eastAsia="fr-FR"/>
        </w:rPr>
        <w:t>.</w:t>
      </w:r>
    </w:p>
    <w:p w:rsidR="005C44B9" w:rsidRPr="00DC0772" w:rsidRDefault="005C44B9" w:rsidP="00DC0772">
      <w:pPr>
        <w:jc w:val="both"/>
        <w:rPr>
          <w:rFonts w:ascii="Arial" w:hAnsi="Arial" w:cs="Arial"/>
          <w:szCs w:val="22"/>
        </w:rPr>
      </w:pPr>
    </w:p>
    <w:p w:rsidR="005C44B9" w:rsidRPr="005C44B9" w:rsidRDefault="005C44B9" w:rsidP="005C44B9">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t xml:space="preserve">Auto  - 2ª Instancia </w:t>
      </w:r>
      <w:r>
        <w:rPr>
          <w:rFonts w:ascii="Arial" w:hAnsi="Arial" w:cs="Arial"/>
          <w:szCs w:val="18"/>
          <w:lang w:val="es-CO" w:eastAsia="fr-FR"/>
        </w:rPr>
        <w:t>– 2 de octubre d</w:t>
      </w:r>
      <w:r w:rsidRPr="005C44B9">
        <w:rPr>
          <w:rFonts w:ascii="Arial" w:hAnsi="Arial" w:cs="Arial"/>
          <w:szCs w:val="18"/>
          <w:lang w:val="es-CO" w:eastAsia="fr-FR"/>
        </w:rPr>
        <w:t>e 2018</w:t>
      </w:r>
    </w:p>
    <w:p w:rsidR="005C44B9" w:rsidRPr="005C44B9" w:rsidRDefault="005C44B9" w:rsidP="005C44B9">
      <w:pPr>
        <w:shd w:val="clear" w:color="auto" w:fill="FFFFFF"/>
        <w:tabs>
          <w:tab w:val="left" w:pos="1418"/>
        </w:tabs>
        <w:jc w:val="both"/>
        <w:rPr>
          <w:rFonts w:ascii="Arial" w:hAnsi="Arial" w:cs="Arial"/>
          <w:szCs w:val="18"/>
          <w:lang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DC0772">
        <w:rPr>
          <w:rFonts w:ascii="Arial" w:hAnsi="Arial" w:cs="Arial"/>
          <w:szCs w:val="18"/>
          <w:lang w:val="es-CO" w:eastAsia="fr-FR"/>
        </w:rPr>
        <w:t>66170-31-10-001-2008-00579-01</w:t>
      </w:r>
    </w:p>
    <w:p w:rsidR="005C44B9" w:rsidRPr="005C44B9" w:rsidRDefault="005C44B9" w:rsidP="005C44B9">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sidR="00DC0772">
        <w:rPr>
          <w:rFonts w:ascii="Arial" w:hAnsi="Arial" w:cs="Arial"/>
          <w:szCs w:val="18"/>
          <w:lang w:val="es-CO" w:eastAsia="fr-FR"/>
        </w:rPr>
        <w:t>María Ofir Valencia Zapata</w:t>
      </w:r>
    </w:p>
    <w:p w:rsidR="005C44B9" w:rsidRPr="005C44B9" w:rsidRDefault="005C44B9" w:rsidP="005C44B9">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sidR="00DC0772">
        <w:rPr>
          <w:rFonts w:ascii="Arial" w:hAnsi="Arial" w:cs="Arial"/>
          <w:bCs/>
          <w:szCs w:val="18"/>
          <w:lang w:eastAsia="fr-FR"/>
        </w:rPr>
        <w:t>Otoniel Osorio Osorio</w:t>
      </w:r>
    </w:p>
    <w:p w:rsidR="005C44B9" w:rsidRPr="005C44B9" w:rsidRDefault="005C44B9" w:rsidP="005C44B9">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sidR="00DC0772">
        <w:rPr>
          <w:rFonts w:ascii="Arial" w:hAnsi="Arial" w:cs="Arial"/>
          <w:szCs w:val="18"/>
          <w:lang w:val="es-CO" w:eastAsia="fr-FR"/>
        </w:rPr>
        <w:t>Liquidación de sociedad conyugal</w:t>
      </w:r>
      <w:r w:rsidRPr="005C44B9">
        <w:rPr>
          <w:rFonts w:ascii="Arial" w:hAnsi="Arial" w:cs="Arial"/>
          <w:szCs w:val="18"/>
          <w:lang w:val="es-CO" w:eastAsia="fr-FR"/>
        </w:rPr>
        <w:t xml:space="preserve"> </w:t>
      </w:r>
    </w:p>
    <w:p w:rsidR="005C44B9" w:rsidRPr="005C44B9" w:rsidRDefault="005C44B9" w:rsidP="005C44B9">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t>EDDER JIMMY SÁNCHEZ CALAMBÁS</w:t>
      </w:r>
    </w:p>
    <w:p w:rsidR="005C44B9" w:rsidRPr="005C44B9" w:rsidRDefault="005C44B9" w:rsidP="005C44B9">
      <w:pPr>
        <w:spacing w:line="276" w:lineRule="auto"/>
        <w:jc w:val="both"/>
        <w:rPr>
          <w:rFonts w:ascii="Verdana" w:hAnsi="Verdana"/>
          <w:sz w:val="22"/>
          <w:szCs w:val="28"/>
        </w:rPr>
      </w:pPr>
    </w:p>
    <w:p w:rsidR="005C44B9" w:rsidRPr="00366A31" w:rsidRDefault="005C44B9" w:rsidP="005C44B9">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4F51F0">
        <w:rPr>
          <w:rFonts w:ascii="Arial" w:hAnsi="Arial" w:cs="Arial"/>
          <w:b/>
          <w:bCs/>
          <w:iCs/>
          <w:sz w:val="20"/>
          <w:lang w:eastAsia="fr-FR"/>
        </w:rPr>
        <w:t xml:space="preserve">MEDIDAS CAUTELARES / PROCEDEN EN TRÁMITE DE PARTICIÓN ADICIONAL / DEBEN RECAER </w:t>
      </w:r>
      <w:r w:rsidR="006C5DC3">
        <w:rPr>
          <w:rFonts w:ascii="Arial" w:hAnsi="Arial" w:cs="Arial"/>
          <w:b/>
          <w:bCs/>
          <w:iCs/>
          <w:sz w:val="20"/>
          <w:lang w:eastAsia="fr-FR"/>
        </w:rPr>
        <w:t>SOBRE</w:t>
      </w:r>
      <w:r w:rsidR="004F51F0">
        <w:rPr>
          <w:rFonts w:ascii="Arial" w:hAnsi="Arial" w:cs="Arial"/>
          <w:b/>
          <w:bCs/>
          <w:iCs/>
          <w:sz w:val="20"/>
          <w:lang w:eastAsia="fr-FR"/>
        </w:rPr>
        <w:t xml:space="preserve"> BIENES </w:t>
      </w:r>
      <w:r w:rsidR="006C5DC3">
        <w:rPr>
          <w:rFonts w:ascii="Arial" w:hAnsi="Arial" w:cs="Arial"/>
          <w:b/>
          <w:bCs/>
          <w:iCs/>
          <w:sz w:val="20"/>
          <w:lang w:eastAsia="fr-FR"/>
        </w:rPr>
        <w:t>EN CABEZA DE LOS CÓNYUGES Y QUE FORMEN PARTE DE LA PARTICIÓN ADICIONAL.</w:t>
      </w:r>
    </w:p>
    <w:p w:rsidR="005C44B9" w:rsidRDefault="005C44B9" w:rsidP="005C44B9">
      <w:pPr>
        <w:jc w:val="both"/>
        <w:rPr>
          <w:rFonts w:ascii="Arial" w:hAnsi="Arial" w:cs="Arial"/>
          <w:szCs w:val="22"/>
        </w:rPr>
      </w:pPr>
    </w:p>
    <w:p w:rsidR="004F51F0" w:rsidRPr="006C5DC3" w:rsidRDefault="004F51F0" w:rsidP="006C5DC3">
      <w:pPr>
        <w:jc w:val="both"/>
        <w:rPr>
          <w:rFonts w:ascii="Arial" w:hAnsi="Arial" w:cs="Arial"/>
          <w:szCs w:val="22"/>
        </w:rPr>
      </w:pPr>
      <w:r w:rsidRPr="006C5DC3">
        <w:rPr>
          <w:rFonts w:ascii="Arial" w:hAnsi="Arial" w:cs="Arial"/>
          <w:szCs w:val="22"/>
        </w:rPr>
        <w:t xml:space="preserve">Los motivos que fundamentan la partición adicional se encuentran establecidos en el artículo 518 del Código General del Proceso, cuando perentoriamente prescribe: “Hay lugar a partición adicional cuando aparezcan nuevos bienes del causante o de la sociedad conyugal o patrimonial, o cuando el partidor dejó de adjudicar bienes inventariados (…)”.  </w:t>
      </w:r>
    </w:p>
    <w:p w:rsidR="004F51F0" w:rsidRPr="006C5DC3" w:rsidRDefault="004F51F0" w:rsidP="006C5DC3">
      <w:pPr>
        <w:jc w:val="both"/>
        <w:rPr>
          <w:rFonts w:ascii="Arial" w:hAnsi="Arial" w:cs="Arial"/>
          <w:szCs w:val="22"/>
        </w:rPr>
      </w:pPr>
    </w:p>
    <w:p w:rsidR="004F51F0" w:rsidRPr="006C5DC3" w:rsidRDefault="004F51F0" w:rsidP="006C5DC3">
      <w:pPr>
        <w:jc w:val="both"/>
        <w:rPr>
          <w:rFonts w:ascii="Arial" w:hAnsi="Arial" w:cs="Arial"/>
          <w:szCs w:val="22"/>
        </w:rPr>
      </w:pPr>
      <w:r w:rsidRPr="006C5DC3">
        <w:rPr>
          <w:rFonts w:ascii="Arial" w:hAnsi="Arial" w:cs="Arial"/>
          <w:szCs w:val="22"/>
        </w:rPr>
        <w:t xml:space="preserve">De tal forma que la partición adicional, es aquella accesoria y complementaria a una partición, que se denomina principal; es decir, hace parte de la anterior, por lo que fuerza concluir se enmarca dentro de los procesos de familia a que se refiere el artículo 598 del CGP, en los que se permiten las medidas cautelares de embargo y secuestro.  </w:t>
      </w:r>
    </w:p>
    <w:p w:rsidR="004F51F0" w:rsidRPr="006C5DC3" w:rsidRDefault="004F51F0" w:rsidP="006C5DC3">
      <w:pPr>
        <w:jc w:val="both"/>
        <w:rPr>
          <w:rFonts w:ascii="Arial" w:hAnsi="Arial" w:cs="Arial"/>
          <w:szCs w:val="22"/>
        </w:rPr>
      </w:pPr>
    </w:p>
    <w:p w:rsidR="004F51F0" w:rsidRPr="006C5DC3" w:rsidRDefault="004F51F0" w:rsidP="006C5DC3">
      <w:pPr>
        <w:jc w:val="both"/>
        <w:rPr>
          <w:rFonts w:ascii="Arial" w:hAnsi="Arial" w:cs="Arial"/>
          <w:szCs w:val="22"/>
        </w:rPr>
      </w:pPr>
      <w:r w:rsidRPr="006C5DC3">
        <w:rPr>
          <w:rFonts w:ascii="Arial" w:hAnsi="Arial" w:cs="Arial"/>
          <w:szCs w:val="22"/>
        </w:rPr>
        <w:t>Ahora bien, tal disposición legal, que encuentra su fundamento en la necesidad de proteger el haber social, en su numeral 1 restringe la posibilidad de solicitar las cautelas de los bienes que pueden ser objeto de gananciales, a que estuvieren en cabeza del otro ex cónyuge, lo cual se explica en cuanto a que de no estar en sus haberes, no podrá aducirse se van a distraer; de modo que para esta Sala, resultaría improcedente pedir y decretar tales medidas sobre un elemento patrimonial del cual, si bien hizo parte del haber de la sociedad conyugal, ya no se es titular del mismo.</w:t>
      </w:r>
    </w:p>
    <w:p w:rsidR="004F51F0" w:rsidRDefault="004F51F0" w:rsidP="005C44B9">
      <w:pPr>
        <w:jc w:val="both"/>
        <w:rPr>
          <w:rFonts w:ascii="Arial" w:hAnsi="Arial" w:cs="Arial"/>
          <w:szCs w:val="22"/>
        </w:rPr>
      </w:pPr>
    </w:p>
    <w:p w:rsidR="005C44B9" w:rsidRPr="004E7376" w:rsidRDefault="005C44B9" w:rsidP="005C44B9">
      <w:pPr>
        <w:jc w:val="both"/>
        <w:rPr>
          <w:rFonts w:ascii="Arial" w:hAnsi="Arial" w:cs="Arial"/>
          <w:szCs w:val="22"/>
        </w:rPr>
      </w:pPr>
    </w:p>
    <w:p w:rsidR="00BF7DCD" w:rsidRPr="00DC0772" w:rsidRDefault="00BF7DCD" w:rsidP="00DC0772">
      <w:pPr>
        <w:jc w:val="both"/>
        <w:rPr>
          <w:rFonts w:ascii="Arial" w:hAnsi="Arial" w:cs="Arial"/>
          <w:szCs w:val="22"/>
        </w:rPr>
      </w:pPr>
    </w:p>
    <w:p w:rsidR="00BF7DCD" w:rsidRPr="00DC0772" w:rsidRDefault="00BF7DCD" w:rsidP="00DC0772">
      <w:pPr>
        <w:spacing w:line="312" w:lineRule="auto"/>
        <w:ind w:firstLine="2835"/>
        <w:rPr>
          <w:rFonts w:ascii="Arial" w:hAnsi="Arial" w:cs="Arial"/>
          <w:b/>
          <w:bCs/>
          <w:sz w:val="24"/>
          <w:szCs w:val="24"/>
        </w:rPr>
      </w:pPr>
      <w:r w:rsidRPr="00DC0772">
        <w:rPr>
          <w:rFonts w:ascii="Arial" w:hAnsi="Arial" w:cs="Arial"/>
          <w:b/>
          <w:bCs/>
          <w:sz w:val="24"/>
          <w:szCs w:val="24"/>
        </w:rPr>
        <w:t>TRIBUNAL SUPERIOR DE PEREIRA</w:t>
      </w:r>
    </w:p>
    <w:p w:rsidR="00BF7DCD" w:rsidRPr="00DC0772" w:rsidRDefault="00BF7DCD" w:rsidP="00DC0772">
      <w:pPr>
        <w:spacing w:line="312" w:lineRule="auto"/>
        <w:ind w:firstLine="2835"/>
        <w:rPr>
          <w:rFonts w:ascii="Arial" w:hAnsi="Arial" w:cs="Arial"/>
          <w:b/>
          <w:bCs/>
          <w:sz w:val="24"/>
          <w:szCs w:val="24"/>
        </w:rPr>
      </w:pPr>
      <w:r w:rsidRPr="00DC0772">
        <w:rPr>
          <w:rFonts w:ascii="Arial" w:hAnsi="Arial" w:cs="Arial"/>
          <w:b/>
          <w:bCs/>
          <w:sz w:val="24"/>
          <w:szCs w:val="24"/>
        </w:rPr>
        <w:t>Sala de Decisión Civil Familia</w:t>
      </w:r>
    </w:p>
    <w:p w:rsidR="00BF7DCD" w:rsidRPr="00DC0772" w:rsidRDefault="00BF7DCD" w:rsidP="00DC0772">
      <w:pPr>
        <w:spacing w:line="312" w:lineRule="auto"/>
        <w:ind w:firstLine="2835"/>
        <w:rPr>
          <w:rFonts w:ascii="Arial" w:hAnsi="Arial" w:cs="Arial"/>
          <w:bCs/>
          <w:sz w:val="24"/>
          <w:szCs w:val="24"/>
        </w:rPr>
      </w:pPr>
    </w:p>
    <w:p w:rsidR="00BF7DCD" w:rsidRPr="00DC0772" w:rsidRDefault="00BF7DCD" w:rsidP="00DC0772">
      <w:pPr>
        <w:spacing w:line="312" w:lineRule="auto"/>
        <w:ind w:firstLine="2835"/>
        <w:rPr>
          <w:rFonts w:ascii="Arial" w:hAnsi="Arial" w:cs="Arial"/>
          <w:bCs/>
          <w:sz w:val="24"/>
          <w:szCs w:val="24"/>
        </w:rPr>
      </w:pPr>
      <w:r w:rsidRPr="00DC0772">
        <w:rPr>
          <w:rFonts w:ascii="Arial" w:hAnsi="Arial" w:cs="Arial"/>
          <w:bCs/>
          <w:sz w:val="24"/>
          <w:szCs w:val="24"/>
        </w:rPr>
        <w:t xml:space="preserve">Magistrado: </w:t>
      </w:r>
      <w:r w:rsidRPr="00DC0772">
        <w:rPr>
          <w:rFonts w:ascii="Arial" w:hAnsi="Arial" w:cs="Arial"/>
          <w:b/>
          <w:bCs/>
          <w:sz w:val="24"/>
          <w:szCs w:val="24"/>
        </w:rPr>
        <w:t>EDDER JIMMY SÁNCHEZ CALAMBÁS</w:t>
      </w:r>
    </w:p>
    <w:p w:rsidR="00BF7DCD" w:rsidRPr="00DC0772" w:rsidRDefault="00BF7DCD" w:rsidP="00DC0772">
      <w:pPr>
        <w:spacing w:line="312" w:lineRule="auto"/>
        <w:ind w:firstLine="2835"/>
        <w:rPr>
          <w:rFonts w:ascii="Arial" w:hAnsi="Arial" w:cs="Arial"/>
          <w:bCs/>
          <w:sz w:val="24"/>
          <w:szCs w:val="24"/>
        </w:rPr>
      </w:pPr>
      <w:r w:rsidRPr="00DC0772">
        <w:rPr>
          <w:rFonts w:ascii="Arial" w:hAnsi="Arial" w:cs="Arial"/>
          <w:bCs/>
          <w:sz w:val="24"/>
          <w:szCs w:val="24"/>
        </w:rPr>
        <w:t xml:space="preserve">Pereira, </w:t>
      </w:r>
      <w:r w:rsidR="00DA5FA1" w:rsidRPr="00DC0772">
        <w:rPr>
          <w:rFonts w:ascii="Arial" w:hAnsi="Arial" w:cs="Arial"/>
          <w:bCs/>
          <w:sz w:val="24"/>
          <w:szCs w:val="24"/>
        </w:rPr>
        <w:t>dos (2) de octubre</w:t>
      </w:r>
      <w:r w:rsidRPr="00DC0772">
        <w:rPr>
          <w:rFonts w:ascii="Arial" w:hAnsi="Arial" w:cs="Arial"/>
          <w:bCs/>
          <w:sz w:val="24"/>
          <w:szCs w:val="24"/>
        </w:rPr>
        <w:t xml:space="preserve"> de dos mil dieciocho</w:t>
      </w:r>
    </w:p>
    <w:p w:rsidR="00BF7DCD" w:rsidRPr="00DC0772" w:rsidRDefault="00BF7DCD" w:rsidP="00DC0772">
      <w:pPr>
        <w:pStyle w:val="Sinespaciado1"/>
        <w:spacing w:line="312" w:lineRule="auto"/>
        <w:ind w:firstLine="2835"/>
        <w:rPr>
          <w:rFonts w:ascii="Arial" w:hAnsi="Arial" w:cs="Arial"/>
          <w:sz w:val="24"/>
          <w:szCs w:val="24"/>
          <w:lang w:val="es-ES" w:eastAsia="es-ES"/>
        </w:rPr>
      </w:pPr>
      <w:r w:rsidRPr="00DC0772">
        <w:rPr>
          <w:rFonts w:ascii="Arial" w:hAnsi="Arial" w:cs="Arial"/>
          <w:sz w:val="24"/>
          <w:szCs w:val="24"/>
          <w:lang w:val="es-ES" w:eastAsia="es-ES"/>
        </w:rPr>
        <w:t>___________________________________________</w:t>
      </w:r>
    </w:p>
    <w:p w:rsidR="00BF7DCD" w:rsidRPr="00DC0772" w:rsidRDefault="00BF7DCD" w:rsidP="00DC0772">
      <w:pPr>
        <w:pStyle w:val="Sinespaciado1"/>
        <w:spacing w:line="312" w:lineRule="auto"/>
        <w:ind w:firstLine="2835"/>
        <w:jc w:val="both"/>
        <w:rPr>
          <w:rFonts w:ascii="Arial" w:hAnsi="Arial" w:cs="Arial"/>
          <w:b/>
          <w:sz w:val="24"/>
          <w:szCs w:val="24"/>
          <w:lang w:val="es-ES" w:eastAsia="es-ES"/>
        </w:rPr>
      </w:pPr>
    </w:p>
    <w:p w:rsidR="00BF7DCD" w:rsidRPr="00DC0772" w:rsidRDefault="00BF7DCD" w:rsidP="00DC0772">
      <w:pPr>
        <w:pStyle w:val="Sinespaciado1"/>
        <w:spacing w:line="312" w:lineRule="auto"/>
        <w:ind w:firstLine="2835"/>
        <w:jc w:val="both"/>
        <w:rPr>
          <w:rFonts w:ascii="Arial" w:hAnsi="Arial" w:cs="Arial"/>
          <w:b/>
          <w:sz w:val="24"/>
          <w:szCs w:val="24"/>
          <w:lang w:val="es-ES" w:eastAsia="es-ES"/>
        </w:rPr>
      </w:pPr>
      <w:r w:rsidRPr="00DC0772">
        <w:rPr>
          <w:rFonts w:ascii="Arial" w:hAnsi="Arial" w:cs="Arial"/>
          <w:b/>
          <w:sz w:val="24"/>
          <w:szCs w:val="24"/>
          <w:lang w:val="es-ES" w:eastAsia="es-ES"/>
        </w:rPr>
        <w:t>I. ASUNTO</w:t>
      </w:r>
    </w:p>
    <w:p w:rsidR="00BF7DCD" w:rsidRPr="00DC0772" w:rsidRDefault="00BF7DCD" w:rsidP="00DC0772">
      <w:pPr>
        <w:pStyle w:val="Sinespaciado1"/>
        <w:spacing w:line="312" w:lineRule="auto"/>
        <w:ind w:firstLine="2835"/>
        <w:jc w:val="both"/>
        <w:rPr>
          <w:rFonts w:ascii="Arial" w:hAnsi="Arial" w:cs="Arial"/>
          <w:b/>
          <w:sz w:val="24"/>
          <w:szCs w:val="24"/>
          <w:lang w:val="es-ES" w:eastAsia="es-ES"/>
        </w:rPr>
      </w:pPr>
    </w:p>
    <w:p w:rsidR="00BF7DCD" w:rsidRPr="00DC0772" w:rsidRDefault="00BF7DCD" w:rsidP="00DC0772">
      <w:pPr>
        <w:pStyle w:val="Sinespaciado1"/>
        <w:spacing w:line="312" w:lineRule="auto"/>
        <w:ind w:firstLine="2835"/>
        <w:jc w:val="both"/>
        <w:rPr>
          <w:rFonts w:ascii="Arial" w:hAnsi="Arial" w:cs="Arial"/>
          <w:bCs/>
          <w:sz w:val="24"/>
          <w:szCs w:val="24"/>
          <w:lang w:val="es-MX"/>
        </w:rPr>
      </w:pPr>
      <w:r w:rsidRPr="00DC0772">
        <w:rPr>
          <w:rFonts w:ascii="Arial" w:hAnsi="Arial" w:cs="Arial"/>
          <w:bCs/>
          <w:sz w:val="24"/>
          <w:szCs w:val="24"/>
          <w:lang w:val="es-ES"/>
        </w:rPr>
        <w:t xml:space="preserve">Se decide </w:t>
      </w:r>
      <w:r w:rsidRPr="00DC0772">
        <w:rPr>
          <w:rFonts w:ascii="Arial" w:hAnsi="Arial" w:cs="Arial"/>
          <w:bCs/>
          <w:sz w:val="24"/>
          <w:szCs w:val="24"/>
          <w:lang w:val="es-MX"/>
        </w:rPr>
        <w:t xml:space="preserve">el recurso de apelación formulado por el demandado, contra el auto de 4 de mayo de 2018 proferido por el Juzgado Único de Familia de Dosquebradas, en la partición adicional a la liquidación de la sociedad conyugal promovida por </w:t>
      </w:r>
      <w:r w:rsidRPr="00DC0772">
        <w:rPr>
          <w:rFonts w:ascii="Arial" w:hAnsi="Arial" w:cs="Arial"/>
          <w:b/>
          <w:bCs/>
          <w:sz w:val="24"/>
          <w:szCs w:val="24"/>
          <w:lang w:val="es-MX"/>
        </w:rPr>
        <w:t>MARÍA OFIR VALENCIA ZAPATA</w:t>
      </w:r>
      <w:r w:rsidRPr="00DC0772">
        <w:rPr>
          <w:rFonts w:ascii="Arial" w:hAnsi="Arial" w:cs="Arial"/>
          <w:bCs/>
          <w:sz w:val="24"/>
          <w:szCs w:val="24"/>
          <w:lang w:val="es-MX"/>
        </w:rPr>
        <w:t xml:space="preserve"> frente a </w:t>
      </w:r>
      <w:r w:rsidRPr="00DC0772">
        <w:rPr>
          <w:rFonts w:ascii="Arial" w:hAnsi="Arial" w:cs="Arial"/>
          <w:b/>
          <w:bCs/>
          <w:sz w:val="24"/>
          <w:szCs w:val="24"/>
          <w:lang w:val="es-MX"/>
        </w:rPr>
        <w:t>OTONIEL OSORIO OSORIO</w:t>
      </w:r>
      <w:r w:rsidRPr="00DC0772">
        <w:rPr>
          <w:rFonts w:ascii="Arial" w:hAnsi="Arial" w:cs="Arial"/>
          <w:bCs/>
          <w:sz w:val="24"/>
          <w:szCs w:val="24"/>
          <w:lang w:val="es-MX"/>
        </w:rPr>
        <w:t xml:space="preserve">.                                                                                                                                                                                                                                                                                                                                                                                                                                                                                                                                                                                                                                                                                                                                                                                                                                                                                                                                                                                                                                                                                                                                                                                                                                                                                                                                                                                                                                                                                                                                                                                                                                                                                                                                                                                                                                                                                                                                                                                                                                                                                                                                                                                                                                                                                                                                                                                                                                                                                                                                                                                                                                                                                                                                                                                                                                                                                                                                                                                                                                                                                                                                                                                                                                                                                                                                                                                                                                                                                                                                                                                                                                                                                                                                                                                                                                                                                                                                                                                                                                                                                                                                                                                                                                                                                                                                                                                                                                                                                                                                                                                                                                                                                                                                                                                                                                                                                                                                                                                                                                                                                                                                                                                                                                                                                                                                                                                                                                                                                                                                                                                                                                                                                                                                                                                                                                                                                                                                                                                                                                                                                                                                                                                                                                                                                                                                                                                                                                                                                                                                                                                                                                                                                                                                                                                                                                                                                                                                                                                                                                                                                                                                                                                                                                                                                                                                                                                                                                                                                                                                                                                                                                                                                                                                                                                                                                                                                                                                                                                                                                                                                                                                                                                                                                                                                                                                                                                                                                                                                                                                                                                                                                                                                                                                                                                                                                                                                                                                                                                                                                                                                                                                                                                                                                                                                                                                                                                                                                                                                                                                                                                                                                                                                                                                                                                                                                                                                                                                                                                                                                                                                                                                                                                                                                                                                                                                                                                                                                                                                                                                                                                                                                                                                                                                                                                                                                                                                                                                                                                                                                                                                                                                                                                                                                                                                                                                                                                                                                                                                                                                                                                                                                                                                                                                                                                                                                                                                                                                                                                                                                                                                                                                                                                                                                                                                                                                                                                                                                                                                                                                                                                                                                                                                                                                                                                                                                                                                                                                                                                                                                                                                                                                                                                                                                                                                                                                                                                                                                                                                                                                                                                                                                                                                                                                                                                                                                                                                                                                                                                                                                                                                                                                                                                                                                                                                                                                                                                                                                                                                                                                                                                                                                                                                                                                                                                                                                                                                                                                                                                                                                                                                                                                                                                                                                                                                                                             </w:t>
      </w:r>
    </w:p>
    <w:p w:rsidR="00BF7DCD" w:rsidRPr="00DC0772" w:rsidRDefault="00BF7DCD" w:rsidP="00DC0772">
      <w:pPr>
        <w:pStyle w:val="Sinespaciado1"/>
        <w:spacing w:line="312" w:lineRule="auto"/>
        <w:ind w:firstLine="2835"/>
        <w:jc w:val="both"/>
        <w:rPr>
          <w:rFonts w:ascii="Arial" w:hAnsi="Arial" w:cs="Arial"/>
          <w:sz w:val="24"/>
          <w:szCs w:val="24"/>
          <w:lang w:val="es-ES" w:eastAsia="es-ES"/>
        </w:rPr>
      </w:pPr>
    </w:p>
    <w:p w:rsidR="00BF7DCD" w:rsidRPr="00DC0772" w:rsidRDefault="00BF7DCD" w:rsidP="00DC0772">
      <w:pPr>
        <w:pStyle w:val="Sinespaciado1"/>
        <w:spacing w:line="312" w:lineRule="auto"/>
        <w:ind w:firstLine="2835"/>
        <w:jc w:val="both"/>
        <w:rPr>
          <w:rFonts w:ascii="Arial" w:hAnsi="Arial" w:cs="Arial"/>
          <w:b/>
          <w:bCs/>
          <w:sz w:val="24"/>
          <w:szCs w:val="24"/>
          <w:lang w:val="es-ES_tradnl" w:eastAsia="es-ES"/>
        </w:rPr>
      </w:pPr>
      <w:r w:rsidRPr="00DC0772">
        <w:rPr>
          <w:rFonts w:ascii="Arial" w:hAnsi="Arial" w:cs="Arial"/>
          <w:b/>
          <w:bCs/>
          <w:sz w:val="24"/>
          <w:szCs w:val="24"/>
          <w:lang w:val="es-ES_tradnl" w:eastAsia="es-ES"/>
        </w:rPr>
        <w:t>II. ANTECEDENTES</w:t>
      </w:r>
    </w:p>
    <w:p w:rsidR="00BF7DCD" w:rsidRPr="00DC0772" w:rsidRDefault="00BF7DCD" w:rsidP="00DC0772">
      <w:pPr>
        <w:pStyle w:val="Sinespaciado1"/>
        <w:spacing w:line="312" w:lineRule="auto"/>
        <w:ind w:firstLine="2835"/>
        <w:jc w:val="both"/>
        <w:rPr>
          <w:rFonts w:ascii="Arial" w:hAnsi="Arial" w:cs="Arial"/>
          <w:bCs/>
          <w:sz w:val="24"/>
          <w:szCs w:val="24"/>
          <w:lang w:val="es-ES_tradnl" w:eastAsia="es-ES"/>
        </w:rPr>
      </w:pPr>
    </w:p>
    <w:p w:rsidR="00BF7DCD" w:rsidRPr="00DC0772" w:rsidRDefault="00BF7DCD" w:rsidP="00DC0772">
      <w:pPr>
        <w:pStyle w:val="Sinespaciado1"/>
        <w:spacing w:line="312" w:lineRule="auto"/>
        <w:ind w:firstLine="2835"/>
        <w:jc w:val="both"/>
        <w:rPr>
          <w:rFonts w:ascii="Arial" w:hAnsi="Arial" w:cs="Arial"/>
          <w:sz w:val="24"/>
          <w:szCs w:val="24"/>
        </w:rPr>
      </w:pPr>
      <w:r w:rsidRPr="00DC0772">
        <w:rPr>
          <w:rFonts w:ascii="Arial" w:hAnsi="Arial" w:cs="Arial"/>
          <w:sz w:val="24"/>
          <w:szCs w:val="24"/>
        </w:rPr>
        <w:t xml:space="preserve">1. Mediante apoderado judicial, pidió la señora </w:t>
      </w:r>
      <w:r w:rsidRPr="00DC0772">
        <w:rPr>
          <w:rFonts w:ascii="Arial" w:hAnsi="Arial" w:cs="Arial"/>
          <w:b/>
          <w:bCs/>
          <w:sz w:val="24"/>
          <w:szCs w:val="24"/>
          <w:lang w:val="es-MX"/>
        </w:rPr>
        <w:t>MARÍA OFIR VALENCIA ZAPATA</w:t>
      </w:r>
      <w:r w:rsidRPr="00DC0772">
        <w:rPr>
          <w:rFonts w:ascii="Arial" w:hAnsi="Arial" w:cs="Arial"/>
          <w:sz w:val="24"/>
          <w:szCs w:val="24"/>
        </w:rPr>
        <w:t xml:space="preserve"> liquidación adicional de la sociedad conyugal que se formó por el matrimonio contraído con el señor</w:t>
      </w:r>
      <w:r w:rsidRPr="00DC0772">
        <w:rPr>
          <w:rFonts w:ascii="Arial" w:hAnsi="Arial" w:cs="Arial"/>
          <w:b/>
          <w:bCs/>
          <w:sz w:val="24"/>
          <w:szCs w:val="24"/>
          <w:lang w:val="es-MX"/>
        </w:rPr>
        <w:t xml:space="preserve"> OTONIEL OSORIO OSORIO.</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BF7DCD" w:rsidP="00DC0772">
      <w:pPr>
        <w:pStyle w:val="Sinespaciado1"/>
        <w:spacing w:line="312" w:lineRule="auto"/>
        <w:ind w:firstLine="2835"/>
        <w:jc w:val="both"/>
        <w:rPr>
          <w:rFonts w:ascii="Arial" w:hAnsi="Arial" w:cs="Arial"/>
          <w:sz w:val="24"/>
          <w:szCs w:val="24"/>
        </w:rPr>
      </w:pPr>
      <w:r w:rsidRPr="00DC0772">
        <w:rPr>
          <w:rFonts w:ascii="Arial" w:hAnsi="Arial" w:cs="Arial"/>
          <w:sz w:val="24"/>
          <w:szCs w:val="24"/>
        </w:rPr>
        <w:t xml:space="preserve">2. Relacionó como partida única de la partición adicional el siguiente bien: Un inmueble ubicado en la calle 44 No. 18-33 de Dosquebradas Risaralda, con folio de matrícula inmobiliaria número 294-30373, el cual describió por sus linderos y dijo haberlo adquirido su ex esposo mediante escritura pública número 1243 del 24 de marzo de 1994, </w:t>
      </w:r>
      <w:r w:rsidR="00AE54F6" w:rsidRPr="00DC0772">
        <w:rPr>
          <w:rFonts w:ascii="Arial" w:hAnsi="Arial" w:cs="Arial"/>
          <w:sz w:val="24"/>
          <w:szCs w:val="24"/>
        </w:rPr>
        <w:t>otor</w:t>
      </w:r>
      <w:r w:rsidRPr="00DC0772">
        <w:rPr>
          <w:rFonts w:ascii="Arial" w:hAnsi="Arial" w:cs="Arial"/>
          <w:sz w:val="24"/>
          <w:szCs w:val="24"/>
        </w:rPr>
        <w:t xml:space="preserve">gada en la </w:t>
      </w:r>
      <w:r w:rsidR="00AE54F6" w:rsidRPr="00DC0772">
        <w:rPr>
          <w:rFonts w:ascii="Arial" w:hAnsi="Arial" w:cs="Arial"/>
          <w:sz w:val="24"/>
          <w:szCs w:val="24"/>
        </w:rPr>
        <w:t>Notaría</w:t>
      </w:r>
      <w:r w:rsidRPr="00DC0772">
        <w:rPr>
          <w:rFonts w:ascii="Arial" w:hAnsi="Arial" w:cs="Arial"/>
          <w:sz w:val="24"/>
          <w:szCs w:val="24"/>
        </w:rPr>
        <w:t xml:space="preserve"> </w:t>
      </w:r>
      <w:r w:rsidR="00AE54F6" w:rsidRPr="00DC0772">
        <w:rPr>
          <w:rFonts w:ascii="Arial" w:hAnsi="Arial" w:cs="Arial"/>
          <w:sz w:val="24"/>
          <w:szCs w:val="24"/>
        </w:rPr>
        <w:t xml:space="preserve">Segunda </w:t>
      </w:r>
      <w:r w:rsidRPr="00DC0772">
        <w:rPr>
          <w:rFonts w:ascii="Arial" w:hAnsi="Arial" w:cs="Arial"/>
          <w:sz w:val="24"/>
          <w:szCs w:val="24"/>
        </w:rPr>
        <w:t>de Pereira.</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BF7DCD" w:rsidP="00DC0772">
      <w:pPr>
        <w:pStyle w:val="Sinespaciado1"/>
        <w:spacing w:line="312" w:lineRule="auto"/>
        <w:ind w:firstLine="2835"/>
        <w:jc w:val="both"/>
        <w:rPr>
          <w:rFonts w:ascii="Arial" w:hAnsi="Arial" w:cs="Arial"/>
          <w:sz w:val="24"/>
          <w:szCs w:val="24"/>
        </w:rPr>
      </w:pPr>
      <w:r w:rsidRPr="00DC0772">
        <w:rPr>
          <w:rFonts w:ascii="Arial" w:hAnsi="Arial" w:cs="Arial"/>
          <w:sz w:val="24"/>
          <w:szCs w:val="24"/>
        </w:rPr>
        <w:t xml:space="preserve">En audiencia de </w:t>
      </w:r>
      <w:r w:rsidR="00AE54F6" w:rsidRPr="00DC0772">
        <w:rPr>
          <w:rFonts w:ascii="Arial" w:hAnsi="Arial" w:cs="Arial"/>
          <w:sz w:val="24"/>
          <w:szCs w:val="24"/>
        </w:rPr>
        <w:t xml:space="preserve">inventario y avalúos de </w:t>
      </w:r>
      <w:r w:rsidRPr="00DC0772">
        <w:rPr>
          <w:rFonts w:ascii="Arial" w:hAnsi="Arial" w:cs="Arial"/>
          <w:sz w:val="24"/>
          <w:szCs w:val="24"/>
        </w:rPr>
        <w:t>que trata el artículo 501 y s</w:t>
      </w:r>
      <w:r w:rsidR="00AE54F6" w:rsidRPr="00DC0772">
        <w:rPr>
          <w:rFonts w:ascii="Arial" w:hAnsi="Arial" w:cs="Arial"/>
          <w:sz w:val="24"/>
          <w:szCs w:val="24"/>
        </w:rPr>
        <w:t>iguiente</w:t>
      </w:r>
      <w:r w:rsidR="003C7DD9" w:rsidRPr="00DC0772">
        <w:rPr>
          <w:rFonts w:ascii="Arial" w:hAnsi="Arial" w:cs="Arial"/>
          <w:sz w:val="24"/>
          <w:szCs w:val="24"/>
        </w:rPr>
        <w:t>s</w:t>
      </w:r>
      <w:r w:rsidR="00AE54F6" w:rsidRPr="00DC0772">
        <w:rPr>
          <w:rFonts w:ascii="Arial" w:hAnsi="Arial" w:cs="Arial"/>
          <w:sz w:val="24"/>
          <w:szCs w:val="24"/>
        </w:rPr>
        <w:t xml:space="preserve"> </w:t>
      </w:r>
      <w:r w:rsidRPr="00DC0772">
        <w:rPr>
          <w:rFonts w:ascii="Arial" w:hAnsi="Arial" w:cs="Arial"/>
          <w:sz w:val="24"/>
          <w:szCs w:val="24"/>
        </w:rPr>
        <w:t xml:space="preserve">del Código General del Proceso, celebrada el 4 de mayo de este año, </w:t>
      </w:r>
      <w:r w:rsidR="003C7DD9" w:rsidRPr="00DC0772">
        <w:rPr>
          <w:rFonts w:ascii="Arial" w:hAnsi="Arial" w:cs="Arial"/>
          <w:sz w:val="24"/>
          <w:szCs w:val="24"/>
        </w:rPr>
        <w:t>solicitó</w:t>
      </w:r>
      <w:r w:rsidRPr="00DC0772">
        <w:rPr>
          <w:rFonts w:ascii="Arial" w:hAnsi="Arial" w:cs="Arial"/>
          <w:sz w:val="24"/>
          <w:szCs w:val="24"/>
        </w:rPr>
        <w:t xml:space="preserve"> el abogado de la</w:t>
      </w:r>
      <w:r w:rsidR="00AE54F6" w:rsidRPr="00DC0772">
        <w:rPr>
          <w:rFonts w:ascii="Arial" w:hAnsi="Arial" w:cs="Arial"/>
          <w:sz w:val="24"/>
          <w:szCs w:val="24"/>
        </w:rPr>
        <w:t xml:space="preserve"> señora</w:t>
      </w:r>
      <w:r w:rsidR="00AE54F6" w:rsidRPr="00DC0772">
        <w:rPr>
          <w:rFonts w:ascii="Arial" w:hAnsi="Arial" w:cs="Arial"/>
          <w:b/>
          <w:bCs/>
          <w:sz w:val="24"/>
          <w:szCs w:val="24"/>
          <w:lang w:val="es-MX"/>
        </w:rPr>
        <w:t xml:space="preserve"> MARÍA OFIR</w:t>
      </w:r>
      <w:r w:rsidRPr="00DC0772">
        <w:rPr>
          <w:rFonts w:ascii="Arial" w:hAnsi="Arial" w:cs="Arial"/>
          <w:sz w:val="24"/>
          <w:szCs w:val="24"/>
        </w:rPr>
        <w:t>, con fundamento en el artículo 593-3, el secuestro de la posesión que ostenta</w:t>
      </w:r>
      <w:r w:rsidR="00AE54F6" w:rsidRPr="00DC0772">
        <w:rPr>
          <w:rFonts w:ascii="Arial" w:hAnsi="Arial" w:cs="Arial"/>
          <w:b/>
          <w:bCs/>
          <w:sz w:val="24"/>
          <w:szCs w:val="24"/>
          <w:lang w:val="es-MX"/>
        </w:rPr>
        <w:t xml:space="preserve"> OTONIEL OSORIO OSORIO</w:t>
      </w:r>
      <w:r w:rsidRPr="00DC0772">
        <w:rPr>
          <w:rFonts w:ascii="Arial" w:hAnsi="Arial" w:cs="Arial"/>
          <w:sz w:val="24"/>
          <w:szCs w:val="24"/>
        </w:rPr>
        <w:t>, sobre el bien inmueble objeto de la partición, toda vez que el citado señor, “funge como tenedor con ánimo de señor y dueño, habida cuenta que reside en ese lugar y además cuando viaja, efectivamente ahí es donde lo reciben y se ubica y permanece en ese inmueble. Frente al público hay prueba suficiente donde se dice y se entiende que él es el propietario de ese bien</w:t>
      </w:r>
      <w:r w:rsidR="00AE54F6" w:rsidRPr="00DC0772">
        <w:rPr>
          <w:rFonts w:ascii="Arial" w:hAnsi="Arial" w:cs="Arial"/>
          <w:sz w:val="24"/>
          <w:szCs w:val="24"/>
        </w:rPr>
        <w:t>.</w:t>
      </w:r>
      <w:r w:rsidRPr="00DC0772">
        <w:rPr>
          <w:rFonts w:ascii="Arial" w:hAnsi="Arial" w:cs="Arial"/>
          <w:sz w:val="24"/>
          <w:szCs w:val="24"/>
        </w:rPr>
        <w:t>” (minuto 07:30</w:t>
      </w:r>
      <w:r w:rsidR="00AE54F6" w:rsidRPr="00DC0772">
        <w:rPr>
          <w:rFonts w:ascii="Arial" w:hAnsi="Arial" w:cs="Arial"/>
          <w:sz w:val="24"/>
          <w:szCs w:val="24"/>
        </w:rPr>
        <w:t xml:space="preserve"> del CD de audio de la diligencia</w:t>
      </w:r>
      <w:r w:rsidRPr="00DC0772">
        <w:rPr>
          <w:rFonts w:ascii="Arial" w:hAnsi="Arial" w:cs="Arial"/>
          <w:sz w:val="24"/>
          <w:szCs w:val="24"/>
        </w:rPr>
        <w:t>)</w:t>
      </w:r>
      <w:r w:rsidR="00AE54F6" w:rsidRPr="00DC0772">
        <w:rPr>
          <w:rFonts w:ascii="Arial" w:hAnsi="Arial" w:cs="Arial"/>
          <w:sz w:val="24"/>
          <w:szCs w:val="24"/>
        </w:rPr>
        <w:t>.</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BF7DCD" w:rsidP="00DC0772">
      <w:pPr>
        <w:pStyle w:val="Sinespaciado1"/>
        <w:spacing w:line="312" w:lineRule="auto"/>
        <w:ind w:firstLine="2835"/>
        <w:jc w:val="both"/>
        <w:rPr>
          <w:rFonts w:ascii="Arial" w:hAnsi="Arial" w:cs="Arial"/>
          <w:sz w:val="24"/>
          <w:szCs w:val="24"/>
        </w:rPr>
      </w:pPr>
      <w:r w:rsidRPr="00DC0772">
        <w:rPr>
          <w:rFonts w:ascii="Arial" w:hAnsi="Arial" w:cs="Arial"/>
          <w:sz w:val="24"/>
          <w:szCs w:val="24"/>
        </w:rPr>
        <w:t xml:space="preserve">3. Mediante el auto confutado, el </w:t>
      </w:r>
      <w:r w:rsidRPr="00DC0772">
        <w:rPr>
          <w:rFonts w:ascii="Arial" w:hAnsi="Arial" w:cs="Arial"/>
          <w:i/>
          <w:sz w:val="24"/>
          <w:szCs w:val="24"/>
        </w:rPr>
        <w:t xml:space="preserve">a quo </w:t>
      </w:r>
      <w:r w:rsidRPr="00DC0772">
        <w:rPr>
          <w:rFonts w:ascii="Arial" w:hAnsi="Arial" w:cs="Arial"/>
          <w:sz w:val="24"/>
          <w:szCs w:val="24"/>
        </w:rPr>
        <w:t>resolvió acceder al tal pedimento, dijo “</w:t>
      </w:r>
      <w:r w:rsidRPr="00DC0772">
        <w:rPr>
          <w:rFonts w:ascii="Arial" w:hAnsi="Arial" w:cs="Arial"/>
          <w:i/>
          <w:sz w:val="24"/>
          <w:szCs w:val="24"/>
        </w:rPr>
        <w:t>a pesar de que en el registro de tradición aparece que le transfirió el derecho real de dominio a una hija, pero que él realmente funge como poseedor, con actos de señor y dueño, (…) antes de continuar con el inventario y avalúos para que sea incluido eventualmente en la próxima diligencia de inventarios y avalúos, decreta el secuestro de la posesión que dice el apoderado de la parte demandada, ostenta el señor Otoniel Osorio, a pesar de que en el certificado de registro aparece que es su hija la propietaria, entonces, el despacho atiende esa petición, suspende esta audiencia de inventarios y avalúos, decreta, no el embargo, porque el bien inmueble no está en cabeza del demandado, decreta el secuestro de la posesión, medida que procede de conformidad con el artículo 598 del Código General del Proceso (…) como este bien, lo que se está alegando es la posesión efectivamente el bien como tal no está en cabeza del otro cónyuge, pero dice la parte demandante que es la posesión la que está en su cabeza, por eso, la norma del artículo 593 que citó el apoderado de la parte demandante, embargos, tercero, el de bienes muebles no sujetos a registro y de la posesión sobre bienes muebles o inmuebles se consumará mediante el secuestro de estos, compaginándolo con el 598 del CGP, es viable decretar el secuestro (…)”</w:t>
      </w:r>
      <w:r w:rsidRPr="00DC0772">
        <w:rPr>
          <w:rFonts w:ascii="Arial" w:hAnsi="Arial" w:cs="Arial"/>
          <w:sz w:val="24"/>
          <w:szCs w:val="24"/>
        </w:rPr>
        <w:t xml:space="preserve"> (minuto 13:42)</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0078B5" w:rsidP="00DC0772">
      <w:pPr>
        <w:pStyle w:val="Sinespaciado1"/>
        <w:spacing w:line="312" w:lineRule="auto"/>
        <w:ind w:firstLine="2835"/>
        <w:jc w:val="both"/>
        <w:rPr>
          <w:rFonts w:ascii="Arial" w:hAnsi="Arial" w:cs="Arial"/>
          <w:sz w:val="24"/>
          <w:szCs w:val="24"/>
        </w:rPr>
      </w:pPr>
      <w:r w:rsidRPr="00DC0772">
        <w:rPr>
          <w:rFonts w:ascii="Arial" w:hAnsi="Arial" w:cs="Arial"/>
          <w:sz w:val="24"/>
          <w:szCs w:val="24"/>
        </w:rPr>
        <w:t>4</w:t>
      </w:r>
      <w:r w:rsidR="00BF7DCD" w:rsidRPr="00DC0772">
        <w:rPr>
          <w:rFonts w:ascii="Arial" w:hAnsi="Arial" w:cs="Arial"/>
          <w:sz w:val="24"/>
          <w:szCs w:val="24"/>
        </w:rPr>
        <w:t xml:space="preserve">. Los motivos de inconformidad de la parte demandante, se formularon por vía de apelación, (minuto 26:00), sustentada en que el señor Otoniel Osorio, no es propietario, ni poseedor, ni tenedor del bien inmueble perseguido. Su representado posee nacionalidad y ciudadanía estadounidense, donde tiene establecida su residencia, domicilio y asiento principal de sus negocios y cuando viaja </w:t>
      </w:r>
      <w:r w:rsidR="00BF7DCD" w:rsidRPr="00DC0772">
        <w:rPr>
          <w:rFonts w:ascii="Arial" w:hAnsi="Arial" w:cs="Arial"/>
          <w:sz w:val="24"/>
          <w:szCs w:val="24"/>
        </w:rPr>
        <w:lastRenderedPageBreak/>
        <w:t>a Colombia se hospeda en el Conjunto Residencia Galatea de Dosquebradas o en Itagüí</w:t>
      </w:r>
      <w:r w:rsidR="00740E79">
        <w:rPr>
          <w:rFonts w:ascii="Arial" w:hAnsi="Arial" w:cs="Arial"/>
          <w:sz w:val="24"/>
          <w:szCs w:val="24"/>
        </w:rPr>
        <w:t xml:space="preserve">, </w:t>
      </w:r>
      <w:r w:rsidR="00BF7DCD" w:rsidRPr="00DC0772">
        <w:rPr>
          <w:rFonts w:ascii="Arial" w:hAnsi="Arial" w:cs="Arial"/>
          <w:sz w:val="24"/>
          <w:szCs w:val="24"/>
        </w:rPr>
        <w:t xml:space="preserve">Antioquia. </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BF7DCD" w:rsidP="00DC0772">
      <w:pPr>
        <w:pStyle w:val="Sinespaciado1"/>
        <w:spacing w:line="312" w:lineRule="auto"/>
        <w:ind w:firstLine="2835"/>
        <w:jc w:val="both"/>
        <w:rPr>
          <w:rFonts w:ascii="Arial" w:hAnsi="Arial" w:cs="Arial"/>
          <w:sz w:val="24"/>
          <w:szCs w:val="24"/>
        </w:rPr>
      </w:pPr>
      <w:r w:rsidRPr="00DC0772">
        <w:rPr>
          <w:rFonts w:ascii="Arial" w:hAnsi="Arial" w:cs="Arial"/>
          <w:sz w:val="24"/>
          <w:szCs w:val="24"/>
        </w:rPr>
        <w:t xml:space="preserve">Señala, que el artículo 598 del CGP, establece de forma clara y precisa las medidas cautelares aplicables a los procesos de familia, dentro de los que no aparece el proceso de partición adicional de liquidación de la sociedad conyugal, a más que conforme al numeral primero de dicha norma el bien objeto de la medida está en cabeza de un tercero. </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BF7DCD" w:rsidP="00DC0772">
      <w:pPr>
        <w:pStyle w:val="Sinespaciado1"/>
        <w:spacing w:line="312" w:lineRule="auto"/>
        <w:ind w:firstLine="2835"/>
        <w:jc w:val="both"/>
        <w:rPr>
          <w:rFonts w:ascii="Arial" w:hAnsi="Arial" w:cs="Arial"/>
          <w:sz w:val="24"/>
          <w:szCs w:val="24"/>
        </w:rPr>
      </w:pPr>
      <w:r w:rsidRPr="00DC0772">
        <w:rPr>
          <w:rFonts w:ascii="Arial" w:hAnsi="Arial" w:cs="Arial"/>
          <w:sz w:val="24"/>
          <w:szCs w:val="24"/>
        </w:rPr>
        <w:t>4. Cumplido el trámite del recurso, procede la Sala a resolverlo.</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BF7DCD" w:rsidP="00DC0772">
      <w:pPr>
        <w:pStyle w:val="Sinespaciado1"/>
        <w:spacing w:line="312" w:lineRule="auto"/>
        <w:ind w:firstLine="2835"/>
        <w:jc w:val="both"/>
        <w:rPr>
          <w:rFonts w:ascii="Arial" w:hAnsi="Arial" w:cs="Arial"/>
          <w:b/>
          <w:sz w:val="24"/>
          <w:szCs w:val="24"/>
        </w:rPr>
      </w:pPr>
      <w:r w:rsidRPr="00DC0772">
        <w:rPr>
          <w:rFonts w:ascii="Arial" w:hAnsi="Arial" w:cs="Arial"/>
          <w:b/>
          <w:sz w:val="24"/>
          <w:szCs w:val="24"/>
        </w:rPr>
        <w:t>III. CONSIDERACIONES</w:t>
      </w:r>
    </w:p>
    <w:p w:rsidR="00BF7DCD" w:rsidRPr="00DC0772" w:rsidRDefault="00BF7DCD" w:rsidP="00DC0772">
      <w:pPr>
        <w:pStyle w:val="Sinespaciado1"/>
        <w:spacing w:line="312" w:lineRule="auto"/>
        <w:ind w:firstLine="2835"/>
        <w:jc w:val="both"/>
        <w:rPr>
          <w:rFonts w:ascii="Arial" w:hAnsi="Arial" w:cs="Arial"/>
          <w:sz w:val="24"/>
          <w:szCs w:val="24"/>
        </w:rPr>
      </w:pPr>
    </w:p>
    <w:p w:rsidR="00BF7DCD" w:rsidRPr="00DC0772" w:rsidRDefault="00BF7DCD" w:rsidP="00DC0772">
      <w:pPr>
        <w:pStyle w:val="Sinespaciado1"/>
        <w:spacing w:line="312" w:lineRule="auto"/>
        <w:ind w:firstLine="2835"/>
        <w:jc w:val="both"/>
        <w:rPr>
          <w:rFonts w:ascii="Arial" w:hAnsi="Arial" w:cs="Arial"/>
          <w:b/>
          <w:sz w:val="24"/>
          <w:szCs w:val="24"/>
        </w:rPr>
      </w:pPr>
      <w:r w:rsidRPr="00DC0772">
        <w:rPr>
          <w:rFonts w:ascii="Arial" w:hAnsi="Arial" w:cs="Arial"/>
          <w:bCs/>
          <w:sz w:val="24"/>
          <w:szCs w:val="24"/>
        </w:rPr>
        <w:t xml:space="preserve">1. El auto recurrido es apelable, por virtud del numeral 8 del artículo 321 del CGP. </w:t>
      </w:r>
      <w:r w:rsidRPr="00DC0772">
        <w:rPr>
          <w:rFonts w:ascii="Arial" w:hAnsi="Arial" w:cs="Arial"/>
          <w:sz w:val="24"/>
          <w:szCs w:val="24"/>
        </w:rPr>
        <w:t>Esta Corporación tiene competencia para conocer del recurso vertical, ya que es el superior funcional del juzgado que dictó la providencia confutada, además, ha sido debidamente sustentado por quien se considera afectado.</w:t>
      </w:r>
    </w:p>
    <w:p w:rsidR="00BF7DCD" w:rsidRPr="00DC0772" w:rsidRDefault="00BF7DCD" w:rsidP="00DC0772">
      <w:pPr>
        <w:pStyle w:val="Sinespaciado1"/>
        <w:spacing w:line="312" w:lineRule="auto"/>
        <w:ind w:firstLine="2835"/>
        <w:jc w:val="both"/>
        <w:rPr>
          <w:rFonts w:ascii="Arial" w:hAnsi="Arial" w:cs="Arial"/>
          <w:bCs/>
          <w:iCs/>
          <w:sz w:val="24"/>
          <w:szCs w:val="24"/>
        </w:rPr>
      </w:pPr>
    </w:p>
    <w:p w:rsidR="00BF7DCD" w:rsidRPr="00DC0772" w:rsidRDefault="00BF7DCD" w:rsidP="00DC0772">
      <w:pPr>
        <w:pStyle w:val="Sinespaciado1"/>
        <w:spacing w:line="312" w:lineRule="auto"/>
        <w:ind w:firstLine="2835"/>
        <w:jc w:val="both"/>
        <w:rPr>
          <w:rFonts w:ascii="Arial" w:hAnsi="Arial" w:cs="Arial"/>
          <w:color w:val="000000"/>
          <w:sz w:val="24"/>
          <w:szCs w:val="24"/>
        </w:rPr>
      </w:pPr>
      <w:r w:rsidRPr="00DC0772">
        <w:rPr>
          <w:rFonts w:ascii="Arial" w:hAnsi="Arial" w:cs="Arial"/>
          <w:bCs/>
          <w:iCs/>
          <w:sz w:val="24"/>
          <w:szCs w:val="24"/>
        </w:rPr>
        <w:t xml:space="preserve">2. </w:t>
      </w:r>
      <w:r w:rsidRPr="00DC0772">
        <w:rPr>
          <w:rFonts w:ascii="Arial" w:hAnsi="Arial" w:cs="Arial"/>
          <w:color w:val="000000"/>
          <w:sz w:val="24"/>
          <w:szCs w:val="24"/>
        </w:rPr>
        <w:t>Como se sabe, las medidas cautelares se dirigen a asegurar las consecuencias de un pleito, mediante el mantenimiento de una situación de hecho o de derecho</w:t>
      </w:r>
      <w:r w:rsidR="000078B5" w:rsidRPr="00DC0772">
        <w:rPr>
          <w:rFonts w:ascii="Arial" w:hAnsi="Arial" w:cs="Arial"/>
          <w:color w:val="000000"/>
          <w:sz w:val="24"/>
          <w:szCs w:val="24"/>
        </w:rPr>
        <w:t>,</w:t>
      </w:r>
      <w:r w:rsidRPr="00DC0772">
        <w:rPr>
          <w:rFonts w:ascii="Arial" w:hAnsi="Arial" w:cs="Arial"/>
          <w:color w:val="000000"/>
          <w:sz w:val="24"/>
          <w:szCs w:val="24"/>
        </w:rPr>
        <w:t xml:space="preserve"> a fin de que las decisiones que se</w:t>
      </w:r>
      <w:r w:rsidR="000078B5" w:rsidRPr="00DC0772">
        <w:rPr>
          <w:rFonts w:ascii="Arial" w:hAnsi="Arial" w:cs="Arial"/>
          <w:color w:val="000000"/>
          <w:sz w:val="24"/>
          <w:szCs w:val="24"/>
        </w:rPr>
        <w:t xml:space="preserve"> tomen al resolver el conflicto</w:t>
      </w:r>
      <w:r w:rsidRPr="00DC0772">
        <w:rPr>
          <w:rFonts w:ascii="Arial" w:hAnsi="Arial" w:cs="Arial"/>
          <w:color w:val="000000"/>
          <w:sz w:val="24"/>
          <w:szCs w:val="24"/>
        </w:rPr>
        <w:t xml:space="preserve"> no se hagan nugatorias,</w:t>
      </w:r>
      <w:r w:rsidR="000078B5" w:rsidRPr="00DC0772">
        <w:rPr>
          <w:rFonts w:ascii="Arial" w:hAnsi="Arial" w:cs="Arial"/>
          <w:color w:val="000000"/>
          <w:sz w:val="24"/>
          <w:szCs w:val="24"/>
        </w:rPr>
        <w:t xml:space="preserve"> y</w:t>
      </w:r>
      <w:r w:rsidRPr="00DC0772">
        <w:rPr>
          <w:rFonts w:ascii="Arial" w:hAnsi="Arial" w:cs="Arial"/>
          <w:color w:val="000000"/>
          <w:sz w:val="24"/>
          <w:szCs w:val="24"/>
        </w:rPr>
        <w:t xml:space="preserve"> que se logre el objetivo buscado en un proceso.</w:t>
      </w:r>
    </w:p>
    <w:p w:rsidR="00BF7DCD" w:rsidRPr="00DC0772" w:rsidRDefault="00BF7DCD" w:rsidP="00DC0772">
      <w:pPr>
        <w:pStyle w:val="Sinespaciado1"/>
        <w:spacing w:line="312" w:lineRule="auto"/>
        <w:ind w:firstLine="2835"/>
        <w:jc w:val="both"/>
        <w:rPr>
          <w:rFonts w:ascii="Arial" w:hAnsi="Arial" w:cs="Arial"/>
          <w:color w:val="000000"/>
          <w:sz w:val="24"/>
          <w:szCs w:val="24"/>
        </w:rPr>
      </w:pPr>
    </w:p>
    <w:p w:rsidR="00BF7DCD" w:rsidRPr="00DC0772" w:rsidRDefault="00BF7DCD"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3. Esta institución procesal se gobierna por el principio de la taxatividad, ya que solo procede cuando el legislador así lo haya dispuesto de manera concreta para un asunto en particular. Deben estar predeterminadas en la ley, porque la codificación se encarga no sólo de tipificarlas sino de señalar el proceso dentro del cual proceden, como bien lo anota el profesor López Blanco.</w:t>
      </w:r>
      <w:r w:rsidRPr="00DC0772">
        <w:rPr>
          <w:rStyle w:val="Refdenotaalpie"/>
          <w:rFonts w:ascii="Arial" w:hAnsi="Arial"/>
          <w:color w:val="000000"/>
          <w:sz w:val="24"/>
          <w:szCs w:val="24"/>
        </w:rPr>
        <w:footnoteReference w:id="1"/>
      </w:r>
    </w:p>
    <w:p w:rsidR="00BF7DCD" w:rsidRPr="00DC0772" w:rsidRDefault="00BF7DCD" w:rsidP="00DC0772">
      <w:pPr>
        <w:pStyle w:val="Sinespaciado1"/>
        <w:spacing w:line="312" w:lineRule="auto"/>
        <w:ind w:firstLine="2835"/>
        <w:jc w:val="both"/>
        <w:rPr>
          <w:rFonts w:ascii="Arial" w:hAnsi="Arial" w:cs="Arial"/>
          <w:color w:val="000000"/>
          <w:sz w:val="24"/>
          <w:szCs w:val="24"/>
        </w:rPr>
      </w:pPr>
    </w:p>
    <w:p w:rsidR="00BF7DCD" w:rsidRPr="00DC0772" w:rsidRDefault="00BF7DCD"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Su régimen quedó recogido en el Libro Cuarto del Código General del Proceso; el artículo 590 reglamenta las medidas cautelares en procesos declarativos, el 598 en los de familia y en el 599 los ejecutivos.</w:t>
      </w:r>
    </w:p>
    <w:p w:rsidR="00BF7DCD" w:rsidRPr="00DC0772" w:rsidRDefault="00BF7DCD" w:rsidP="00DC0772">
      <w:pPr>
        <w:pStyle w:val="Sinespaciado1"/>
        <w:spacing w:line="312" w:lineRule="auto"/>
        <w:ind w:firstLine="2835"/>
        <w:jc w:val="both"/>
        <w:rPr>
          <w:rFonts w:ascii="Arial" w:hAnsi="Arial" w:cs="Arial"/>
          <w:color w:val="000000"/>
          <w:sz w:val="24"/>
          <w:szCs w:val="24"/>
        </w:rPr>
      </w:pPr>
    </w:p>
    <w:p w:rsidR="00BF7DCD" w:rsidRPr="00DC0772" w:rsidRDefault="000078B5"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 xml:space="preserve">4. </w:t>
      </w:r>
      <w:r w:rsidR="000061F6" w:rsidRPr="00DC0772">
        <w:rPr>
          <w:rFonts w:ascii="Arial" w:hAnsi="Arial" w:cs="Arial"/>
          <w:color w:val="000000"/>
          <w:sz w:val="24"/>
          <w:szCs w:val="24"/>
        </w:rPr>
        <w:t>Ciertamente, e</w:t>
      </w:r>
      <w:r w:rsidR="00BF7DCD" w:rsidRPr="00DC0772">
        <w:rPr>
          <w:rFonts w:ascii="Arial" w:hAnsi="Arial" w:cs="Arial"/>
          <w:color w:val="000000"/>
          <w:sz w:val="24"/>
          <w:szCs w:val="24"/>
        </w:rPr>
        <w:t xml:space="preserve">l artículo 598 se ocupa de </w:t>
      </w:r>
      <w:r w:rsidR="000061F6" w:rsidRPr="00DC0772">
        <w:rPr>
          <w:rFonts w:ascii="Arial" w:hAnsi="Arial" w:cs="Arial"/>
          <w:color w:val="000000"/>
          <w:sz w:val="24"/>
          <w:szCs w:val="24"/>
        </w:rPr>
        <w:t>las medidas cautelares</w:t>
      </w:r>
      <w:r w:rsidR="00BF7DCD" w:rsidRPr="00DC0772">
        <w:rPr>
          <w:rFonts w:ascii="Arial" w:hAnsi="Arial" w:cs="Arial"/>
          <w:color w:val="000000"/>
          <w:sz w:val="24"/>
          <w:szCs w:val="24"/>
        </w:rPr>
        <w:t xml:space="preserve"> en los procesos </w:t>
      </w:r>
      <w:r w:rsidR="000061F6" w:rsidRPr="00DC0772">
        <w:rPr>
          <w:rFonts w:ascii="Arial" w:hAnsi="Arial" w:cs="Arial"/>
          <w:color w:val="000000"/>
          <w:sz w:val="24"/>
          <w:szCs w:val="24"/>
        </w:rPr>
        <w:t xml:space="preserve">de familia, esto es, </w:t>
      </w:r>
      <w:r w:rsidR="003C7DD9" w:rsidRPr="00DC0772">
        <w:rPr>
          <w:rFonts w:ascii="Arial" w:hAnsi="Arial" w:cs="Arial"/>
          <w:color w:val="000000"/>
          <w:sz w:val="24"/>
          <w:szCs w:val="24"/>
        </w:rPr>
        <w:t xml:space="preserve">en los </w:t>
      </w:r>
      <w:r w:rsidR="00BF7DCD" w:rsidRPr="00DC0772">
        <w:rPr>
          <w:rFonts w:ascii="Arial" w:hAnsi="Arial" w:cs="Arial"/>
          <w:color w:val="000000"/>
          <w:sz w:val="24"/>
          <w:szCs w:val="24"/>
        </w:rPr>
        <w:t xml:space="preserve">de nulidad de matrimonio, divorcio, cesación de efectos civiles de matrimonios celebrados por el rito canónico, separación de cuerpos y de bienes, liquidación de sociedades conyugales disueltas por causa diferente a la muerte de uno de los cónyuges, disolución y liquidación de </w:t>
      </w:r>
      <w:r w:rsidR="00BF7DCD" w:rsidRPr="00DC0772">
        <w:rPr>
          <w:rFonts w:ascii="Arial" w:hAnsi="Arial" w:cs="Arial"/>
          <w:color w:val="000000"/>
          <w:sz w:val="24"/>
          <w:szCs w:val="24"/>
        </w:rPr>
        <w:lastRenderedPageBreak/>
        <w:t xml:space="preserve">sociedades patrimoniales entre compañeros permanentes. De tal forma, es evidente que si el legislador destinó un artículo especial para regular todo lo relacionado con </w:t>
      </w:r>
      <w:r w:rsidR="000061F6" w:rsidRPr="00DC0772">
        <w:rPr>
          <w:rFonts w:ascii="Arial" w:hAnsi="Arial" w:cs="Arial"/>
          <w:color w:val="000000"/>
          <w:sz w:val="24"/>
          <w:szCs w:val="24"/>
        </w:rPr>
        <w:t>tales medidas, esta</w:t>
      </w:r>
      <w:r w:rsidR="00BF7DCD" w:rsidRPr="00DC0772">
        <w:rPr>
          <w:rFonts w:ascii="Arial" w:hAnsi="Arial" w:cs="Arial"/>
          <w:color w:val="000000"/>
          <w:sz w:val="24"/>
          <w:szCs w:val="24"/>
        </w:rPr>
        <w:t xml:space="preserve">s deben regirse exclusivamente por esa normativa. En efecto, siendo el artículo 598 del CGP una disposición especial, esta última prevalece, según lo reglado en el numeral 1º del artículo 5º de la Ley 57 de 1887, pues </w:t>
      </w:r>
      <w:r w:rsidR="00BF7DCD" w:rsidRPr="00DC0772">
        <w:rPr>
          <w:rFonts w:ascii="Arial" w:hAnsi="Arial" w:cs="Arial"/>
          <w:i/>
          <w:color w:val="000000"/>
          <w:sz w:val="24"/>
          <w:szCs w:val="24"/>
        </w:rPr>
        <w:t>“la disposición relativa a un asunto especial prefiere a la que tenga carácter general”.</w:t>
      </w:r>
    </w:p>
    <w:p w:rsidR="00A77658" w:rsidRPr="00DC0772" w:rsidRDefault="00A77658" w:rsidP="00DC0772">
      <w:pPr>
        <w:pStyle w:val="Sinespaciado1"/>
        <w:spacing w:line="312" w:lineRule="auto"/>
        <w:ind w:firstLine="2835"/>
        <w:jc w:val="both"/>
        <w:rPr>
          <w:rFonts w:ascii="Arial" w:hAnsi="Arial" w:cs="Arial"/>
          <w:color w:val="000000"/>
          <w:sz w:val="24"/>
          <w:szCs w:val="24"/>
        </w:rPr>
      </w:pPr>
    </w:p>
    <w:p w:rsidR="000061F6" w:rsidRPr="00DC0772" w:rsidRDefault="003C7DD9"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 xml:space="preserve">Ahora, </w:t>
      </w:r>
      <w:r w:rsidR="0036190E" w:rsidRPr="00DC0772">
        <w:rPr>
          <w:rFonts w:ascii="Arial" w:hAnsi="Arial" w:cs="Arial"/>
          <w:color w:val="000000"/>
          <w:sz w:val="24"/>
          <w:szCs w:val="24"/>
        </w:rPr>
        <w:t xml:space="preserve">en cuanto al tema que atañe a esta Sala, </w:t>
      </w:r>
      <w:r w:rsidRPr="00DC0772">
        <w:rPr>
          <w:rFonts w:ascii="Arial" w:hAnsi="Arial" w:cs="Arial"/>
          <w:color w:val="000000"/>
          <w:sz w:val="24"/>
          <w:szCs w:val="24"/>
        </w:rPr>
        <w:t xml:space="preserve">señala el numeral 1 de la norma citada que, </w:t>
      </w:r>
      <w:r w:rsidR="00852DFF" w:rsidRPr="00DC0772">
        <w:rPr>
          <w:rFonts w:ascii="Arial" w:hAnsi="Arial" w:cs="Arial"/>
          <w:color w:val="000000"/>
          <w:sz w:val="24"/>
          <w:szCs w:val="24"/>
        </w:rPr>
        <w:t>cualquiera de las partes podrá pedir</w:t>
      </w:r>
      <w:r w:rsidR="0036190E" w:rsidRPr="00DC0772">
        <w:rPr>
          <w:rFonts w:ascii="Arial" w:hAnsi="Arial" w:cs="Arial"/>
          <w:color w:val="000000"/>
          <w:sz w:val="24"/>
          <w:szCs w:val="24"/>
        </w:rPr>
        <w:t xml:space="preserve"> embargo y secuestro, </w:t>
      </w:r>
      <w:r w:rsidR="00852DFF" w:rsidRPr="00DC0772">
        <w:rPr>
          <w:rFonts w:ascii="Arial" w:hAnsi="Arial" w:cs="Arial"/>
          <w:color w:val="000000"/>
          <w:sz w:val="24"/>
          <w:szCs w:val="24"/>
        </w:rPr>
        <w:t>los bienes que puedan ser objeto de gananciales y que estuvieren en cabeza de la otra.</w:t>
      </w:r>
    </w:p>
    <w:p w:rsidR="000061F6" w:rsidRPr="00DC0772" w:rsidRDefault="000061F6" w:rsidP="00DC0772">
      <w:pPr>
        <w:pStyle w:val="Sinespaciado1"/>
        <w:spacing w:line="312" w:lineRule="auto"/>
        <w:ind w:firstLine="2835"/>
        <w:jc w:val="both"/>
        <w:rPr>
          <w:rFonts w:ascii="Arial" w:hAnsi="Arial" w:cs="Arial"/>
          <w:color w:val="000000"/>
          <w:sz w:val="24"/>
          <w:szCs w:val="24"/>
        </w:rPr>
      </w:pPr>
    </w:p>
    <w:p w:rsidR="00BF7DCD" w:rsidRPr="00DC0772" w:rsidRDefault="0036190E" w:rsidP="00DC0772">
      <w:pPr>
        <w:pStyle w:val="Sinespaciado1"/>
        <w:tabs>
          <w:tab w:val="left" w:pos="3119"/>
        </w:tabs>
        <w:spacing w:line="312" w:lineRule="auto"/>
        <w:ind w:firstLine="2835"/>
        <w:jc w:val="both"/>
        <w:rPr>
          <w:rFonts w:ascii="Arial" w:hAnsi="Arial" w:cs="Arial"/>
          <w:bCs/>
          <w:iCs/>
          <w:sz w:val="24"/>
          <w:szCs w:val="24"/>
        </w:rPr>
      </w:pPr>
      <w:r w:rsidRPr="00DC0772">
        <w:rPr>
          <w:rFonts w:ascii="Arial" w:hAnsi="Arial" w:cs="Arial"/>
          <w:color w:val="000000"/>
          <w:sz w:val="24"/>
          <w:szCs w:val="24"/>
        </w:rPr>
        <w:t>5</w:t>
      </w:r>
      <w:r w:rsidR="00BF7DCD" w:rsidRPr="00DC0772">
        <w:rPr>
          <w:rFonts w:ascii="Arial" w:hAnsi="Arial" w:cs="Arial"/>
          <w:color w:val="000000"/>
          <w:sz w:val="24"/>
          <w:szCs w:val="24"/>
        </w:rPr>
        <w:t xml:space="preserve">. </w:t>
      </w:r>
      <w:r w:rsidRPr="00DC0772">
        <w:rPr>
          <w:rFonts w:ascii="Arial" w:hAnsi="Arial" w:cs="Arial"/>
          <w:color w:val="000000"/>
          <w:sz w:val="24"/>
          <w:szCs w:val="24"/>
        </w:rPr>
        <w:t xml:space="preserve">En este </w:t>
      </w:r>
      <w:r w:rsidR="00BF7DCD" w:rsidRPr="00DC0772">
        <w:rPr>
          <w:rFonts w:ascii="Arial" w:hAnsi="Arial" w:cs="Arial"/>
          <w:color w:val="000000"/>
          <w:sz w:val="24"/>
          <w:szCs w:val="24"/>
        </w:rPr>
        <w:t>caso concreto, p</w:t>
      </w:r>
      <w:r w:rsidR="00BF7DCD" w:rsidRPr="00DC0772">
        <w:rPr>
          <w:rFonts w:ascii="Arial" w:hAnsi="Arial" w:cs="Arial"/>
          <w:bCs/>
          <w:iCs/>
          <w:sz w:val="24"/>
          <w:szCs w:val="24"/>
        </w:rPr>
        <w:t xml:space="preserve">idió la </w:t>
      </w:r>
      <w:r w:rsidRPr="00DC0772">
        <w:rPr>
          <w:rFonts w:ascii="Arial" w:hAnsi="Arial" w:cs="Arial"/>
          <w:bCs/>
          <w:iCs/>
          <w:sz w:val="24"/>
          <w:szCs w:val="24"/>
        </w:rPr>
        <w:t xml:space="preserve">señora </w:t>
      </w:r>
      <w:r w:rsidRPr="00DC0772">
        <w:rPr>
          <w:rFonts w:ascii="Arial" w:hAnsi="Arial" w:cs="Arial"/>
          <w:b/>
          <w:bCs/>
          <w:sz w:val="24"/>
          <w:szCs w:val="24"/>
          <w:lang w:val="es-MX"/>
        </w:rPr>
        <w:t>MARÍA OFIR VALENCIA ZAPATA</w:t>
      </w:r>
      <w:r w:rsidRPr="00DC0772">
        <w:rPr>
          <w:rFonts w:ascii="Arial" w:hAnsi="Arial" w:cs="Arial"/>
          <w:bCs/>
          <w:iCs/>
          <w:sz w:val="24"/>
          <w:szCs w:val="24"/>
        </w:rPr>
        <w:t xml:space="preserve"> </w:t>
      </w:r>
      <w:r w:rsidR="00BF7DCD" w:rsidRPr="00DC0772">
        <w:rPr>
          <w:rFonts w:ascii="Arial" w:hAnsi="Arial" w:cs="Arial"/>
          <w:bCs/>
          <w:iCs/>
          <w:sz w:val="24"/>
          <w:szCs w:val="24"/>
        </w:rPr>
        <w:t>se realice una partición adicional, soportada en la existencia del bien inmueble identificado</w:t>
      </w:r>
      <w:r w:rsidRPr="00DC0772">
        <w:rPr>
          <w:rFonts w:ascii="Arial" w:hAnsi="Arial" w:cs="Arial"/>
          <w:bCs/>
          <w:iCs/>
          <w:sz w:val="24"/>
          <w:szCs w:val="24"/>
        </w:rPr>
        <w:t xml:space="preserve"> con matrícula inmobiliaria No.</w:t>
      </w:r>
      <w:r w:rsidR="00BF7DCD" w:rsidRPr="00DC0772">
        <w:rPr>
          <w:rFonts w:ascii="Arial" w:hAnsi="Arial" w:cs="Arial"/>
          <w:bCs/>
          <w:iCs/>
          <w:sz w:val="24"/>
          <w:szCs w:val="24"/>
        </w:rPr>
        <w:t xml:space="preserve"> 294-30373, adquirido en vigencia de la sociedad conyugal y que no hizo parte en su liquidación.  </w:t>
      </w:r>
      <w:r w:rsidRPr="00DC0772">
        <w:rPr>
          <w:rFonts w:ascii="Arial" w:hAnsi="Arial" w:cs="Arial"/>
          <w:bCs/>
          <w:iCs/>
          <w:sz w:val="24"/>
          <w:szCs w:val="24"/>
        </w:rPr>
        <w:t>Y como se advirtió, en la audiencia de inventario</w:t>
      </w:r>
      <w:r w:rsidR="00BF7DCD" w:rsidRPr="00DC0772">
        <w:rPr>
          <w:rFonts w:ascii="Arial" w:hAnsi="Arial" w:cs="Arial"/>
          <w:bCs/>
          <w:iCs/>
          <w:sz w:val="24"/>
          <w:szCs w:val="24"/>
        </w:rPr>
        <w:t xml:space="preserve"> y avalúos, solicitó </w:t>
      </w:r>
      <w:r w:rsidRPr="00DC0772">
        <w:rPr>
          <w:rFonts w:ascii="Arial" w:hAnsi="Arial" w:cs="Arial"/>
          <w:bCs/>
          <w:iCs/>
          <w:sz w:val="24"/>
          <w:szCs w:val="24"/>
        </w:rPr>
        <w:t xml:space="preserve">su asesor judicial </w:t>
      </w:r>
      <w:r w:rsidR="00BF7DCD" w:rsidRPr="00DC0772">
        <w:rPr>
          <w:rFonts w:ascii="Arial" w:hAnsi="Arial" w:cs="Arial"/>
          <w:bCs/>
          <w:iCs/>
          <w:sz w:val="24"/>
          <w:szCs w:val="24"/>
        </w:rPr>
        <w:t xml:space="preserve">el secuestro de la posesión que ostenta el señor </w:t>
      </w:r>
      <w:r w:rsidRPr="00DC0772">
        <w:rPr>
          <w:rFonts w:ascii="Arial" w:hAnsi="Arial" w:cs="Arial"/>
          <w:b/>
          <w:bCs/>
          <w:sz w:val="24"/>
          <w:szCs w:val="24"/>
          <w:lang w:val="es-MX"/>
        </w:rPr>
        <w:t>OTONIEL OSORIO OSORIO</w:t>
      </w:r>
      <w:r w:rsidR="00BF7DCD" w:rsidRPr="00DC0772">
        <w:rPr>
          <w:rFonts w:ascii="Arial" w:hAnsi="Arial" w:cs="Arial"/>
          <w:bCs/>
          <w:iCs/>
          <w:sz w:val="24"/>
          <w:szCs w:val="24"/>
        </w:rPr>
        <w:t xml:space="preserve"> sobre dicho bien inmueble, con fundamento en el artículo 593.3 del Código General del Proceso.</w:t>
      </w:r>
    </w:p>
    <w:p w:rsidR="00BF7DCD" w:rsidRPr="00DC0772" w:rsidRDefault="00BF7DCD" w:rsidP="00DC0772">
      <w:pPr>
        <w:pStyle w:val="Sinespaciado1"/>
        <w:spacing w:line="312" w:lineRule="auto"/>
        <w:ind w:firstLine="2835"/>
        <w:jc w:val="both"/>
        <w:rPr>
          <w:rFonts w:ascii="Arial" w:hAnsi="Arial" w:cs="Arial"/>
          <w:color w:val="000000"/>
          <w:sz w:val="24"/>
          <w:szCs w:val="24"/>
        </w:rPr>
      </w:pPr>
    </w:p>
    <w:p w:rsidR="00BF7DCD" w:rsidRPr="00DC0772" w:rsidRDefault="00BF7DCD" w:rsidP="00DC0772">
      <w:pPr>
        <w:pStyle w:val="Sinespaciado1"/>
        <w:spacing w:line="312" w:lineRule="auto"/>
        <w:ind w:firstLine="2835"/>
        <w:jc w:val="both"/>
        <w:rPr>
          <w:rFonts w:ascii="Arial" w:hAnsi="Arial" w:cs="Arial"/>
          <w:bCs/>
          <w:iCs/>
          <w:sz w:val="24"/>
          <w:szCs w:val="24"/>
        </w:rPr>
      </w:pPr>
      <w:r w:rsidRPr="00DC0772">
        <w:rPr>
          <w:rFonts w:ascii="Arial" w:hAnsi="Arial" w:cs="Arial"/>
          <w:bCs/>
          <w:iCs/>
          <w:sz w:val="24"/>
          <w:szCs w:val="24"/>
        </w:rPr>
        <w:t>Los motivos que fundamentan la partición adicional se encuentran establecidos en el artículo 518 del Código General del Proceso, cuando perentoriamente prescribe</w:t>
      </w:r>
      <w:r w:rsidR="0036190E" w:rsidRPr="00DC0772">
        <w:rPr>
          <w:rFonts w:ascii="Arial" w:hAnsi="Arial" w:cs="Arial"/>
          <w:bCs/>
          <w:iCs/>
          <w:sz w:val="24"/>
          <w:szCs w:val="24"/>
        </w:rPr>
        <w:t>:</w:t>
      </w:r>
      <w:r w:rsidRPr="00DC0772">
        <w:rPr>
          <w:rFonts w:ascii="Arial" w:hAnsi="Arial" w:cs="Arial"/>
          <w:bCs/>
          <w:iCs/>
          <w:sz w:val="24"/>
          <w:szCs w:val="24"/>
        </w:rPr>
        <w:t xml:space="preserve"> </w:t>
      </w:r>
      <w:r w:rsidRPr="00DC0772">
        <w:rPr>
          <w:rFonts w:ascii="Arial" w:hAnsi="Arial" w:cs="Arial"/>
          <w:bCs/>
          <w:i/>
          <w:iCs/>
          <w:sz w:val="24"/>
          <w:szCs w:val="24"/>
        </w:rPr>
        <w:t>“Hay lugar a partición adicional cuando aparezcan nuevos bienes del causante o de la sociedad conyugal o patrimonial, o cuando el partidor dejó de adjudicar bienes inventariados (…)”.</w:t>
      </w:r>
      <w:r w:rsidRPr="00DC0772">
        <w:rPr>
          <w:rFonts w:ascii="Arial" w:hAnsi="Arial" w:cs="Arial"/>
          <w:bCs/>
          <w:iCs/>
          <w:sz w:val="24"/>
          <w:szCs w:val="24"/>
        </w:rPr>
        <w:t xml:space="preserve">  </w:t>
      </w:r>
    </w:p>
    <w:p w:rsidR="00BF7DCD" w:rsidRPr="00DC0772" w:rsidRDefault="00BF7DCD" w:rsidP="00DC0772">
      <w:pPr>
        <w:pStyle w:val="Sinespaciado1"/>
        <w:spacing w:line="312" w:lineRule="auto"/>
        <w:ind w:firstLine="2835"/>
        <w:jc w:val="both"/>
        <w:rPr>
          <w:rFonts w:ascii="Arial" w:hAnsi="Arial" w:cs="Arial"/>
          <w:bCs/>
          <w:iCs/>
          <w:sz w:val="24"/>
          <w:szCs w:val="24"/>
        </w:rPr>
      </w:pPr>
    </w:p>
    <w:p w:rsidR="00BF7DCD" w:rsidRPr="00DC0772" w:rsidRDefault="00BF7DCD" w:rsidP="00DC0772">
      <w:pPr>
        <w:pStyle w:val="Sinespaciado1"/>
        <w:spacing w:line="312" w:lineRule="auto"/>
        <w:ind w:firstLine="2835"/>
        <w:jc w:val="both"/>
        <w:rPr>
          <w:rFonts w:ascii="Arial" w:hAnsi="Arial" w:cs="Arial"/>
          <w:color w:val="000000"/>
          <w:sz w:val="24"/>
          <w:szCs w:val="24"/>
        </w:rPr>
      </w:pPr>
      <w:r w:rsidRPr="00DC0772">
        <w:rPr>
          <w:rFonts w:ascii="Arial" w:hAnsi="Arial" w:cs="Arial"/>
          <w:bCs/>
          <w:iCs/>
          <w:sz w:val="24"/>
          <w:szCs w:val="24"/>
        </w:rPr>
        <w:t>De tal forma que la partición adicional, es aquella accesoria y complementaria a una parti</w:t>
      </w:r>
      <w:r w:rsidR="00495E0E" w:rsidRPr="00DC0772">
        <w:rPr>
          <w:rFonts w:ascii="Arial" w:hAnsi="Arial" w:cs="Arial"/>
          <w:bCs/>
          <w:iCs/>
          <w:sz w:val="24"/>
          <w:szCs w:val="24"/>
        </w:rPr>
        <w:t xml:space="preserve">ción, que se denomina principal; es decir, </w:t>
      </w:r>
      <w:r w:rsidR="00495E0E" w:rsidRPr="00DC0772">
        <w:rPr>
          <w:rFonts w:ascii="Arial" w:hAnsi="Arial" w:cs="Arial"/>
          <w:color w:val="000000"/>
          <w:sz w:val="24"/>
          <w:szCs w:val="24"/>
        </w:rPr>
        <w:t>hace</w:t>
      </w:r>
      <w:r w:rsidRPr="00DC0772">
        <w:rPr>
          <w:rFonts w:ascii="Arial" w:hAnsi="Arial" w:cs="Arial"/>
          <w:color w:val="000000"/>
          <w:sz w:val="24"/>
          <w:szCs w:val="24"/>
        </w:rPr>
        <w:t xml:space="preserve"> parte de</w:t>
      </w:r>
      <w:r w:rsidR="00495E0E" w:rsidRPr="00DC0772">
        <w:rPr>
          <w:rFonts w:ascii="Arial" w:hAnsi="Arial" w:cs="Arial"/>
          <w:color w:val="000000"/>
          <w:sz w:val="24"/>
          <w:szCs w:val="24"/>
        </w:rPr>
        <w:t xml:space="preserve"> </w:t>
      </w:r>
      <w:r w:rsidRPr="00DC0772">
        <w:rPr>
          <w:rFonts w:ascii="Arial" w:hAnsi="Arial" w:cs="Arial"/>
          <w:color w:val="000000"/>
          <w:sz w:val="24"/>
          <w:szCs w:val="24"/>
        </w:rPr>
        <w:t>l</w:t>
      </w:r>
      <w:r w:rsidR="00495E0E" w:rsidRPr="00DC0772">
        <w:rPr>
          <w:rFonts w:ascii="Arial" w:hAnsi="Arial" w:cs="Arial"/>
          <w:color w:val="000000"/>
          <w:sz w:val="24"/>
          <w:szCs w:val="24"/>
        </w:rPr>
        <w:t>a anterior</w:t>
      </w:r>
      <w:r w:rsidRPr="00DC0772">
        <w:rPr>
          <w:rFonts w:ascii="Arial" w:hAnsi="Arial" w:cs="Arial"/>
          <w:color w:val="000000"/>
          <w:sz w:val="24"/>
          <w:szCs w:val="24"/>
        </w:rPr>
        <w:t>, por lo que fuerza concluir se enmarca dentro de los procesos de familia a que se refiere el artículo 598 del CGP</w:t>
      </w:r>
      <w:r w:rsidR="00495E0E" w:rsidRPr="00DC0772">
        <w:rPr>
          <w:rFonts w:ascii="Arial" w:hAnsi="Arial" w:cs="Arial"/>
          <w:color w:val="000000"/>
          <w:sz w:val="24"/>
          <w:szCs w:val="24"/>
        </w:rPr>
        <w:t>, en los que se permiten las medidas cautelares de embargo y secuestro</w:t>
      </w:r>
      <w:r w:rsidRPr="00DC0772">
        <w:rPr>
          <w:rFonts w:ascii="Arial" w:hAnsi="Arial" w:cs="Arial"/>
          <w:color w:val="000000"/>
          <w:sz w:val="24"/>
          <w:szCs w:val="24"/>
        </w:rPr>
        <w:t xml:space="preserve">.  </w:t>
      </w:r>
    </w:p>
    <w:p w:rsidR="00BF7DCD" w:rsidRPr="00DC0772" w:rsidRDefault="00BF7DCD" w:rsidP="00DC0772">
      <w:pPr>
        <w:pStyle w:val="Sinespaciado1"/>
        <w:spacing w:line="312" w:lineRule="auto"/>
        <w:ind w:firstLine="2835"/>
        <w:jc w:val="both"/>
        <w:rPr>
          <w:rFonts w:ascii="Arial" w:hAnsi="Arial" w:cs="Arial"/>
          <w:color w:val="000000"/>
          <w:sz w:val="24"/>
          <w:szCs w:val="24"/>
        </w:rPr>
      </w:pPr>
    </w:p>
    <w:p w:rsidR="00BF7DCD" w:rsidRPr="00DC0772" w:rsidRDefault="00495E0E"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6</w:t>
      </w:r>
      <w:r w:rsidR="00BF7DCD" w:rsidRPr="00DC0772">
        <w:rPr>
          <w:rFonts w:ascii="Arial" w:hAnsi="Arial" w:cs="Arial"/>
          <w:color w:val="000000"/>
          <w:sz w:val="24"/>
          <w:szCs w:val="24"/>
        </w:rPr>
        <w:t xml:space="preserve">. Ahora bien, </w:t>
      </w:r>
      <w:r w:rsidRPr="00DC0772">
        <w:rPr>
          <w:rFonts w:ascii="Arial" w:hAnsi="Arial" w:cs="Arial"/>
          <w:color w:val="000000"/>
          <w:sz w:val="24"/>
          <w:szCs w:val="24"/>
        </w:rPr>
        <w:t>tal</w:t>
      </w:r>
      <w:r w:rsidR="00BF7DCD" w:rsidRPr="00DC0772">
        <w:rPr>
          <w:rFonts w:ascii="Arial" w:hAnsi="Arial" w:cs="Arial"/>
          <w:color w:val="000000"/>
          <w:sz w:val="24"/>
          <w:szCs w:val="24"/>
        </w:rPr>
        <w:t xml:space="preserve"> disposición legal, que encuentra su fundamento en la necesidad de proteger el haber social, </w:t>
      </w:r>
      <w:r w:rsidRPr="00DC0772">
        <w:rPr>
          <w:rFonts w:ascii="Arial" w:hAnsi="Arial" w:cs="Arial"/>
          <w:color w:val="000000"/>
          <w:sz w:val="24"/>
          <w:szCs w:val="24"/>
        </w:rPr>
        <w:t xml:space="preserve">en su numeral </w:t>
      </w:r>
      <w:r w:rsidR="000E35A0" w:rsidRPr="00DC0772">
        <w:rPr>
          <w:rFonts w:ascii="Arial" w:hAnsi="Arial" w:cs="Arial"/>
          <w:color w:val="000000"/>
          <w:sz w:val="24"/>
          <w:szCs w:val="24"/>
        </w:rPr>
        <w:t xml:space="preserve">1 </w:t>
      </w:r>
      <w:r w:rsidRPr="00DC0772">
        <w:rPr>
          <w:rFonts w:ascii="Arial" w:hAnsi="Arial" w:cs="Arial"/>
          <w:color w:val="000000"/>
          <w:sz w:val="24"/>
          <w:szCs w:val="24"/>
        </w:rPr>
        <w:t>restringe</w:t>
      </w:r>
      <w:r w:rsidR="00BF7DCD" w:rsidRPr="00DC0772">
        <w:rPr>
          <w:rFonts w:ascii="Arial" w:hAnsi="Arial" w:cs="Arial"/>
          <w:color w:val="000000"/>
          <w:sz w:val="24"/>
          <w:szCs w:val="24"/>
        </w:rPr>
        <w:t xml:space="preserve"> la posibilidad de solicitar las cautelas de los bienes que pueden ser ob</w:t>
      </w:r>
      <w:r w:rsidR="000E35A0" w:rsidRPr="00DC0772">
        <w:rPr>
          <w:rFonts w:ascii="Arial" w:hAnsi="Arial" w:cs="Arial"/>
          <w:color w:val="000000"/>
          <w:sz w:val="24"/>
          <w:szCs w:val="24"/>
        </w:rPr>
        <w:t>jeto de gananciales, a que estuvieren</w:t>
      </w:r>
      <w:r w:rsidR="00BF7DCD" w:rsidRPr="00DC0772">
        <w:rPr>
          <w:rFonts w:ascii="Arial" w:hAnsi="Arial" w:cs="Arial"/>
          <w:color w:val="000000"/>
          <w:sz w:val="24"/>
          <w:szCs w:val="24"/>
        </w:rPr>
        <w:t xml:space="preserve"> en cabeza del otro </w:t>
      </w:r>
      <w:r w:rsidR="000E35A0" w:rsidRPr="00DC0772">
        <w:rPr>
          <w:rFonts w:ascii="Arial" w:hAnsi="Arial" w:cs="Arial"/>
          <w:color w:val="000000"/>
          <w:sz w:val="24"/>
          <w:szCs w:val="24"/>
        </w:rPr>
        <w:t xml:space="preserve">ex </w:t>
      </w:r>
      <w:r w:rsidR="00BF7DCD" w:rsidRPr="00DC0772">
        <w:rPr>
          <w:rFonts w:ascii="Arial" w:hAnsi="Arial" w:cs="Arial"/>
          <w:color w:val="000000"/>
          <w:sz w:val="24"/>
          <w:szCs w:val="24"/>
        </w:rPr>
        <w:t>cónyuge</w:t>
      </w:r>
      <w:r w:rsidRPr="00DC0772">
        <w:rPr>
          <w:rFonts w:ascii="Arial" w:hAnsi="Arial" w:cs="Arial"/>
          <w:color w:val="000000"/>
          <w:sz w:val="24"/>
          <w:szCs w:val="24"/>
        </w:rPr>
        <w:t>, lo cual se explica</w:t>
      </w:r>
      <w:r w:rsidR="00BF7DCD" w:rsidRPr="00DC0772">
        <w:rPr>
          <w:rFonts w:ascii="Arial" w:hAnsi="Arial" w:cs="Arial"/>
          <w:color w:val="000000"/>
          <w:sz w:val="24"/>
          <w:szCs w:val="24"/>
        </w:rPr>
        <w:t xml:space="preserve"> </w:t>
      </w:r>
      <w:r w:rsidRPr="00DC0772">
        <w:rPr>
          <w:rFonts w:ascii="Arial" w:hAnsi="Arial" w:cs="Arial"/>
          <w:color w:val="000000"/>
          <w:sz w:val="24"/>
          <w:szCs w:val="24"/>
        </w:rPr>
        <w:t xml:space="preserve">en cuanto a </w:t>
      </w:r>
      <w:r w:rsidR="00BF7DCD" w:rsidRPr="00DC0772">
        <w:rPr>
          <w:rFonts w:ascii="Arial" w:hAnsi="Arial" w:cs="Arial"/>
          <w:color w:val="000000"/>
          <w:sz w:val="24"/>
          <w:szCs w:val="24"/>
        </w:rPr>
        <w:t>que de no estar en sus haberes, no podrá aducirse se va</w:t>
      </w:r>
      <w:r w:rsidR="000E35A0" w:rsidRPr="00DC0772">
        <w:rPr>
          <w:rFonts w:ascii="Arial" w:hAnsi="Arial" w:cs="Arial"/>
          <w:color w:val="000000"/>
          <w:sz w:val="24"/>
          <w:szCs w:val="24"/>
        </w:rPr>
        <w:t>n</w:t>
      </w:r>
      <w:r w:rsidR="00BF7DCD" w:rsidRPr="00DC0772">
        <w:rPr>
          <w:rFonts w:ascii="Arial" w:hAnsi="Arial" w:cs="Arial"/>
          <w:color w:val="000000"/>
          <w:sz w:val="24"/>
          <w:szCs w:val="24"/>
        </w:rPr>
        <w:t xml:space="preserve"> a distraer</w:t>
      </w:r>
      <w:r w:rsidR="000E35A0" w:rsidRPr="00DC0772">
        <w:rPr>
          <w:rFonts w:ascii="Arial" w:hAnsi="Arial" w:cs="Arial"/>
          <w:color w:val="000000"/>
          <w:sz w:val="24"/>
          <w:szCs w:val="24"/>
        </w:rPr>
        <w:t>;</w:t>
      </w:r>
      <w:r w:rsidR="00BF7DCD" w:rsidRPr="00DC0772">
        <w:rPr>
          <w:rFonts w:ascii="Arial" w:hAnsi="Arial" w:cs="Arial"/>
          <w:color w:val="000000"/>
          <w:sz w:val="24"/>
          <w:szCs w:val="24"/>
        </w:rPr>
        <w:t xml:space="preserve"> de modo que</w:t>
      </w:r>
      <w:r w:rsidR="000E35A0" w:rsidRPr="00DC0772">
        <w:rPr>
          <w:rFonts w:ascii="Arial" w:hAnsi="Arial" w:cs="Arial"/>
          <w:color w:val="000000"/>
          <w:sz w:val="24"/>
          <w:szCs w:val="24"/>
        </w:rPr>
        <w:t xml:space="preserve"> para esta Sala</w:t>
      </w:r>
      <w:r w:rsidR="00BF7DCD" w:rsidRPr="00DC0772">
        <w:rPr>
          <w:rFonts w:ascii="Arial" w:hAnsi="Arial" w:cs="Arial"/>
          <w:color w:val="000000"/>
          <w:sz w:val="24"/>
          <w:szCs w:val="24"/>
        </w:rPr>
        <w:t xml:space="preserve">, </w:t>
      </w:r>
      <w:r w:rsidR="000E35A0" w:rsidRPr="00DC0772">
        <w:rPr>
          <w:rFonts w:ascii="Arial" w:hAnsi="Arial" w:cs="Arial"/>
          <w:color w:val="000000"/>
          <w:sz w:val="24"/>
          <w:szCs w:val="24"/>
        </w:rPr>
        <w:t xml:space="preserve">resultaría improcedente </w:t>
      </w:r>
      <w:r w:rsidR="00BF7DCD" w:rsidRPr="00DC0772">
        <w:rPr>
          <w:rFonts w:ascii="Arial" w:hAnsi="Arial" w:cs="Arial"/>
          <w:color w:val="000000"/>
          <w:sz w:val="24"/>
          <w:szCs w:val="24"/>
        </w:rPr>
        <w:t xml:space="preserve">pedir </w:t>
      </w:r>
      <w:r w:rsidR="000E35A0" w:rsidRPr="00DC0772">
        <w:rPr>
          <w:rFonts w:ascii="Arial" w:hAnsi="Arial" w:cs="Arial"/>
          <w:color w:val="000000"/>
          <w:sz w:val="24"/>
          <w:szCs w:val="24"/>
        </w:rPr>
        <w:t xml:space="preserve">y decretar tales medidas sobre </w:t>
      </w:r>
      <w:r w:rsidR="00BF7DCD" w:rsidRPr="00DC0772">
        <w:rPr>
          <w:rFonts w:ascii="Arial" w:hAnsi="Arial" w:cs="Arial"/>
          <w:color w:val="000000"/>
          <w:sz w:val="24"/>
          <w:szCs w:val="24"/>
        </w:rPr>
        <w:t>un elemento patrimonial del cual, si bien hizo parte del haber de la sociedad conyugal,</w:t>
      </w:r>
      <w:r w:rsidRPr="00DC0772">
        <w:rPr>
          <w:rFonts w:ascii="Arial" w:hAnsi="Arial" w:cs="Arial"/>
          <w:color w:val="000000"/>
          <w:sz w:val="24"/>
          <w:szCs w:val="24"/>
        </w:rPr>
        <w:t xml:space="preserve"> ya no se es titular del mismo.</w:t>
      </w:r>
    </w:p>
    <w:p w:rsidR="00495E0E" w:rsidRPr="00DC0772" w:rsidRDefault="00495E0E" w:rsidP="00DC0772">
      <w:pPr>
        <w:pStyle w:val="Sinespaciado1"/>
        <w:spacing w:line="312" w:lineRule="auto"/>
        <w:ind w:firstLine="2835"/>
        <w:jc w:val="both"/>
        <w:rPr>
          <w:rFonts w:ascii="Arial" w:hAnsi="Arial" w:cs="Arial"/>
          <w:color w:val="000000"/>
          <w:sz w:val="24"/>
          <w:szCs w:val="24"/>
        </w:rPr>
      </w:pPr>
    </w:p>
    <w:p w:rsidR="00462728" w:rsidRPr="00DC0772" w:rsidRDefault="00495E0E"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lastRenderedPageBreak/>
        <w:t xml:space="preserve">7. </w:t>
      </w:r>
      <w:r w:rsidR="00462728" w:rsidRPr="00DC0772">
        <w:rPr>
          <w:rFonts w:ascii="Arial" w:hAnsi="Arial" w:cs="Arial"/>
          <w:color w:val="000000"/>
          <w:sz w:val="24"/>
          <w:szCs w:val="24"/>
        </w:rPr>
        <w:t>Nótese que en la asunto bajo estudio, se acreditó en el expediente que el bien cuya partición adicional se reclama, fue enajenado por el señor</w:t>
      </w:r>
      <w:r w:rsidR="00462728" w:rsidRPr="00DC0772">
        <w:rPr>
          <w:rFonts w:ascii="Arial" w:hAnsi="Arial" w:cs="Arial"/>
          <w:b/>
          <w:bCs/>
          <w:sz w:val="24"/>
          <w:szCs w:val="24"/>
          <w:lang w:val="es-MX"/>
        </w:rPr>
        <w:t xml:space="preserve"> OTONIEL OSORIO OSORIO</w:t>
      </w:r>
      <w:r w:rsidR="00462728" w:rsidRPr="00DC0772">
        <w:rPr>
          <w:rFonts w:ascii="Arial" w:hAnsi="Arial" w:cs="Arial"/>
          <w:color w:val="000000"/>
          <w:sz w:val="24"/>
          <w:szCs w:val="24"/>
        </w:rPr>
        <w:t xml:space="preserve"> el 24 de agosto de 2016, mediante la escritura pública número 2752, otorgada en la Notaría Única de Dosquebradas, acto registrado al folio de matrícula inmobiliaria número 294-30373. Así se puede apreciar de las copias de dicho instrumento público y del mencionado folio de matrícula inmobiliaria que obran en el expediente (folios 57 al 64 del cuaderno principal).</w:t>
      </w:r>
    </w:p>
    <w:p w:rsidR="00462728" w:rsidRPr="00DC0772" w:rsidRDefault="00462728" w:rsidP="00DC0772">
      <w:pPr>
        <w:pStyle w:val="Sinespaciado1"/>
        <w:spacing w:line="312" w:lineRule="auto"/>
        <w:ind w:firstLine="2835"/>
        <w:jc w:val="both"/>
        <w:rPr>
          <w:rFonts w:ascii="Arial" w:hAnsi="Arial" w:cs="Arial"/>
          <w:color w:val="000000"/>
          <w:sz w:val="24"/>
          <w:szCs w:val="24"/>
        </w:rPr>
      </w:pPr>
    </w:p>
    <w:p w:rsidR="00495E0E" w:rsidRPr="00DC0772" w:rsidRDefault="00462728"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De manera que como el inmueble perseguido en el proceso no aparece a nombre del demandado, las cautelas a que se refiere el artículo 598 del C.G.P., no son procedentes.</w:t>
      </w:r>
      <w:r w:rsidR="00495E0E" w:rsidRPr="00DC0772">
        <w:rPr>
          <w:rFonts w:ascii="Arial" w:hAnsi="Arial" w:cs="Arial"/>
          <w:color w:val="000000"/>
          <w:sz w:val="24"/>
          <w:szCs w:val="24"/>
        </w:rPr>
        <w:t xml:space="preserve"> </w:t>
      </w:r>
    </w:p>
    <w:p w:rsidR="00BF7DCD" w:rsidRPr="00DC0772" w:rsidRDefault="00BF7DCD" w:rsidP="00DC0772">
      <w:pPr>
        <w:pStyle w:val="Sinespaciado1"/>
        <w:spacing w:line="312" w:lineRule="auto"/>
        <w:ind w:firstLine="2835"/>
        <w:jc w:val="both"/>
        <w:rPr>
          <w:rFonts w:ascii="Arial" w:hAnsi="Arial" w:cs="Arial"/>
          <w:color w:val="000000"/>
          <w:sz w:val="24"/>
          <w:szCs w:val="24"/>
        </w:rPr>
      </w:pPr>
    </w:p>
    <w:p w:rsidR="00297943" w:rsidRDefault="00462728"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8. Pero, además, clarísimo está que el objeto de la partición adicio</w:t>
      </w:r>
      <w:r w:rsidR="00B55927" w:rsidRPr="00DC0772">
        <w:rPr>
          <w:rFonts w:ascii="Arial" w:hAnsi="Arial" w:cs="Arial"/>
          <w:color w:val="000000"/>
          <w:sz w:val="24"/>
          <w:szCs w:val="24"/>
        </w:rPr>
        <w:t xml:space="preserve">nal es el inmueble ya descrito y el de la cautela es la posesión del mismo que detenta el señor </w:t>
      </w:r>
      <w:r w:rsidR="00B55927" w:rsidRPr="00DC0772">
        <w:rPr>
          <w:rFonts w:ascii="Arial" w:hAnsi="Arial" w:cs="Arial"/>
          <w:b/>
          <w:bCs/>
          <w:sz w:val="24"/>
          <w:szCs w:val="24"/>
          <w:lang w:val="es-MX"/>
        </w:rPr>
        <w:t>OTONIEL</w:t>
      </w:r>
      <w:r w:rsidR="00B55927" w:rsidRPr="00DC0772">
        <w:rPr>
          <w:rFonts w:ascii="Arial" w:hAnsi="Arial" w:cs="Arial"/>
          <w:color w:val="000000"/>
          <w:sz w:val="24"/>
          <w:szCs w:val="24"/>
        </w:rPr>
        <w:t>, según la petición realizada al juzgado</w:t>
      </w:r>
      <w:r w:rsidR="00297943" w:rsidRPr="00DC0772">
        <w:rPr>
          <w:rFonts w:ascii="Arial" w:hAnsi="Arial" w:cs="Arial"/>
          <w:color w:val="000000"/>
          <w:sz w:val="24"/>
          <w:szCs w:val="24"/>
        </w:rPr>
        <w:t>; derechos estos de naturaleza diferente.</w:t>
      </w:r>
    </w:p>
    <w:p w:rsidR="004F51F0" w:rsidRPr="00DC0772" w:rsidRDefault="004F51F0" w:rsidP="00DC0772">
      <w:pPr>
        <w:pStyle w:val="Sinespaciado1"/>
        <w:spacing w:line="312" w:lineRule="auto"/>
        <w:ind w:firstLine="2835"/>
        <w:jc w:val="both"/>
        <w:rPr>
          <w:rFonts w:ascii="Arial" w:hAnsi="Arial" w:cs="Arial"/>
          <w:color w:val="000000"/>
          <w:sz w:val="24"/>
          <w:szCs w:val="24"/>
        </w:rPr>
      </w:pPr>
    </w:p>
    <w:p w:rsidR="00297943" w:rsidRPr="00DC0772" w:rsidRDefault="00297943"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 xml:space="preserve">El dominio, que se llama también propiedad, </w:t>
      </w:r>
      <w:r w:rsidR="00B55927" w:rsidRPr="00DC0772">
        <w:rPr>
          <w:rFonts w:ascii="Arial" w:hAnsi="Arial" w:cs="Arial"/>
          <w:color w:val="000000"/>
          <w:sz w:val="24"/>
          <w:szCs w:val="24"/>
        </w:rPr>
        <w:t xml:space="preserve">se define </w:t>
      </w:r>
      <w:r w:rsidRPr="00DC0772">
        <w:rPr>
          <w:rFonts w:ascii="Arial" w:hAnsi="Arial" w:cs="Arial"/>
          <w:color w:val="000000"/>
          <w:sz w:val="24"/>
          <w:szCs w:val="24"/>
        </w:rPr>
        <w:t xml:space="preserve">en el artículo 669 del Código Civil </w:t>
      </w:r>
      <w:r w:rsidR="00B55927" w:rsidRPr="00DC0772">
        <w:rPr>
          <w:rFonts w:ascii="Arial" w:hAnsi="Arial" w:cs="Arial"/>
          <w:color w:val="000000"/>
          <w:sz w:val="24"/>
          <w:szCs w:val="24"/>
        </w:rPr>
        <w:t xml:space="preserve">como </w:t>
      </w:r>
      <w:r w:rsidR="00B55927" w:rsidRPr="00DC0772">
        <w:rPr>
          <w:rFonts w:ascii="Arial" w:hAnsi="Arial" w:cs="Arial"/>
          <w:i/>
          <w:color w:val="000000"/>
          <w:sz w:val="24"/>
          <w:szCs w:val="24"/>
        </w:rPr>
        <w:t xml:space="preserve">“el derecho real en una cosa corporal, para gozar y </w:t>
      </w:r>
      <w:r w:rsidRPr="00DC0772">
        <w:rPr>
          <w:rFonts w:ascii="Arial" w:hAnsi="Arial" w:cs="Arial"/>
          <w:i/>
          <w:color w:val="000000"/>
          <w:sz w:val="24"/>
          <w:szCs w:val="24"/>
        </w:rPr>
        <w:t>disponer de ella</w:t>
      </w:r>
      <w:r w:rsidR="00B55927" w:rsidRPr="00DC0772">
        <w:rPr>
          <w:rFonts w:ascii="Arial" w:hAnsi="Arial" w:cs="Arial"/>
          <w:i/>
          <w:color w:val="000000"/>
          <w:sz w:val="24"/>
          <w:szCs w:val="24"/>
        </w:rPr>
        <w:t>, no siendo contra ley o contra derecho ajeno”</w:t>
      </w:r>
      <w:r w:rsidRPr="00DC0772">
        <w:rPr>
          <w:rFonts w:ascii="Arial" w:hAnsi="Arial" w:cs="Arial"/>
          <w:color w:val="000000"/>
          <w:sz w:val="24"/>
          <w:szCs w:val="24"/>
        </w:rPr>
        <w:t xml:space="preserve">.  Y la posesión, a las voces del artículo 762 es </w:t>
      </w:r>
      <w:r w:rsidRPr="00DC0772">
        <w:rPr>
          <w:rFonts w:ascii="Arial" w:hAnsi="Arial" w:cs="Arial"/>
          <w:i/>
          <w:color w:val="000000"/>
          <w:sz w:val="24"/>
          <w:szCs w:val="24"/>
        </w:rPr>
        <w:t>“es la tenencia de una cosa determinada con ánimo de señor o dueño, sea que el dueño o el que se da por tal, tenga la cosa por sí mismo, o por otra persona que la tenga en lugar y a nombre de él.”</w:t>
      </w:r>
    </w:p>
    <w:p w:rsidR="00297943" w:rsidRPr="00DC0772" w:rsidRDefault="00297943" w:rsidP="00DC0772">
      <w:pPr>
        <w:pStyle w:val="Sinespaciado1"/>
        <w:spacing w:line="312" w:lineRule="auto"/>
        <w:ind w:firstLine="2835"/>
        <w:jc w:val="both"/>
        <w:rPr>
          <w:rFonts w:ascii="Arial" w:hAnsi="Arial" w:cs="Arial"/>
          <w:color w:val="000000"/>
          <w:sz w:val="24"/>
          <w:szCs w:val="24"/>
        </w:rPr>
      </w:pPr>
    </w:p>
    <w:p w:rsidR="005120C7" w:rsidRPr="00DC0772" w:rsidRDefault="00297943"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 xml:space="preserve">9. Siendo así las cosas, y teniendo en cuenta que las medidas cautelares deben recaer sobre el objeto del proceso y en el asunto bajo estudio no ocurre así, erró el funcionario judicial de primer grado al disponer el secuestro de la posesión </w:t>
      </w:r>
      <w:r w:rsidR="005120C7" w:rsidRPr="00DC0772">
        <w:rPr>
          <w:rFonts w:ascii="Arial" w:hAnsi="Arial" w:cs="Arial"/>
          <w:color w:val="000000"/>
          <w:sz w:val="24"/>
          <w:szCs w:val="24"/>
        </w:rPr>
        <w:t>del inmueble de marras.</w:t>
      </w:r>
    </w:p>
    <w:p w:rsidR="005120C7" w:rsidRPr="00DC0772" w:rsidRDefault="005120C7" w:rsidP="00DC0772">
      <w:pPr>
        <w:pStyle w:val="Sinespaciado1"/>
        <w:spacing w:line="312" w:lineRule="auto"/>
        <w:ind w:firstLine="2835"/>
        <w:jc w:val="both"/>
        <w:rPr>
          <w:rFonts w:ascii="Arial" w:hAnsi="Arial" w:cs="Arial"/>
          <w:color w:val="000000"/>
          <w:sz w:val="24"/>
          <w:szCs w:val="24"/>
        </w:rPr>
      </w:pPr>
    </w:p>
    <w:p w:rsidR="005120C7" w:rsidRPr="00DC0772" w:rsidRDefault="005120C7"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10. Ahora, no se puede pasar por alto que,</w:t>
      </w:r>
      <w:r w:rsidRPr="00DC0772">
        <w:rPr>
          <w:sz w:val="24"/>
          <w:szCs w:val="24"/>
        </w:rPr>
        <w:t xml:space="preserve"> </w:t>
      </w:r>
      <w:r w:rsidRPr="00DC0772">
        <w:rPr>
          <w:rFonts w:ascii="Arial" w:hAnsi="Arial" w:cs="Arial"/>
          <w:color w:val="000000"/>
          <w:sz w:val="24"/>
          <w:szCs w:val="24"/>
        </w:rPr>
        <w:t xml:space="preserve">durante la vigencia de la sociedad cada uno de los cónyuges tiene la libre administración y disposición de los bienes que le pertenecían al momento de contraer matrimonio, como también la de los que hubiera aportado a él y la de los demás que por cualquier causa hubiere adquirido o adquiera (art.1º Ley 28 de 1932); </w:t>
      </w:r>
      <w:r w:rsidR="00650254" w:rsidRPr="00DC0772">
        <w:rPr>
          <w:rFonts w:ascii="Arial" w:hAnsi="Arial" w:cs="Arial"/>
          <w:color w:val="000000"/>
          <w:sz w:val="24"/>
          <w:szCs w:val="24"/>
        </w:rPr>
        <w:t>empero</w:t>
      </w:r>
      <w:r w:rsidR="00DA5FA1" w:rsidRPr="00DC0772">
        <w:rPr>
          <w:rFonts w:ascii="Arial" w:hAnsi="Arial" w:cs="Arial"/>
          <w:color w:val="000000"/>
          <w:sz w:val="24"/>
          <w:szCs w:val="24"/>
        </w:rPr>
        <w:t>,</w:t>
      </w:r>
      <w:r w:rsidR="00650254" w:rsidRPr="00DC0772">
        <w:rPr>
          <w:rFonts w:ascii="Arial" w:hAnsi="Arial" w:cs="Arial"/>
          <w:color w:val="000000"/>
          <w:sz w:val="24"/>
          <w:szCs w:val="24"/>
        </w:rPr>
        <w:t xml:space="preserve"> una vez disuelta </w:t>
      </w:r>
      <w:r w:rsidRPr="00DC0772">
        <w:rPr>
          <w:rFonts w:ascii="Arial" w:hAnsi="Arial" w:cs="Arial"/>
          <w:color w:val="000000"/>
          <w:sz w:val="24"/>
          <w:szCs w:val="24"/>
        </w:rPr>
        <w:t>la sociedad conyugal deviene una comunidad universal integrada por los bienes muebles e inmuebles, los derechos incorporales y las obligaciones que tengan el carácter de sociales, según las prescripciones contenidas al respecto en el capítulo II del título XXII</w:t>
      </w:r>
      <w:r w:rsidR="00650254" w:rsidRPr="00DC0772">
        <w:rPr>
          <w:rFonts w:ascii="Arial" w:hAnsi="Arial" w:cs="Arial"/>
          <w:color w:val="000000"/>
          <w:sz w:val="24"/>
          <w:szCs w:val="24"/>
        </w:rPr>
        <w:t xml:space="preserve"> del libro IV del Código Civil.</w:t>
      </w:r>
      <w:r w:rsidRPr="00DC0772">
        <w:rPr>
          <w:rFonts w:ascii="Arial" w:hAnsi="Arial" w:cs="Arial"/>
          <w:color w:val="000000"/>
          <w:sz w:val="24"/>
          <w:szCs w:val="24"/>
        </w:rPr>
        <w:t xml:space="preserve"> </w:t>
      </w:r>
      <w:r w:rsidR="00650254" w:rsidRPr="00DC0772">
        <w:rPr>
          <w:rFonts w:ascii="Arial" w:hAnsi="Arial" w:cs="Arial"/>
          <w:color w:val="000000"/>
          <w:sz w:val="24"/>
          <w:szCs w:val="24"/>
        </w:rPr>
        <w:t>C</w:t>
      </w:r>
      <w:r w:rsidRPr="00DC0772">
        <w:rPr>
          <w:rFonts w:ascii="Arial" w:hAnsi="Arial" w:cs="Arial"/>
          <w:color w:val="000000"/>
          <w:sz w:val="24"/>
          <w:szCs w:val="24"/>
        </w:rPr>
        <w:t>omunidad distinta de los cónyuges y titular de un patrimonio independiente y autónomo, respecto de éstos y de terceros, sobre el cual ninguno de los co</w:t>
      </w:r>
      <w:r w:rsidR="00650254" w:rsidRPr="00DC0772">
        <w:rPr>
          <w:rFonts w:ascii="Arial" w:hAnsi="Arial" w:cs="Arial"/>
          <w:color w:val="000000"/>
          <w:sz w:val="24"/>
          <w:szCs w:val="24"/>
        </w:rPr>
        <w:t xml:space="preserve">nsortes, obrando por sí solo, </w:t>
      </w:r>
      <w:r w:rsidRPr="00DC0772">
        <w:rPr>
          <w:rFonts w:ascii="Arial" w:hAnsi="Arial" w:cs="Arial"/>
          <w:color w:val="000000"/>
          <w:sz w:val="24"/>
          <w:szCs w:val="24"/>
        </w:rPr>
        <w:t xml:space="preserve">puede ejecutar ningún acto de </w:t>
      </w:r>
      <w:r w:rsidRPr="00DC0772">
        <w:rPr>
          <w:rFonts w:ascii="Arial" w:hAnsi="Arial" w:cs="Arial"/>
          <w:color w:val="000000"/>
          <w:sz w:val="24"/>
          <w:szCs w:val="24"/>
        </w:rPr>
        <w:lastRenderedPageBreak/>
        <w:t>enajenación sin colocarse en la situación jurídica de quien vende cosa ajena, de cuyo dominio es único titula</w:t>
      </w:r>
      <w:r w:rsidR="00650254" w:rsidRPr="00DC0772">
        <w:rPr>
          <w:rFonts w:ascii="Arial" w:hAnsi="Arial" w:cs="Arial"/>
          <w:color w:val="000000"/>
          <w:sz w:val="24"/>
          <w:szCs w:val="24"/>
        </w:rPr>
        <w:t>r la sociedad conyugal ilíquida.</w:t>
      </w:r>
    </w:p>
    <w:p w:rsidR="00650254" w:rsidRPr="00DC0772" w:rsidRDefault="00650254" w:rsidP="00DC0772">
      <w:pPr>
        <w:pStyle w:val="Sinespaciado1"/>
        <w:spacing w:line="312" w:lineRule="auto"/>
        <w:ind w:firstLine="2835"/>
        <w:jc w:val="both"/>
        <w:rPr>
          <w:rFonts w:ascii="Arial" w:hAnsi="Arial" w:cs="Arial"/>
          <w:color w:val="000000"/>
          <w:sz w:val="24"/>
          <w:szCs w:val="24"/>
        </w:rPr>
      </w:pPr>
    </w:p>
    <w:p w:rsidR="00470BEF" w:rsidRPr="00DC0772" w:rsidRDefault="00470BEF"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 xml:space="preserve">11. </w:t>
      </w:r>
      <w:r w:rsidR="00650254" w:rsidRPr="00DC0772">
        <w:rPr>
          <w:rFonts w:ascii="Arial" w:hAnsi="Arial" w:cs="Arial"/>
          <w:color w:val="000000"/>
          <w:sz w:val="24"/>
          <w:szCs w:val="24"/>
        </w:rPr>
        <w:t>Aquí ocurrió que el señor</w:t>
      </w:r>
      <w:r w:rsidRPr="00DC0772">
        <w:rPr>
          <w:rFonts w:ascii="Arial" w:hAnsi="Arial" w:cs="Arial"/>
          <w:b/>
          <w:bCs/>
          <w:sz w:val="24"/>
          <w:szCs w:val="24"/>
          <w:lang w:val="es-MX"/>
        </w:rPr>
        <w:t xml:space="preserve"> OTONIEL OSORIO OSORIO</w:t>
      </w:r>
      <w:r w:rsidRPr="00DC0772">
        <w:rPr>
          <w:rFonts w:ascii="Arial" w:hAnsi="Arial" w:cs="Arial"/>
          <w:color w:val="000000"/>
          <w:sz w:val="24"/>
          <w:szCs w:val="24"/>
        </w:rPr>
        <w:t xml:space="preserve"> adquirió el inmueble objeto del proceso durante la vigencia de la sociedad conyugal, a título oneroso, por lo cual tenía el carácter de social y estando disuelta, por efectos del divorcio, enajenó el mismo a la señora </w:t>
      </w:r>
      <w:r w:rsidRPr="00DC0772">
        <w:rPr>
          <w:rFonts w:ascii="Arial" w:hAnsi="Arial" w:cs="Arial"/>
          <w:b/>
          <w:color w:val="000000"/>
          <w:sz w:val="24"/>
          <w:szCs w:val="24"/>
        </w:rPr>
        <w:t>LINA MARCELA OSORIO MARÍN</w:t>
      </w:r>
      <w:r w:rsidRPr="00DC0772">
        <w:rPr>
          <w:rFonts w:ascii="Arial" w:hAnsi="Arial" w:cs="Arial"/>
          <w:color w:val="000000"/>
          <w:sz w:val="24"/>
          <w:szCs w:val="24"/>
        </w:rPr>
        <w:t xml:space="preserve">.  Se insiste por ello, que el inmueble objeto de la partición adicional no está en cabeza del señor </w:t>
      </w:r>
      <w:r w:rsidRPr="00DC0772">
        <w:rPr>
          <w:rFonts w:ascii="Arial" w:hAnsi="Arial" w:cs="Arial"/>
          <w:b/>
          <w:color w:val="000000"/>
          <w:sz w:val="24"/>
          <w:szCs w:val="24"/>
        </w:rPr>
        <w:t>OTONIEL</w:t>
      </w:r>
      <w:r w:rsidRPr="00DC0772">
        <w:rPr>
          <w:rFonts w:ascii="Arial" w:hAnsi="Arial" w:cs="Arial"/>
          <w:color w:val="000000"/>
          <w:sz w:val="24"/>
          <w:szCs w:val="24"/>
        </w:rPr>
        <w:t>.</w:t>
      </w:r>
    </w:p>
    <w:p w:rsidR="00470BEF" w:rsidRPr="00DC0772" w:rsidRDefault="00470BEF" w:rsidP="00DC0772">
      <w:pPr>
        <w:pStyle w:val="Sinespaciado1"/>
        <w:spacing w:line="312" w:lineRule="auto"/>
        <w:ind w:firstLine="2835"/>
        <w:jc w:val="both"/>
        <w:rPr>
          <w:rFonts w:ascii="Arial" w:hAnsi="Arial" w:cs="Arial"/>
          <w:color w:val="000000"/>
          <w:sz w:val="24"/>
          <w:szCs w:val="24"/>
        </w:rPr>
      </w:pPr>
    </w:p>
    <w:p w:rsidR="00470BEF" w:rsidRPr="00DC0772" w:rsidRDefault="00A02157"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 xml:space="preserve">12. </w:t>
      </w:r>
      <w:r w:rsidR="003D14B6" w:rsidRPr="00DC0772">
        <w:rPr>
          <w:rFonts w:ascii="Arial" w:hAnsi="Arial" w:cs="Arial"/>
          <w:color w:val="000000"/>
          <w:sz w:val="24"/>
          <w:szCs w:val="24"/>
        </w:rPr>
        <w:t xml:space="preserve">Respecto de la venta de cosa ajena, de que trata el artículo 1871 del Código Civil, que señala </w:t>
      </w:r>
      <w:r w:rsidR="003D14B6" w:rsidRPr="00DC0772">
        <w:rPr>
          <w:rFonts w:ascii="Arial" w:hAnsi="Arial" w:cs="Arial"/>
          <w:i/>
          <w:color w:val="000000"/>
          <w:sz w:val="24"/>
          <w:szCs w:val="24"/>
        </w:rPr>
        <w:t>“vale, sin perjuicio de los derechos del dueño de la cosa vendida”</w:t>
      </w:r>
      <w:r w:rsidR="00304F46" w:rsidRPr="00DC0772">
        <w:rPr>
          <w:rFonts w:ascii="Arial" w:hAnsi="Arial" w:cs="Arial"/>
          <w:color w:val="000000"/>
          <w:sz w:val="24"/>
          <w:szCs w:val="24"/>
        </w:rPr>
        <w:t>,</w:t>
      </w:r>
      <w:r w:rsidR="003D14B6" w:rsidRPr="00DC0772">
        <w:rPr>
          <w:rFonts w:ascii="Arial" w:hAnsi="Arial" w:cs="Arial"/>
          <w:color w:val="000000"/>
          <w:sz w:val="24"/>
          <w:szCs w:val="24"/>
        </w:rPr>
        <w:t xml:space="preserve"> en la Sentencia C-</w:t>
      </w:r>
      <w:r w:rsidR="00304F46" w:rsidRPr="00DC0772">
        <w:rPr>
          <w:rFonts w:ascii="Arial" w:hAnsi="Arial" w:cs="Arial"/>
          <w:color w:val="000000"/>
          <w:sz w:val="24"/>
          <w:szCs w:val="24"/>
        </w:rPr>
        <w:t>174 de 2001</w:t>
      </w:r>
      <w:r w:rsidR="003D14B6" w:rsidRPr="00DC0772">
        <w:rPr>
          <w:rFonts w:ascii="Arial" w:hAnsi="Arial" w:cs="Arial"/>
          <w:color w:val="000000"/>
          <w:sz w:val="24"/>
          <w:szCs w:val="24"/>
        </w:rPr>
        <w:t>, la Corte Constitucional, expresó que se debe mantener en el ordenamiento jurídico, sin que esta decisión pueda entenderse como el prohijamiento de la conducta punible de quien dolosamente vende lo que no es suyo porque, en tales casos el ordenamiento tiene previstas sanciones, que, además, afectan la validez del contrato – artículos 349, 356, 358 y 365 C.P., 1502 a 1526 C.C.</w:t>
      </w:r>
      <w:r w:rsidR="00304F46" w:rsidRPr="00DC0772">
        <w:rPr>
          <w:rFonts w:ascii="Arial" w:hAnsi="Arial" w:cs="Arial"/>
          <w:color w:val="000000"/>
          <w:sz w:val="24"/>
          <w:szCs w:val="24"/>
        </w:rPr>
        <w:t xml:space="preserve"> Amén de otras acciones como la de simulación.</w:t>
      </w:r>
    </w:p>
    <w:p w:rsidR="003D14B6" w:rsidRPr="00DC0772" w:rsidRDefault="003D14B6" w:rsidP="00DC0772">
      <w:pPr>
        <w:pStyle w:val="Sinespaciado1"/>
        <w:spacing w:line="312" w:lineRule="auto"/>
        <w:ind w:firstLine="2835"/>
        <w:jc w:val="both"/>
        <w:rPr>
          <w:rFonts w:ascii="Arial" w:hAnsi="Arial" w:cs="Arial"/>
          <w:color w:val="000000"/>
          <w:sz w:val="24"/>
          <w:szCs w:val="24"/>
        </w:rPr>
      </w:pPr>
    </w:p>
    <w:p w:rsidR="00470BEF" w:rsidRPr="00DC0772" w:rsidRDefault="00A02157" w:rsidP="00DC0772">
      <w:pPr>
        <w:pStyle w:val="Sinespaciado1"/>
        <w:spacing w:line="312" w:lineRule="auto"/>
        <w:ind w:firstLine="2835"/>
        <w:jc w:val="both"/>
        <w:rPr>
          <w:rFonts w:ascii="Arial" w:hAnsi="Arial" w:cs="Arial"/>
          <w:color w:val="000000"/>
          <w:sz w:val="24"/>
          <w:szCs w:val="24"/>
        </w:rPr>
      </w:pPr>
      <w:r w:rsidRPr="00DC0772">
        <w:rPr>
          <w:rFonts w:ascii="Arial" w:hAnsi="Arial" w:cs="Arial"/>
          <w:color w:val="000000"/>
          <w:sz w:val="24"/>
          <w:szCs w:val="24"/>
        </w:rPr>
        <w:t xml:space="preserve">13. </w:t>
      </w:r>
      <w:r w:rsidR="00470BEF" w:rsidRPr="00DC0772">
        <w:rPr>
          <w:rFonts w:ascii="Arial" w:hAnsi="Arial" w:cs="Arial"/>
          <w:color w:val="000000"/>
          <w:sz w:val="24"/>
          <w:szCs w:val="24"/>
        </w:rPr>
        <w:t xml:space="preserve">Bajo el panorama que ahora nos envuelve, ante la claridad del asunto, no podía admitirse la cautela solicitada, lo que conlleva a revocar el auto protestado. </w:t>
      </w:r>
      <w:r w:rsidR="0057340E" w:rsidRPr="00DC0772">
        <w:rPr>
          <w:rFonts w:ascii="Arial" w:hAnsi="Arial" w:cs="Arial"/>
          <w:sz w:val="24"/>
          <w:szCs w:val="24"/>
        </w:rPr>
        <w:t>Sin condena en costas, por la prosperidad de la alzada (Artículo 365, CGP)</w:t>
      </w:r>
    </w:p>
    <w:p w:rsidR="00470BEF" w:rsidRPr="00DC0772" w:rsidRDefault="00470BEF" w:rsidP="00DC0772">
      <w:pPr>
        <w:pStyle w:val="Sinespaciado1"/>
        <w:spacing w:line="312" w:lineRule="auto"/>
        <w:ind w:firstLine="2835"/>
        <w:jc w:val="both"/>
        <w:rPr>
          <w:rFonts w:ascii="Verdana" w:hAnsi="Verdana"/>
          <w:color w:val="000000"/>
          <w:sz w:val="24"/>
          <w:szCs w:val="24"/>
          <w:lang w:val="es-ES_tradnl"/>
        </w:rPr>
      </w:pPr>
    </w:p>
    <w:p w:rsidR="00470BEF" w:rsidRPr="00DC0772" w:rsidRDefault="00470BEF" w:rsidP="00DC0772">
      <w:pPr>
        <w:pStyle w:val="Sinespaciado1"/>
        <w:spacing w:line="312" w:lineRule="auto"/>
        <w:ind w:firstLine="2880"/>
        <w:jc w:val="both"/>
        <w:rPr>
          <w:rFonts w:ascii="Arial" w:hAnsi="Arial" w:cs="Arial"/>
          <w:b/>
          <w:sz w:val="24"/>
          <w:szCs w:val="24"/>
        </w:rPr>
      </w:pPr>
      <w:r w:rsidRPr="00DC0772">
        <w:rPr>
          <w:rFonts w:ascii="Arial" w:hAnsi="Arial" w:cs="Arial"/>
          <w:b/>
          <w:sz w:val="24"/>
          <w:szCs w:val="24"/>
        </w:rPr>
        <w:t>IV. DECISIÓN</w:t>
      </w:r>
    </w:p>
    <w:p w:rsidR="00470BEF" w:rsidRPr="00DC0772" w:rsidRDefault="00470BEF" w:rsidP="00DC0772">
      <w:pPr>
        <w:pStyle w:val="Sinespaciado1"/>
        <w:spacing w:line="312" w:lineRule="auto"/>
        <w:ind w:firstLine="2880"/>
        <w:jc w:val="both"/>
        <w:rPr>
          <w:rFonts w:ascii="Arial" w:hAnsi="Arial" w:cs="Arial"/>
          <w:sz w:val="24"/>
          <w:szCs w:val="24"/>
        </w:rPr>
      </w:pPr>
    </w:p>
    <w:p w:rsidR="00EA07E3" w:rsidRPr="00DC0772" w:rsidRDefault="00470BEF" w:rsidP="00DC0772">
      <w:pPr>
        <w:pStyle w:val="Sinespaciado1"/>
        <w:spacing w:line="312" w:lineRule="auto"/>
        <w:ind w:firstLine="2880"/>
        <w:jc w:val="both"/>
        <w:rPr>
          <w:rFonts w:ascii="Arial" w:hAnsi="Arial" w:cs="Arial"/>
          <w:sz w:val="24"/>
          <w:szCs w:val="24"/>
        </w:rPr>
      </w:pPr>
      <w:r w:rsidRPr="00DC0772">
        <w:rPr>
          <w:rFonts w:ascii="Arial" w:hAnsi="Arial" w:cs="Arial"/>
          <w:sz w:val="24"/>
          <w:szCs w:val="24"/>
        </w:rPr>
        <w:t xml:space="preserve">En mérito de lo expuesto, el Tribunal Superior del Distrito Judicial de Pereira, Sala Unitaria Civil Familia de Decisión, </w:t>
      </w:r>
      <w:r w:rsidRPr="00DC0772">
        <w:rPr>
          <w:rFonts w:ascii="Arial" w:hAnsi="Arial" w:cs="Arial"/>
          <w:b/>
          <w:sz w:val="24"/>
          <w:szCs w:val="24"/>
        </w:rPr>
        <w:t>RESUELVE</w:t>
      </w:r>
      <w:r w:rsidR="00A02157" w:rsidRPr="00DC0772">
        <w:rPr>
          <w:rFonts w:ascii="Arial" w:hAnsi="Arial" w:cs="Arial"/>
          <w:sz w:val="24"/>
          <w:szCs w:val="24"/>
        </w:rPr>
        <w:t xml:space="preserve">: </w:t>
      </w:r>
    </w:p>
    <w:p w:rsidR="00EA07E3" w:rsidRPr="00DC0772" w:rsidRDefault="00EA07E3" w:rsidP="00DC0772">
      <w:pPr>
        <w:pStyle w:val="Sinespaciado1"/>
        <w:spacing w:line="312" w:lineRule="auto"/>
        <w:ind w:firstLine="2880"/>
        <w:jc w:val="both"/>
        <w:rPr>
          <w:rFonts w:ascii="Arial" w:hAnsi="Arial" w:cs="Arial"/>
          <w:sz w:val="24"/>
          <w:szCs w:val="24"/>
        </w:rPr>
      </w:pPr>
    </w:p>
    <w:p w:rsidR="0057340E" w:rsidRPr="00DC0772" w:rsidRDefault="00470BEF" w:rsidP="00DC0772">
      <w:pPr>
        <w:pStyle w:val="Sinespaciado1"/>
        <w:numPr>
          <w:ilvl w:val="0"/>
          <w:numId w:val="3"/>
        </w:numPr>
        <w:spacing w:line="312" w:lineRule="auto"/>
        <w:jc w:val="both"/>
        <w:rPr>
          <w:rFonts w:ascii="Arial" w:hAnsi="Arial" w:cs="Arial"/>
          <w:sz w:val="24"/>
          <w:szCs w:val="24"/>
        </w:rPr>
      </w:pPr>
      <w:r w:rsidRPr="00DC0772">
        <w:rPr>
          <w:rFonts w:ascii="Arial" w:hAnsi="Arial" w:cs="Arial"/>
          <w:b/>
          <w:sz w:val="24"/>
          <w:szCs w:val="24"/>
        </w:rPr>
        <w:t xml:space="preserve">REVOCAR </w:t>
      </w:r>
      <w:r w:rsidRPr="00DC0772">
        <w:rPr>
          <w:rFonts w:ascii="Arial" w:hAnsi="Arial" w:cs="Arial"/>
          <w:sz w:val="24"/>
          <w:szCs w:val="24"/>
        </w:rPr>
        <w:t>el auto impugnado</w:t>
      </w:r>
      <w:r w:rsidR="00EA07E3" w:rsidRPr="00DC0772">
        <w:rPr>
          <w:rFonts w:ascii="Arial" w:hAnsi="Arial" w:cs="Arial"/>
          <w:sz w:val="24"/>
          <w:szCs w:val="24"/>
        </w:rPr>
        <w:t>.</w:t>
      </w:r>
    </w:p>
    <w:p w:rsidR="0057340E" w:rsidRPr="00DC0772" w:rsidRDefault="0057340E" w:rsidP="00DC0772">
      <w:pPr>
        <w:pStyle w:val="Sinespaciado1"/>
        <w:spacing w:line="312" w:lineRule="auto"/>
        <w:ind w:left="3240"/>
        <w:jc w:val="both"/>
        <w:rPr>
          <w:rFonts w:ascii="Arial" w:hAnsi="Arial" w:cs="Arial"/>
          <w:sz w:val="24"/>
          <w:szCs w:val="24"/>
        </w:rPr>
      </w:pPr>
    </w:p>
    <w:p w:rsidR="0057340E" w:rsidRPr="00DC0772" w:rsidRDefault="0057340E" w:rsidP="00DC0772">
      <w:pPr>
        <w:pStyle w:val="Sinespaciado1"/>
        <w:numPr>
          <w:ilvl w:val="0"/>
          <w:numId w:val="3"/>
        </w:numPr>
        <w:spacing w:line="312" w:lineRule="auto"/>
        <w:jc w:val="both"/>
        <w:rPr>
          <w:rFonts w:ascii="Arial" w:hAnsi="Arial" w:cs="Arial"/>
          <w:sz w:val="24"/>
          <w:szCs w:val="24"/>
        </w:rPr>
      </w:pPr>
      <w:r w:rsidRPr="00DC0772">
        <w:rPr>
          <w:rFonts w:ascii="Arial" w:hAnsi="Arial" w:cs="Arial"/>
          <w:b/>
          <w:sz w:val="24"/>
          <w:szCs w:val="24"/>
        </w:rPr>
        <w:t>NO CONDENAR</w:t>
      </w:r>
      <w:r w:rsidRPr="00DC0772">
        <w:rPr>
          <w:rFonts w:ascii="Arial" w:hAnsi="Arial" w:cs="Arial"/>
          <w:sz w:val="24"/>
          <w:szCs w:val="24"/>
        </w:rPr>
        <w:t xml:space="preserve"> en costas en esta instancia.</w:t>
      </w:r>
    </w:p>
    <w:p w:rsidR="00470BEF" w:rsidRPr="00DC0772" w:rsidRDefault="00470BEF" w:rsidP="00DC0772">
      <w:pPr>
        <w:pStyle w:val="Sinespaciado1"/>
        <w:spacing w:line="312" w:lineRule="auto"/>
        <w:ind w:firstLine="2880"/>
        <w:jc w:val="both"/>
        <w:rPr>
          <w:rFonts w:ascii="Arial" w:hAnsi="Arial" w:cs="Arial"/>
          <w:sz w:val="24"/>
          <w:szCs w:val="24"/>
        </w:rPr>
      </w:pPr>
    </w:p>
    <w:p w:rsidR="00470BEF" w:rsidRPr="00DC0772" w:rsidRDefault="00470BEF" w:rsidP="00DC0772">
      <w:pPr>
        <w:pStyle w:val="Sinespaciado1"/>
        <w:spacing w:line="312" w:lineRule="auto"/>
        <w:ind w:firstLine="2880"/>
        <w:jc w:val="both"/>
        <w:rPr>
          <w:rFonts w:ascii="Arial" w:hAnsi="Arial" w:cs="Arial"/>
          <w:sz w:val="24"/>
          <w:szCs w:val="24"/>
        </w:rPr>
      </w:pPr>
      <w:r w:rsidRPr="00DC0772">
        <w:rPr>
          <w:rFonts w:ascii="Arial" w:hAnsi="Arial" w:cs="Arial"/>
          <w:sz w:val="24"/>
          <w:szCs w:val="24"/>
        </w:rPr>
        <w:t>Ejecutoriada esta providencia, devuélvase el expediente al Juzgado de origen.</w:t>
      </w:r>
    </w:p>
    <w:p w:rsidR="00470BEF" w:rsidRPr="00DC0772" w:rsidRDefault="00470BEF" w:rsidP="00DC0772">
      <w:pPr>
        <w:pStyle w:val="Sinespaciado1"/>
        <w:spacing w:line="312" w:lineRule="auto"/>
        <w:ind w:firstLine="2880"/>
        <w:jc w:val="both"/>
        <w:rPr>
          <w:rFonts w:ascii="Arial" w:hAnsi="Arial" w:cs="Arial"/>
          <w:sz w:val="24"/>
          <w:szCs w:val="24"/>
          <w:lang w:val="es-MX"/>
        </w:rPr>
      </w:pPr>
    </w:p>
    <w:p w:rsidR="003D14B6" w:rsidRPr="00DC0772" w:rsidRDefault="00470BEF" w:rsidP="00DC0772">
      <w:pPr>
        <w:pStyle w:val="Sinespaciado1"/>
        <w:spacing w:line="312" w:lineRule="auto"/>
        <w:ind w:firstLine="2880"/>
        <w:jc w:val="both"/>
        <w:rPr>
          <w:rFonts w:ascii="Arial" w:hAnsi="Arial" w:cs="Arial"/>
          <w:sz w:val="24"/>
          <w:szCs w:val="24"/>
          <w:lang w:val="es-MX"/>
        </w:rPr>
      </w:pPr>
      <w:r w:rsidRPr="00DC0772">
        <w:rPr>
          <w:rFonts w:ascii="Arial" w:hAnsi="Arial" w:cs="Arial"/>
          <w:sz w:val="24"/>
          <w:szCs w:val="24"/>
          <w:lang w:val="es-MX"/>
        </w:rPr>
        <w:t>Notifíquese,</w:t>
      </w:r>
    </w:p>
    <w:p w:rsidR="00470BEF" w:rsidRPr="00DC0772" w:rsidRDefault="00470BEF" w:rsidP="00DC0772">
      <w:pPr>
        <w:pStyle w:val="Sinespaciado1"/>
        <w:spacing w:line="312" w:lineRule="auto"/>
        <w:ind w:firstLine="2880"/>
        <w:jc w:val="both"/>
        <w:rPr>
          <w:rFonts w:ascii="Arial" w:hAnsi="Arial" w:cs="Arial"/>
          <w:b/>
          <w:sz w:val="24"/>
          <w:szCs w:val="24"/>
        </w:rPr>
      </w:pPr>
    </w:p>
    <w:p w:rsidR="003D14B6" w:rsidRPr="00DC0772" w:rsidRDefault="003D14B6" w:rsidP="00DC0772">
      <w:pPr>
        <w:pStyle w:val="Sinespaciado1"/>
        <w:spacing w:line="312" w:lineRule="auto"/>
        <w:ind w:firstLine="2880"/>
        <w:jc w:val="both"/>
        <w:rPr>
          <w:rFonts w:ascii="Arial" w:hAnsi="Arial" w:cs="Arial"/>
          <w:b/>
          <w:sz w:val="24"/>
          <w:szCs w:val="24"/>
        </w:rPr>
      </w:pPr>
    </w:p>
    <w:p w:rsidR="00D57BCE" w:rsidRPr="00DC0772" w:rsidRDefault="00D57BCE" w:rsidP="00DC0772">
      <w:pPr>
        <w:pStyle w:val="Sinespaciado1"/>
        <w:spacing w:line="312" w:lineRule="auto"/>
        <w:ind w:firstLine="2880"/>
        <w:jc w:val="both"/>
        <w:rPr>
          <w:rFonts w:ascii="Arial" w:hAnsi="Arial" w:cs="Arial"/>
          <w:b/>
          <w:sz w:val="24"/>
          <w:szCs w:val="24"/>
        </w:rPr>
      </w:pPr>
    </w:p>
    <w:p w:rsidR="0057340E" w:rsidRPr="00DC0772" w:rsidRDefault="0057340E" w:rsidP="00DC0772">
      <w:pPr>
        <w:pStyle w:val="Sinespaciado1"/>
        <w:spacing w:line="312" w:lineRule="auto"/>
        <w:ind w:firstLine="2880"/>
        <w:jc w:val="both"/>
        <w:rPr>
          <w:rFonts w:ascii="Arial" w:hAnsi="Arial" w:cs="Arial"/>
          <w:b/>
          <w:sz w:val="24"/>
          <w:szCs w:val="24"/>
        </w:rPr>
      </w:pPr>
    </w:p>
    <w:p w:rsidR="0057340E" w:rsidRPr="00DC0772" w:rsidRDefault="0057340E" w:rsidP="00DC0772">
      <w:pPr>
        <w:pStyle w:val="Sinespaciado1"/>
        <w:spacing w:line="312" w:lineRule="auto"/>
        <w:ind w:firstLine="2880"/>
        <w:jc w:val="both"/>
        <w:rPr>
          <w:rFonts w:ascii="Arial" w:hAnsi="Arial" w:cs="Arial"/>
          <w:b/>
          <w:sz w:val="24"/>
          <w:szCs w:val="24"/>
        </w:rPr>
      </w:pPr>
    </w:p>
    <w:p w:rsidR="003D14B6" w:rsidRPr="00DC0772" w:rsidRDefault="003D14B6" w:rsidP="00DC0772">
      <w:pPr>
        <w:pStyle w:val="Sinespaciado1"/>
        <w:spacing w:line="312" w:lineRule="auto"/>
        <w:ind w:firstLine="2880"/>
        <w:jc w:val="both"/>
        <w:rPr>
          <w:rFonts w:ascii="Arial" w:hAnsi="Arial" w:cs="Arial"/>
          <w:b/>
          <w:sz w:val="24"/>
          <w:szCs w:val="24"/>
        </w:rPr>
      </w:pPr>
    </w:p>
    <w:p w:rsidR="00470BEF" w:rsidRPr="00DC0772" w:rsidRDefault="00470BEF" w:rsidP="00DC0772">
      <w:pPr>
        <w:pStyle w:val="Sinespaciado1"/>
        <w:spacing w:line="312" w:lineRule="auto"/>
        <w:ind w:firstLine="2880"/>
        <w:jc w:val="both"/>
        <w:rPr>
          <w:rFonts w:ascii="Arial" w:hAnsi="Arial" w:cs="Arial"/>
          <w:b/>
          <w:sz w:val="24"/>
          <w:szCs w:val="24"/>
        </w:rPr>
      </w:pPr>
      <w:r w:rsidRPr="00DC0772">
        <w:rPr>
          <w:rFonts w:ascii="Arial" w:hAnsi="Arial" w:cs="Arial"/>
          <w:b/>
          <w:sz w:val="24"/>
          <w:szCs w:val="24"/>
        </w:rPr>
        <w:t>EDDER JIMMY SÁNCHEZ CALAMBÁS</w:t>
      </w:r>
    </w:p>
    <w:p w:rsidR="00470BEF" w:rsidRPr="00DC0772" w:rsidRDefault="00304F46" w:rsidP="00DC0772">
      <w:pPr>
        <w:pStyle w:val="Sinespaciado1"/>
        <w:spacing w:line="312" w:lineRule="auto"/>
        <w:ind w:firstLine="2835"/>
        <w:jc w:val="both"/>
        <w:rPr>
          <w:rFonts w:ascii="Arial" w:hAnsi="Arial" w:cs="Arial"/>
          <w:spacing w:val="-3"/>
          <w:sz w:val="24"/>
          <w:szCs w:val="24"/>
        </w:rPr>
      </w:pPr>
      <w:r w:rsidRPr="00DC0772">
        <w:rPr>
          <w:rFonts w:ascii="Arial" w:hAnsi="Arial" w:cs="Arial"/>
          <w:sz w:val="24"/>
          <w:szCs w:val="24"/>
        </w:rPr>
        <w:t xml:space="preserve"> </w:t>
      </w:r>
      <w:r w:rsidR="00DC0772" w:rsidRPr="00DC0772">
        <w:rPr>
          <w:rFonts w:ascii="Arial" w:hAnsi="Arial" w:cs="Arial"/>
          <w:sz w:val="24"/>
          <w:szCs w:val="24"/>
        </w:rPr>
        <w:t>Magistrado</w:t>
      </w:r>
    </w:p>
    <w:sectPr w:rsidR="00470BEF" w:rsidRPr="00DC0772" w:rsidSect="00863AA6">
      <w:headerReference w:type="default" r:id="rId7"/>
      <w:footerReference w:type="default" r:id="rId8"/>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76" w:rsidRDefault="00BE0E76" w:rsidP="00BF7DCD">
      <w:r>
        <w:separator/>
      </w:r>
    </w:p>
  </w:endnote>
  <w:endnote w:type="continuationSeparator" w:id="0">
    <w:p w:rsidR="00BE0E76" w:rsidRDefault="00BE0E76" w:rsidP="00B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B97631" w:rsidRDefault="004A11D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E1D0A">
      <w:rPr>
        <w:rFonts w:ascii="Arial" w:hAnsi="Arial" w:cs="Arial"/>
        <w:noProof/>
        <w:sz w:val="22"/>
        <w:szCs w:val="22"/>
      </w:rPr>
      <w:t>7</w:t>
    </w:r>
    <w:r w:rsidRPr="00B97631">
      <w:rPr>
        <w:rFonts w:ascii="Arial" w:hAnsi="Arial" w:cs="Arial"/>
        <w:sz w:val="22"/>
        <w:szCs w:val="22"/>
      </w:rPr>
      <w:fldChar w:fldCharType="end"/>
    </w:r>
  </w:p>
  <w:p w:rsidR="00FA6F58" w:rsidRDefault="00BE0E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76" w:rsidRDefault="00BE0E76" w:rsidP="00BF7DCD">
      <w:r>
        <w:separator/>
      </w:r>
    </w:p>
  </w:footnote>
  <w:footnote w:type="continuationSeparator" w:id="0">
    <w:p w:rsidR="00BE0E76" w:rsidRDefault="00BE0E76" w:rsidP="00BF7DCD">
      <w:r>
        <w:continuationSeparator/>
      </w:r>
    </w:p>
  </w:footnote>
  <w:footnote w:id="1">
    <w:p w:rsidR="00BF7DCD" w:rsidRPr="00740E79" w:rsidRDefault="00BF7DCD" w:rsidP="00BF7DCD">
      <w:pPr>
        <w:pStyle w:val="Textonotapie"/>
        <w:jc w:val="both"/>
        <w:rPr>
          <w:rFonts w:ascii="Arial" w:hAnsi="Arial" w:cs="Arial"/>
          <w:sz w:val="18"/>
          <w:lang w:val="es-CO"/>
        </w:rPr>
      </w:pPr>
      <w:r w:rsidRPr="00740E79">
        <w:rPr>
          <w:rStyle w:val="Refdenotaalpie"/>
          <w:rFonts w:ascii="Arial" w:hAnsi="Arial" w:cs="Arial"/>
          <w:sz w:val="18"/>
        </w:rPr>
        <w:footnoteRef/>
      </w:r>
      <w:r w:rsidRPr="00740E79">
        <w:rPr>
          <w:rFonts w:ascii="Arial" w:hAnsi="Arial" w:cs="Arial"/>
          <w:sz w:val="18"/>
        </w:rPr>
        <w:t xml:space="preserve"> LÓPEZ BLANCO, Hernán Fabio. Código General del Proceso, Tomo I. Parte General. Edición. 2016, DUPRE editores.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4E" w:rsidRDefault="004A11D9" w:rsidP="00C9654E">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73150968" wp14:editId="0916BF90">
          <wp:simplePos x="0" y="0"/>
          <wp:positionH relativeFrom="margin">
            <wp:posOffset>-142875</wp:posOffset>
          </wp:positionH>
          <wp:positionV relativeFrom="paragraph">
            <wp:posOffset>12771</wp:posOffset>
          </wp:positionV>
          <wp:extent cx="2831042" cy="952500"/>
          <wp:effectExtent l="0" t="0" r="7620" b="0"/>
          <wp:wrapNone/>
          <wp:docPr id="6" name="Imagen 6"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C9654E" w:rsidRDefault="00BE0E76" w:rsidP="00C9654E">
    <w:pPr>
      <w:pStyle w:val="NoSpacing1"/>
      <w:rPr>
        <w:rFonts w:ascii="Arial" w:hAnsi="Arial" w:cs="Arial"/>
        <w:sz w:val="16"/>
        <w:szCs w:val="16"/>
      </w:rPr>
    </w:pPr>
  </w:p>
  <w:p w:rsidR="00C9654E" w:rsidRDefault="00BE0E76" w:rsidP="00C9654E">
    <w:pPr>
      <w:pStyle w:val="NoSpacing1"/>
      <w:rPr>
        <w:rFonts w:ascii="Arial" w:hAnsi="Arial" w:cs="Arial"/>
        <w:sz w:val="16"/>
        <w:szCs w:val="16"/>
      </w:rPr>
    </w:pPr>
  </w:p>
  <w:p w:rsidR="00C9654E" w:rsidRDefault="00BE0E76" w:rsidP="00C9654E">
    <w:pPr>
      <w:pStyle w:val="NoSpacing1"/>
      <w:rPr>
        <w:rFonts w:ascii="Arial" w:hAnsi="Arial" w:cs="Arial"/>
        <w:sz w:val="16"/>
        <w:szCs w:val="16"/>
      </w:rPr>
    </w:pPr>
  </w:p>
  <w:p w:rsidR="00C9654E" w:rsidRDefault="00BE0E76" w:rsidP="00C9654E">
    <w:pPr>
      <w:pStyle w:val="NoSpacing1"/>
      <w:rPr>
        <w:rFonts w:ascii="Arial" w:hAnsi="Arial" w:cs="Arial"/>
        <w:sz w:val="16"/>
        <w:szCs w:val="16"/>
      </w:rPr>
    </w:pPr>
  </w:p>
  <w:p w:rsidR="00C9654E" w:rsidRDefault="004A11D9" w:rsidP="00C9654E">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C9654E" w:rsidRDefault="00BE0E76" w:rsidP="00C9654E">
    <w:pPr>
      <w:pStyle w:val="NoSpacing1"/>
      <w:ind w:left="3540" w:hanging="438"/>
      <w:rPr>
        <w:rFonts w:ascii="Arial" w:hAnsi="Arial" w:cs="Arial"/>
        <w:sz w:val="16"/>
        <w:szCs w:val="16"/>
      </w:rPr>
    </w:pPr>
  </w:p>
  <w:p w:rsidR="00C9654E" w:rsidRDefault="004A11D9" w:rsidP="00C9654E">
    <w:pPr>
      <w:pStyle w:val="NoSpacing1"/>
      <w:ind w:left="3540" w:hanging="438"/>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Apel. auto.  66170-31-10-001-2008-00579-01                                 </w:t>
    </w:r>
  </w:p>
  <w:p w:rsidR="009D396B" w:rsidRDefault="004A11D9" w:rsidP="00C9654E">
    <w:pPr>
      <w:pStyle w:val="Encabezado"/>
    </w:pPr>
    <w:r>
      <w:rPr>
        <w:rFonts w:ascii="Arial" w:hAnsi="Arial" w:cs="Arial"/>
        <w:sz w:val="16"/>
        <w:szCs w:val="16"/>
      </w:rPr>
      <w:t>_____________________________________________________________________________________________________</w:t>
    </w:r>
    <w:r>
      <w:t xml:space="preserve">  </w:t>
    </w:r>
  </w:p>
  <w:p w:rsidR="00C9654E" w:rsidRDefault="004A11D9" w:rsidP="00C9654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787C"/>
    <w:multiLevelType w:val="hybridMultilevel"/>
    <w:tmpl w:val="16D2D414"/>
    <w:lvl w:ilvl="0" w:tplc="0920714E">
      <w:start w:val="1"/>
      <w:numFmt w:val="decimal"/>
      <w:lvlText w:val="%1."/>
      <w:lvlJc w:val="left"/>
      <w:pPr>
        <w:ind w:left="3240" w:hanging="360"/>
      </w:pPr>
      <w:rPr>
        <w:rFonts w:hint="default"/>
        <w:b/>
        <w:sz w:val="24"/>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35763001"/>
    <w:multiLevelType w:val="multilevel"/>
    <w:tmpl w:val="B4CEF8FC"/>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10296"/>
        </w:tabs>
        <w:ind w:left="10296" w:hanging="180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2">
    <w:nsid w:val="6B711116"/>
    <w:multiLevelType w:val="multilevel"/>
    <w:tmpl w:val="553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CD"/>
    <w:rsid w:val="000061F6"/>
    <w:rsid w:val="000078B5"/>
    <w:rsid w:val="00077E1A"/>
    <w:rsid w:val="000E35A0"/>
    <w:rsid w:val="00297943"/>
    <w:rsid w:val="00304F46"/>
    <w:rsid w:val="003258A0"/>
    <w:rsid w:val="0036190E"/>
    <w:rsid w:val="003C7DD9"/>
    <w:rsid w:val="003D14B6"/>
    <w:rsid w:val="00462728"/>
    <w:rsid w:val="00470BEF"/>
    <w:rsid w:val="00495E0E"/>
    <w:rsid w:val="004A11D9"/>
    <w:rsid w:val="004E4F67"/>
    <w:rsid w:val="004F51F0"/>
    <w:rsid w:val="005120C7"/>
    <w:rsid w:val="0057340E"/>
    <w:rsid w:val="005C44B9"/>
    <w:rsid w:val="00650254"/>
    <w:rsid w:val="006C5DC3"/>
    <w:rsid w:val="00740E79"/>
    <w:rsid w:val="007E1D0A"/>
    <w:rsid w:val="00852DFF"/>
    <w:rsid w:val="00863AA6"/>
    <w:rsid w:val="00A02157"/>
    <w:rsid w:val="00A47008"/>
    <w:rsid w:val="00A77658"/>
    <w:rsid w:val="00AE54F6"/>
    <w:rsid w:val="00AE6F4C"/>
    <w:rsid w:val="00B55927"/>
    <w:rsid w:val="00BE0E76"/>
    <w:rsid w:val="00BF7DCD"/>
    <w:rsid w:val="00D57BCE"/>
    <w:rsid w:val="00DA5FA1"/>
    <w:rsid w:val="00DC0772"/>
    <w:rsid w:val="00EA07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A8298-599B-4993-8012-1ACA077B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DCD"/>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3C7DD9"/>
    <w:pPr>
      <w:keepNext/>
      <w:spacing w:line="360" w:lineRule="auto"/>
      <w:ind w:firstLine="709"/>
      <w:jc w:val="center"/>
      <w:outlineLvl w:val="0"/>
    </w:pPr>
    <w:rPr>
      <w:rFonts w:ascii="Arial" w:eastAsia="Times New Roman" w:hAnsi="Arial"/>
      <w:b/>
      <w:sz w:val="28"/>
    </w:rPr>
  </w:style>
  <w:style w:type="paragraph" w:styleId="Ttulo4">
    <w:name w:val="heading 4"/>
    <w:basedOn w:val="Normal"/>
    <w:next w:val="Normal"/>
    <w:link w:val="Ttulo4Car"/>
    <w:qFormat/>
    <w:rsid w:val="003C7DD9"/>
    <w:pPr>
      <w:keepNext/>
      <w:spacing w:line="360" w:lineRule="auto"/>
      <w:jc w:val="center"/>
      <w:outlineLvl w:val="3"/>
    </w:pPr>
    <w:rPr>
      <w:rFonts w:ascii="Arial" w:eastAsia="Times New Roman"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BF7DCD"/>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BF7DCD"/>
    <w:pPr>
      <w:tabs>
        <w:tab w:val="center" w:pos="4419"/>
        <w:tab w:val="right" w:pos="8838"/>
      </w:tabs>
    </w:pPr>
  </w:style>
  <w:style w:type="character" w:customStyle="1" w:styleId="PiedepginaCar">
    <w:name w:val="Pie de página Car"/>
    <w:basedOn w:val="Fuentedeprrafopredeter"/>
    <w:link w:val="Piedepgina"/>
    <w:uiPriority w:val="99"/>
    <w:rsid w:val="00BF7DCD"/>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BF7DCD"/>
    <w:rPr>
      <w:rFonts w:eastAsia="Times New Roman"/>
    </w:rPr>
  </w:style>
  <w:style w:type="character" w:customStyle="1" w:styleId="TextonotapieCar">
    <w:name w:val="Texto nota pie Car"/>
    <w:basedOn w:val="Fuentedeprrafopredeter"/>
    <w:link w:val="Textonotapie"/>
    <w:semiHidden/>
    <w:rsid w:val="00BF7DCD"/>
    <w:rPr>
      <w:rFonts w:ascii="Times New Roman" w:eastAsia="Times New Roman" w:hAnsi="Times New Roman" w:cs="Times New Roman"/>
      <w:sz w:val="20"/>
      <w:szCs w:val="20"/>
      <w:lang w:eastAsia="es-ES"/>
    </w:rPr>
  </w:style>
  <w:style w:type="character" w:styleId="Refdenotaalpie">
    <w:name w:val="footnote reference"/>
    <w:uiPriority w:val="99"/>
    <w:semiHidden/>
    <w:rsid w:val="00BF7DCD"/>
    <w:rPr>
      <w:rFonts w:cs="Times New Roman"/>
      <w:vertAlign w:val="superscript"/>
    </w:rPr>
  </w:style>
  <w:style w:type="paragraph" w:styleId="Sinespaciado">
    <w:name w:val="No Spacing"/>
    <w:link w:val="SinespaciadoCar"/>
    <w:uiPriority w:val="1"/>
    <w:qFormat/>
    <w:rsid w:val="00BF7DCD"/>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BF7DCD"/>
    <w:rPr>
      <w:rFonts w:ascii="Calibri" w:eastAsia="Times New Roman" w:hAnsi="Calibri" w:cs="Times New Roman"/>
      <w:lang w:eastAsia="es-ES"/>
    </w:rPr>
  </w:style>
  <w:style w:type="paragraph" w:styleId="Encabezado">
    <w:name w:val="header"/>
    <w:basedOn w:val="Normal"/>
    <w:link w:val="EncabezadoCar"/>
    <w:uiPriority w:val="99"/>
    <w:unhideWhenUsed/>
    <w:rsid w:val="00BF7DCD"/>
    <w:pPr>
      <w:tabs>
        <w:tab w:val="center" w:pos="4252"/>
        <w:tab w:val="right" w:pos="8504"/>
      </w:tabs>
    </w:pPr>
  </w:style>
  <w:style w:type="character" w:customStyle="1" w:styleId="EncabezadoCar">
    <w:name w:val="Encabezado Car"/>
    <w:basedOn w:val="Fuentedeprrafopredeter"/>
    <w:link w:val="Encabezado"/>
    <w:uiPriority w:val="99"/>
    <w:rsid w:val="00BF7DCD"/>
    <w:rPr>
      <w:rFonts w:ascii="Times New Roman" w:eastAsia="Calibri" w:hAnsi="Times New Roman" w:cs="Times New Roman"/>
      <w:sz w:val="20"/>
      <w:szCs w:val="20"/>
      <w:lang w:eastAsia="es-ES"/>
    </w:rPr>
  </w:style>
  <w:style w:type="paragraph" w:customStyle="1" w:styleId="NoSpacing1">
    <w:name w:val="No Spacing1"/>
    <w:uiPriority w:val="99"/>
    <w:rsid w:val="00BF7DCD"/>
    <w:pPr>
      <w:spacing w:after="0" w:line="240" w:lineRule="auto"/>
    </w:pPr>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3C7DD9"/>
    <w:rPr>
      <w:rFonts w:ascii="Arial" w:eastAsia="Times New Roman" w:hAnsi="Arial" w:cs="Times New Roman"/>
      <w:b/>
      <w:sz w:val="28"/>
      <w:szCs w:val="20"/>
      <w:lang w:eastAsia="es-ES"/>
    </w:rPr>
  </w:style>
  <w:style w:type="character" w:customStyle="1" w:styleId="Ttulo4Car">
    <w:name w:val="Título 4 Car"/>
    <w:basedOn w:val="Fuentedeprrafopredeter"/>
    <w:link w:val="Ttulo4"/>
    <w:rsid w:val="003C7DD9"/>
    <w:rPr>
      <w:rFonts w:ascii="Arial" w:eastAsia="Times New Roman" w:hAnsi="Arial" w:cs="Times New Roman"/>
      <w:b/>
      <w:sz w:val="26"/>
      <w:szCs w:val="20"/>
      <w:lang w:eastAsia="es-ES"/>
    </w:rPr>
  </w:style>
  <w:style w:type="paragraph" w:styleId="NormalWeb">
    <w:name w:val="Normal (Web)"/>
    <w:basedOn w:val="Normal"/>
    <w:uiPriority w:val="99"/>
    <w:semiHidden/>
    <w:unhideWhenUsed/>
    <w:rsid w:val="003C7DD9"/>
    <w:pPr>
      <w:spacing w:before="100" w:beforeAutospacing="1" w:after="100" w:afterAutospacing="1"/>
    </w:pPr>
    <w:rPr>
      <w:rFonts w:eastAsia="Times New Roman"/>
      <w:sz w:val="24"/>
      <w:szCs w:val="24"/>
    </w:rPr>
  </w:style>
  <w:style w:type="paragraph" w:styleId="Sangradetextonormal">
    <w:name w:val="Body Text Indent"/>
    <w:basedOn w:val="Normal"/>
    <w:link w:val="SangradetextonormalCar"/>
    <w:semiHidden/>
    <w:rsid w:val="003C7DD9"/>
    <w:pPr>
      <w:spacing w:line="360" w:lineRule="auto"/>
      <w:ind w:firstLine="708"/>
      <w:jc w:val="both"/>
    </w:pPr>
    <w:rPr>
      <w:rFonts w:ascii="Arial" w:eastAsia="Times New Roman" w:hAnsi="Arial"/>
      <w:sz w:val="28"/>
    </w:rPr>
  </w:style>
  <w:style w:type="character" w:customStyle="1" w:styleId="SangradetextonormalCar">
    <w:name w:val="Sangría de texto normal Car"/>
    <w:basedOn w:val="Fuentedeprrafopredeter"/>
    <w:link w:val="Sangradetextonormal"/>
    <w:semiHidden/>
    <w:rsid w:val="003C7DD9"/>
    <w:rPr>
      <w:rFonts w:ascii="Arial" w:eastAsia="Times New Roman" w:hAnsi="Arial" w:cs="Times New Roman"/>
      <w:sz w:val="28"/>
      <w:szCs w:val="20"/>
      <w:lang w:eastAsia="es-ES"/>
    </w:rPr>
  </w:style>
  <w:style w:type="paragraph" w:styleId="Textoindependiente">
    <w:name w:val="Body Text"/>
    <w:basedOn w:val="Normal"/>
    <w:link w:val="TextoindependienteCar"/>
    <w:semiHidden/>
    <w:rsid w:val="003C7DD9"/>
    <w:pPr>
      <w:jc w:val="both"/>
    </w:pPr>
    <w:rPr>
      <w:rFonts w:ascii="Arial" w:eastAsia="Times New Roman" w:hAnsi="Arial"/>
      <w:sz w:val="28"/>
      <w:lang w:val="es-MX"/>
    </w:rPr>
  </w:style>
  <w:style w:type="character" w:customStyle="1" w:styleId="TextoindependienteCar">
    <w:name w:val="Texto independiente Car"/>
    <w:basedOn w:val="Fuentedeprrafopredeter"/>
    <w:link w:val="Textoindependiente"/>
    <w:semiHidden/>
    <w:rsid w:val="003C7DD9"/>
    <w:rPr>
      <w:rFonts w:ascii="Arial" w:eastAsia="Times New Roman" w:hAnsi="Arial" w:cs="Times New Roman"/>
      <w:sz w:val="28"/>
      <w:szCs w:val="20"/>
      <w:lang w:val="es-MX" w:eastAsia="es-ES"/>
    </w:rPr>
  </w:style>
  <w:style w:type="paragraph" w:styleId="Sangra3detindependiente">
    <w:name w:val="Body Text Indent 3"/>
    <w:basedOn w:val="Normal"/>
    <w:link w:val="Sangra3detindependienteCar"/>
    <w:semiHidden/>
    <w:rsid w:val="003C7DD9"/>
    <w:pPr>
      <w:spacing w:line="360" w:lineRule="auto"/>
      <w:ind w:firstLine="1416"/>
      <w:jc w:val="both"/>
    </w:pPr>
    <w:rPr>
      <w:rFonts w:ascii="Arial" w:eastAsia="Times New Roman" w:hAnsi="Arial"/>
      <w:sz w:val="26"/>
    </w:rPr>
  </w:style>
  <w:style w:type="character" w:customStyle="1" w:styleId="Sangra3detindependienteCar">
    <w:name w:val="Sangría 3 de t. independiente Car"/>
    <w:basedOn w:val="Fuentedeprrafopredeter"/>
    <w:link w:val="Sangra3detindependiente"/>
    <w:semiHidden/>
    <w:rsid w:val="003C7DD9"/>
    <w:rPr>
      <w:rFonts w:ascii="Arial" w:eastAsia="Times New Roman" w:hAnsi="Arial" w:cs="Times New Roman"/>
      <w:sz w:val="26"/>
      <w:szCs w:val="20"/>
      <w:lang w:eastAsia="es-ES"/>
    </w:rPr>
  </w:style>
  <w:style w:type="paragraph" w:styleId="Textoindependiente2">
    <w:name w:val="Body Text 2"/>
    <w:basedOn w:val="Normal"/>
    <w:link w:val="Textoindependiente2Car"/>
    <w:semiHidden/>
    <w:rsid w:val="003C7DD9"/>
    <w:pPr>
      <w:spacing w:line="360" w:lineRule="auto"/>
      <w:jc w:val="both"/>
    </w:pPr>
    <w:rPr>
      <w:rFonts w:ascii="Arial" w:eastAsia="Times New Roman" w:hAnsi="Arial"/>
      <w:sz w:val="26"/>
    </w:rPr>
  </w:style>
  <w:style w:type="character" w:customStyle="1" w:styleId="Textoindependiente2Car">
    <w:name w:val="Texto independiente 2 Car"/>
    <w:basedOn w:val="Fuentedeprrafopredeter"/>
    <w:link w:val="Textoindependiente2"/>
    <w:semiHidden/>
    <w:rsid w:val="003C7DD9"/>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3619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90E"/>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4516</Words>
  <Characters>24840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cp:revision>
  <cp:lastPrinted>2018-10-02T13:40:00Z</cp:lastPrinted>
  <dcterms:created xsi:type="dcterms:W3CDTF">2018-10-02T15:20:00Z</dcterms:created>
  <dcterms:modified xsi:type="dcterms:W3CDTF">2018-11-27T13:39:00Z</dcterms:modified>
</cp:coreProperties>
</file>