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6" w:rsidRPr="000D4FB6" w:rsidRDefault="000D4FB6" w:rsidP="000D4FB6">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0D4FB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D4FB6" w:rsidRPr="000D4FB6" w:rsidRDefault="000D4FB6" w:rsidP="000D4FB6">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0D4FB6">
        <w:rPr>
          <w:rFonts w:ascii="Calibri" w:eastAsia="Calibri" w:hAnsi="Calibri" w:cs="Calibri"/>
          <w:color w:val="FF0000"/>
          <w:sz w:val="16"/>
          <w:szCs w:val="16"/>
          <w:lang w:val="es-CO" w:eastAsia="fr-FR"/>
        </w:rPr>
        <w:t>El contenido total y fiel de la decisión debe ser verificado en la Secretaría de esta Sala.</w:t>
      </w:r>
    </w:p>
    <w:p w:rsidR="000D4FB6" w:rsidRPr="000D4FB6" w:rsidRDefault="000D4FB6" w:rsidP="000D4FB6">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0D4FB6">
        <w:rPr>
          <w:rFonts w:ascii="Calibri" w:hAnsi="Calibri" w:cs="Calibri"/>
          <w:color w:val="222222"/>
          <w:sz w:val="18"/>
          <w:szCs w:val="18"/>
          <w:lang w:val="es-CO" w:eastAsia="fr-FR"/>
        </w:rPr>
        <w:t>Providencia:</w:t>
      </w:r>
      <w:r w:rsidRPr="000D4FB6">
        <w:rPr>
          <w:rFonts w:ascii="Calibri" w:hAnsi="Calibri" w:cs="Calibri"/>
          <w:color w:val="222222"/>
          <w:sz w:val="18"/>
          <w:szCs w:val="18"/>
          <w:lang w:val="es-CO" w:eastAsia="fr-FR"/>
        </w:rPr>
        <w:tab/>
      </w:r>
      <w:proofErr w:type="gramStart"/>
      <w:r w:rsidRPr="000D4FB6">
        <w:rPr>
          <w:rFonts w:ascii="Calibri" w:hAnsi="Calibri" w:cs="Calibri"/>
          <w:color w:val="222222"/>
          <w:sz w:val="18"/>
          <w:szCs w:val="18"/>
          <w:lang w:val="es-CO" w:eastAsia="fr-FR"/>
        </w:rPr>
        <w:t>Sentencia  –</w:t>
      </w:r>
      <w:proofErr w:type="gramEnd"/>
      <w:r w:rsidRPr="000D4FB6">
        <w:rPr>
          <w:rFonts w:ascii="Calibri" w:hAnsi="Calibri" w:cs="Calibri"/>
          <w:color w:val="222222"/>
          <w:sz w:val="18"/>
          <w:szCs w:val="18"/>
          <w:lang w:val="es-CO" w:eastAsia="fr-FR"/>
        </w:rPr>
        <w:t xml:space="preserve"> 1ª instancia – 21 de febrero de 2018</w:t>
      </w:r>
    </w:p>
    <w:p w:rsidR="000D4FB6" w:rsidRPr="000D4FB6" w:rsidRDefault="000D4FB6" w:rsidP="000D4FB6">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0D4FB6">
        <w:rPr>
          <w:rFonts w:ascii="Calibri" w:eastAsia="Calibri" w:hAnsi="Calibri" w:cs="Calibri"/>
          <w:color w:val="222222"/>
          <w:sz w:val="18"/>
          <w:szCs w:val="18"/>
          <w:lang w:val="es-CO" w:eastAsia="fr-FR"/>
        </w:rPr>
        <w:t>Proceso:    </w:t>
      </w:r>
      <w:r w:rsidRPr="000D4FB6">
        <w:rPr>
          <w:rFonts w:ascii="Calibri" w:eastAsia="Calibri" w:hAnsi="Calibri" w:cs="Calibri"/>
          <w:color w:val="222222"/>
          <w:sz w:val="18"/>
          <w:szCs w:val="18"/>
          <w:lang w:val="es-CO" w:eastAsia="fr-FR"/>
        </w:rPr>
        <w:tab/>
        <w:t>Acción de Tutela – Niega el amparo</w:t>
      </w:r>
    </w:p>
    <w:p w:rsidR="000D4FB6" w:rsidRPr="000D4FB6" w:rsidRDefault="000D4FB6" w:rsidP="000D4FB6">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0D4FB6">
        <w:rPr>
          <w:rFonts w:ascii="Calibri" w:eastAsia="Calibri" w:hAnsi="Calibri" w:cs="Calibri"/>
          <w:color w:val="222222"/>
          <w:sz w:val="18"/>
          <w:szCs w:val="18"/>
          <w:lang w:val="es-CO" w:eastAsia="fr-FR"/>
        </w:rPr>
        <w:t>Radicación Nro. :</w:t>
      </w:r>
      <w:r w:rsidRPr="000D4FB6">
        <w:rPr>
          <w:rFonts w:ascii="Calibri" w:eastAsia="Calibri" w:hAnsi="Calibri" w:cs="Calibri"/>
          <w:color w:val="222222"/>
          <w:sz w:val="18"/>
          <w:szCs w:val="18"/>
          <w:lang w:val="es-CO" w:eastAsia="fr-FR"/>
        </w:rPr>
        <w:tab/>
      </w:r>
      <w:r w:rsidRPr="000D4FB6">
        <w:rPr>
          <w:rFonts w:ascii="Calibri" w:eastAsia="Calibri" w:hAnsi="Calibri" w:cs="Calibri"/>
          <w:color w:val="222222"/>
          <w:sz w:val="18"/>
          <w:szCs w:val="18"/>
          <w:lang w:val="es-CO" w:eastAsia="fr-FR"/>
        </w:rPr>
        <w:tab/>
        <w:t xml:space="preserve"> </w:t>
      </w:r>
      <w:r w:rsidRPr="000D4FB6">
        <w:rPr>
          <w:rFonts w:ascii="Calibri" w:eastAsia="Calibri" w:hAnsi="Calibri" w:cs="Calibri"/>
          <w:bCs/>
          <w:iCs/>
          <w:color w:val="222222"/>
          <w:sz w:val="18"/>
          <w:szCs w:val="18"/>
          <w:lang w:eastAsia="fr-FR"/>
        </w:rPr>
        <w:t>66001-22-13-000-2018-00035-00</w:t>
      </w:r>
    </w:p>
    <w:p w:rsidR="000D4FB6" w:rsidRPr="000D4FB6" w:rsidRDefault="000D4FB6" w:rsidP="000D4FB6">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eastAsia="fr-FR"/>
        </w:rPr>
      </w:pPr>
      <w:r w:rsidRPr="000D4FB6">
        <w:rPr>
          <w:rFonts w:ascii="Calibri" w:eastAsia="Calibri" w:hAnsi="Calibri" w:cs="Calibri"/>
          <w:bCs/>
          <w:iCs/>
          <w:color w:val="222222"/>
          <w:sz w:val="18"/>
          <w:szCs w:val="18"/>
          <w:lang w:eastAsia="fr-FR"/>
        </w:rPr>
        <w:t xml:space="preserve">Accionante: </w:t>
      </w:r>
      <w:r w:rsidRPr="000D4FB6">
        <w:rPr>
          <w:rFonts w:ascii="Calibri" w:eastAsia="Calibri" w:hAnsi="Calibri" w:cs="Calibri"/>
          <w:bCs/>
          <w:iCs/>
          <w:color w:val="222222"/>
          <w:sz w:val="18"/>
          <w:szCs w:val="18"/>
          <w:lang w:eastAsia="fr-FR"/>
        </w:rPr>
        <w:tab/>
      </w:r>
      <w:r w:rsidRPr="000D4FB6">
        <w:rPr>
          <w:rFonts w:ascii="Calibri" w:eastAsia="Calibri" w:hAnsi="Calibri" w:cs="Calibri"/>
          <w:bCs/>
          <w:iCs/>
          <w:color w:val="222222"/>
          <w:sz w:val="18"/>
          <w:szCs w:val="18"/>
          <w:lang w:eastAsia="fr-FR"/>
        </w:rPr>
        <w:tab/>
      </w:r>
      <w:r w:rsidRPr="000D4FB6">
        <w:rPr>
          <w:rFonts w:ascii="Calibri" w:eastAsia="Calibri" w:hAnsi="Calibri" w:cs="Calibri"/>
          <w:bCs/>
          <w:iCs/>
          <w:color w:val="222222"/>
          <w:sz w:val="18"/>
          <w:szCs w:val="18"/>
          <w:lang w:eastAsia="fr-FR"/>
        </w:rPr>
        <w:tab/>
        <w:t xml:space="preserve"> ALEXANDER GARCÍA ESCOBAR</w:t>
      </w:r>
    </w:p>
    <w:p w:rsidR="000D4FB6" w:rsidRPr="000D4FB6" w:rsidRDefault="000D4FB6" w:rsidP="000D4FB6">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ES_tradnl" w:eastAsia="fr-FR"/>
        </w:rPr>
      </w:pPr>
      <w:r w:rsidRPr="000D4FB6">
        <w:rPr>
          <w:rFonts w:ascii="Calibri" w:eastAsia="Calibri" w:hAnsi="Calibri" w:cs="Calibri"/>
          <w:color w:val="222222"/>
          <w:sz w:val="18"/>
          <w:szCs w:val="18"/>
          <w:lang w:val="es-CO" w:eastAsia="fr-FR"/>
        </w:rPr>
        <w:t>Accionado:</w:t>
      </w:r>
      <w:r w:rsidRPr="000D4FB6">
        <w:rPr>
          <w:rFonts w:ascii="Calibri" w:eastAsia="Calibri" w:hAnsi="Calibri" w:cs="Calibri"/>
          <w:color w:val="222222"/>
          <w:sz w:val="18"/>
          <w:szCs w:val="18"/>
          <w:lang w:val="es-CO" w:eastAsia="fr-FR"/>
        </w:rPr>
        <w:tab/>
        <w:t xml:space="preserve">  </w:t>
      </w:r>
      <w:r w:rsidRPr="000D4FB6">
        <w:rPr>
          <w:rFonts w:ascii="Calibri" w:eastAsia="Calibri" w:hAnsi="Calibri" w:cs="Calibri"/>
          <w:bCs/>
          <w:iCs/>
          <w:color w:val="222222"/>
          <w:sz w:val="18"/>
          <w:szCs w:val="18"/>
          <w:lang w:eastAsia="fr-FR"/>
        </w:rPr>
        <w:t>JUZGADO CIVIL DEL CIRCUITO DE DOSQUEBRADAS</w:t>
      </w:r>
    </w:p>
    <w:p w:rsidR="000D4FB6" w:rsidRPr="000D4FB6" w:rsidRDefault="000D4FB6" w:rsidP="000D4FB6">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0D4FB6">
        <w:rPr>
          <w:rFonts w:ascii="Calibri" w:eastAsia="Calibri" w:hAnsi="Calibri" w:cs="Calibri"/>
          <w:color w:val="222222"/>
          <w:sz w:val="18"/>
          <w:szCs w:val="18"/>
          <w:lang w:val="es-CO" w:eastAsia="fr-FR"/>
        </w:rPr>
        <w:t xml:space="preserve">Magistrado Ponente: </w:t>
      </w:r>
      <w:r w:rsidRPr="000D4FB6">
        <w:rPr>
          <w:rFonts w:ascii="Calibri" w:eastAsia="Calibri" w:hAnsi="Calibri" w:cs="Calibri"/>
          <w:color w:val="222222"/>
          <w:sz w:val="18"/>
          <w:szCs w:val="18"/>
          <w:lang w:val="es-CO" w:eastAsia="fr-FR"/>
        </w:rPr>
        <w:tab/>
        <w:t xml:space="preserve">  </w:t>
      </w:r>
      <w:r w:rsidRPr="000D4FB6">
        <w:rPr>
          <w:rFonts w:ascii="Calibri" w:eastAsia="Calibri" w:hAnsi="Calibri" w:cs="Calibri"/>
          <w:bCs/>
          <w:iCs/>
          <w:color w:val="222222"/>
          <w:sz w:val="18"/>
          <w:szCs w:val="18"/>
          <w:lang w:val="es-CO" w:eastAsia="fr-FR"/>
        </w:rPr>
        <w:t>JAIME ALBERTO SARAZA NARANJO</w:t>
      </w:r>
    </w:p>
    <w:p w:rsidR="000D4FB6" w:rsidRPr="000D4FB6" w:rsidRDefault="000D4FB6" w:rsidP="000D4FB6">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0D4FB6" w:rsidRPr="000D4FB6" w:rsidRDefault="000D4FB6" w:rsidP="000D4FB6">
      <w:pPr>
        <w:tabs>
          <w:tab w:val="left" w:pos="1843"/>
          <w:tab w:val="left" w:pos="2432"/>
        </w:tabs>
        <w:overflowPunct/>
        <w:autoSpaceDE/>
        <w:autoSpaceDN/>
        <w:adjustRightInd/>
        <w:jc w:val="both"/>
        <w:textAlignment w:val="auto"/>
        <w:rPr>
          <w:rFonts w:ascii="Calibri" w:eastAsia="Calibri" w:hAnsi="Calibri" w:cs="Calibri"/>
          <w:b/>
          <w:bCs/>
          <w:iCs/>
          <w:color w:val="222222"/>
          <w:sz w:val="18"/>
          <w:szCs w:val="18"/>
          <w:lang w:val="es-MX" w:eastAsia="fr-FR"/>
        </w:rPr>
      </w:pPr>
      <w:r w:rsidRPr="000D4FB6">
        <w:rPr>
          <w:rFonts w:ascii="Calibri" w:eastAsia="Calibri" w:hAnsi="Calibri" w:cs="Calibri"/>
          <w:b/>
          <w:bCs/>
          <w:iCs/>
          <w:color w:val="222222"/>
          <w:sz w:val="18"/>
          <w:szCs w:val="18"/>
          <w:lang w:val="es-CO" w:eastAsia="fr-FR"/>
        </w:rPr>
        <w:t xml:space="preserve">Temas: </w:t>
      </w:r>
      <w:r w:rsidRPr="000D4FB6">
        <w:rPr>
          <w:rFonts w:ascii="Calibri" w:eastAsia="Calibri" w:hAnsi="Calibri" w:cs="Calibri"/>
          <w:b/>
          <w:bCs/>
          <w:iCs/>
          <w:color w:val="222222"/>
          <w:sz w:val="18"/>
          <w:szCs w:val="18"/>
          <w:lang w:val="es-CO" w:eastAsia="fr-FR"/>
        </w:rPr>
        <w:tab/>
        <w:t xml:space="preserve">DEBIDO PROCESO / TUTELA CONTRA PROVIDENCIA JUDICIAL / NO EXISTE DECISIÓN ARBITRARIA / NIEGA. </w:t>
      </w:r>
      <w:r w:rsidRPr="000D4FB6">
        <w:rPr>
          <w:rFonts w:ascii="Calibri" w:eastAsia="Calibri" w:hAnsi="Calibri" w:cs="Calibri"/>
          <w:bCs/>
          <w:iCs/>
          <w:color w:val="222222"/>
          <w:sz w:val="18"/>
          <w:szCs w:val="18"/>
          <w:lang w:val="es-CO" w:eastAsia="fr-FR"/>
        </w:rPr>
        <w:t>[</w:t>
      </w:r>
      <w:r w:rsidRPr="000D4FB6">
        <w:rPr>
          <w:rFonts w:ascii="Calibri" w:eastAsia="Calibri" w:hAnsi="Calibri" w:cs="Calibri"/>
          <w:bCs/>
          <w:iCs/>
          <w:color w:val="222222"/>
          <w:sz w:val="18"/>
          <w:szCs w:val="18"/>
          <w:lang w:eastAsia="fr-FR"/>
        </w:rPr>
        <w:t>A]</w:t>
      </w:r>
      <w:proofErr w:type="spellStart"/>
      <w:r w:rsidRPr="000D4FB6">
        <w:rPr>
          <w:rFonts w:ascii="Calibri" w:eastAsia="Calibri" w:hAnsi="Calibri" w:cs="Calibri"/>
          <w:bCs/>
          <w:iCs/>
          <w:color w:val="222222"/>
          <w:sz w:val="18"/>
          <w:szCs w:val="18"/>
          <w:lang w:eastAsia="fr-FR"/>
        </w:rPr>
        <w:t>dvierte</w:t>
      </w:r>
      <w:proofErr w:type="spellEnd"/>
      <w:r w:rsidRPr="000D4FB6">
        <w:rPr>
          <w:rFonts w:ascii="Calibri" w:eastAsia="Calibri" w:hAnsi="Calibri" w:cs="Calibri"/>
          <w:bCs/>
          <w:iCs/>
          <w:color w:val="222222"/>
          <w:sz w:val="18"/>
          <w:szCs w:val="18"/>
          <w:lang w:eastAsia="fr-FR"/>
        </w:rPr>
        <w:t xml:space="preserve"> la Sala que pese a</w:t>
      </w:r>
      <w:r w:rsidRPr="000D4FB6">
        <w:rPr>
          <w:rFonts w:ascii="Calibri" w:eastAsia="Calibri" w:hAnsi="Calibri" w:cs="Calibri"/>
          <w:bCs/>
          <w:iCs/>
          <w:color w:val="222222"/>
          <w:sz w:val="18"/>
          <w:szCs w:val="18"/>
          <w:lang w:val="es-419" w:eastAsia="fr-FR"/>
        </w:rPr>
        <w:t xml:space="preserve">l disentimiento del </w:t>
      </w:r>
      <w:r w:rsidRPr="000D4FB6">
        <w:rPr>
          <w:rFonts w:ascii="Calibri" w:eastAsia="Calibri" w:hAnsi="Calibri" w:cs="Calibri"/>
          <w:bCs/>
          <w:iCs/>
          <w:color w:val="222222"/>
          <w:sz w:val="18"/>
          <w:szCs w:val="18"/>
          <w:lang w:eastAsia="fr-FR"/>
        </w:rPr>
        <w:t xml:space="preserve">actor </w:t>
      </w:r>
      <w:r w:rsidRPr="000D4FB6">
        <w:rPr>
          <w:rFonts w:ascii="Calibri" w:eastAsia="Calibri" w:hAnsi="Calibri" w:cs="Calibri"/>
          <w:bCs/>
          <w:iCs/>
          <w:color w:val="222222"/>
          <w:sz w:val="18"/>
          <w:szCs w:val="18"/>
          <w:lang w:val="es-419" w:eastAsia="fr-FR"/>
        </w:rPr>
        <w:t xml:space="preserve">frente a </w:t>
      </w:r>
      <w:r w:rsidRPr="000D4FB6">
        <w:rPr>
          <w:rFonts w:ascii="Calibri" w:eastAsia="Calibri" w:hAnsi="Calibri" w:cs="Calibri"/>
          <w:bCs/>
          <w:iCs/>
          <w:color w:val="222222"/>
          <w:sz w:val="18"/>
          <w:szCs w:val="18"/>
          <w:lang w:eastAsia="fr-FR"/>
        </w:rPr>
        <w:t xml:space="preserve">algunas de las decisiones de aquella providencia y </w:t>
      </w:r>
      <w:r w:rsidRPr="000D4FB6">
        <w:rPr>
          <w:rFonts w:ascii="Calibri" w:eastAsia="Calibri" w:hAnsi="Calibri" w:cs="Calibri"/>
          <w:bCs/>
          <w:iCs/>
          <w:color w:val="222222"/>
          <w:sz w:val="18"/>
          <w:szCs w:val="18"/>
          <w:lang w:val="es-419" w:eastAsia="fr-FR"/>
        </w:rPr>
        <w:t xml:space="preserve">de hallarlas </w:t>
      </w:r>
      <w:r w:rsidRPr="000D4FB6">
        <w:rPr>
          <w:rFonts w:ascii="Calibri" w:eastAsia="Calibri" w:hAnsi="Calibri" w:cs="Calibri"/>
          <w:bCs/>
          <w:iCs/>
          <w:color w:val="222222"/>
          <w:sz w:val="18"/>
          <w:szCs w:val="18"/>
          <w:lang w:eastAsia="fr-FR"/>
        </w:rPr>
        <w:t>contrarias a sus intereses, no fueron arbitrarias o caprichosas y</w:t>
      </w:r>
      <w:r w:rsidRPr="000D4FB6">
        <w:rPr>
          <w:rFonts w:ascii="Calibri" w:eastAsia="Calibri" w:hAnsi="Calibri" w:cs="Calibri"/>
          <w:bCs/>
          <w:iCs/>
          <w:color w:val="222222"/>
          <w:sz w:val="18"/>
          <w:szCs w:val="18"/>
          <w:lang w:val="es-419" w:eastAsia="fr-FR"/>
        </w:rPr>
        <w:t>,</w:t>
      </w:r>
      <w:r w:rsidRPr="000D4FB6">
        <w:rPr>
          <w:rFonts w:ascii="Calibri" w:eastAsia="Calibri" w:hAnsi="Calibri" w:cs="Calibri"/>
          <w:bCs/>
          <w:iCs/>
          <w:color w:val="222222"/>
          <w:sz w:val="18"/>
          <w:szCs w:val="18"/>
          <w:lang w:eastAsia="fr-FR"/>
        </w:rPr>
        <w:t xml:space="preserve"> por demás</w:t>
      </w:r>
      <w:r w:rsidRPr="000D4FB6">
        <w:rPr>
          <w:rFonts w:ascii="Calibri" w:eastAsia="Calibri" w:hAnsi="Calibri" w:cs="Calibri"/>
          <w:bCs/>
          <w:iCs/>
          <w:color w:val="222222"/>
          <w:sz w:val="18"/>
          <w:szCs w:val="18"/>
          <w:lang w:val="es-419" w:eastAsia="fr-FR"/>
        </w:rPr>
        <w:t>,</w:t>
      </w:r>
      <w:r w:rsidRPr="000D4FB6">
        <w:rPr>
          <w:rFonts w:ascii="Calibri" w:eastAsia="Calibri" w:hAnsi="Calibri" w:cs="Calibri"/>
          <w:bCs/>
          <w:iCs/>
          <w:color w:val="222222"/>
          <w:sz w:val="18"/>
          <w:szCs w:val="18"/>
          <w:lang w:eastAsia="fr-FR"/>
        </w:rPr>
        <w:t xml:space="preserve"> estuvieron precedidas de fundamentos jurídicos coherentes con la coyuntura procesal que ante sí advino</w:t>
      </w:r>
      <w:r w:rsidRPr="000D4FB6">
        <w:rPr>
          <w:rFonts w:ascii="Calibri" w:eastAsia="Calibri" w:hAnsi="Calibri" w:cs="Calibri"/>
          <w:bCs/>
          <w:iCs/>
          <w:color w:val="222222"/>
          <w:sz w:val="18"/>
          <w:szCs w:val="18"/>
          <w:lang w:val="es-419" w:eastAsia="fr-FR"/>
        </w:rPr>
        <w:t xml:space="preserve">. (…) De manera que </w:t>
      </w:r>
      <w:r w:rsidRPr="000D4FB6">
        <w:rPr>
          <w:rFonts w:ascii="Calibri" w:eastAsia="Calibri" w:hAnsi="Calibri" w:cs="Calibri"/>
          <w:bCs/>
          <w:iCs/>
          <w:color w:val="222222"/>
          <w:sz w:val="18"/>
          <w:szCs w:val="18"/>
          <w:lang w:val="es-MX" w:eastAsia="fr-FR"/>
        </w:rPr>
        <w:t xml:space="preserve">ninguna circunstancia aflora que permita la injerencia del juez constitucional, porque, al margen de que las resoluciones de las que se duele el actor le sean desfavorables, no por ello se traducen en arbitrarias o irracionales; al contrario, se muestran acordes con la realidad procesal. Esto, por más discutible que le parezca al </w:t>
      </w:r>
      <w:r w:rsidRPr="000D4FB6">
        <w:rPr>
          <w:rFonts w:ascii="Calibri" w:eastAsia="Calibri" w:hAnsi="Calibri" w:cs="Calibri"/>
          <w:bCs/>
          <w:iCs/>
          <w:color w:val="222222"/>
          <w:sz w:val="18"/>
          <w:szCs w:val="18"/>
          <w:lang w:val="es-CO" w:eastAsia="fr-FR"/>
        </w:rPr>
        <w:t>interesado</w:t>
      </w:r>
      <w:r w:rsidRPr="000D4FB6">
        <w:rPr>
          <w:rFonts w:ascii="Calibri" w:eastAsia="Calibri" w:hAnsi="Calibri" w:cs="Calibri"/>
          <w:bCs/>
          <w:iCs/>
          <w:color w:val="222222"/>
          <w:sz w:val="18"/>
          <w:szCs w:val="18"/>
          <w:lang w:val="es-MX" w:eastAsia="fr-FR"/>
        </w:rPr>
        <w:t xml:space="preserve">, e incluso si pudiera interpretarse de manera diversa la cuestión. </w:t>
      </w:r>
    </w:p>
    <w:p w:rsidR="000D4FB6" w:rsidRPr="000D4FB6" w:rsidRDefault="000D4FB6" w:rsidP="004D6C45">
      <w:pPr>
        <w:spacing w:line="26" w:lineRule="atLeast"/>
        <w:ind w:firstLine="2835"/>
        <w:jc w:val="both"/>
        <w:rPr>
          <w:rFonts w:ascii="Gadugi" w:hAnsi="Gadugi"/>
          <w:b/>
          <w:sz w:val="26"/>
          <w:szCs w:val="26"/>
          <w:lang w:val="es-MX"/>
        </w:rPr>
      </w:pPr>
    </w:p>
    <w:p w:rsidR="000D4FB6" w:rsidRDefault="000D4FB6" w:rsidP="004D6C45">
      <w:pPr>
        <w:spacing w:line="26" w:lineRule="atLeast"/>
        <w:ind w:firstLine="2835"/>
        <w:jc w:val="both"/>
        <w:rPr>
          <w:rFonts w:ascii="Gadugi" w:hAnsi="Gadugi"/>
          <w:b/>
          <w:sz w:val="26"/>
          <w:szCs w:val="26"/>
        </w:rPr>
      </w:pPr>
    </w:p>
    <w:p w:rsidR="0088736F" w:rsidRPr="004D6C45" w:rsidRDefault="0088736F" w:rsidP="004D6C45">
      <w:pPr>
        <w:spacing w:line="26" w:lineRule="atLeast"/>
        <w:ind w:firstLine="2835"/>
        <w:jc w:val="both"/>
        <w:rPr>
          <w:rFonts w:ascii="Gadugi" w:hAnsi="Gadugi"/>
          <w:b/>
          <w:sz w:val="26"/>
          <w:szCs w:val="26"/>
        </w:rPr>
      </w:pPr>
      <w:r w:rsidRPr="004D6C45">
        <w:rPr>
          <w:rFonts w:ascii="Gadugi" w:hAnsi="Gadugi"/>
          <w:b/>
          <w:sz w:val="26"/>
          <w:szCs w:val="26"/>
        </w:rPr>
        <w:t xml:space="preserve">TRIBUNAL SUPERIOR DEL DISTRITO JUDICIAL </w:t>
      </w:r>
    </w:p>
    <w:p w:rsidR="0088736F" w:rsidRPr="004D6C45" w:rsidRDefault="0088736F" w:rsidP="004D6C45">
      <w:pPr>
        <w:spacing w:line="26" w:lineRule="atLeast"/>
        <w:ind w:firstLine="2835"/>
        <w:jc w:val="both"/>
        <w:rPr>
          <w:rFonts w:ascii="Gadugi" w:hAnsi="Gadugi"/>
          <w:b/>
          <w:sz w:val="26"/>
          <w:szCs w:val="26"/>
        </w:rPr>
      </w:pPr>
      <w:r w:rsidRPr="004D6C45">
        <w:rPr>
          <w:rFonts w:ascii="Gadugi" w:hAnsi="Gadugi"/>
          <w:b/>
          <w:sz w:val="26"/>
          <w:szCs w:val="26"/>
        </w:rPr>
        <w:t xml:space="preserve">        </w:t>
      </w:r>
      <w:r w:rsidR="007D2E8C" w:rsidRPr="004D6C45">
        <w:rPr>
          <w:rFonts w:ascii="Gadugi" w:hAnsi="Gadugi"/>
          <w:b/>
          <w:sz w:val="26"/>
          <w:szCs w:val="26"/>
        </w:rPr>
        <w:t xml:space="preserve">  </w:t>
      </w:r>
      <w:r w:rsidRPr="004D6C45">
        <w:rPr>
          <w:rFonts w:ascii="Gadugi" w:hAnsi="Gadugi"/>
          <w:b/>
          <w:sz w:val="26"/>
          <w:szCs w:val="26"/>
        </w:rPr>
        <w:t xml:space="preserve">SALA DE DECISIÓN CIVIL FAMILIA </w:t>
      </w:r>
    </w:p>
    <w:p w:rsidR="0088736F" w:rsidRPr="004D6C45" w:rsidRDefault="0088736F" w:rsidP="004D6C45">
      <w:pPr>
        <w:spacing w:line="26" w:lineRule="atLeast"/>
        <w:ind w:firstLine="2835"/>
        <w:jc w:val="both"/>
        <w:rPr>
          <w:rFonts w:ascii="Gadugi" w:hAnsi="Gadugi"/>
          <w:sz w:val="24"/>
          <w:szCs w:val="24"/>
        </w:rPr>
      </w:pPr>
    </w:p>
    <w:p w:rsidR="0088736F" w:rsidRPr="004D6C45" w:rsidRDefault="0088736F" w:rsidP="004D6C45">
      <w:pPr>
        <w:spacing w:line="26" w:lineRule="atLeast"/>
        <w:ind w:firstLine="2835"/>
        <w:jc w:val="both"/>
        <w:rPr>
          <w:rFonts w:ascii="Gadugi" w:hAnsi="Gadugi"/>
          <w:sz w:val="24"/>
          <w:szCs w:val="24"/>
        </w:rPr>
      </w:pPr>
    </w:p>
    <w:p w:rsidR="0088736F" w:rsidRPr="004D6C45" w:rsidRDefault="0088736F" w:rsidP="004D6C45">
      <w:pPr>
        <w:spacing w:line="26" w:lineRule="atLeast"/>
        <w:ind w:firstLine="2835"/>
        <w:jc w:val="both"/>
        <w:rPr>
          <w:rFonts w:ascii="Gadugi" w:hAnsi="Gadugi"/>
          <w:sz w:val="24"/>
          <w:szCs w:val="24"/>
        </w:rPr>
      </w:pPr>
      <w:r w:rsidRPr="004D6C45">
        <w:rPr>
          <w:rFonts w:ascii="Gadugi" w:hAnsi="Gadugi"/>
          <w:sz w:val="24"/>
          <w:szCs w:val="24"/>
        </w:rPr>
        <w:t>Magistrado: Jaime Alberto Saraza Naranjo</w:t>
      </w:r>
    </w:p>
    <w:p w:rsidR="00760019" w:rsidRPr="00100CFD" w:rsidRDefault="00D755B8" w:rsidP="004D6C45">
      <w:pPr>
        <w:spacing w:line="26" w:lineRule="atLeast"/>
        <w:ind w:firstLine="2835"/>
        <w:jc w:val="both"/>
        <w:rPr>
          <w:rFonts w:ascii="Gadugi" w:hAnsi="Gadugi"/>
          <w:sz w:val="24"/>
          <w:szCs w:val="24"/>
          <w:lang w:val="es-419"/>
        </w:rPr>
      </w:pPr>
      <w:r w:rsidRPr="004D6C45">
        <w:rPr>
          <w:rFonts w:ascii="Gadugi" w:hAnsi="Gadugi"/>
          <w:sz w:val="24"/>
          <w:szCs w:val="24"/>
        </w:rPr>
        <w:t xml:space="preserve">Pereira, </w:t>
      </w:r>
      <w:r w:rsidR="00100CFD">
        <w:rPr>
          <w:rFonts w:ascii="Gadugi" w:hAnsi="Gadugi"/>
          <w:sz w:val="24"/>
          <w:szCs w:val="24"/>
          <w:lang w:val="es-419"/>
        </w:rPr>
        <w:t xml:space="preserve">febrero veintiuno de dos mil dieciocho </w:t>
      </w:r>
    </w:p>
    <w:p w:rsidR="00EC1E28" w:rsidRPr="00100CFD" w:rsidRDefault="00D026CA" w:rsidP="004D6C45">
      <w:pPr>
        <w:spacing w:line="26" w:lineRule="atLeast"/>
        <w:ind w:firstLine="2835"/>
        <w:jc w:val="both"/>
        <w:rPr>
          <w:rFonts w:ascii="Gadugi" w:hAnsi="Gadugi"/>
          <w:sz w:val="24"/>
          <w:szCs w:val="24"/>
          <w:lang w:val="es-419"/>
        </w:rPr>
      </w:pPr>
      <w:r w:rsidRPr="004D6C45">
        <w:rPr>
          <w:rFonts w:ascii="Gadugi" w:hAnsi="Gadugi"/>
          <w:sz w:val="24"/>
          <w:szCs w:val="24"/>
        </w:rPr>
        <w:t>Expediente</w:t>
      </w:r>
      <w:r w:rsidR="005C36C4" w:rsidRPr="004D6C45">
        <w:rPr>
          <w:rFonts w:ascii="Gadugi" w:hAnsi="Gadugi"/>
          <w:sz w:val="24"/>
          <w:szCs w:val="24"/>
        </w:rPr>
        <w:t xml:space="preserve">: </w:t>
      </w:r>
      <w:r w:rsidR="00B0043B">
        <w:rPr>
          <w:rFonts w:ascii="Gadugi" w:hAnsi="Gadugi"/>
          <w:sz w:val="24"/>
          <w:szCs w:val="24"/>
        </w:rPr>
        <w:t>66001-22-13-000-2018-00035</w:t>
      </w:r>
      <w:r w:rsidR="00327FAE" w:rsidRPr="004D6C45">
        <w:rPr>
          <w:rFonts w:ascii="Gadugi" w:hAnsi="Gadugi"/>
          <w:sz w:val="24"/>
          <w:szCs w:val="24"/>
        </w:rPr>
        <w:t>-00</w:t>
      </w:r>
      <w:r w:rsidR="00835C8A" w:rsidRPr="004D6C45">
        <w:rPr>
          <w:rFonts w:ascii="Gadugi" w:hAnsi="Gadugi"/>
          <w:sz w:val="24"/>
          <w:szCs w:val="24"/>
        </w:rPr>
        <w:tab/>
      </w:r>
      <w:r w:rsidR="00835C8A" w:rsidRPr="004D6C45">
        <w:rPr>
          <w:rFonts w:ascii="Gadugi" w:hAnsi="Gadugi"/>
          <w:sz w:val="24"/>
          <w:szCs w:val="24"/>
        </w:rPr>
        <w:tab/>
        <w:t xml:space="preserve"> </w:t>
      </w:r>
      <w:r w:rsidR="00327FAE" w:rsidRPr="004D6C45">
        <w:rPr>
          <w:rFonts w:ascii="Gadugi" w:hAnsi="Gadugi"/>
          <w:sz w:val="24"/>
          <w:szCs w:val="24"/>
        </w:rPr>
        <w:t xml:space="preserve">  </w:t>
      </w:r>
      <w:r w:rsidR="00327FAE" w:rsidRPr="004D6C45">
        <w:rPr>
          <w:rFonts w:ascii="Gadugi" w:hAnsi="Gadugi"/>
          <w:sz w:val="24"/>
          <w:szCs w:val="24"/>
        </w:rPr>
        <w:tab/>
      </w:r>
      <w:r w:rsidR="00327FAE" w:rsidRPr="004D6C45">
        <w:rPr>
          <w:rFonts w:ascii="Gadugi" w:hAnsi="Gadugi"/>
          <w:sz w:val="24"/>
          <w:szCs w:val="24"/>
        </w:rPr>
        <w:tab/>
      </w:r>
      <w:r w:rsidR="00327FAE" w:rsidRPr="004D6C45">
        <w:rPr>
          <w:rFonts w:ascii="Gadugi" w:hAnsi="Gadugi"/>
          <w:sz w:val="24"/>
          <w:szCs w:val="24"/>
        </w:rPr>
        <w:tab/>
        <w:t xml:space="preserve">           </w:t>
      </w:r>
      <w:r w:rsidR="003A0971" w:rsidRPr="004D6C45">
        <w:rPr>
          <w:rFonts w:ascii="Gadugi" w:hAnsi="Gadugi"/>
          <w:sz w:val="24"/>
          <w:szCs w:val="24"/>
        </w:rPr>
        <w:t>Acta N°</w:t>
      </w:r>
      <w:r w:rsidR="00835C8A" w:rsidRPr="004D6C45">
        <w:rPr>
          <w:rFonts w:ascii="Gadugi" w:hAnsi="Gadugi"/>
          <w:sz w:val="24"/>
          <w:szCs w:val="24"/>
        </w:rPr>
        <w:t xml:space="preserve"> </w:t>
      </w:r>
      <w:r w:rsidR="00100CFD">
        <w:rPr>
          <w:rFonts w:ascii="Gadugi" w:hAnsi="Gadugi"/>
          <w:sz w:val="24"/>
          <w:szCs w:val="24"/>
          <w:lang w:val="es-419"/>
        </w:rPr>
        <w:t>48 de febrero 21 de 2018</w:t>
      </w:r>
    </w:p>
    <w:p w:rsidR="00575D7F" w:rsidRPr="004D6C45" w:rsidRDefault="00575D7F" w:rsidP="004D6C45">
      <w:pPr>
        <w:spacing w:line="26" w:lineRule="atLeast"/>
        <w:ind w:firstLine="2835"/>
        <w:jc w:val="both"/>
        <w:rPr>
          <w:rFonts w:ascii="Gadugi" w:hAnsi="Gadugi"/>
          <w:sz w:val="24"/>
          <w:szCs w:val="24"/>
        </w:rPr>
      </w:pPr>
    </w:p>
    <w:p w:rsidR="00741AB1" w:rsidRPr="004D6C45" w:rsidRDefault="00741AB1" w:rsidP="004D6C45">
      <w:pPr>
        <w:spacing w:line="26" w:lineRule="atLeast"/>
        <w:ind w:firstLine="2835"/>
        <w:jc w:val="both"/>
        <w:rPr>
          <w:rFonts w:ascii="Gadugi" w:hAnsi="Gadugi"/>
          <w:sz w:val="24"/>
          <w:szCs w:val="24"/>
        </w:rPr>
      </w:pPr>
    </w:p>
    <w:p w:rsidR="005B7E92" w:rsidRPr="00B0043B" w:rsidRDefault="002342A4" w:rsidP="004D6C45">
      <w:pPr>
        <w:spacing w:line="26" w:lineRule="atLeast"/>
        <w:ind w:firstLine="2835"/>
        <w:jc w:val="both"/>
        <w:rPr>
          <w:rFonts w:ascii="Gadugi" w:hAnsi="Gadugi" w:cs="Century Gothic"/>
          <w:bCs/>
          <w:sz w:val="24"/>
          <w:szCs w:val="24"/>
          <w:lang w:val="es-CO"/>
        </w:rPr>
      </w:pPr>
      <w:r w:rsidRPr="004D6C45">
        <w:rPr>
          <w:rFonts w:ascii="Gadugi" w:hAnsi="Gadugi" w:cs="Century Gothic"/>
          <w:sz w:val="24"/>
          <w:szCs w:val="24"/>
        </w:rPr>
        <w:t xml:space="preserve">Decide la Sala </w:t>
      </w:r>
      <w:r w:rsidR="008A58C4" w:rsidRPr="004D6C45">
        <w:rPr>
          <w:rFonts w:ascii="Gadugi" w:hAnsi="Gadugi" w:cs="Century Gothic"/>
          <w:sz w:val="24"/>
          <w:szCs w:val="24"/>
        </w:rPr>
        <w:t>la acción de tutela promovida</w:t>
      </w:r>
      <w:r w:rsidR="00B0043B">
        <w:rPr>
          <w:rFonts w:ascii="Gadugi" w:hAnsi="Gadugi" w:cs="Century Gothic"/>
          <w:sz w:val="24"/>
          <w:szCs w:val="24"/>
        </w:rPr>
        <w:t>, a través de apoderado judicial,</w:t>
      </w:r>
      <w:r w:rsidR="008A58C4" w:rsidRPr="004D6C45">
        <w:rPr>
          <w:rFonts w:ascii="Gadugi" w:hAnsi="Gadugi" w:cs="Century Gothic"/>
          <w:sz w:val="24"/>
          <w:szCs w:val="24"/>
        </w:rPr>
        <w:t xml:space="preserve"> por </w:t>
      </w:r>
      <w:r w:rsidR="004F5632">
        <w:rPr>
          <w:rFonts w:ascii="Gadugi" w:hAnsi="Gadugi" w:cs="Century Gothic"/>
          <w:b/>
          <w:sz w:val="24"/>
          <w:szCs w:val="24"/>
        </w:rPr>
        <w:t>Alexánder</w:t>
      </w:r>
      <w:r w:rsidR="00B0043B">
        <w:rPr>
          <w:rFonts w:ascii="Gadugi" w:hAnsi="Gadugi" w:cs="Century Gothic"/>
          <w:b/>
          <w:sz w:val="24"/>
          <w:szCs w:val="24"/>
        </w:rPr>
        <w:t xml:space="preserve"> García Escobar </w:t>
      </w:r>
      <w:r w:rsidRPr="004D6C45">
        <w:rPr>
          <w:rFonts w:ascii="Gadugi" w:hAnsi="Gadugi" w:cs="Century Gothic"/>
          <w:bCs/>
          <w:sz w:val="24"/>
          <w:szCs w:val="24"/>
        </w:rPr>
        <w:t>contra</w:t>
      </w:r>
      <w:r w:rsidRPr="004D6C45">
        <w:rPr>
          <w:rFonts w:ascii="Gadugi" w:hAnsi="Gadugi" w:cs="Century Gothic"/>
          <w:sz w:val="24"/>
          <w:szCs w:val="24"/>
        </w:rPr>
        <w:t xml:space="preserve"> el </w:t>
      </w:r>
      <w:r w:rsidRPr="004D6C45">
        <w:rPr>
          <w:rFonts w:ascii="Gadugi" w:hAnsi="Gadugi" w:cs="Century Gothic"/>
          <w:b/>
          <w:sz w:val="24"/>
          <w:szCs w:val="24"/>
        </w:rPr>
        <w:t>Juzgado</w:t>
      </w:r>
      <w:r w:rsidR="006123E1" w:rsidRPr="004D6C45">
        <w:rPr>
          <w:rFonts w:ascii="Gadugi" w:hAnsi="Gadugi" w:cs="Century Gothic"/>
          <w:b/>
          <w:sz w:val="24"/>
          <w:szCs w:val="24"/>
        </w:rPr>
        <w:t xml:space="preserve"> </w:t>
      </w:r>
      <w:r w:rsidR="005B2BFC" w:rsidRPr="004D6C45">
        <w:rPr>
          <w:rFonts w:ascii="Gadugi" w:hAnsi="Gadugi" w:cs="Century Gothic"/>
          <w:b/>
          <w:sz w:val="24"/>
          <w:szCs w:val="24"/>
        </w:rPr>
        <w:t xml:space="preserve">Civil del Circuito </w:t>
      </w:r>
      <w:r w:rsidR="005B2BFC" w:rsidRPr="00AD5826">
        <w:rPr>
          <w:rFonts w:ascii="Gadugi" w:hAnsi="Gadugi" w:cs="Century Gothic"/>
          <w:b/>
          <w:sz w:val="24"/>
          <w:szCs w:val="24"/>
        </w:rPr>
        <w:t>de</w:t>
      </w:r>
      <w:r w:rsidR="005B2BFC" w:rsidRPr="004D6C45">
        <w:rPr>
          <w:rFonts w:ascii="Gadugi" w:hAnsi="Gadugi" w:cs="Century Gothic"/>
          <w:sz w:val="24"/>
          <w:szCs w:val="24"/>
        </w:rPr>
        <w:t xml:space="preserve"> </w:t>
      </w:r>
      <w:r w:rsidR="00741AB1" w:rsidRPr="004D6C45">
        <w:rPr>
          <w:rFonts w:ascii="Gadugi" w:hAnsi="Gadugi" w:cs="Century Gothic"/>
          <w:b/>
          <w:sz w:val="24"/>
          <w:szCs w:val="24"/>
        </w:rPr>
        <w:t>Dosquebradas</w:t>
      </w:r>
      <w:r w:rsidR="00EC1E28" w:rsidRPr="004D6C45">
        <w:rPr>
          <w:rFonts w:ascii="Gadugi" w:hAnsi="Gadugi" w:cs="Century Gothic"/>
          <w:sz w:val="24"/>
          <w:szCs w:val="24"/>
        </w:rPr>
        <w:t>,</w:t>
      </w:r>
      <w:r w:rsidR="00B0043B">
        <w:rPr>
          <w:rFonts w:ascii="Gadugi" w:hAnsi="Gadugi" w:cs="Century Gothic"/>
          <w:sz w:val="24"/>
          <w:szCs w:val="24"/>
        </w:rPr>
        <w:t xml:space="preserve"> a la que fueron vinculados</w:t>
      </w:r>
      <w:r w:rsidR="004F5632">
        <w:rPr>
          <w:rFonts w:ascii="Gadugi" w:hAnsi="Gadugi" w:cs="Century Gothic"/>
          <w:sz w:val="24"/>
          <w:szCs w:val="24"/>
          <w:lang w:val="es-419"/>
        </w:rPr>
        <w:t xml:space="preserve"> </w:t>
      </w:r>
      <w:r w:rsidR="004F5632">
        <w:rPr>
          <w:rFonts w:ascii="Gadugi" w:hAnsi="Gadugi" w:cs="Century Gothic"/>
          <w:b/>
          <w:sz w:val="24"/>
          <w:szCs w:val="24"/>
        </w:rPr>
        <w:t>Robinson Trujillo Loaiza</w:t>
      </w:r>
      <w:r w:rsidR="004F5632">
        <w:rPr>
          <w:rFonts w:ascii="Gadugi" w:hAnsi="Gadugi" w:cs="Century Gothic"/>
          <w:b/>
          <w:sz w:val="24"/>
          <w:szCs w:val="24"/>
          <w:lang w:val="es-419"/>
        </w:rPr>
        <w:t>,</w:t>
      </w:r>
      <w:r w:rsidR="004F5632">
        <w:rPr>
          <w:rFonts w:ascii="Gadugi" w:hAnsi="Gadugi" w:cs="Century Gothic"/>
          <w:b/>
          <w:sz w:val="24"/>
          <w:szCs w:val="24"/>
        </w:rPr>
        <w:t xml:space="preserve"> </w:t>
      </w:r>
      <w:r w:rsidR="004F5632" w:rsidRPr="004D6C45">
        <w:rPr>
          <w:rFonts w:ascii="Gadugi" w:hAnsi="Gadugi" w:cs="Century Gothic"/>
          <w:b/>
          <w:sz w:val="24"/>
          <w:szCs w:val="24"/>
        </w:rPr>
        <w:t xml:space="preserve"> </w:t>
      </w:r>
      <w:r w:rsidR="00B0043B">
        <w:rPr>
          <w:rFonts w:ascii="Gadugi" w:hAnsi="Gadugi" w:cs="Century Gothic"/>
          <w:sz w:val="24"/>
          <w:szCs w:val="24"/>
        </w:rPr>
        <w:t xml:space="preserve">los </w:t>
      </w:r>
      <w:r w:rsidR="00B0043B" w:rsidRPr="00AD5826">
        <w:rPr>
          <w:rFonts w:ascii="Gadugi" w:hAnsi="Gadugi" w:cs="Century Gothic"/>
          <w:sz w:val="24"/>
          <w:szCs w:val="24"/>
        </w:rPr>
        <w:t xml:space="preserve">herederos </w:t>
      </w:r>
      <w:r w:rsidR="00DB1E88" w:rsidRPr="00AD5826">
        <w:rPr>
          <w:rFonts w:ascii="Gadugi" w:hAnsi="Gadugi" w:cs="Century Gothic"/>
          <w:sz w:val="24"/>
          <w:szCs w:val="24"/>
        </w:rPr>
        <w:t>indeterminados</w:t>
      </w:r>
      <w:r w:rsidR="00B0043B" w:rsidRPr="00B0043B">
        <w:rPr>
          <w:rFonts w:ascii="Gadugi" w:hAnsi="Gadugi" w:cs="Century Gothic"/>
          <w:b/>
          <w:sz w:val="24"/>
          <w:szCs w:val="24"/>
        </w:rPr>
        <w:t xml:space="preserve"> </w:t>
      </w:r>
      <w:r w:rsidR="00B0043B" w:rsidRPr="008D7398">
        <w:rPr>
          <w:rFonts w:ascii="Gadugi" w:hAnsi="Gadugi" w:cs="Century Gothic"/>
          <w:sz w:val="24"/>
          <w:szCs w:val="24"/>
        </w:rPr>
        <w:t>de</w:t>
      </w:r>
      <w:r w:rsidR="00B0043B" w:rsidRPr="00B0043B">
        <w:rPr>
          <w:rFonts w:ascii="Gadugi" w:hAnsi="Gadugi" w:cs="Century Gothic"/>
          <w:b/>
          <w:sz w:val="24"/>
          <w:szCs w:val="24"/>
        </w:rPr>
        <w:t xml:space="preserve"> Hernando de Jesús Arango Cardona</w:t>
      </w:r>
      <w:r w:rsidR="00B0043B">
        <w:rPr>
          <w:rFonts w:ascii="Gadugi" w:hAnsi="Gadugi" w:cs="Century Gothic"/>
          <w:sz w:val="24"/>
          <w:szCs w:val="24"/>
        </w:rPr>
        <w:t xml:space="preserve"> en su calidad de heredero testamentario del causante </w:t>
      </w:r>
      <w:r w:rsidR="00B0043B" w:rsidRPr="00B0043B">
        <w:rPr>
          <w:rFonts w:ascii="Gadugi" w:hAnsi="Gadugi" w:cs="Century Gothic"/>
          <w:b/>
          <w:sz w:val="24"/>
          <w:szCs w:val="24"/>
        </w:rPr>
        <w:t>Al</w:t>
      </w:r>
      <w:r w:rsidR="00DA22A9">
        <w:rPr>
          <w:rFonts w:ascii="Gadugi" w:hAnsi="Gadugi" w:cs="Century Gothic"/>
          <w:b/>
          <w:sz w:val="24"/>
          <w:szCs w:val="24"/>
        </w:rPr>
        <w:t>f</w:t>
      </w:r>
      <w:r w:rsidR="00B0043B" w:rsidRPr="00B0043B">
        <w:rPr>
          <w:rFonts w:ascii="Gadugi" w:hAnsi="Gadugi" w:cs="Century Gothic"/>
          <w:b/>
          <w:sz w:val="24"/>
          <w:szCs w:val="24"/>
        </w:rPr>
        <w:t>onso Emilio Bermúdez Cuervo</w:t>
      </w:r>
      <w:r w:rsidR="00B0043B">
        <w:rPr>
          <w:rFonts w:ascii="Gadugi" w:hAnsi="Gadugi" w:cs="Century Gothic"/>
          <w:sz w:val="24"/>
          <w:szCs w:val="24"/>
        </w:rPr>
        <w:t xml:space="preserve">, </w:t>
      </w:r>
      <w:r w:rsidR="00B0043B" w:rsidRPr="00B0043B">
        <w:rPr>
          <w:rFonts w:ascii="Gadugi" w:hAnsi="Gadugi" w:cs="Century Gothic"/>
          <w:b/>
          <w:sz w:val="24"/>
          <w:szCs w:val="24"/>
        </w:rPr>
        <w:t>Augusto Cardona Arango</w:t>
      </w:r>
      <w:r w:rsidR="00B0043B">
        <w:rPr>
          <w:rFonts w:ascii="Gadugi" w:hAnsi="Gadugi" w:cs="Century Gothic"/>
          <w:b/>
          <w:sz w:val="24"/>
          <w:szCs w:val="24"/>
        </w:rPr>
        <w:t xml:space="preserve"> </w:t>
      </w:r>
      <w:r w:rsidR="00B0043B" w:rsidRPr="00B0043B">
        <w:rPr>
          <w:rFonts w:ascii="Gadugi" w:hAnsi="Gadugi" w:cs="Century Gothic"/>
          <w:sz w:val="24"/>
          <w:szCs w:val="24"/>
        </w:rPr>
        <w:t xml:space="preserve">y </w:t>
      </w:r>
      <w:r w:rsidR="00B0043B">
        <w:rPr>
          <w:rFonts w:ascii="Gadugi" w:hAnsi="Gadugi" w:cs="Century Gothic"/>
          <w:sz w:val="24"/>
          <w:szCs w:val="24"/>
        </w:rPr>
        <w:t xml:space="preserve">las </w:t>
      </w:r>
      <w:r w:rsidR="00B0043B" w:rsidRPr="00B0043B">
        <w:rPr>
          <w:rFonts w:ascii="Gadugi" w:hAnsi="Gadugi" w:cs="Century Gothic"/>
          <w:b/>
          <w:sz w:val="24"/>
          <w:szCs w:val="24"/>
        </w:rPr>
        <w:t xml:space="preserve">personas </w:t>
      </w:r>
      <w:r w:rsidR="00DB1E88" w:rsidRPr="00B0043B">
        <w:rPr>
          <w:rFonts w:ascii="Gadugi" w:hAnsi="Gadugi" w:cs="Century Gothic"/>
          <w:b/>
          <w:sz w:val="24"/>
          <w:szCs w:val="24"/>
        </w:rPr>
        <w:t>indeterminadas</w:t>
      </w:r>
      <w:r w:rsidR="00B0043B">
        <w:rPr>
          <w:rFonts w:ascii="Gadugi" w:hAnsi="Gadugi" w:cs="Century Gothic"/>
          <w:sz w:val="24"/>
          <w:szCs w:val="24"/>
        </w:rPr>
        <w:t xml:space="preserve"> que se crean con derecho sobre el bien inmueble con matrícula inmobiliaria No. 294-8114 de la Oficina de Registro de Instrumentos P</w:t>
      </w:r>
      <w:r w:rsidR="00610A0D">
        <w:rPr>
          <w:rFonts w:ascii="Gadugi" w:hAnsi="Gadugi" w:cs="Century Gothic"/>
          <w:sz w:val="24"/>
          <w:szCs w:val="24"/>
        </w:rPr>
        <w:t>úblicos de Dosquebradas.</w:t>
      </w:r>
    </w:p>
    <w:p w:rsidR="00617211" w:rsidRDefault="00617211" w:rsidP="004D6C45">
      <w:pPr>
        <w:pStyle w:val="Titre4"/>
        <w:spacing w:line="26" w:lineRule="atLeast"/>
        <w:rPr>
          <w:rFonts w:ascii="Gadugi" w:hAnsi="Gadugi"/>
          <w:b/>
          <w:sz w:val="24"/>
          <w:szCs w:val="24"/>
        </w:rPr>
      </w:pPr>
    </w:p>
    <w:p w:rsidR="008D7398" w:rsidRPr="008D7398" w:rsidRDefault="008D7398" w:rsidP="008D7398">
      <w:pPr>
        <w:rPr>
          <w:lang w:val="es-MX"/>
        </w:rPr>
      </w:pPr>
      <w:r>
        <w:rPr>
          <w:lang w:val="es-MX"/>
        </w:rPr>
        <w:tab/>
      </w:r>
      <w:r>
        <w:rPr>
          <w:lang w:val="es-MX"/>
        </w:rPr>
        <w:tab/>
      </w:r>
      <w:r>
        <w:rPr>
          <w:lang w:val="es-MX"/>
        </w:rPr>
        <w:tab/>
      </w:r>
      <w:r>
        <w:rPr>
          <w:lang w:val="es-MX"/>
        </w:rPr>
        <w:tab/>
      </w:r>
      <w:r>
        <w:rPr>
          <w:lang w:val="es-MX"/>
        </w:rPr>
        <w:tab/>
      </w:r>
    </w:p>
    <w:p w:rsidR="002342A4" w:rsidRPr="004D6C45" w:rsidRDefault="002342A4" w:rsidP="004D6C45">
      <w:pPr>
        <w:pStyle w:val="Titre4"/>
        <w:spacing w:line="26" w:lineRule="atLeast"/>
        <w:rPr>
          <w:rFonts w:ascii="Gadugi" w:hAnsi="Gadugi"/>
          <w:b/>
          <w:sz w:val="24"/>
          <w:szCs w:val="24"/>
        </w:rPr>
      </w:pPr>
      <w:r w:rsidRPr="004D6C45">
        <w:rPr>
          <w:rFonts w:ascii="Gadugi" w:hAnsi="Gadugi"/>
          <w:b/>
          <w:sz w:val="24"/>
          <w:szCs w:val="24"/>
        </w:rPr>
        <w:t>ANTECEDENTES</w:t>
      </w:r>
    </w:p>
    <w:p w:rsidR="002342A4" w:rsidRPr="004D6C45" w:rsidRDefault="002224EE" w:rsidP="004D6C45">
      <w:pPr>
        <w:tabs>
          <w:tab w:val="left" w:pos="7695"/>
        </w:tabs>
        <w:spacing w:line="26" w:lineRule="atLeast"/>
        <w:ind w:firstLine="2835"/>
        <w:jc w:val="both"/>
        <w:rPr>
          <w:rFonts w:ascii="Gadugi" w:hAnsi="Gadugi" w:cs="Century Gothic"/>
          <w:b/>
          <w:bCs/>
          <w:sz w:val="24"/>
          <w:szCs w:val="24"/>
        </w:rPr>
      </w:pPr>
      <w:r w:rsidRPr="004D6C45">
        <w:rPr>
          <w:rFonts w:ascii="Gadugi" w:hAnsi="Gadugi" w:cs="Century Gothic"/>
          <w:b/>
          <w:bCs/>
          <w:sz w:val="24"/>
          <w:szCs w:val="24"/>
        </w:rPr>
        <w:tab/>
      </w:r>
    </w:p>
    <w:p w:rsidR="002A736F" w:rsidRDefault="004F5632" w:rsidP="002A736F">
      <w:pPr>
        <w:spacing w:line="26" w:lineRule="atLeast"/>
        <w:ind w:firstLine="2835"/>
        <w:jc w:val="both"/>
        <w:rPr>
          <w:rFonts w:ascii="Gadugi" w:hAnsi="Gadugi" w:cs="Century Gothic"/>
          <w:sz w:val="24"/>
          <w:szCs w:val="24"/>
          <w:lang w:val="es-CO"/>
        </w:rPr>
      </w:pPr>
      <w:proofErr w:type="spellStart"/>
      <w:r>
        <w:rPr>
          <w:rFonts w:ascii="Gadugi" w:hAnsi="Gadugi" w:cs="Century Gothic"/>
          <w:sz w:val="24"/>
          <w:szCs w:val="24"/>
        </w:rPr>
        <w:t>Alexánder</w:t>
      </w:r>
      <w:proofErr w:type="spellEnd"/>
      <w:r w:rsidR="00610A0D">
        <w:rPr>
          <w:rFonts w:ascii="Gadugi" w:hAnsi="Gadugi" w:cs="Century Gothic"/>
          <w:sz w:val="24"/>
          <w:szCs w:val="24"/>
        </w:rPr>
        <w:t xml:space="preserve"> García Escobar</w:t>
      </w:r>
      <w:r w:rsidR="00FA4C8F" w:rsidRPr="004D6C45">
        <w:rPr>
          <w:rFonts w:ascii="Gadugi" w:hAnsi="Gadugi" w:cs="Century Gothic"/>
          <w:sz w:val="24"/>
          <w:szCs w:val="24"/>
        </w:rPr>
        <w:t xml:space="preserve">, por conducto de apoderado judicial, </w:t>
      </w:r>
      <w:r w:rsidR="00610A0D">
        <w:rPr>
          <w:rFonts w:ascii="Gadugi" w:hAnsi="Gadugi" w:cs="Century Gothic"/>
          <w:sz w:val="24"/>
          <w:szCs w:val="24"/>
        </w:rPr>
        <w:t>present</w:t>
      </w:r>
      <w:r>
        <w:rPr>
          <w:rFonts w:ascii="Gadugi" w:hAnsi="Gadugi" w:cs="Century Gothic"/>
          <w:sz w:val="24"/>
          <w:szCs w:val="24"/>
          <w:lang w:val="es-419"/>
        </w:rPr>
        <w:t>ó</w:t>
      </w:r>
      <w:r w:rsidR="002342A4" w:rsidRPr="004D6C45">
        <w:rPr>
          <w:rFonts w:ascii="Gadugi" w:hAnsi="Gadugi" w:cs="Century Gothic"/>
          <w:sz w:val="24"/>
          <w:szCs w:val="24"/>
        </w:rPr>
        <w:t xml:space="preserve"> </w:t>
      </w:r>
      <w:r w:rsidR="008A58C4" w:rsidRPr="004D6C45">
        <w:rPr>
          <w:rFonts w:ascii="Gadugi" w:hAnsi="Gadugi" w:cs="Century Gothic"/>
          <w:sz w:val="24"/>
          <w:szCs w:val="24"/>
        </w:rPr>
        <w:t xml:space="preserve">acción </w:t>
      </w:r>
      <w:r w:rsidR="002342A4" w:rsidRPr="004D6C45">
        <w:rPr>
          <w:rFonts w:ascii="Gadugi" w:hAnsi="Gadugi" w:cs="Century Gothic"/>
          <w:sz w:val="24"/>
          <w:szCs w:val="24"/>
        </w:rPr>
        <w:t>de tutela contra el Juzgado</w:t>
      </w:r>
      <w:r w:rsidR="00756A7B" w:rsidRPr="004D6C45">
        <w:rPr>
          <w:rFonts w:ascii="Gadugi" w:hAnsi="Gadugi" w:cs="Century Gothic"/>
          <w:sz w:val="24"/>
          <w:szCs w:val="24"/>
        </w:rPr>
        <w:t xml:space="preserve"> </w:t>
      </w:r>
      <w:r w:rsidR="005B2BFC" w:rsidRPr="004D6C45">
        <w:rPr>
          <w:rFonts w:ascii="Gadugi" w:hAnsi="Gadugi" w:cs="Century Gothic"/>
          <w:sz w:val="24"/>
          <w:szCs w:val="24"/>
        </w:rPr>
        <w:t xml:space="preserve">Civil del Circuito de </w:t>
      </w:r>
      <w:r w:rsidR="00FA4C8F" w:rsidRPr="004D6C45">
        <w:rPr>
          <w:rFonts w:ascii="Gadugi" w:hAnsi="Gadugi" w:cs="Century Gothic"/>
          <w:sz w:val="24"/>
          <w:szCs w:val="24"/>
        </w:rPr>
        <w:t>Dosquebradas</w:t>
      </w:r>
      <w:r w:rsidR="00EC1E28" w:rsidRPr="004D6C45">
        <w:rPr>
          <w:rFonts w:ascii="Gadugi" w:hAnsi="Gadugi" w:cs="Century Gothic"/>
          <w:sz w:val="24"/>
          <w:szCs w:val="24"/>
        </w:rPr>
        <w:t>,</w:t>
      </w:r>
      <w:r w:rsidR="00E52AD4" w:rsidRPr="004D6C45">
        <w:rPr>
          <w:rFonts w:ascii="Gadugi" w:hAnsi="Gadugi" w:cs="Century Gothic"/>
          <w:sz w:val="24"/>
          <w:szCs w:val="24"/>
        </w:rPr>
        <w:t xml:space="preserve"> </w:t>
      </w:r>
      <w:r w:rsidR="00E52AD4" w:rsidRPr="004D6C45">
        <w:rPr>
          <w:rFonts w:ascii="Gadugi" w:hAnsi="Gadugi" w:cs="Century Gothic"/>
          <w:sz w:val="24"/>
          <w:szCs w:val="24"/>
          <w:lang w:val="es-CO"/>
        </w:rPr>
        <w:t xml:space="preserve">tendiente a </w:t>
      </w:r>
      <w:r w:rsidR="00851EFC">
        <w:rPr>
          <w:rFonts w:ascii="Gadugi" w:hAnsi="Gadugi" w:cs="Century Gothic"/>
          <w:sz w:val="24"/>
          <w:szCs w:val="24"/>
          <w:lang w:val="es-CO"/>
        </w:rPr>
        <w:t>que</w:t>
      </w:r>
      <w:r w:rsidR="0075433F">
        <w:rPr>
          <w:rFonts w:ascii="Gadugi" w:hAnsi="Gadugi" w:cs="Century Gothic"/>
          <w:sz w:val="24"/>
          <w:szCs w:val="24"/>
          <w:lang w:val="es-CO"/>
        </w:rPr>
        <w:t xml:space="preserve"> se revoque o modifique</w:t>
      </w:r>
      <w:r w:rsidR="008C262A">
        <w:rPr>
          <w:rFonts w:ascii="Gadugi" w:hAnsi="Gadugi" w:cs="Century Gothic"/>
          <w:sz w:val="24"/>
          <w:szCs w:val="24"/>
          <w:lang w:val="es-CO"/>
        </w:rPr>
        <w:t xml:space="preserve"> parcialmente el</w:t>
      </w:r>
      <w:r w:rsidR="0075433F">
        <w:rPr>
          <w:rFonts w:ascii="Gadugi" w:hAnsi="Gadugi" w:cs="Century Gothic"/>
          <w:sz w:val="24"/>
          <w:szCs w:val="24"/>
          <w:lang w:val="es-CO"/>
        </w:rPr>
        <w:t xml:space="preserve"> auto proferido el 7 de diciembre de 2016</w:t>
      </w:r>
      <w:r w:rsidR="004623A9">
        <w:rPr>
          <w:rFonts w:ascii="Gadugi" w:hAnsi="Gadugi" w:cs="Century Gothic"/>
          <w:sz w:val="24"/>
          <w:szCs w:val="24"/>
          <w:lang w:val="es-419"/>
        </w:rPr>
        <w:t>,</w:t>
      </w:r>
      <w:r w:rsidR="0075433F">
        <w:rPr>
          <w:rFonts w:ascii="Gadugi" w:hAnsi="Gadugi" w:cs="Century Gothic"/>
          <w:sz w:val="24"/>
          <w:szCs w:val="24"/>
          <w:lang w:val="es-CO"/>
        </w:rPr>
        <w:t xml:space="preserve"> en el que se hizo control de legalidad </w:t>
      </w:r>
      <w:r w:rsidR="00E52AD4" w:rsidRPr="004D6C45">
        <w:rPr>
          <w:rFonts w:ascii="Gadugi" w:hAnsi="Gadugi" w:cs="Century Gothic"/>
          <w:sz w:val="24"/>
          <w:szCs w:val="24"/>
          <w:lang w:val="es-CO"/>
        </w:rPr>
        <w:t xml:space="preserve">dentro del </w:t>
      </w:r>
      <w:r w:rsidR="00610A0D">
        <w:rPr>
          <w:rFonts w:ascii="Gadugi" w:hAnsi="Gadugi" w:cs="Century Gothic"/>
          <w:sz w:val="24"/>
          <w:szCs w:val="24"/>
          <w:lang w:val="es-CO"/>
        </w:rPr>
        <w:t xml:space="preserve">proceso ordinario </w:t>
      </w:r>
      <w:r w:rsidR="004623A9">
        <w:rPr>
          <w:rFonts w:ascii="Gadugi" w:hAnsi="Gadugi" w:cs="Century Gothic"/>
          <w:sz w:val="24"/>
          <w:szCs w:val="24"/>
          <w:lang w:val="es-419"/>
        </w:rPr>
        <w:t>(</w:t>
      </w:r>
      <w:r w:rsidR="00610A0D">
        <w:rPr>
          <w:rFonts w:ascii="Gadugi" w:hAnsi="Gadugi" w:cs="Century Gothic"/>
          <w:sz w:val="24"/>
          <w:szCs w:val="24"/>
          <w:lang w:val="es-CO"/>
        </w:rPr>
        <w:t>acción reivindicatoria</w:t>
      </w:r>
      <w:r w:rsidR="004623A9">
        <w:rPr>
          <w:rFonts w:ascii="Gadugi" w:hAnsi="Gadugi" w:cs="Century Gothic"/>
          <w:sz w:val="24"/>
          <w:szCs w:val="24"/>
          <w:lang w:val="es-419"/>
        </w:rPr>
        <w:t>)</w:t>
      </w:r>
      <w:r w:rsidR="00610A0D">
        <w:rPr>
          <w:rFonts w:ascii="Gadugi" w:hAnsi="Gadugi" w:cs="Century Gothic"/>
          <w:sz w:val="24"/>
          <w:szCs w:val="24"/>
          <w:lang w:val="es-CO"/>
        </w:rPr>
        <w:t xml:space="preserve"> que se adelanta en reconvención del de p</w:t>
      </w:r>
      <w:r w:rsidR="004623A9">
        <w:rPr>
          <w:rFonts w:ascii="Gadugi" w:hAnsi="Gadugi" w:cs="Century Gothic"/>
          <w:sz w:val="24"/>
          <w:szCs w:val="24"/>
          <w:lang w:val="es-419"/>
        </w:rPr>
        <w:t xml:space="preserve">ertenencia </w:t>
      </w:r>
      <w:r w:rsidR="00610A0D">
        <w:rPr>
          <w:rFonts w:ascii="Gadugi" w:hAnsi="Gadugi" w:cs="Century Gothic"/>
          <w:sz w:val="24"/>
          <w:szCs w:val="24"/>
          <w:lang w:val="es-CO"/>
        </w:rPr>
        <w:t xml:space="preserve">radicado con el número 2011-00249-00, </w:t>
      </w:r>
      <w:r w:rsidR="0075433F">
        <w:rPr>
          <w:rFonts w:ascii="Gadugi" w:hAnsi="Gadugi" w:cs="Century Gothic"/>
          <w:sz w:val="24"/>
          <w:szCs w:val="24"/>
          <w:lang w:val="es-CO"/>
        </w:rPr>
        <w:t xml:space="preserve">con ocasión </w:t>
      </w:r>
      <w:r w:rsidR="00AD5826">
        <w:rPr>
          <w:rFonts w:ascii="Gadugi" w:hAnsi="Gadugi" w:cs="Century Gothic"/>
          <w:sz w:val="24"/>
          <w:szCs w:val="24"/>
          <w:lang w:val="es-419"/>
        </w:rPr>
        <w:t xml:space="preserve">de </w:t>
      </w:r>
      <w:r w:rsidR="0075433F">
        <w:rPr>
          <w:rFonts w:ascii="Gadugi" w:hAnsi="Gadugi" w:cs="Century Gothic"/>
          <w:sz w:val="24"/>
          <w:szCs w:val="24"/>
          <w:lang w:val="es-CO"/>
        </w:rPr>
        <w:t>la</w:t>
      </w:r>
      <w:r w:rsidR="00610A0D">
        <w:rPr>
          <w:rFonts w:ascii="Gadugi" w:hAnsi="Gadugi" w:cs="Century Gothic"/>
          <w:sz w:val="24"/>
          <w:szCs w:val="24"/>
          <w:lang w:val="es-CO"/>
        </w:rPr>
        <w:t xml:space="preserve"> violación al debido proceso en que, dice</w:t>
      </w:r>
      <w:r w:rsidR="0075433F">
        <w:rPr>
          <w:rFonts w:ascii="Gadugi" w:hAnsi="Gadugi" w:cs="Century Gothic"/>
          <w:sz w:val="24"/>
          <w:szCs w:val="24"/>
          <w:lang w:val="es-CO"/>
        </w:rPr>
        <w:t xml:space="preserve"> el actor</w:t>
      </w:r>
      <w:r w:rsidR="00610A0D">
        <w:rPr>
          <w:rFonts w:ascii="Gadugi" w:hAnsi="Gadugi" w:cs="Century Gothic"/>
          <w:sz w:val="24"/>
          <w:szCs w:val="24"/>
          <w:lang w:val="es-CO"/>
        </w:rPr>
        <w:t>, incurri</w:t>
      </w:r>
      <w:r w:rsidR="0075433F">
        <w:rPr>
          <w:rFonts w:ascii="Gadugi" w:hAnsi="Gadugi" w:cs="Century Gothic"/>
          <w:sz w:val="24"/>
          <w:szCs w:val="24"/>
          <w:lang w:val="es-CO"/>
        </w:rPr>
        <w:t>ó el d</w:t>
      </w:r>
      <w:r w:rsidR="00851EFC">
        <w:rPr>
          <w:rFonts w:ascii="Gadugi" w:hAnsi="Gadugi" w:cs="Century Gothic"/>
          <w:sz w:val="24"/>
          <w:szCs w:val="24"/>
          <w:lang w:val="es-CO"/>
        </w:rPr>
        <w:t>espacho</w:t>
      </w:r>
      <w:r w:rsidR="0075433F">
        <w:rPr>
          <w:rFonts w:ascii="Gadugi" w:hAnsi="Gadugi" w:cs="Century Gothic"/>
          <w:sz w:val="24"/>
          <w:szCs w:val="24"/>
          <w:lang w:val="es-CO"/>
        </w:rPr>
        <w:t xml:space="preserve"> accionado</w:t>
      </w:r>
      <w:r w:rsidR="00851EFC">
        <w:rPr>
          <w:rFonts w:ascii="Gadugi" w:hAnsi="Gadugi" w:cs="Century Gothic"/>
          <w:sz w:val="24"/>
          <w:szCs w:val="24"/>
          <w:lang w:val="es-CO"/>
        </w:rPr>
        <w:t xml:space="preserve"> </w:t>
      </w:r>
      <w:r w:rsidR="00DB1E88">
        <w:rPr>
          <w:rFonts w:ascii="Gadugi" w:hAnsi="Gadugi" w:cs="Century Gothic"/>
          <w:sz w:val="24"/>
          <w:szCs w:val="24"/>
          <w:lang w:val="es-CO"/>
        </w:rPr>
        <w:t xml:space="preserve">al </w:t>
      </w:r>
      <w:r w:rsidR="00DB1E88" w:rsidRPr="00DB1E88">
        <w:rPr>
          <w:rFonts w:ascii="Gadugi" w:hAnsi="Gadugi" w:cs="Century Gothic"/>
          <w:i/>
          <w:sz w:val="24"/>
          <w:szCs w:val="24"/>
          <w:lang w:val="es-CO"/>
        </w:rPr>
        <w:t>“revivir términos</w:t>
      </w:r>
      <w:r w:rsidR="00CC73FF">
        <w:rPr>
          <w:rFonts w:ascii="Gadugi" w:hAnsi="Gadugi" w:cs="Century Gothic"/>
          <w:i/>
          <w:sz w:val="24"/>
          <w:szCs w:val="24"/>
          <w:lang w:val="es-CO"/>
        </w:rPr>
        <w:t xml:space="preserve"> ya</w:t>
      </w:r>
      <w:r w:rsidR="00DB1E88" w:rsidRPr="00DB1E88">
        <w:rPr>
          <w:rFonts w:ascii="Gadugi" w:hAnsi="Gadugi" w:cs="Century Gothic"/>
          <w:i/>
          <w:sz w:val="24"/>
          <w:szCs w:val="24"/>
          <w:lang w:val="es-CO"/>
        </w:rPr>
        <w:t xml:space="preserve"> </w:t>
      </w:r>
      <w:r w:rsidR="0075433F">
        <w:rPr>
          <w:rFonts w:ascii="Gadugi" w:hAnsi="Gadugi" w:cs="Century Gothic"/>
          <w:i/>
          <w:sz w:val="24"/>
          <w:szCs w:val="24"/>
          <w:lang w:val="es-CO"/>
        </w:rPr>
        <w:t>preclu</w:t>
      </w:r>
      <w:r w:rsidR="0075433F" w:rsidRPr="00DB1E88">
        <w:rPr>
          <w:rFonts w:ascii="Gadugi" w:hAnsi="Gadugi" w:cs="Century Gothic"/>
          <w:i/>
          <w:sz w:val="24"/>
          <w:szCs w:val="24"/>
          <w:lang w:val="es-CO"/>
        </w:rPr>
        <w:t>idos</w:t>
      </w:r>
      <w:r w:rsidR="002A736F" w:rsidRPr="00DB1E88">
        <w:rPr>
          <w:rFonts w:ascii="Gadugi" w:hAnsi="Gadugi" w:cs="Century Gothic"/>
          <w:i/>
          <w:sz w:val="24"/>
          <w:szCs w:val="24"/>
          <w:lang w:val="es-CO"/>
        </w:rPr>
        <w:t xml:space="preserve"> y </w:t>
      </w:r>
      <w:r w:rsidR="00CC73FF">
        <w:rPr>
          <w:rFonts w:ascii="Gadugi" w:hAnsi="Gadugi" w:cs="Century Gothic"/>
          <w:i/>
          <w:sz w:val="24"/>
          <w:szCs w:val="24"/>
          <w:lang w:val="es-CO"/>
        </w:rPr>
        <w:t xml:space="preserve">de </w:t>
      </w:r>
      <w:r w:rsidR="002A736F" w:rsidRPr="00DB1E88">
        <w:rPr>
          <w:rFonts w:ascii="Gadugi" w:hAnsi="Gadugi" w:cs="Century Gothic"/>
          <w:i/>
          <w:sz w:val="24"/>
          <w:szCs w:val="24"/>
          <w:lang w:val="es-CO"/>
        </w:rPr>
        <w:t>aplicar disposicio</w:t>
      </w:r>
      <w:r w:rsidR="00E733C4" w:rsidRPr="00DB1E88">
        <w:rPr>
          <w:rFonts w:ascii="Gadugi" w:hAnsi="Gadugi" w:cs="Century Gothic"/>
          <w:i/>
          <w:sz w:val="24"/>
          <w:szCs w:val="24"/>
          <w:lang w:val="es-CO"/>
        </w:rPr>
        <w:t>nes legales que no corresponden”</w:t>
      </w:r>
      <w:r w:rsidR="00CC73FF">
        <w:rPr>
          <w:rFonts w:ascii="Gadugi" w:hAnsi="Gadugi" w:cs="Century Gothic"/>
          <w:sz w:val="24"/>
          <w:szCs w:val="24"/>
          <w:lang w:val="es-CO"/>
        </w:rPr>
        <w:t xml:space="preserve"> (f.</w:t>
      </w:r>
      <w:r w:rsidR="00AD5826">
        <w:rPr>
          <w:rFonts w:ascii="Gadugi" w:hAnsi="Gadugi" w:cs="Century Gothic"/>
          <w:sz w:val="24"/>
          <w:szCs w:val="24"/>
          <w:lang w:val="es-419"/>
        </w:rPr>
        <w:t xml:space="preserve"> </w:t>
      </w:r>
      <w:r w:rsidR="00CC73FF">
        <w:rPr>
          <w:rFonts w:ascii="Gadugi" w:hAnsi="Gadugi" w:cs="Century Gothic"/>
          <w:sz w:val="24"/>
          <w:szCs w:val="24"/>
          <w:lang w:val="es-CO"/>
        </w:rPr>
        <w:t>10).</w:t>
      </w:r>
    </w:p>
    <w:p w:rsidR="00E733C4" w:rsidRPr="004D6C45" w:rsidRDefault="00E733C4" w:rsidP="002A736F">
      <w:pPr>
        <w:spacing w:line="26" w:lineRule="atLeast"/>
        <w:ind w:firstLine="2835"/>
        <w:jc w:val="both"/>
        <w:rPr>
          <w:rFonts w:ascii="Gadugi" w:hAnsi="Gadugi" w:cs="Century Gothic"/>
          <w:sz w:val="24"/>
          <w:szCs w:val="24"/>
          <w:lang w:val="es-CO"/>
        </w:rPr>
      </w:pPr>
    </w:p>
    <w:p w:rsidR="0075433F" w:rsidRDefault="00370BE7" w:rsidP="004D6C45">
      <w:pPr>
        <w:spacing w:line="26" w:lineRule="atLeast"/>
        <w:ind w:firstLine="2835"/>
        <w:jc w:val="both"/>
        <w:rPr>
          <w:rFonts w:ascii="Gadugi" w:hAnsi="Gadugi" w:cs="Century Gothic"/>
          <w:sz w:val="24"/>
          <w:szCs w:val="24"/>
        </w:rPr>
      </w:pPr>
      <w:r w:rsidRPr="004D6C45">
        <w:rPr>
          <w:rFonts w:ascii="Gadugi" w:hAnsi="Gadugi" w:cs="Century Gothic"/>
          <w:sz w:val="24"/>
          <w:szCs w:val="24"/>
          <w:lang w:val="es-CO"/>
        </w:rPr>
        <w:tab/>
      </w:r>
      <w:r w:rsidR="00B34AA5" w:rsidRPr="004D6C45">
        <w:rPr>
          <w:rFonts w:ascii="Gadugi" w:hAnsi="Gadugi" w:cs="Century Gothic"/>
          <w:sz w:val="24"/>
          <w:szCs w:val="24"/>
          <w:lang w:val="es-CO"/>
        </w:rPr>
        <w:t>Se e</w:t>
      </w:r>
      <w:r w:rsidR="009546BE" w:rsidRPr="004D6C45">
        <w:rPr>
          <w:rFonts w:ascii="Gadugi" w:hAnsi="Gadugi" w:cs="Century Gothic"/>
          <w:sz w:val="24"/>
          <w:szCs w:val="24"/>
        </w:rPr>
        <w:t>xpresa, en síntesis,</w:t>
      </w:r>
      <w:r w:rsidR="00E733C4">
        <w:rPr>
          <w:rFonts w:ascii="Gadugi" w:hAnsi="Gadugi" w:cs="Century Gothic"/>
          <w:sz w:val="24"/>
          <w:szCs w:val="24"/>
        </w:rPr>
        <w:t xml:space="preserve"> </w:t>
      </w:r>
      <w:r w:rsidR="00AD5826">
        <w:rPr>
          <w:rFonts w:ascii="Gadugi" w:hAnsi="Gadugi" w:cs="Century Gothic"/>
          <w:sz w:val="24"/>
          <w:szCs w:val="24"/>
          <w:lang w:val="es-419"/>
        </w:rPr>
        <w:t xml:space="preserve">luego de un </w:t>
      </w:r>
      <w:r w:rsidR="0075433F">
        <w:rPr>
          <w:rFonts w:ascii="Gadugi" w:hAnsi="Gadugi" w:cs="Century Gothic"/>
          <w:sz w:val="24"/>
          <w:szCs w:val="24"/>
        </w:rPr>
        <w:t>extenso recuento</w:t>
      </w:r>
      <w:r w:rsidR="00E733C4">
        <w:rPr>
          <w:rFonts w:ascii="Gadugi" w:hAnsi="Gadugi" w:cs="Century Gothic"/>
          <w:sz w:val="24"/>
          <w:szCs w:val="24"/>
        </w:rPr>
        <w:t xml:space="preserve"> de la crónica </w:t>
      </w:r>
      <w:r w:rsidR="00C021DE">
        <w:rPr>
          <w:rFonts w:ascii="Gadugi" w:hAnsi="Gadugi" w:cs="Century Gothic"/>
          <w:sz w:val="24"/>
          <w:szCs w:val="24"/>
        </w:rPr>
        <w:t>procesal</w:t>
      </w:r>
      <w:r w:rsidR="00E733C4">
        <w:rPr>
          <w:rFonts w:ascii="Gadugi" w:hAnsi="Gadugi" w:cs="Century Gothic"/>
          <w:sz w:val="24"/>
          <w:szCs w:val="24"/>
        </w:rPr>
        <w:t xml:space="preserve">, </w:t>
      </w:r>
      <w:r w:rsidR="007F519C">
        <w:rPr>
          <w:rFonts w:ascii="Gadugi" w:hAnsi="Gadugi" w:cs="Century Gothic"/>
          <w:sz w:val="24"/>
          <w:szCs w:val="24"/>
        </w:rPr>
        <w:t>que el juzgado accionado</w:t>
      </w:r>
      <w:r w:rsidR="00C10435">
        <w:rPr>
          <w:rFonts w:ascii="Gadugi" w:hAnsi="Gadugi" w:cs="Century Gothic"/>
          <w:sz w:val="24"/>
          <w:szCs w:val="24"/>
        </w:rPr>
        <w:t>,</w:t>
      </w:r>
      <w:r w:rsidR="007F519C">
        <w:rPr>
          <w:rFonts w:ascii="Gadugi" w:hAnsi="Gadugi" w:cs="Century Gothic"/>
          <w:sz w:val="24"/>
          <w:szCs w:val="24"/>
        </w:rPr>
        <w:t xml:space="preserve"> favoreciendo los intereses de la contraparte</w:t>
      </w:r>
      <w:r w:rsidR="0075433F">
        <w:rPr>
          <w:rFonts w:ascii="Gadugi" w:hAnsi="Gadugi" w:cs="Century Gothic"/>
          <w:sz w:val="24"/>
          <w:szCs w:val="24"/>
        </w:rPr>
        <w:t xml:space="preserve"> y</w:t>
      </w:r>
      <w:r w:rsidR="007F519C">
        <w:rPr>
          <w:rFonts w:ascii="Gadugi" w:hAnsi="Gadugi" w:cs="Century Gothic"/>
          <w:sz w:val="24"/>
          <w:szCs w:val="24"/>
        </w:rPr>
        <w:t xml:space="preserve"> faltando </w:t>
      </w:r>
      <w:r w:rsidR="0075433F">
        <w:rPr>
          <w:rFonts w:ascii="Gadugi" w:hAnsi="Gadugi" w:cs="Century Gothic"/>
          <w:sz w:val="24"/>
          <w:szCs w:val="24"/>
        </w:rPr>
        <w:t xml:space="preserve">solo </w:t>
      </w:r>
      <w:r w:rsidR="007F519C">
        <w:rPr>
          <w:rFonts w:ascii="Gadugi" w:hAnsi="Gadugi" w:cs="Century Gothic"/>
          <w:sz w:val="24"/>
          <w:szCs w:val="24"/>
        </w:rPr>
        <w:t>7 días para la celebración de la audiencia</w:t>
      </w:r>
      <w:r w:rsidR="0038769B">
        <w:rPr>
          <w:rFonts w:ascii="Gadugi" w:hAnsi="Gadugi" w:cs="Century Gothic"/>
          <w:sz w:val="24"/>
          <w:szCs w:val="24"/>
        </w:rPr>
        <w:t xml:space="preserve"> programada para el 14 de diciembre de 2016,</w:t>
      </w:r>
      <w:r w:rsidR="007F519C">
        <w:rPr>
          <w:rFonts w:ascii="Gadugi" w:hAnsi="Gadugi" w:cs="Century Gothic"/>
          <w:sz w:val="24"/>
          <w:szCs w:val="24"/>
        </w:rPr>
        <w:t xml:space="preserve"> prevista en el artículo 101 del CPC, dictó un auto</w:t>
      </w:r>
      <w:r w:rsidR="005E378D">
        <w:rPr>
          <w:rFonts w:ascii="Gadugi" w:hAnsi="Gadugi" w:cs="Century Gothic"/>
          <w:sz w:val="24"/>
          <w:szCs w:val="24"/>
        </w:rPr>
        <w:t xml:space="preserve"> en el que </w:t>
      </w:r>
      <w:r w:rsidR="007F519C">
        <w:rPr>
          <w:rFonts w:ascii="Gadugi" w:hAnsi="Gadugi" w:cs="Century Gothic"/>
          <w:sz w:val="24"/>
          <w:szCs w:val="24"/>
        </w:rPr>
        <w:t xml:space="preserve">(i) ordenó la cancelación de </w:t>
      </w:r>
      <w:r w:rsidR="003D119F">
        <w:rPr>
          <w:rFonts w:ascii="Gadugi" w:hAnsi="Gadugi" w:cs="Century Gothic"/>
          <w:sz w:val="24"/>
          <w:szCs w:val="24"/>
        </w:rPr>
        <w:t xml:space="preserve">la </w:t>
      </w:r>
      <w:r w:rsidR="007F519C">
        <w:rPr>
          <w:rFonts w:ascii="Gadugi" w:hAnsi="Gadugi" w:cs="Century Gothic"/>
          <w:sz w:val="24"/>
          <w:szCs w:val="24"/>
        </w:rPr>
        <w:t xml:space="preserve">inscripción de la </w:t>
      </w:r>
      <w:r w:rsidR="003D119F">
        <w:rPr>
          <w:rFonts w:ascii="Gadugi" w:hAnsi="Gadugi" w:cs="Century Gothic"/>
          <w:sz w:val="24"/>
          <w:szCs w:val="24"/>
        </w:rPr>
        <w:t>primigenia demanda de pertenencia</w:t>
      </w:r>
      <w:r w:rsidR="00C10435">
        <w:rPr>
          <w:rFonts w:ascii="Gadugi" w:hAnsi="Gadugi" w:cs="Century Gothic"/>
          <w:sz w:val="24"/>
          <w:szCs w:val="24"/>
        </w:rPr>
        <w:t>,</w:t>
      </w:r>
      <w:r w:rsidR="007F519C">
        <w:rPr>
          <w:rFonts w:ascii="Gadugi" w:hAnsi="Gadugi" w:cs="Century Gothic"/>
          <w:sz w:val="24"/>
          <w:szCs w:val="24"/>
        </w:rPr>
        <w:t xml:space="preserve"> (ii) ordenó notificar a la parte demand</w:t>
      </w:r>
      <w:r w:rsidR="003D119F">
        <w:rPr>
          <w:rFonts w:ascii="Gadugi" w:hAnsi="Gadugi" w:cs="Century Gothic"/>
          <w:sz w:val="24"/>
          <w:szCs w:val="24"/>
        </w:rPr>
        <w:t>ante en reconvención</w:t>
      </w:r>
      <w:r w:rsidR="007F519C">
        <w:rPr>
          <w:rFonts w:ascii="Gadugi" w:hAnsi="Gadugi" w:cs="Century Gothic"/>
          <w:sz w:val="24"/>
          <w:szCs w:val="24"/>
        </w:rPr>
        <w:t xml:space="preserve">, la cesión de los derechos litigiosos hecha </w:t>
      </w:r>
      <w:r w:rsidR="003D119F">
        <w:rPr>
          <w:rFonts w:ascii="Gadugi" w:hAnsi="Gadugi" w:cs="Century Gothic"/>
          <w:sz w:val="24"/>
          <w:szCs w:val="24"/>
        </w:rPr>
        <w:t>en</w:t>
      </w:r>
      <w:r w:rsidR="007F519C">
        <w:rPr>
          <w:rFonts w:ascii="Gadugi" w:hAnsi="Gadugi" w:cs="Century Gothic"/>
          <w:sz w:val="24"/>
          <w:szCs w:val="24"/>
        </w:rPr>
        <w:t xml:space="preserve"> favor del señor Robinson Trujillo Loaiza</w:t>
      </w:r>
      <w:r w:rsidR="007F519C">
        <w:rPr>
          <w:rStyle w:val="Appelnotedebasdep"/>
          <w:rFonts w:ascii="Gadugi" w:hAnsi="Gadugi"/>
          <w:sz w:val="24"/>
          <w:szCs w:val="24"/>
        </w:rPr>
        <w:footnoteReference w:id="1"/>
      </w:r>
      <w:r w:rsidR="007F519C">
        <w:rPr>
          <w:rFonts w:ascii="Gadugi" w:hAnsi="Gadugi" w:cs="Century Gothic"/>
          <w:sz w:val="24"/>
          <w:szCs w:val="24"/>
        </w:rPr>
        <w:t xml:space="preserve">, </w:t>
      </w:r>
      <w:r w:rsidR="00B16CE9">
        <w:rPr>
          <w:rFonts w:ascii="Gadugi" w:hAnsi="Gadugi" w:cs="Century Gothic"/>
          <w:sz w:val="24"/>
          <w:szCs w:val="24"/>
        </w:rPr>
        <w:t xml:space="preserve">(iii) </w:t>
      </w:r>
      <w:r w:rsidR="007F519C">
        <w:rPr>
          <w:rFonts w:ascii="Gadugi" w:hAnsi="Gadugi" w:cs="Century Gothic"/>
          <w:sz w:val="24"/>
          <w:szCs w:val="24"/>
        </w:rPr>
        <w:t xml:space="preserve">ordenó a </w:t>
      </w:r>
      <w:r w:rsidR="007E50A4">
        <w:rPr>
          <w:rFonts w:ascii="Gadugi" w:hAnsi="Gadugi" w:cs="Century Gothic"/>
          <w:sz w:val="24"/>
          <w:szCs w:val="24"/>
        </w:rPr>
        <w:t>esa misma parte</w:t>
      </w:r>
      <w:r w:rsidR="007F519C">
        <w:rPr>
          <w:rFonts w:ascii="Gadugi" w:hAnsi="Gadugi" w:cs="Century Gothic"/>
          <w:sz w:val="24"/>
          <w:szCs w:val="24"/>
        </w:rPr>
        <w:t xml:space="preserve"> prestar caución </w:t>
      </w:r>
      <w:r w:rsidR="00AD5826">
        <w:rPr>
          <w:rFonts w:ascii="Gadugi" w:hAnsi="Gadugi" w:cs="Century Gothic"/>
          <w:sz w:val="24"/>
          <w:szCs w:val="24"/>
          <w:lang w:val="es-419"/>
        </w:rPr>
        <w:t xml:space="preserve">antes de </w:t>
      </w:r>
      <w:r w:rsidR="007F519C">
        <w:rPr>
          <w:rFonts w:ascii="Gadugi" w:hAnsi="Gadugi" w:cs="Century Gothic"/>
          <w:sz w:val="24"/>
          <w:szCs w:val="24"/>
        </w:rPr>
        <w:t>decretar la inscripci</w:t>
      </w:r>
      <w:r w:rsidR="00575600">
        <w:rPr>
          <w:rFonts w:ascii="Gadugi" w:hAnsi="Gadugi" w:cs="Century Gothic"/>
          <w:sz w:val="24"/>
          <w:szCs w:val="24"/>
        </w:rPr>
        <w:t>ón de la demanda</w:t>
      </w:r>
      <w:r w:rsidR="004623A9">
        <w:rPr>
          <w:rFonts w:ascii="Gadugi" w:hAnsi="Gadugi" w:cs="Century Gothic"/>
          <w:sz w:val="24"/>
          <w:szCs w:val="24"/>
          <w:lang w:val="es-419"/>
        </w:rPr>
        <w:t xml:space="preserve">; </w:t>
      </w:r>
      <w:r w:rsidR="00CC73FF">
        <w:rPr>
          <w:rFonts w:ascii="Gadugi" w:hAnsi="Gadugi" w:cs="Century Gothic"/>
          <w:sz w:val="24"/>
          <w:szCs w:val="24"/>
        </w:rPr>
        <w:t>(iv) la</w:t>
      </w:r>
      <w:r w:rsidR="00B16CE9">
        <w:rPr>
          <w:rFonts w:ascii="Gadugi" w:hAnsi="Gadugi" w:cs="Century Gothic"/>
          <w:sz w:val="24"/>
          <w:szCs w:val="24"/>
        </w:rPr>
        <w:t xml:space="preserve"> requirió para que presentara el juramento estimatorio; (v) ordenó </w:t>
      </w:r>
      <w:r w:rsidR="005E378D">
        <w:rPr>
          <w:rFonts w:ascii="Gadugi" w:hAnsi="Gadugi" w:cs="Century Gothic"/>
          <w:sz w:val="24"/>
          <w:szCs w:val="24"/>
        </w:rPr>
        <w:t>comunicar una información solicitada por el Juzgado Primero de Familia de Manizales</w:t>
      </w:r>
      <w:r w:rsidR="00C10435">
        <w:rPr>
          <w:rFonts w:ascii="Gadugi" w:hAnsi="Gadugi" w:cs="Century Gothic"/>
          <w:sz w:val="24"/>
          <w:szCs w:val="24"/>
        </w:rPr>
        <w:t>, Caldas</w:t>
      </w:r>
      <w:r w:rsidR="005E378D">
        <w:rPr>
          <w:rFonts w:ascii="Gadugi" w:hAnsi="Gadugi" w:cs="Century Gothic"/>
          <w:sz w:val="24"/>
          <w:szCs w:val="24"/>
        </w:rPr>
        <w:t xml:space="preserve">; (vi) tuvo como sucesor procesal </w:t>
      </w:r>
      <w:r w:rsidR="003D119F">
        <w:rPr>
          <w:rFonts w:ascii="Gadugi" w:hAnsi="Gadugi" w:cs="Century Gothic"/>
          <w:sz w:val="24"/>
          <w:szCs w:val="24"/>
        </w:rPr>
        <w:t xml:space="preserve">de la parte demandante en reconvención </w:t>
      </w:r>
      <w:r w:rsidR="005E378D">
        <w:rPr>
          <w:rFonts w:ascii="Gadugi" w:hAnsi="Gadugi" w:cs="Century Gothic"/>
          <w:sz w:val="24"/>
          <w:szCs w:val="24"/>
        </w:rPr>
        <w:t>al abogado Augusto Arango Cardona</w:t>
      </w:r>
      <w:r w:rsidR="004623A9">
        <w:rPr>
          <w:rFonts w:ascii="Gadugi" w:hAnsi="Gadugi" w:cs="Century Gothic"/>
          <w:sz w:val="24"/>
          <w:szCs w:val="24"/>
          <w:lang w:val="es-419"/>
        </w:rPr>
        <w:t>;</w:t>
      </w:r>
      <w:r w:rsidR="005E378D">
        <w:rPr>
          <w:rFonts w:ascii="Gadugi" w:hAnsi="Gadugi" w:cs="Century Gothic"/>
          <w:sz w:val="24"/>
          <w:szCs w:val="24"/>
        </w:rPr>
        <w:t xml:space="preserve"> y (vii) suspendió la audiencia de que trata el artículo 101 del CPC que fuera señalada para el</w:t>
      </w:r>
      <w:r w:rsidR="003D119F">
        <w:rPr>
          <w:rFonts w:ascii="Gadugi" w:hAnsi="Gadugi" w:cs="Century Gothic"/>
          <w:sz w:val="24"/>
          <w:szCs w:val="24"/>
        </w:rPr>
        <w:t xml:space="preserve"> 14 de diciembre del mismo año.</w:t>
      </w:r>
    </w:p>
    <w:p w:rsidR="003D119F" w:rsidRDefault="003D119F" w:rsidP="004D6C45">
      <w:pPr>
        <w:spacing w:line="26" w:lineRule="atLeast"/>
        <w:ind w:firstLine="2835"/>
        <w:jc w:val="both"/>
        <w:rPr>
          <w:rFonts w:ascii="Gadugi" w:hAnsi="Gadugi" w:cs="Century Gothic"/>
          <w:sz w:val="24"/>
          <w:szCs w:val="24"/>
        </w:rPr>
      </w:pPr>
    </w:p>
    <w:p w:rsidR="003D119F" w:rsidRPr="004F5632" w:rsidRDefault="0068238E" w:rsidP="004D6C45">
      <w:pPr>
        <w:spacing w:line="26" w:lineRule="atLeast"/>
        <w:ind w:firstLine="2835"/>
        <w:jc w:val="both"/>
        <w:rPr>
          <w:rFonts w:ascii="Gadugi" w:hAnsi="Gadugi" w:cs="Century Gothic"/>
          <w:sz w:val="24"/>
          <w:szCs w:val="24"/>
          <w:lang w:val="es-419"/>
        </w:rPr>
      </w:pPr>
      <w:r>
        <w:rPr>
          <w:rFonts w:ascii="Gadugi" w:hAnsi="Gadugi" w:cs="Century Gothic"/>
          <w:sz w:val="24"/>
          <w:szCs w:val="24"/>
        </w:rPr>
        <w:t>Frente ese auto, presentó recurso de reposición</w:t>
      </w:r>
      <w:r w:rsidR="007E50A4">
        <w:rPr>
          <w:rFonts w:ascii="Gadugi" w:hAnsi="Gadugi" w:cs="Century Gothic"/>
          <w:sz w:val="24"/>
          <w:szCs w:val="24"/>
        </w:rPr>
        <w:t xml:space="preserve"> </w:t>
      </w:r>
      <w:r>
        <w:rPr>
          <w:rFonts w:ascii="Gadugi" w:hAnsi="Gadugi" w:cs="Century Gothic"/>
          <w:sz w:val="24"/>
          <w:szCs w:val="24"/>
        </w:rPr>
        <w:t>en subsidio apelación</w:t>
      </w:r>
      <w:r w:rsidR="004623A9">
        <w:rPr>
          <w:rFonts w:ascii="Gadugi" w:hAnsi="Gadugi" w:cs="Century Gothic"/>
          <w:sz w:val="24"/>
          <w:szCs w:val="24"/>
          <w:lang w:val="es-419"/>
        </w:rPr>
        <w:t xml:space="preserve">; aquel fue </w:t>
      </w:r>
      <w:r>
        <w:rPr>
          <w:rFonts w:ascii="Gadugi" w:hAnsi="Gadugi" w:cs="Century Gothic"/>
          <w:sz w:val="24"/>
          <w:szCs w:val="24"/>
        </w:rPr>
        <w:t>resuelto desfavorablemente</w:t>
      </w:r>
      <w:r w:rsidR="004623A9">
        <w:rPr>
          <w:rFonts w:ascii="Gadugi" w:hAnsi="Gadugi" w:cs="Century Gothic"/>
          <w:sz w:val="24"/>
          <w:szCs w:val="24"/>
          <w:lang w:val="es-419"/>
        </w:rPr>
        <w:t xml:space="preserve"> y se negó la concesión de la </w:t>
      </w:r>
      <w:r>
        <w:rPr>
          <w:rFonts w:ascii="Gadugi" w:hAnsi="Gadugi" w:cs="Century Gothic"/>
          <w:sz w:val="24"/>
          <w:szCs w:val="24"/>
        </w:rPr>
        <w:t>alzada</w:t>
      </w:r>
      <w:r w:rsidR="00AD5826">
        <w:rPr>
          <w:rFonts w:ascii="Gadugi" w:hAnsi="Gadugi" w:cs="Century Gothic"/>
          <w:sz w:val="24"/>
          <w:szCs w:val="24"/>
          <w:lang w:val="es-419"/>
        </w:rPr>
        <w:t>;</w:t>
      </w:r>
      <w:r>
        <w:rPr>
          <w:rFonts w:ascii="Gadugi" w:hAnsi="Gadugi" w:cs="Century Gothic"/>
          <w:sz w:val="24"/>
          <w:szCs w:val="24"/>
        </w:rPr>
        <w:t xml:space="preserve"> </w:t>
      </w:r>
      <w:r w:rsidR="00AD5826">
        <w:rPr>
          <w:rFonts w:ascii="Gadugi" w:hAnsi="Gadugi" w:cs="Century Gothic"/>
          <w:sz w:val="24"/>
          <w:szCs w:val="24"/>
          <w:lang w:val="es-419"/>
        </w:rPr>
        <w:t xml:space="preserve">contra </w:t>
      </w:r>
      <w:r>
        <w:rPr>
          <w:rFonts w:ascii="Gadugi" w:hAnsi="Gadugi" w:cs="Century Gothic"/>
          <w:sz w:val="24"/>
          <w:szCs w:val="24"/>
        </w:rPr>
        <w:t xml:space="preserve"> este último </w:t>
      </w:r>
      <w:r w:rsidR="00AD5826">
        <w:rPr>
          <w:rFonts w:ascii="Gadugi" w:hAnsi="Gadugi" w:cs="Century Gothic"/>
          <w:sz w:val="24"/>
          <w:szCs w:val="24"/>
          <w:lang w:val="es-419"/>
        </w:rPr>
        <w:t xml:space="preserve">proveído </w:t>
      </w:r>
      <w:r>
        <w:rPr>
          <w:rFonts w:ascii="Gadugi" w:hAnsi="Gadugi" w:cs="Century Gothic"/>
          <w:sz w:val="24"/>
          <w:szCs w:val="24"/>
        </w:rPr>
        <w:t>pr</w:t>
      </w:r>
      <w:r w:rsidR="004F5632">
        <w:rPr>
          <w:rFonts w:ascii="Gadugi" w:hAnsi="Gadugi" w:cs="Century Gothic"/>
          <w:sz w:val="24"/>
          <w:szCs w:val="24"/>
          <w:lang w:val="es-419"/>
        </w:rPr>
        <w:t>opuso</w:t>
      </w:r>
      <w:r>
        <w:rPr>
          <w:rFonts w:ascii="Gadugi" w:hAnsi="Gadugi" w:cs="Century Gothic"/>
          <w:sz w:val="24"/>
          <w:szCs w:val="24"/>
        </w:rPr>
        <w:t xml:space="preserve"> reposición y en subsidio queja</w:t>
      </w:r>
      <w:r w:rsidR="004F5632">
        <w:rPr>
          <w:rFonts w:ascii="Gadugi" w:hAnsi="Gadugi" w:cs="Century Gothic"/>
          <w:sz w:val="24"/>
          <w:szCs w:val="24"/>
          <w:lang w:val="es-419"/>
        </w:rPr>
        <w:t>,</w:t>
      </w:r>
      <w:r w:rsidR="007E50A4">
        <w:rPr>
          <w:rFonts w:ascii="Gadugi" w:hAnsi="Gadugi" w:cs="Century Gothic"/>
          <w:sz w:val="24"/>
          <w:szCs w:val="24"/>
        </w:rPr>
        <w:t xml:space="preserve"> </w:t>
      </w:r>
      <w:r>
        <w:rPr>
          <w:rFonts w:ascii="Gadugi" w:hAnsi="Gadugi" w:cs="Century Gothic"/>
          <w:sz w:val="24"/>
          <w:szCs w:val="24"/>
        </w:rPr>
        <w:t>la que</w:t>
      </w:r>
      <w:r w:rsidR="004F5632">
        <w:rPr>
          <w:rFonts w:ascii="Gadugi" w:hAnsi="Gadugi" w:cs="Century Gothic"/>
          <w:sz w:val="24"/>
          <w:szCs w:val="24"/>
          <w:lang w:val="es-419"/>
        </w:rPr>
        <w:t>,</w:t>
      </w:r>
      <w:r>
        <w:rPr>
          <w:rFonts w:ascii="Gadugi" w:hAnsi="Gadugi" w:cs="Century Gothic"/>
          <w:sz w:val="24"/>
          <w:szCs w:val="24"/>
        </w:rPr>
        <w:t xml:space="preserve"> finalmente</w:t>
      </w:r>
      <w:r w:rsidR="004F5632">
        <w:rPr>
          <w:rFonts w:ascii="Gadugi" w:hAnsi="Gadugi" w:cs="Century Gothic"/>
          <w:sz w:val="24"/>
          <w:szCs w:val="24"/>
          <w:lang w:val="es-419"/>
        </w:rPr>
        <w:t>,</w:t>
      </w:r>
      <w:r>
        <w:rPr>
          <w:rFonts w:ascii="Gadugi" w:hAnsi="Gadugi" w:cs="Century Gothic"/>
          <w:sz w:val="24"/>
          <w:szCs w:val="24"/>
        </w:rPr>
        <w:t xml:space="preserve"> fue resuelta por esta </w:t>
      </w:r>
      <w:r w:rsidR="004F5632">
        <w:rPr>
          <w:rFonts w:ascii="Gadugi" w:hAnsi="Gadugi" w:cs="Century Gothic"/>
          <w:sz w:val="24"/>
          <w:szCs w:val="24"/>
          <w:lang w:val="es-419"/>
        </w:rPr>
        <w:t>S</w:t>
      </w:r>
      <w:r w:rsidR="007C6C8F">
        <w:rPr>
          <w:rFonts w:ascii="Gadugi" w:hAnsi="Gadugi" w:cs="Century Gothic"/>
          <w:sz w:val="24"/>
          <w:szCs w:val="24"/>
        </w:rPr>
        <w:t xml:space="preserve">ala </w:t>
      </w:r>
      <w:r>
        <w:rPr>
          <w:rFonts w:ascii="Gadugi" w:hAnsi="Gadugi" w:cs="Century Gothic"/>
          <w:sz w:val="24"/>
          <w:szCs w:val="24"/>
        </w:rPr>
        <w:t xml:space="preserve">mediante </w:t>
      </w:r>
      <w:r w:rsidR="00C10435">
        <w:rPr>
          <w:rFonts w:ascii="Gadugi" w:hAnsi="Gadugi" w:cs="Century Gothic"/>
          <w:sz w:val="24"/>
          <w:szCs w:val="24"/>
        </w:rPr>
        <w:t xml:space="preserve">auto </w:t>
      </w:r>
      <w:r>
        <w:rPr>
          <w:rFonts w:ascii="Gadugi" w:hAnsi="Gadugi" w:cs="Century Gothic"/>
          <w:sz w:val="24"/>
          <w:szCs w:val="24"/>
        </w:rPr>
        <w:t xml:space="preserve">del </w:t>
      </w:r>
      <w:r w:rsidR="00575600">
        <w:rPr>
          <w:rFonts w:ascii="Gadugi" w:hAnsi="Gadugi" w:cs="Century Gothic"/>
          <w:sz w:val="24"/>
          <w:szCs w:val="24"/>
        </w:rPr>
        <w:t>30 de octubre de 2017</w:t>
      </w:r>
      <w:r w:rsidR="00AD5826">
        <w:rPr>
          <w:rFonts w:ascii="Gadugi" w:hAnsi="Gadugi" w:cs="Century Gothic"/>
          <w:sz w:val="24"/>
          <w:szCs w:val="24"/>
          <w:lang w:val="es-419"/>
        </w:rPr>
        <w:t>,</w:t>
      </w:r>
      <w:r w:rsidR="00575600">
        <w:rPr>
          <w:rFonts w:ascii="Gadugi" w:hAnsi="Gadugi" w:cs="Century Gothic"/>
          <w:sz w:val="24"/>
          <w:szCs w:val="24"/>
        </w:rPr>
        <w:t xml:space="preserve"> </w:t>
      </w:r>
      <w:r>
        <w:rPr>
          <w:rFonts w:ascii="Gadugi" w:hAnsi="Gadugi" w:cs="Century Gothic"/>
          <w:sz w:val="24"/>
          <w:szCs w:val="24"/>
        </w:rPr>
        <w:t>en el que se estimó bien denegada la apelación</w:t>
      </w:r>
      <w:r w:rsidR="004F5632">
        <w:rPr>
          <w:rFonts w:ascii="Gadugi" w:hAnsi="Gadugi" w:cs="Century Gothic"/>
          <w:sz w:val="24"/>
          <w:szCs w:val="24"/>
          <w:lang w:val="es-419"/>
        </w:rPr>
        <w:t>.</w:t>
      </w:r>
    </w:p>
    <w:p w:rsidR="0068238E" w:rsidRDefault="0068238E" w:rsidP="004D6C45">
      <w:pPr>
        <w:pStyle w:val="Textoindependiente21"/>
        <w:spacing w:line="26" w:lineRule="atLeast"/>
        <w:rPr>
          <w:rFonts w:ascii="Gadugi" w:hAnsi="Gadugi" w:cs="Century Gothic"/>
          <w:szCs w:val="24"/>
          <w:lang w:val="es-CO"/>
        </w:rPr>
      </w:pPr>
    </w:p>
    <w:p w:rsidR="004F5632" w:rsidRDefault="004F5632" w:rsidP="004D6C45">
      <w:pPr>
        <w:pStyle w:val="Textoindependiente21"/>
        <w:spacing w:line="26" w:lineRule="atLeast"/>
        <w:rPr>
          <w:rFonts w:ascii="Gadugi" w:hAnsi="Gadugi" w:cs="Century Gothic"/>
          <w:szCs w:val="24"/>
          <w:lang w:val="es-419"/>
        </w:rPr>
      </w:pPr>
      <w:r>
        <w:rPr>
          <w:rFonts w:ascii="Gadugi" w:hAnsi="Gadugi" w:cs="Century Gothic"/>
          <w:szCs w:val="24"/>
          <w:lang w:val="es-419"/>
        </w:rPr>
        <w:t xml:space="preserve">Se dio trámite a la acción y se dispuso vincular a </w:t>
      </w:r>
      <w:r w:rsidR="002363D0">
        <w:rPr>
          <w:rFonts w:ascii="Gadugi" w:hAnsi="Gadugi" w:cs="Century Gothic"/>
          <w:szCs w:val="24"/>
          <w:lang w:val="es-419"/>
        </w:rPr>
        <w:t>Robinson Trujillo Loaiza, Hernando de Jesús Arango Cardona, a quienes se creyeran con derecho sobre el inmueble de matrícula 294-8114. También a los herederos de Hernando de Jesús Arango Cardona y a Augusto Arango Cardona (f. 24)</w:t>
      </w:r>
    </w:p>
    <w:p w:rsidR="004F5632" w:rsidRDefault="004F5632" w:rsidP="004D6C45">
      <w:pPr>
        <w:pStyle w:val="Textoindependiente21"/>
        <w:spacing w:line="26" w:lineRule="atLeast"/>
        <w:rPr>
          <w:rFonts w:ascii="Gadugi" w:hAnsi="Gadugi" w:cs="Century Gothic"/>
          <w:szCs w:val="24"/>
          <w:lang w:val="es-419"/>
        </w:rPr>
      </w:pPr>
    </w:p>
    <w:p w:rsidR="009E6801" w:rsidRDefault="00370BE7" w:rsidP="004D6C45">
      <w:pPr>
        <w:pStyle w:val="Textoindependiente21"/>
        <w:spacing w:line="26" w:lineRule="atLeast"/>
        <w:rPr>
          <w:rFonts w:ascii="Gadugi" w:hAnsi="Gadugi" w:cs="Century Gothic"/>
          <w:szCs w:val="24"/>
        </w:rPr>
      </w:pPr>
      <w:r w:rsidRPr="004D6C45">
        <w:rPr>
          <w:rFonts w:ascii="Gadugi" w:hAnsi="Gadugi" w:cs="Century Gothic"/>
          <w:szCs w:val="24"/>
          <w:lang w:val="es-CO"/>
        </w:rPr>
        <w:t xml:space="preserve">El </w:t>
      </w:r>
      <w:r w:rsidR="00064930" w:rsidRPr="004D6C45">
        <w:rPr>
          <w:rFonts w:ascii="Gadugi" w:hAnsi="Gadugi" w:cs="Century Gothic"/>
          <w:szCs w:val="24"/>
          <w:lang w:val="es-CO"/>
        </w:rPr>
        <w:t>funcionario judicial</w:t>
      </w:r>
      <w:r w:rsidR="006C6907" w:rsidRPr="004D6C45">
        <w:rPr>
          <w:rFonts w:ascii="Gadugi" w:hAnsi="Gadugi" w:cs="Century Gothic"/>
          <w:szCs w:val="24"/>
          <w:lang w:val="es-CO"/>
        </w:rPr>
        <w:t xml:space="preserve"> </w:t>
      </w:r>
      <w:r w:rsidR="002A4C03" w:rsidRPr="004D6C45">
        <w:rPr>
          <w:rFonts w:ascii="Gadugi" w:hAnsi="Gadugi" w:cs="Century Gothic"/>
          <w:szCs w:val="24"/>
          <w:lang w:val="es-CO"/>
        </w:rPr>
        <w:t>inform</w:t>
      </w:r>
      <w:r w:rsidR="006C6907" w:rsidRPr="004D6C45">
        <w:rPr>
          <w:rFonts w:ascii="Gadugi" w:hAnsi="Gadugi" w:cs="Century Gothic"/>
          <w:szCs w:val="24"/>
          <w:lang w:val="es-CO"/>
        </w:rPr>
        <w:t>ó</w:t>
      </w:r>
      <w:r w:rsidR="00064930" w:rsidRPr="004D6C45">
        <w:rPr>
          <w:rFonts w:ascii="Gadugi" w:hAnsi="Gadugi" w:cs="Century Gothic"/>
          <w:szCs w:val="24"/>
          <w:lang w:val="es-CO"/>
        </w:rPr>
        <w:t xml:space="preserve"> sobre la fecha en la que asumió </w:t>
      </w:r>
      <w:r w:rsidR="00270620">
        <w:rPr>
          <w:rFonts w:ascii="Gadugi" w:hAnsi="Gadugi" w:cs="Century Gothic"/>
          <w:szCs w:val="24"/>
        </w:rPr>
        <w:t xml:space="preserve">ese cargo; </w:t>
      </w:r>
      <w:r w:rsidR="009E6801">
        <w:rPr>
          <w:rFonts w:ascii="Gadugi" w:hAnsi="Gadugi" w:cs="Century Gothic"/>
          <w:szCs w:val="24"/>
        </w:rPr>
        <w:t xml:space="preserve">dio </w:t>
      </w:r>
      <w:r w:rsidR="00674E66">
        <w:rPr>
          <w:rFonts w:ascii="Gadugi" w:hAnsi="Gadugi" w:cs="Century Gothic"/>
          <w:szCs w:val="24"/>
        </w:rPr>
        <w:t xml:space="preserve">cuenta de que cada una de las etapas </w:t>
      </w:r>
      <w:r w:rsidR="00673727">
        <w:rPr>
          <w:rFonts w:ascii="Gadugi" w:hAnsi="Gadugi" w:cs="Century Gothic"/>
          <w:szCs w:val="24"/>
        </w:rPr>
        <w:t>procesales</w:t>
      </w:r>
      <w:r w:rsidR="00674E66">
        <w:rPr>
          <w:rFonts w:ascii="Gadugi" w:hAnsi="Gadugi" w:cs="Century Gothic"/>
          <w:szCs w:val="24"/>
        </w:rPr>
        <w:t xml:space="preserve"> está precedida </w:t>
      </w:r>
      <w:r w:rsidR="00AD5826">
        <w:rPr>
          <w:rFonts w:ascii="Gadugi" w:hAnsi="Gadugi" w:cs="Century Gothic"/>
          <w:szCs w:val="24"/>
          <w:lang w:val="es-419"/>
        </w:rPr>
        <w:t xml:space="preserve">de </w:t>
      </w:r>
      <w:r w:rsidR="00674E66">
        <w:rPr>
          <w:rFonts w:ascii="Gadugi" w:hAnsi="Gadugi" w:cs="Century Gothic"/>
          <w:szCs w:val="24"/>
        </w:rPr>
        <w:t>una decisión argumentada</w:t>
      </w:r>
      <w:r w:rsidR="009C3AB6">
        <w:rPr>
          <w:rFonts w:ascii="Gadugi" w:hAnsi="Gadugi" w:cs="Century Gothic"/>
          <w:szCs w:val="24"/>
        </w:rPr>
        <w:t>,</w:t>
      </w:r>
      <w:r w:rsidR="00674E66">
        <w:rPr>
          <w:rFonts w:ascii="Gadugi" w:hAnsi="Gadugi" w:cs="Century Gothic"/>
          <w:szCs w:val="24"/>
        </w:rPr>
        <w:t xml:space="preserve"> </w:t>
      </w:r>
      <w:r w:rsidR="00AD5826">
        <w:rPr>
          <w:rFonts w:ascii="Gadugi" w:hAnsi="Gadugi" w:cs="Century Gothic"/>
          <w:szCs w:val="24"/>
          <w:lang w:val="es-419"/>
        </w:rPr>
        <w:t xml:space="preserve">se han </w:t>
      </w:r>
      <w:r w:rsidR="00674E66">
        <w:rPr>
          <w:rFonts w:ascii="Gadugi" w:hAnsi="Gadugi" w:cs="Century Gothic"/>
          <w:szCs w:val="24"/>
        </w:rPr>
        <w:t xml:space="preserve">resuelto las oposiciones propuestas, </w:t>
      </w:r>
      <w:r w:rsidR="00AD5826">
        <w:rPr>
          <w:rFonts w:ascii="Gadugi" w:hAnsi="Gadugi" w:cs="Century Gothic"/>
          <w:szCs w:val="24"/>
          <w:lang w:val="es-419"/>
        </w:rPr>
        <w:t xml:space="preserve">y existe una </w:t>
      </w:r>
      <w:r w:rsidR="00674E66">
        <w:rPr>
          <w:rFonts w:ascii="Gadugi" w:hAnsi="Gadugi" w:cs="Century Gothic"/>
          <w:szCs w:val="24"/>
        </w:rPr>
        <w:t xml:space="preserve">decisión de esta </w:t>
      </w:r>
      <w:r w:rsidR="00AD5826">
        <w:rPr>
          <w:rFonts w:ascii="Gadugi" w:hAnsi="Gadugi" w:cs="Century Gothic"/>
          <w:szCs w:val="24"/>
          <w:lang w:val="es-419"/>
        </w:rPr>
        <w:t>S</w:t>
      </w:r>
      <w:r w:rsidR="00674E66">
        <w:rPr>
          <w:rFonts w:ascii="Gadugi" w:hAnsi="Gadugi" w:cs="Century Gothic"/>
          <w:szCs w:val="24"/>
        </w:rPr>
        <w:t>ala</w:t>
      </w:r>
      <w:r w:rsidR="009C3AB6">
        <w:rPr>
          <w:rStyle w:val="Appelnotedebasdep"/>
          <w:rFonts w:ascii="Gadugi" w:hAnsi="Gadugi"/>
          <w:szCs w:val="24"/>
        </w:rPr>
        <w:footnoteReference w:id="2"/>
      </w:r>
      <w:r w:rsidR="00674E66">
        <w:rPr>
          <w:rFonts w:ascii="Gadugi" w:hAnsi="Gadugi" w:cs="Century Gothic"/>
          <w:szCs w:val="24"/>
        </w:rPr>
        <w:t xml:space="preserve"> que dejó en firme las decisiones </w:t>
      </w:r>
      <w:r w:rsidR="00AD5826">
        <w:rPr>
          <w:rFonts w:ascii="Gadugi" w:hAnsi="Gadugi" w:cs="Century Gothic"/>
          <w:szCs w:val="24"/>
          <w:lang w:val="es-419"/>
        </w:rPr>
        <w:t xml:space="preserve">adoptadas; así que </w:t>
      </w:r>
      <w:r w:rsidR="00674E66">
        <w:rPr>
          <w:rFonts w:ascii="Gadugi" w:hAnsi="Gadugi" w:cs="Century Gothic"/>
          <w:szCs w:val="24"/>
        </w:rPr>
        <w:t xml:space="preserve">es dable pensar que se ha </w:t>
      </w:r>
      <w:r w:rsidR="00AD5826">
        <w:rPr>
          <w:rFonts w:ascii="Gadugi" w:hAnsi="Gadugi" w:cs="Century Gothic"/>
          <w:szCs w:val="24"/>
          <w:lang w:val="es-419"/>
        </w:rPr>
        <w:t xml:space="preserve">respetado </w:t>
      </w:r>
      <w:r w:rsidR="00674E66">
        <w:rPr>
          <w:rFonts w:ascii="Gadugi" w:hAnsi="Gadugi" w:cs="Century Gothic"/>
          <w:szCs w:val="24"/>
        </w:rPr>
        <w:t>el debido proceso</w:t>
      </w:r>
      <w:r w:rsidR="009C3AB6">
        <w:rPr>
          <w:rFonts w:ascii="Gadugi" w:hAnsi="Gadugi" w:cs="Century Gothic"/>
          <w:szCs w:val="24"/>
        </w:rPr>
        <w:t xml:space="preserve"> (f. 36)</w:t>
      </w:r>
      <w:r w:rsidR="00AD5826">
        <w:rPr>
          <w:rFonts w:ascii="Gadugi" w:hAnsi="Gadugi" w:cs="Century Gothic"/>
          <w:szCs w:val="24"/>
          <w:lang w:val="es-419"/>
        </w:rPr>
        <w:t>. A</w:t>
      </w:r>
      <w:r w:rsidR="009C3AB6">
        <w:rPr>
          <w:rFonts w:ascii="Gadugi" w:hAnsi="Gadugi" w:cs="Century Gothic"/>
          <w:szCs w:val="24"/>
        </w:rPr>
        <w:t>dicionalmente</w:t>
      </w:r>
      <w:r w:rsidR="00AD5826">
        <w:rPr>
          <w:rFonts w:ascii="Gadugi" w:hAnsi="Gadugi" w:cs="Century Gothic"/>
          <w:szCs w:val="24"/>
          <w:lang w:val="es-419"/>
        </w:rPr>
        <w:t>,</w:t>
      </w:r>
      <w:r w:rsidR="009C3AB6">
        <w:rPr>
          <w:rFonts w:ascii="Gadugi" w:hAnsi="Gadugi" w:cs="Century Gothic"/>
          <w:szCs w:val="24"/>
        </w:rPr>
        <w:t xml:space="preserve"> arrim</w:t>
      </w:r>
      <w:r w:rsidR="00AD5826">
        <w:rPr>
          <w:rFonts w:ascii="Gadugi" w:hAnsi="Gadugi" w:cs="Century Gothic"/>
          <w:szCs w:val="24"/>
          <w:lang w:val="es-419"/>
        </w:rPr>
        <w:t>ó</w:t>
      </w:r>
      <w:r w:rsidR="009C3AB6">
        <w:rPr>
          <w:rFonts w:ascii="Gadugi" w:hAnsi="Gadugi" w:cs="Century Gothic"/>
          <w:szCs w:val="24"/>
        </w:rPr>
        <w:t xml:space="preserve"> el expediente original </w:t>
      </w:r>
      <w:r w:rsidR="007E50A4">
        <w:rPr>
          <w:rFonts w:ascii="Gadugi" w:hAnsi="Gadugi" w:cs="Century Gothic"/>
          <w:szCs w:val="24"/>
        </w:rPr>
        <w:t>(f. 46)</w:t>
      </w:r>
      <w:r w:rsidR="009C3AB6">
        <w:rPr>
          <w:rFonts w:ascii="Gadugi" w:hAnsi="Gadugi" w:cs="Century Gothic"/>
          <w:szCs w:val="24"/>
        </w:rPr>
        <w:t>.</w:t>
      </w:r>
    </w:p>
    <w:p w:rsidR="009E6801" w:rsidRDefault="009E6801" w:rsidP="004D6C45">
      <w:pPr>
        <w:pStyle w:val="Textoindependiente21"/>
        <w:spacing w:line="26" w:lineRule="atLeast"/>
        <w:rPr>
          <w:rFonts w:ascii="Gadugi" w:hAnsi="Gadugi" w:cs="Century Gothic"/>
          <w:szCs w:val="24"/>
        </w:rPr>
      </w:pPr>
    </w:p>
    <w:p w:rsidR="00064930" w:rsidRPr="004D6C45" w:rsidRDefault="009C3AB6" w:rsidP="004D6C45">
      <w:pPr>
        <w:pStyle w:val="Textoindependiente21"/>
        <w:spacing w:line="26" w:lineRule="atLeast"/>
        <w:rPr>
          <w:rFonts w:ascii="Gadugi" w:hAnsi="Gadugi" w:cs="Century Gothic"/>
          <w:szCs w:val="24"/>
        </w:rPr>
      </w:pPr>
      <w:r>
        <w:rPr>
          <w:rFonts w:ascii="Gadugi" w:hAnsi="Gadugi" w:cs="Century Gothic"/>
          <w:szCs w:val="24"/>
        </w:rPr>
        <w:t>Augusto Cardona Arango</w:t>
      </w:r>
      <w:r w:rsidR="00064930" w:rsidRPr="004D6C45">
        <w:rPr>
          <w:rFonts w:ascii="Gadugi" w:hAnsi="Gadugi" w:cs="Century Gothic"/>
          <w:szCs w:val="24"/>
        </w:rPr>
        <w:t xml:space="preserve">, se pronunció sobre los hechos de la demanda y se opuso a la prosperidad de las pretensiones </w:t>
      </w:r>
      <w:r w:rsidR="00AD5826">
        <w:rPr>
          <w:rFonts w:ascii="Gadugi" w:hAnsi="Gadugi" w:cs="Century Gothic"/>
          <w:szCs w:val="24"/>
          <w:lang w:val="es-419"/>
        </w:rPr>
        <w:t xml:space="preserve">que </w:t>
      </w:r>
      <w:r w:rsidR="00DD2C81">
        <w:rPr>
          <w:rFonts w:ascii="Gadugi" w:hAnsi="Gadugi" w:cs="Century Gothic"/>
          <w:szCs w:val="24"/>
        </w:rPr>
        <w:t>consider</w:t>
      </w:r>
      <w:r w:rsidR="00AD5826">
        <w:rPr>
          <w:rFonts w:ascii="Gadugi" w:hAnsi="Gadugi" w:cs="Century Gothic"/>
          <w:szCs w:val="24"/>
          <w:lang w:val="es-419"/>
        </w:rPr>
        <w:t>ó</w:t>
      </w:r>
      <w:r w:rsidR="00E62978">
        <w:rPr>
          <w:rFonts w:ascii="Gadugi" w:hAnsi="Gadugi" w:cs="Century Gothic"/>
          <w:szCs w:val="24"/>
        </w:rPr>
        <w:t xml:space="preserve"> </w:t>
      </w:r>
      <w:r w:rsidR="00871F43">
        <w:rPr>
          <w:rFonts w:ascii="Gadugi" w:hAnsi="Gadugi" w:cs="Century Gothic"/>
          <w:szCs w:val="24"/>
        </w:rPr>
        <w:t>improcedente</w:t>
      </w:r>
      <w:r w:rsidR="00AD5826">
        <w:rPr>
          <w:rFonts w:ascii="Gadugi" w:hAnsi="Gadugi" w:cs="Century Gothic"/>
          <w:szCs w:val="24"/>
          <w:lang w:val="es-419"/>
        </w:rPr>
        <w:t>s</w:t>
      </w:r>
      <w:r w:rsidR="00E62978">
        <w:rPr>
          <w:rFonts w:ascii="Gadugi" w:hAnsi="Gadugi" w:cs="Century Gothic"/>
          <w:szCs w:val="24"/>
        </w:rPr>
        <w:t>,</w:t>
      </w:r>
      <w:r w:rsidR="00DD2C81">
        <w:rPr>
          <w:rFonts w:ascii="Gadugi" w:hAnsi="Gadugi" w:cs="Century Gothic"/>
          <w:szCs w:val="24"/>
        </w:rPr>
        <w:t xml:space="preserve"> </w:t>
      </w:r>
      <w:r w:rsidR="00AD5826">
        <w:rPr>
          <w:rFonts w:ascii="Gadugi" w:hAnsi="Gadugi" w:cs="Century Gothic"/>
          <w:szCs w:val="24"/>
          <w:lang w:val="es-419"/>
        </w:rPr>
        <w:t xml:space="preserve">por cuanto </w:t>
      </w:r>
      <w:r w:rsidR="00DD2C81">
        <w:rPr>
          <w:rFonts w:ascii="Gadugi" w:hAnsi="Gadugi" w:cs="Century Gothic"/>
          <w:szCs w:val="24"/>
        </w:rPr>
        <w:t>el asunto al que se refiere</w:t>
      </w:r>
      <w:r w:rsidR="00AD5826">
        <w:rPr>
          <w:rFonts w:ascii="Gadugi" w:hAnsi="Gadugi" w:cs="Century Gothic"/>
          <w:szCs w:val="24"/>
          <w:lang w:val="es-419"/>
        </w:rPr>
        <w:t>n</w:t>
      </w:r>
      <w:r w:rsidR="00DD2C81">
        <w:rPr>
          <w:rFonts w:ascii="Gadugi" w:hAnsi="Gadugi" w:cs="Century Gothic"/>
          <w:szCs w:val="24"/>
        </w:rPr>
        <w:t xml:space="preserve"> se está adelantando con los </w:t>
      </w:r>
      <w:r w:rsidR="00AD5826">
        <w:rPr>
          <w:rFonts w:ascii="Gadugi" w:hAnsi="Gadugi" w:cs="Century Gothic"/>
          <w:szCs w:val="24"/>
          <w:lang w:val="es-419"/>
        </w:rPr>
        <w:t xml:space="preserve">ritos procesales pertinentes; además, </w:t>
      </w:r>
      <w:r w:rsidR="00871F43">
        <w:rPr>
          <w:rFonts w:ascii="Gadugi" w:hAnsi="Gadugi" w:cs="Century Gothic"/>
          <w:szCs w:val="24"/>
        </w:rPr>
        <w:t>las</w:t>
      </w:r>
      <w:r w:rsidR="00DD2C81">
        <w:rPr>
          <w:rFonts w:ascii="Gadugi" w:hAnsi="Gadugi" w:cs="Century Gothic"/>
          <w:szCs w:val="24"/>
        </w:rPr>
        <w:t xml:space="preserve"> oposiciones</w:t>
      </w:r>
      <w:r w:rsidR="00871F43">
        <w:rPr>
          <w:rFonts w:ascii="Gadugi" w:hAnsi="Gadugi" w:cs="Century Gothic"/>
          <w:szCs w:val="24"/>
        </w:rPr>
        <w:t xml:space="preserve"> a los proveídos</w:t>
      </w:r>
      <w:r w:rsidR="00DD2C81">
        <w:rPr>
          <w:rFonts w:ascii="Gadugi" w:hAnsi="Gadugi" w:cs="Century Gothic"/>
          <w:szCs w:val="24"/>
        </w:rPr>
        <w:t xml:space="preserve"> han sido resueltas</w:t>
      </w:r>
      <w:r w:rsidR="008C262A">
        <w:rPr>
          <w:rFonts w:ascii="Gadugi" w:hAnsi="Gadugi" w:cs="Century Gothic"/>
          <w:szCs w:val="24"/>
        </w:rPr>
        <w:t xml:space="preserve"> y </w:t>
      </w:r>
      <w:r w:rsidR="00AD5826">
        <w:rPr>
          <w:rFonts w:ascii="Gadugi" w:hAnsi="Gadugi" w:cs="Century Gothic"/>
          <w:szCs w:val="24"/>
          <w:lang w:val="es-419"/>
        </w:rPr>
        <w:t xml:space="preserve">el accionante </w:t>
      </w:r>
      <w:r w:rsidR="00E62978">
        <w:rPr>
          <w:rFonts w:ascii="Gadugi" w:hAnsi="Gadugi" w:cs="Century Gothic"/>
          <w:szCs w:val="24"/>
        </w:rPr>
        <w:t xml:space="preserve">omite poner de presente que </w:t>
      </w:r>
      <w:r w:rsidR="00CC73FF">
        <w:rPr>
          <w:rFonts w:ascii="Gadugi" w:hAnsi="Gadugi" w:cs="Century Gothic"/>
          <w:szCs w:val="24"/>
        </w:rPr>
        <w:t xml:space="preserve">se está </w:t>
      </w:r>
      <w:r w:rsidR="004623A9">
        <w:rPr>
          <w:rFonts w:ascii="Gadugi" w:hAnsi="Gadugi" w:cs="Century Gothic"/>
          <w:szCs w:val="24"/>
          <w:lang w:val="es-419"/>
        </w:rPr>
        <w:t xml:space="preserve">llevando </w:t>
      </w:r>
      <w:r w:rsidR="00E62978">
        <w:rPr>
          <w:rFonts w:ascii="Gadugi" w:hAnsi="Gadugi" w:cs="Century Gothic"/>
          <w:szCs w:val="24"/>
        </w:rPr>
        <w:t xml:space="preserve">un </w:t>
      </w:r>
      <w:r w:rsidR="005841B5">
        <w:rPr>
          <w:rFonts w:ascii="Gadugi" w:hAnsi="Gadugi" w:cs="Century Gothic"/>
          <w:szCs w:val="24"/>
        </w:rPr>
        <w:t>proceso</w:t>
      </w:r>
      <w:r w:rsidR="00E62978">
        <w:rPr>
          <w:rFonts w:ascii="Gadugi" w:hAnsi="Gadugi" w:cs="Century Gothic"/>
          <w:szCs w:val="24"/>
        </w:rPr>
        <w:t xml:space="preserve"> de sucesión testada ante </w:t>
      </w:r>
      <w:r w:rsidR="00DD2C81">
        <w:rPr>
          <w:rFonts w:ascii="Gadugi" w:hAnsi="Gadugi" w:cs="Century Gothic"/>
          <w:szCs w:val="24"/>
        </w:rPr>
        <w:t xml:space="preserve">el Juzgado </w:t>
      </w:r>
      <w:r w:rsidR="00E62978">
        <w:rPr>
          <w:rFonts w:ascii="Gadugi" w:hAnsi="Gadugi" w:cs="Century Gothic"/>
          <w:szCs w:val="24"/>
        </w:rPr>
        <w:t>Primero de Familia de Manizales</w:t>
      </w:r>
      <w:r w:rsidR="004623A9">
        <w:rPr>
          <w:rFonts w:ascii="Gadugi" w:hAnsi="Gadugi" w:cs="Century Gothic"/>
          <w:szCs w:val="24"/>
          <w:lang w:val="es-419"/>
        </w:rPr>
        <w:t>,</w:t>
      </w:r>
      <w:r w:rsidR="00E62978">
        <w:rPr>
          <w:rFonts w:ascii="Gadugi" w:hAnsi="Gadugi" w:cs="Century Gothic"/>
          <w:szCs w:val="24"/>
        </w:rPr>
        <w:t xml:space="preserve"> en el que están por practicarse unas pruebas que fueron ordenadas en un incidente de oposición a la entrega material al albacea</w:t>
      </w:r>
      <w:r w:rsidR="007E50A4">
        <w:rPr>
          <w:rFonts w:ascii="Gadugi" w:hAnsi="Gadugi" w:cs="Century Gothic"/>
          <w:szCs w:val="24"/>
        </w:rPr>
        <w:t xml:space="preserve"> (fl. 30 a 35)</w:t>
      </w:r>
      <w:r w:rsidR="00E62978">
        <w:rPr>
          <w:rFonts w:ascii="Gadugi" w:hAnsi="Gadugi" w:cs="Century Gothic"/>
          <w:szCs w:val="24"/>
        </w:rPr>
        <w:t xml:space="preserve">. </w:t>
      </w:r>
    </w:p>
    <w:p w:rsidR="002342A4" w:rsidRPr="004D6C45" w:rsidRDefault="002342A4" w:rsidP="004D6C45">
      <w:pPr>
        <w:spacing w:line="26" w:lineRule="atLeast"/>
        <w:ind w:firstLine="2835"/>
        <w:jc w:val="both"/>
        <w:rPr>
          <w:rFonts w:ascii="Gadugi" w:hAnsi="Gadugi" w:cs="Arial"/>
          <w:b/>
          <w:sz w:val="24"/>
          <w:szCs w:val="24"/>
        </w:rPr>
      </w:pPr>
      <w:r w:rsidRPr="004D6C45">
        <w:rPr>
          <w:rFonts w:ascii="Gadugi" w:hAnsi="Gadugi" w:cs="Arial"/>
          <w:b/>
          <w:sz w:val="24"/>
          <w:szCs w:val="24"/>
        </w:rPr>
        <w:lastRenderedPageBreak/>
        <w:t>CONSIDERACIONES</w:t>
      </w:r>
    </w:p>
    <w:p w:rsidR="002342A4" w:rsidRPr="004D6C45" w:rsidRDefault="002342A4" w:rsidP="004D6C45">
      <w:pPr>
        <w:spacing w:line="26" w:lineRule="atLeast"/>
        <w:ind w:firstLine="2835"/>
        <w:jc w:val="both"/>
        <w:rPr>
          <w:rFonts w:ascii="Gadugi" w:hAnsi="Gadugi" w:cs="Arial"/>
          <w:sz w:val="24"/>
          <w:szCs w:val="24"/>
          <w:u w:val="single"/>
        </w:rPr>
      </w:pPr>
    </w:p>
    <w:p w:rsidR="007E64F2" w:rsidRPr="004D6C45" w:rsidRDefault="007E64F2" w:rsidP="004D6C45">
      <w:pPr>
        <w:pStyle w:val="Textoindependiente21"/>
        <w:spacing w:line="26" w:lineRule="atLeast"/>
        <w:rPr>
          <w:rFonts w:ascii="Gadugi" w:hAnsi="Gadugi"/>
          <w:szCs w:val="24"/>
        </w:rPr>
      </w:pPr>
      <w:r w:rsidRPr="004D6C4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E64F2" w:rsidRPr="004D6C45" w:rsidRDefault="007E64F2" w:rsidP="004D6C45">
      <w:pPr>
        <w:spacing w:line="26" w:lineRule="atLeast"/>
        <w:ind w:firstLine="2835"/>
        <w:jc w:val="both"/>
        <w:rPr>
          <w:rFonts w:ascii="Gadugi" w:hAnsi="Gadugi"/>
          <w:sz w:val="24"/>
          <w:szCs w:val="24"/>
        </w:rPr>
      </w:pPr>
      <w:r w:rsidRPr="004D6C45">
        <w:rPr>
          <w:rFonts w:ascii="Gadugi" w:hAnsi="Gadugi"/>
          <w:sz w:val="24"/>
          <w:szCs w:val="24"/>
        </w:rPr>
        <w:t xml:space="preserve">  </w:t>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p>
    <w:p w:rsidR="00617588" w:rsidRDefault="007E64F2" w:rsidP="004D6C45">
      <w:pPr>
        <w:spacing w:line="26" w:lineRule="atLeast"/>
        <w:ind w:firstLine="2835"/>
        <w:jc w:val="both"/>
        <w:rPr>
          <w:rFonts w:ascii="Gadugi" w:hAnsi="Gadugi" w:cs="Arial"/>
          <w:sz w:val="24"/>
          <w:szCs w:val="24"/>
        </w:rPr>
      </w:pPr>
      <w:r w:rsidRPr="004D6C45">
        <w:rPr>
          <w:rFonts w:ascii="Gadugi" w:hAnsi="Gadugi"/>
          <w:sz w:val="24"/>
          <w:szCs w:val="24"/>
        </w:rPr>
        <w:t xml:space="preserve">Se acude en esta oportunidad </w:t>
      </w:r>
      <w:r w:rsidRPr="004D6C45">
        <w:rPr>
          <w:rFonts w:ascii="Gadugi" w:hAnsi="Gadugi" w:cs="Arial"/>
          <w:sz w:val="24"/>
          <w:szCs w:val="24"/>
        </w:rPr>
        <w:t xml:space="preserve">en procura </w:t>
      </w:r>
      <w:r w:rsidR="002A4C03" w:rsidRPr="004D6C45">
        <w:rPr>
          <w:rFonts w:ascii="Gadugi" w:hAnsi="Gadugi" w:cs="Arial"/>
          <w:sz w:val="24"/>
          <w:szCs w:val="24"/>
        </w:rPr>
        <w:t xml:space="preserve">de la protección </w:t>
      </w:r>
      <w:r w:rsidR="00AE53A5" w:rsidRPr="004D6C45">
        <w:rPr>
          <w:rFonts w:ascii="Gadugi" w:hAnsi="Gadugi" w:cs="Arial"/>
          <w:sz w:val="24"/>
          <w:szCs w:val="24"/>
        </w:rPr>
        <w:t>de</w:t>
      </w:r>
      <w:r w:rsidR="00064930" w:rsidRPr="004D6C45">
        <w:rPr>
          <w:rFonts w:ascii="Gadugi" w:hAnsi="Gadugi" w:cs="Arial"/>
          <w:sz w:val="24"/>
          <w:szCs w:val="24"/>
        </w:rPr>
        <w:t xml:space="preserve">l derecho fundamental al debido proceso que se estima </w:t>
      </w:r>
      <w:r w:rsidR="000A06FA" w:rsidRPr="004D6C45">
        <w:rPr>
          <w:rFonts w:ascii="Gadugi" w:hAnsi="Gadugi" w:cs="Arial"/>
          <w:sz w:val="24"/>
          <w:szCs w:val="24"/>
        </w:rPr>
        <w:t xml:space="preserve">lesionado </w:t>
      </w:r>
      <w:r w:rsidR="00064930" w:rsidRPr="004D6C45">
        <w:rPr>
          <w:rFonts w:ascii="Gadugi" w:hAnsi="Gadugi" w:cs="Arial"/>
          <w:sz w:val="24"/>
          <w:szCs w:val="24"/>
        </w:rPr>
        <w:t>por el Juzgado Civi</w:t>
      </w:r>
      <w:r w:rsidR="00617588">
        <w:rPr>
          <w:rFonts w:ascii="Gadugi" w:hAnsi="Gadugi" w:cs="Arial"/>
          <w:sz w:val="24"/>
          <w:szCs w:val="24"/>
        </w:rPr>
        <w:t>l del Circuito de Dosquebradas, el que en el desarrollo de un</w:t>
      </w:r>
      <w:r w:rsidR="00AD5826">
        <w:rPr>
          <w:rFonts w:ascii="Gadugi" w:hAnsi="Gadugi" w:cs="Arial"/>
          <w:sz w:val="24"/>
          <w:szCs w:val="24"/>
          <w:lang w:val="es-419"/>
        </w:rPr>
        <w:t xml:space="preserve">a acción </w:t>
      </w:r>
      <w:r w:rsidR="007C6C8F">
        <w:rPr>
          <w:rFonts w:ascii="Gadugi" w:hAnsi="Gadugi" w:cs="Arial"/>
          <w:sz w:val="24"/>
          <w:szCs w:val="24"/>
        </w:rPr>
        <w:t>reivindicatori</w:t>
      </w:r>
      <w:r w:rsidR="00AD5826">
        <w:rPr>
          <w:rFonts w:ascii="Gadugi" w:hAnsi="Gadugi" w:cs="Arial"/>
          <w:sz w:val="24"/>
          <w:szCs w:val="24"/>
          <w:lang w:val="es-419"/>
        </w:rPr>
        <w:t>a</w:t>
      </w:r>
      <w:r w:rsidR="007C6C8F">
        <w:rPr>
          <w:rFonts w:ascii="Gadugi" w:hAnsi="Gadugi" w:cs="Arial"/>
          <w:sz w:val="24"/>
          <w:szCs w:val="24"/>
        </w:rPr>
        <w:t xml:space="preserve"> </w:t>
      </w:r>
      <w:r w:rsidR="00AD5826">
        <w:rPr>
          <w:rFonts w:ascii="Gadugi" w:hAnsi="Gadugi" w:cs="Arial"/>
          <w:sz w:val="24"/>
          <w:szCs w:val="24"/>
          <w:lang w:val="es-419"/>
        </w:rPr>
        <w:t xml:space="preserve">propuesta </w:t>
      </w:r>
      <w:r w:rsidR="007C6C8F">
        <w:rPr>
          <w:rFonts w:ascii="Gadugi" w:hAnsi="Gadugi" w:cs="Arial"/>
          <w:sz w:val="24"/>
          <w:szCs w:val="24"/>
        </w:rPr>
        <w:t>en reconvención a un</w:t>
      </w:r>
      <w:r w:rsidR="004623A9">
        <w:rPr>
          <w:rFonts w:ascii="Gadugi" w:hAnsi="Gadugi" w:cs="Arial"/>
          <w:sz w:val="24"/>
          <w:szCs w:val="24"/>
          <w:lang w:val="es-419"/>
        </w:rPr>
        <w:t>a</w:t>
      </w:r>
      <w:r w:rsidR="00617588">
        <w:rPr>
          <w:rFonts w:ascii="Gadugi" w:hAnsi="Gadugi" w:cs="Arial"/>
          <w:sz w:val="24"/>
          <w:szCs w:val="24"/>
        </w:rPr>
        <w:t xml:space="preserve"> de pertenencia</w:t>
      </w:r>
      <w:r w:rsidR="00AD5826">
        <w:rPr>
          <w:rFonts w:ascii="Gadugi" w:hAnsi="Gadugi" w:cs="Arial"/>
          <w:sz w:val="24"/>
          <w:szCs w:val="24"/>
          <w:lang w:val="es-419"/>
        </w:rPr>
        <w:t xml:space="preserve">, y a pocos </w:t>
      </w:r>
      <w:r w:rsidR="00617588">
        <w:rPr>
          <w:rFonts w:ascii="Gadugi" w:hAnsi="Gadugi" w:cs="Arial"/>
          <w:sz w:val="24"/>
          <w:szCs w:val="24"/>
        </w:rPr>
        <w:t>días de celebrar</w:t>
      </w:r>
      <w:r w:rsidR="00AD5826">
        <w:rPr>
          <w:rFonts w:ascii="Gadugi" w:hAnsi="Gadugi" w:cs="Arial"/>
          <w:sz w:val="24"/>
          <w:szCs w:val="24"/>
          <w:lang w:val="es-419"/>
        </w:rPr>
        <w:t>se</w:t>
      </w:r>
      <w:r w:rsidR="00617588">
        <w:rPr>
          <w:rFonts w:ascii="Gadugi" w:hAnsi="Gadugi" w:cs="Arial"/>
          <w:sz w:val="24"/>
          <w:szCs w:val="24"/>
        </w:rPr>
        <w:t xml:space="preserve"> la audiencia que prevé el artículo 101 del </w:t>
      </w:r>
      <w:r w:rsidR="008C262A">
        <w:rPr>
          <w:rFonts w:ascii="Gadugi" w:hAnsi="Gadugi" w:cs="Arial"/>
          <w:sz w:val="24"/>
          <w:szCs w:val="24"/>
        </w:rPr>
        <w:t>CPC</w:t>
      </w:r>
      <w:r w:rsidR="00617588">
        <w:rPr>
          <w:rFonts w:ascii="Gadugi" w:hAnsi="Gadugi" w:cs="Arial"/>
          <w:sz w:val="24"/>
          <w:szCs w:val="24"/>
        </w:rPr>
        <w:t xml:space="preserve">, profirió un auto </w:t>
      </w:r>
      <w:r w:rsidR="003F3524">
        <w:rPr>
          <w:rFonts w:ascii="Gadugi" w:hAnsi="Gadugi" w:cs="Arial"/>
          <w:sz w:val="24"/>
          <w:szCs w:val="24"/>
          <w:lang w:val="es-419"/>
        </w:rPr>
        <w:t xml:space="preserve">el 7 de diciembre de 2016, </w:t>
      </w:r>
      <w:r w:rsidR="00617588">
        <w:rPr>
          <w:rFonts w:ascii="Gadugi" w:hAnsi="Gadugi" w:cs="Arial"/>
          <w:sz w:val="24"/>
          <w:szCs w:val="24"/>
        </w:rPr>
        <w:t>en eje</w:t>
      </w:r>
      <w:r w:rsidR="008C262A">
        <w:rPr>
          <w:rFonts w:ascii="Gadugi" w:hAnsi="Gadugi" w:cs="Arial"/>
          <w:sz w:val="24"/>
          <w:szCs w:val="24"/>
        </w:rPr>
        <w:t>rcicio de</w:t>
      </w:r>
      <w:r w:rsidR="00AD5826">
        <w:rPr>
          <w:rFonts w:ascii="Gadugi" w:hAnsi="Gadugi" w:cs="Arial"/>
          <w:sz w:val="24"/>
          <w:szCs w:val="24"/>
          <w:lang w:val="es-419"/>
        </w:rPr>
        <w:t>l</w:t>
      </w:r>
      <w:r w:rsidR="008C262A">
        <w:rPr>
          <w:rFonts w:ascii="Gadugi" w:hAnsi="Gadugi" w:cs="Arial"/>
          <w:sz w:val="24"/>
          <w:szCs w:val="24"/>
        </w:rPr>
        <w:t xml:space="preserve"> control de legalidad</w:t>
      </w:r>
      <w:r w:rsidR="003F3524">
        <w:rPr>
          <w:rFonts w:ascii="Gadugi" w:hAnsi="Gadugi" w:cs="Arial"/>
          <w:sz w:val="24"/>
          <w:szCs w:val="24"/>
          <w:lang w:val="es-419"/>
        </w:rPr>
        <w:t>,</w:t>
      </w:r>
      <w:r w:rsidR="00AD5826">
        <w:rPr>
          <w:rFonts w:ascii="Gadugi" w:hAnsi="Gadugi" w:cs="Arial"/>
          <w:sz w:val="24"/>
          <w:szCs w:val="24"/>
          <w:lang w:val="es-419"/>
        </w:rPr>
        <w:t xml:space="preserve"> que </w:t>
      </w:r>
      <w:r w:rsidR="00617588">
        <w:rPr>
          <w:rFonts w:ascii="Gadugi" w:hAnsi="Gadugi" w:cs="Arial"/>
          <w:sz w:val="24"/>
          <w:szCs w:val="24"/>
        </w:rPr>
        <w:t>dispuso</w:t>
      </w:r>
      <w:r w:rsidR="004623A9">
        <w:rPr>
          <w:rFonts w:ascii="Gadugi" w:hAnsi="Gadugi" w:cs="Arial"/>
          <w:sz w:val="24"/>
          <w:szCs w:val="24"/>
          <w:lang w:val="es-419"/>
        </w:rPr>
        <w:t>,</w:t>
      </w:r>
      <w:r w:rsidR="00AD5826">
        <w:rPr>
          <w:rFonts w:ascii="Gadugi" w:hAnsi="Gadugi" w:cs="Arial"/>
          <w:sz w:val="24"/>
          <w:szCs w:val="24"/>
          <w:lang w:val="es-419"/>
        </w:rPr>
        <w:t xml:space="preserve"> </w:t>
      </w:r>
      <w:r w:rsidR="00617588">
        <w:rPr>
          <w:rFonts w:ascii="Gadugi" w:hAnsi="Gadugi" w:cs="Arial"/>
          <w:sz w:val="24"/>
          <w:szCs w:val="24"/>
        </w:rPr>
        <w:t xml:space="preserve">entre otras </w:t>
      </w:r>
      <w:r w:rsidR="00AD5826">
        <w:rPr>
          <w:rFonts w:ascii="Gadugi" w:hAnsi="Gadugi" w:cs="Arial"/>
          <w:sz w:val="24"/>
          <w:szCs w:val="24"/>
          <w:lang w:val="es-419"/>
        </w:rPr>
        <w:t xml:space="preserve">cosas, </w:t>
      </w:r>
      <w:r w:rsidR="00617588">
        <w:rPr>
          <w:rFonts w:ascii="Gadugi" w:hAnsi="Gadugi" w:cs="Arial"/>
          <w:sz w:val="24"/>
          <w:szCs w:val="24"/>
        </w:rPr>
        <w:t xml:space="preserve">que (i) se notificara a </w:t>
      </w:r>
      <w:r w:rsidR="00575600">
        <w:rPr>
          <w:rFonts w:ascii="Gadugi" w:hAnsi="Gadugi" w:cs="Arial"/>
          <w:sz w:val="24"/>
          <w:szCs w:val="24"/>
        </w:rPr>
        <w:t>su contraparte</w:t>
      </w:r>
      <w:r w:rsidR="00617588">
        <w:rPr>
          <w:rFonts w:ascii="Gadugi" w:hAnsi="Gadugi" w:cs="Arial"/>
          <w:sz w:val="24"/>
          <w:szCs w:val="24"/>
        </w:rPr>
        <w:t xml:space="preserve"> sobre la cesión de los derechos litigiosos que se hi</w:t>
      </w:r>
      <w:r w:rsidR="00AD5826">
        <w:rPr>
          <w:rFonts w:ascii="Gadugi" w:hAnsi="Gadugi" w:cs="Arial"/>
          <w:sz w:val="24"/>
          <w:szCs w:val="24"/>
          <w:lang w:val="es-419"/>
        </w:rPr>
        <w:t xml:space="preserve">zo </w:t>
      </w:r>
      <w:r w:rsidR="00617588">
        <w:rPr>
          <w:rFonts w:ascii="Gadugi" w:hAnsi="Gadugi" w:cs="Arial"/>
          <w:sz w:val="24"/>
          <w:szCs w:val="24"/>
        </w:rPr>
        <w:t xml:space="preserve">en favor del señor Robinson Trujillo Loaiza y (ii) </w:t>
      </w:r>
      <w:r w:rsidR="004623A9">
        <w:rPr>
          <w:rFonts w:ascii="Gadugi" w:hAnsi="Gadugi" w:cs="Arial"/>
          <w:sz w:val="24"/>
          <w:szCs w:val="24"/>
          <w:lang w:val="es-419"/>
        </w:rPr>
        <w:t>requerir</w:t>
      </w:r>
      <w:r w:rsidR="00617588">
        <w:rPr>
          <w:rFonts w:ascii="Gadugi" w:hAnsi="Gadugi" w:cs="Arial"/>
          <w:sz w:val="24"/>
          <w:szCs w:val="24"/>
        </w:rPr>
        <w:t xml:space="preserve"> </w:t>
      </w:r>
      <w:r w:rsidR="00575600">
        <w:rPr>
          <w:rFonts w:ascii="Gadugi" w:hAnsi="Gadugi" w:cs="Arial"/>
          <w:sz w:val="24"/>
          <w:szCs w:val="24"/>
        </w:rPr>
        <w:t>al demandante en reconvención</w:t>
      </w:r>
      <w:r w:rsidR="001B31EC">
        <w:rPr>
          <w:rFonts w:ascii="Gadugi" w:hAnsi="Gadugi" w:cs="Arial"/>
          <w:sz w:val="24"/>
          <w:szCs w:val="24"/>
        </w:rPr>
        <w:t xml:space="preserve"> para que presentara el juramento estimatorio relacionado con los frutos naturales y civiles pretendidos en la demanda</w:t>
      </w:r>
      <w:r w:rsidR="00575600">
        <w:rPr>
          <w:rFonts w:ascii="Gadugi" w:hAnsi="Gadugi" w:cs="Arial"/>
          <w:sz w:val="24"/>
          <w:szCs w:val="24"/>
        </w:rPr>
        <w:t xml:space="preserve"> reivindicatoria</w:t>
      </w:r>
      <w:r w:rsidR="001B31EC">
        <w:rPr>
          <w:rFonts w:ascii="Gadugi" w:hAnsi="Gadugi" w:cs="Arial"/>
          <w:sz w:val="24"/>
          <w:szCs w:val="24"/>
        </w:rPr>
        <w:t>.</w:t>
      </w:r>
    </w:p>
    <w:p w:rsidR="006538AB" w:rsidRDefault="006538AB" w:rsidP="004D6C45">
      <w:pPr>
        <w:spacing w:line="26" w:lineRule="atLeast"/>
        <w:ind w:firstLine="2835"/>
        <w:jc w:val="both"/>
        <w:rPr>
          <w:rFonts w:ascii="Gadugi" w:hAnsi="Gadugi" w:cs="Arial"/>
          <w:sz w:val="24"/>
          <w:szCs w:val="24"/>
        </w:rPr>
      </w:pPr>
    </w:p>
    <w:p w:rsidR="006538AB" w:rsidRDefault="00AD5826" w:rsidP="004D6C45">
      <w:pPr>
        <w:spacing w:line="26" w:lineRule="atLeast"/>
        <w:ind w:firstLine="2835"/>
        <w:jc w:val="both"/>
        <w:rPr>
          <w:rFonts w:ascii="Gadugi" w:hAnsi="Gadugi" w:cs="Arial"/>
          <w:sz w:val="24"/>
          <w:szCs w:val="24"/>
        </w:rPr>
      </w:pPr>
      <w:r>
        <w:rPr>
          <w:rFonts w:ascii="Gadugi" w:hAnsi="Gadugi" w:cs="Arial"/>
          <w:sz w:val="24"/>
          <w:szCs w:val="24"/>
          <w:lang w:val="es-419"/>
        </w:rPr>
        <w:t xml:space="preserve">Es preciso decir, </w:t>
      </w:r>
      <w:r w:rsidR="00575600">
        <w:rPr>
          <w:rFonts w:ascii="Gadugi" w:hAnsi="Gadugi" w:cs="Arial"/>
          <w:sz w:val="24"/>
          <w:szCs w:val="24"/>
        </w:rPr>
        <w:t>antes de continuar con el análisis,</w:t>
      </w:r>
      <w:r w:rsidR="006538AB">
        <w:rPr>
          <w:rFonts w:ascii="Gadugi" w:hAnsi="Gadugi" w:cs="Arial"/>
          <w:sz w:val="24"/>
          <w:szCs w:val="24"/>
        </w:rPr>
        <w:t xml:space="preserve"> que pese a </w:t>
      </w:r>
      <w:r w:rsidR="006538AB" w:rsidRPr="006538AB">
        <w:rPr>
          <w:rFonts w:ascii="Gadugi" w:hAnsi="Gadugi" w:cs="Arial"/>
          <w:sz w:val="24"/>
          <w:szCs w:val="24"/>
        </w:rPr>
        <w:t>que en el escrito contentivo de la acción de tutela se omitió discriminar de manera clara l</w:t>
      </w:r>
      <w:r>
        <w:rPr>
          <w:rFonts w:ascii="Gadugi" w:hAnsi="Gadugi" w:cs="Arial"/>
          <w:sz w:val="24"/>
          <w:szCs w:val="24"/>
          <w:lang w:val="es-419"/>
        </w:rPr>
        <w:t xml:space="preserve">o que se pretende, </w:t>
      </w:r>
      <w:r w:rsidR="006538AB" w:rsidRPr="006538AB">
        <w:rPr>
          <w:rFonts w:ascii="Gadugi" w:hAnsi="Gadugi" w:cs="Arial"/>
          <w:sz w:val="24"/>
          <w:szCs w:val="24"/>
        </w:rPr>
        <w:t>extracta la sala que está dirigida específicamente a que se revoquen o modifiquen los numerales 2° y 4° de la parte resolutiva del precitado auto</w:t>
      </w:r>
      <w:r>
        <w:rPr>
          <w:rFonts w:ascii="Gadugi" w:hAnsi="Gadugi" w:cs="Arial"/>
          <w:sz w:val="24"/>
          <w:szCs w:val="24"/>
          <w:lang w:val="es-419"/>
        </w:rPr>
        <w:t>. Léase</w:t>
      </w:r>
      <w:r w:rsidR="006538AB" w:rsidRPr="006538AB">
        <w:rPr>
          <w:rFonts w:ascii="Gadugi" w:hAnsi="Gadugi" w:cs="Arial"/>
          <w:sz w:val="24"/>
          <w:szCs w:val="24"/>
        </w:rPr>
        <w:t xml:space="preserve"> que el accionante</w:t>
      </w:r>
      <w:r>
        <w:rPr>
          <w:rFonts w:ascii="Gadugi" w:hAnsi="Gadugi" w:cs="Arial"/>
          <w:sz w:val="24"/>
          <w:szCs w:val="24"/>
          <w:lang w:val="es-419"/>
        </w:rPr>
        <w:t>,</w:t>
      </w:r>
      <w:r w:rsidR="006538AB" w:rsidRPr="006538AB">
        <w:rPr>
          <w:rFonts w:ascii="Gadugi" w:hAnsi="Gadugi" w:cs="Arial"/>
          <w:sz w:val="24"/>
          <w:szCs w:val="24"/>
        </w:rPr>
        <w:t xml:space="preserve"> en el l</w:t>
      </w:r>
      <w:r w:rsidR="00560939">
        <w:rPr>
          <w:rFonts w:ascii="Gadugi" w:hAnsi="Gadugi" w:cs="Arial"/>
          <w:sz w:val="24"/>
          <w:szCs w:val="24"/>
          <w:lang w:val="es-419"/>
        </w:rPr>
        <w:t>i</w:t>
      </w:r>
      <w:r w:rsidR="006538AB" w:rsidRPr="006538AB">
        <w:rPr>
          <w:rFonts w:ascii="Gadugi" w:hAnsi="Gadugi" w:cs="Arial"/>
          <w:sz w:val="24"/>
          <w:szCs w:val="24"/>
        </w:rPr>
        <w:t>belo</w:t>
      </w:r>
      <w:r>
        <w:rPr>
          <w:rFonts w:ascii="Gadugi" w:hAnsi="Gadugi" w:cs="Arial"/>
          <w:sz w:val="24"/>
          <w:szCs w:val="24"/>
          <w:lang w:val="es-419"/>
        </w:rPr>
        <w:t>,</w:t>
      </w:r>
      <w:r w:rsidR="006538AB" w:rsidRPr="006538AB">
        <w:rPr>
          <w:rFonts w:ascii="Gadugi" w:hAnsi="Gadugi" w:cs="Arial"/>
          <w:sz w:val="24"/>
          <w:szCs w:val="24"/>
        </w:rPr>
        <w:t xml:space="preserve"> </w:t>
      </w:r>
      <w:r w:rsidR="002363D0">
        <w:rPr>
          <w:rFonts w:ascii="Gadugi" w:hAnsi="Gadugi" w:cs="Arial"/>
          <w:sz w:val="24"/>
          <w:szCs w:val="24"/>
          <w:lang w:val="es-419"/>
        </w:rPr>
        <w:t>transcribió lo que dijo al sustentar el recurso que interpuso contra el auto del 7 de diciembre, en el sentido de que</w:t>
      </w:r>
      <w:r w:rsidR="006538AB" w:rsidRPr="006538AB">
        <w:rPr>
          <w:rFonts w:ascii="Gadugi" w:hAnsi="Gadugi" w:cs="Arial"/>
          <w:sz w:val="24"/>
          <w:szCs w:val="24"/>
        </w:rPr>
        <w:t xml:space="preserve"> </w:t>
      </w:r>
      <w:r w:rsidR="006538AB" w:rsidRPr="006538AB">
        <w:rPr>
          <w:rFonts w:ascii="Gadugi" w:hAnsi="Gadugi" w:cs="Arial"/>
          <w:i/>
          <w:sz w:val="24"/>
          <w:szCs w:val="24"/>
        </w:rPr>
        <w:t xml:space="preserve">“…La oportunidad Honorable señor Juez, para sanear esa actuaciones, debió haber sido en la audiencia del artículo 101 del Código de Procedimiento Civil, </w:t>
      </w:r>
      <w:r w:rsidR="006538AB" w:rsidRPr="002363D0">
        <w:rPr>
          <w:rFonts w:ascii="Gadugi" w:hAnsi="Gadugi" w:cs="Arial"/>
          <w:i/>
          <w:sz w:val="24"/>
          <w:szCs w:val="24"/>
        </w:rPr>
        <w:t>pero únicamente en aquellas del procedimiento o en los numerales de su auto a los que no interpongo los recursos, como es el caso de prestar caución para la inscripción de la demanda en reconvención, cancelar el embargo anterior a la nulidad decretada, la expedición de oficios y reconocimiento de personería.”</w:t>
      </w:r>
      <w:r w:rsidR="002363D0" w:rsidRPr="002363D0">
        <w:rPr>
          <w:rFonts w:ascii="Gadugi" w:hAnsi="Gadugi" w:cs="Arial"/>
          <w:sz w:val="24"/>
          <w:szCs w:val="24"/>
        </w:rPr>
        <w:t xml:space="preserve"> </w:t>
      </w:r>
      <w:r w:rsidR="006538AB" w:rsidRPr="006538AB">
        <w:rPr>
          <w:rFonts w:ascii="Gadugi" w:hAnsi="Gadugi" w:cs="Arial"/>
          <w:sz w:val="24"/>
          <w:szCs w:val="24"/>
        </w:rPr>
        <w:t xml:space="preserve"> (f. 9)</w:t>
      </w:r>
      <w:r w:rsidR="006538AB">
        <w:rPr>
          <w:rFonts w:ascii="Gadugi" w:hAnsi="Gadugi" w:cs="Arial"/>
          <w:sz w:val="24"/>
          <w:szCs w:val="24"/>
        </w:rPr>
        <w:t>,</w:t>
      </w:r>
      <w:r w:rsidR="006538AB" w:rsidRPr="006538AB">
        <w:rPr>
          <w:rFonts w:ascii="Gadugi" w:hAnsi="Gadugi" w:cs="Arial"/>
          <w:sz w:val="24"/>
          <w:szCs w:val="24"/>
        </w:rPr>
        <w:t xml:space="preserve"> aunado a que del resto del discurso se colige que el actor se duele exclusivamente </w:t>
      </w:r>
      <w:r w:rsidR="00CC73FF">
        <w:rPr>
          <w:rFonts w:ascii="Gadugi" w:hAnsi="Gadugi" w:cs="Arial"/>
          <w:sz w:val="24"/>
          <w:szCs w:val="24"/>
        </w:rPr>
        <w:t>de los numerales referenciados</w:t>
      </w:r>
      <w:r w:rsidR="006538AB" w:rsidRPr="006538AB">
        <w:rPr>
          <w:rFonts w:ascii="Gadugi" w:hAnsi="Gadugi" w:cs="Arial"/>
          <w:sz w:val="24"/>
          <w:szCs w:val="24"/>
        </w:rPr>
        <w:t>.</w:t>
      </w:r>
    </w:p>
    <w:p w:rsidR="00617588" w:rsidRDefault="00617588" w:rsidP="004D6C45">
      <w:pPr>
        <w:spacing w:line="26" w:lineRule="atLeast"/>
        <w:ind w:firstLine="2835"/>
        <w:jc w:val="both"/>
        <w:rPr>
          <w:rFonts w:ascii="Gadugi" w:hAnsi="Gadugi" w:cs="Arial"/>
          <w:sz w:val="24"/>
          <w:szCs w:val="24"/>
        </w:rPr>
      </w:pPr>
    </w:p>
    <w:p w:rsidR="007E64F2" w:rsidRPr="004D6C45" w:rsidRDefault="002A4C03" w:rsidP="004D6C45">
      <w:pPr>
        <w:shd w:val="clear" w:color="auto" w:fill="FFFFFF"/>
        <w:spacing w:line="26" w:lineRule="atLeast"/>
        <w:jc w:val="both"/>
        <w:rPr>
          <w:rFonts w:ascii="Gadugi" w:hAnsi="Gadugi"/>
          <w:sz w:val="24"/>
          <w:szCs w:val="24"/>
        </w:rPr>
      </w:pPr>
      <w:r w:rsidRPr="004D6C45">
        <w:rPr>
          <w:rFonts w:ascii="Gadugi" w:hAnsi="Gadugi" w:cs="Arial"/>
          <w:sz w:val="24"/>
          <w:szCs w:val="24"/>
        </w:rPr>
        <w:tab/>
      </w:r>
      <w:r w:rsidRPr="004D6C45">
        <w:rPr>
          <w:rFonts w:ascii="Gadugi" w:hAnsi="Gadugi" w:cs="Arial"/>
          <w:sz w:val="24"/>
          <w:szCs w:val="24"/>
        </w:rPr>
        <w:tab/>
      </w:r>
      <w:r w:rsidRPr="004D6C45">
        <w:rPr>
          <w:rFonts w:ascii="Gadugi" w:hAnsi="Gadugi" w:cs="Arial"/>
          <w:sz w:val="24"/>
          <w:szCs w:val="24"/>
        </w:rPr>
        <w:tab/>
      </w:r>
      <w:r w:rsidRPr="004D6C45">
        <w:rPr>
          <w:rFonts w:ascii="Gadugi" w:hAnsi="Gadugi" w:cs="Arial"/>
          <w:sz w:val="24"/>
          <w:szCs w:val="24"/>
        </w:rPr>
        <w:tab/>
      </w:r>
      <w:r w:rsidR="00AE53A5" w:rsidRPr="004D6C45">
        <w:rPr>
          <w:rFonts w:ascii="Gadugi" w:hAnsi="Gadugi" w:cs="Arial"/>
          <w:sz w:val="24"/>
          <w:szCs w:val="24"/>
        </w:rPr>
        <w:t xml:space="preserve">De </w:t>
      </w:r>
      <w:r w:rsidR="00C51A08" w:rsidRPr="004D6C45">
        <w:rPr>
          <w:rFonts w:ascii="Gadugi" w:hAnsi="Gadugi" w:cs="Arial"/>
          <w:sz w:val="24"/>
          <w:szCs w:val="24"/>
        </w:rPr>
        <w:t xml:space="preserve">manera reiterada </w:t>
      </w:r>
      <w:r w:rsidR="007E64F2" w:rsidRPr="004D6C45">
        <w:rPr>
          <w:rFonts w:ascii="Gadugi" w:hAnsi="Gadugi" w:cs="Arial"/>
          <w:sz w:val="24"/>
          <w:szCs w:val="24"/>
        </w:rPr>
        <w:t>se ha expuesto que</w:t>
      </w:r>
      <w:r w:rsidR="00A30DE2">
        <w:rPr>
          <w:rFonts w:ascii="Gadugi" w:hAnsi="Gadugi" w:cs="Arial"/>
          <w:sz w:val="24"/>
          <w:szCs w:val="24"/>
        </w:rPr>
        <w:t>,</w:t>
      </w:r>
      <w:r w:rsidR="007E64F2" w:rsidRPr="004D6C45">
        <w:rPr>
          <w:rFonts w:ascii="Gadugi" w:hAnsi="Gadugi" w:cs="Arial"/>
          <w:sz w:val="24"/>
          <w:szCs w:val="24"/>
        </w:rPr>
        <w:t xml:space="preserve"> </w:t>
      </w:r>
      <w:r w:rsidR="007E64F2" w:rsidRPr="004D6C45">
        <w:rPr>
          <w:rFonts w:ascii="Gadugi" w:hAnsi="Gadugi"/>
          <w:sz w:val="24"/>
          <w:szCs w:val="24"/>
        </w:rPr>
        <w:t>a pesar de la inexequibilidad de las normas que en el Decreto 2591 de 1991 preveían la acción de tutela contra providencias judiciales</w:t>
      </w:r>
      <w:r w:rsidR="007E64F2" w:rsidRPr="004D6C45">
        <w:rPr>
          <w:rStyle w:val="Appelnotedebasdep"/>
          <w:rFonts w:ascii="Gadugi" w:hAnsi="Gadugi"/>
          <w:sz w:val="24"/>
          <w:szCs w:val="24"/>
        </w:rPr>
        <w:footnoteReference w:id="3"/>
      </w:r>
      <w:r w:rsidR="007E64F2" w:rsidRPr="004D6C45">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7E64F2" w:rsidRPr="004D6C45">
        <w:rPr>
          <w:rFonts w:ascii="Gadugi" w:hAnsi="Gadugi" w:cs="Arial"/>
          <w:sz w:val="24"/>
          <w:szCs w:val="24"/>
        </w:rPr>
        <w:t xml:space="preserve"> en múltiples ocasiones. Sobre ellas, recientemente, en la sentencia </w:t>
      </w:r>
      <w:r w:rsidR="00530D6B" w:rsidRPr="004D6C45">
        <w:rPr>
          <w:rFonts w:ascii="Gadugi" w:hAnsi="Gadugi" w:cs="Arial"/>
          <w:sz w:val="24"/>
          <w:szCs w:val="24"/>
        </w:rPr>
        <w:t>SU-</w:t>
      </w:r>
      <w:r w:rsidR="00C51A08" w:rsidRPr="004D6C45">
        <w:rPr>
          <w:rFonts w:ascii="Gadugi" w:hAnsi="Gadugi" w:cs="Arial"/>
          <w:sz w:val="24"/>
          <w:szCs w:val="24"/>
        </w:rPr>
        <w:t>573 de 2017</w:t>
      </w:r>
      <w:r w:rsidR="007E64F2" w:rsidRPr="004D6C45">
        <w:rPr>
          <w:rFonts w:ascii="Gadugi" w:hAnsi="Gadugi" w:cs="Arial"/>
          <w:sz w:val="24"/>
          <w:szCs w:val="24"/>
        </w:rPr>
        <w:t xml:space="preserve">, aludiendo a la C-590 de 2005, recordó que las primeras obedecen a </w:t>
      </w:r>
      <w:r w:rsidR="00530D6B" w:rsidRPr="004D6C45">
        <w:rPr>
          <w:rFonts w:ascii="Gadugi" w:hAnsi="Gadugi"/>
          <w:sz w:val="24"/>
          <w:szCs w:val="24"/>
          <w:bdr w:val="none" w:sz="0" w:space="0" w:color="auto" w:frame="1"/>
          <w:lang w:val="es-CO"/>
        </w:rPr>
        <w:t xml:space="preserve">(i) que el </w:t>
      </w:r>
      <w:r w:rsidR="00530D6B" w:rsidRPr="004D6C45">
        <w:rPr>
          <w:rFonts w:ascii="Gadugi" w:hAnsi="Gadugi"/>
          <w:sz w:val="24"/>
          <w:szCs w:val="24"/>
          <w:bdr w:val="none" w:sz="0" w:space="0" w:color="auto" w:frame="1"/>
          <w:lang w:val="es-CO"/>
        </w:rPr>
        <w:lastRenderedPageBreak/>
        <w:t>asunto sometido a estudio del juez de tutela tenga relevancia constitucional;</w:t>
      </w:r>
      <w:r w:rsidR="001764FF" w:rsidRPr="004D6C45">
        <w:rPr>
          <w:rFonts w:ascii="Gadugi" w:hAnsi="Gadugi"/>
          <w:sz w:val="24"/>
          <w:szCs w:val="24"/>
          <w:bdr w:val="none" w:sz="0" w:space="0" w:color="auto" w:frame="1"/>
          <w:lang w:val="es-CO"/>
        </w:rPr>
        <w:t xml:space="preserve"> </w:t>
      </w:r>
      <w:r w:rsidR="00530D6B" w:rsidRPr="004D6C45">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1764FF" w:rsidRPr="004D6C45">
        <w:rPr>
          <w:rFonts w:ascii="Gadugi" w:hAnsi="Gadugi"/>
          <w:sz w:val="24"/>
          <w:szCs w:val="24"/>
        </w:rPr>
        <w:t xml:space="preserve"> </w:t>
      </w:r>
      <w:r w:rsidR="001764FF" w:rsidRPr="004D6C45">
        <w:rPr>
          <w:rFonts w:ascii="Gadugi" w:hAnsi="Gadugi" w:cs="Arial"/>
          <w:sz w:val="24"/>
          <w:szCs w:val="24"/>
        </w:rPr>
        <w:t>. Y en cuanto a las segundas, es decir, las causales específicas, se compendian en los defectos</w:t>
      </w:r>
      <w:r w:rsidR="001764FF" w:rsidRPr="004D6C45">
        <w:rPr>
          <w:rFonts w:ascii="Gadugi" w:hAnsi="Gadugi"/>
          <w:sz w:val="24"/>
          <w:szCs w:val="24"/>
          <w:bdr w:val="none" w:sz="0" w:space="0" w:color="auto" w:frame="1"/>
          <w:lang w:val="es-CO"/>
        </w:rPr>
        <w:t xml:space="preserve"> (i) </w:t>
      </w:r>
      <w:r w:rsidR="00530D6B" w:rsidRPr="004D6C45">
        <w:rPr>
          <w:rFonts w:ascii="Gadugi" w:hAnsi="Gadugi"/>
          <w:sz w:val="24"/>
          <w:szCs w:val="24"/>
          <w:bdr w:val="none" w:sz="0" w:space="0" w:color="auto" w:frame="1"/>
          <w:lang w:val="es-CO"/>
        </w:rPr>
        <w:t>orgánico, </w:t>
      </w:r>
      <w:r w:rsidR="001764FF" w:rsidRPr="004D6C45">
        <w:rPr>
          <w:rFonts w:ascii="Gadugi" w:hAnsi="Gadugi"/>
          <w:sz w:val="24"/>
          <w:szCs w:val="24"/>
          <w:bdr w:val="none" w:sz="0" w:space="0" w:color="auto" w:frame="1"/>
          <w:lang w:val="es-CO"/>
        </w:rPr>
        <w:t xml:space="preserve">(ii) </w:t>
      </w:r>
      <w:r w:rsidR="00530D6B" w:rsidRPr="004D6C45">
        <w:rPr>
          <w:rFonts w:ascii="Gadugi" w:hAnsi="Gadugi"/>
          <w:sz w:val="24"/>
          <w:szCs w:val="24"/>
          <w:bdr w:val="none" w:sz="0" w:space="0" w:color="auto" w:frame="1"/>
          <w:lang w:val="es-CO"/>
        </w:rPr>
        <w:t>sustantivo, </w:t>
      </w:r>
      <w:r w:rsidR="001764FF" w:rsidRPr="004D6C45">
        <w:rPr>
          <w:rFonts w:ascii="Gadugi" w:hAnsi="Gadugi"/>
          <w:sz w:val="24"/>
          <w:szCs w:val="24"/>
          <w:bdr w:val="none" w:sz="0" w:space="0" w:color="auto" w:frame="1"/>
          <w:lang w:val="es-CO"/>
        </w:rPr>
        <w:t xml:space="preserve">(iii) </w:t>
      </w:r>
      <w:r w:rsidR="00530D6B" w:rsidRPr="004D6C45">
        <w:rPr>
          <w:rFonts w:ascii="Gadugi" w:hAnsi="Gadugi"/>
          <w:sz w:val="24"/>
          <w:szCs w:val="24"/>
          <w:bdr w:val="none" w:sz="0" w:space="0" w:color="auto" w:frame="1"/>
          <w:lang w:val="es-CO"/>
        </w:rPr>
        <w:t>procedimental</w:t>
      </w:r>
      <w:bookmarkStart w:id="1" w:name="_ftnref82"/>
      <w:r w:rsidR="00530D6B" w:rsidRPr="004D6C45">
        <w:rPr>
          <w:rFonts w:ascii="Gadugi" w:hAnsi="Gadugi"/>
          <w:sz w:val="24"/>
          <w:szCs w:val="24"/>
          <w:bdr w:val="none" w:sz="0" w:space="0" w:color="auto" w:frame="1"/>
          <w:lang w:val="es-CO"/>
        </w:rPr>
        <w:fldChar w:fldCharType="begin"/>
      </w:r>
      <w:r w:rsidR="00530D6B" w:rsidRPr="004D6C45">
        <w:rPr>
          <w:rFonts w:ascii="Gadugi" w:hAnsi="Gadugi"/>
          <w:sz w:val="24"/>
          <w:szCs w:val="24"/>
          <w:bdr w:val="none" w:sz="0" w:space="0" w:color="auto" w:frame="1"/>
          <w:lang w:val="es-CO"/>
        </w:rPr>
        <w:instrText xml:space="preserve"> HYPERLINK "http://www.corteconstitucional.gov.co/relatoria/2016/SU222-16.htm" \l "_ftn82" \o "" </w:instrText>
      </w:r>
      <w:r w:rsidR="00530D6B" w:rsidRPr="004D6C45">
        <w:rPr>
          <w:rFonts w:ascii="Gadugi" w:hAnsi="Gadugi"/>
          <w:sz w:val="24"/>
          <w:szCs w:val="24"/>
          <w:bdr w:val="none" w:sz="0" w:space="0" w:color="auto" w:frame="1"/>
          <w:lang w:val="es-CO"/>
        </w:rPr>
        <w:fldChar w:fldCharType="end"/>
      </w:r>
      <w:bookmarkEnd w:id="1"/>
      <w:r w:rsidR="00530D6B" w:rsidRPr="004D6C45">
        <w:rPr>
          <w:rFonts w:ascii="Gadugi" w:hAnsi="Gadugi"/>
          <w:sz w:val="24"/>
          <w:szCs w:val="24"/>
          <w:bdr w:val="none" w:sz="0" w:space="0" w:color="auto" w:frame="1"/>
          <w:lang w:val="es-CO"/>
        </w:rPr>
        <w:t> </w:t>
      </w:r>
      <w:r w:rsidR="001764FF" w:rsidRPr="004D6C45">
        <w:rPr>
          <w:rFonts w:ascii="Gadugi" w:hAnsi="Gadugi"/>
          <w:sz w:val="24"/>
          <w:szCs w:val="24"/>
          <w:bdr w:val="none" w:sz="0" w:space="0" w:color="auto" w:frame="1"/>
          <w:lang w:val="es-CO"/>
        </w:rPr>
        <w:t xml:space="preserve">o </w:t>
      </w:r>
      <w:r w:rsidR="00530D6B" w:rsidRPr="004D6C45">
        <w:rPr>
          <w:rFonts w:ascii="Gadugi" w:hAnsi="Gadugi"/>
          <w:sz w:val="24"/>
          <w:szCs w:val="24"/>
          <w:bdr w:val="none" w:sz="0" w:space="0" w:color="auto" w:frame="1"/>
          <w:lang w:val="es-CO"/>
        </w:rPr>
        <w:t>fáctico;</w:t>
      </w:r>
      <w:r w:rsidR="001764FF" w:rsidRPr="004D6C45">
        <w:rPr>
          <w:rFonts w:ascii="Gadugi" w:hAnsi="Gadugi"/>
          <w:sz w:val="24"/>
          <w:szCs w:val="24"/>
          <w:bdr w:val="none" w:sz="0" w:space="0" w:color="auto" w:frame="1"/>
          <w:lang w:val="es-CO"/>
        </w:rPr>
        <w:t xml:space="preserve"> (iv)</w:t>
      </w:r>
      <w:r w:rsidR="00530D6B" w:rsidRPr="004D6C45">
        <w:rPr>
          <w:rFonts w:ascii="Gadugi" w:hAnsi="Gadugi"/>
          <w:sz w:val="24"/>
          <w:szCs w:val="24"/>
          <w:bdr w:val="none" w:sz="0" w:space="0" w:color="auto" w:frame="1"/>
          <w:lang w:val="es-CO"/>
        </w:rPr>
        <w:t> error inducido;</w:t>
      </w:r>
      <w:r w:rsidR="001764FF" w:rsidRPr="004D6C45">
        <w:rPr>
          <w:rFonts w:ascii="Gadugi" w:hAnsi="Gadugi"/>
          <w:sz w:val="24"/>
          <w:szCs w:val="24"/>
          <w:bdr w:val="none" w:sz="0" w:space="0" w:color="auto" w:frame="1"/>
          <w:lang w:val="es-CO"/>
        </w:rPr>
        <w:t xml:space="preserve"> (v) </w:t>
      </w:r>
      <w:r w:rsidR="00530D6B" w:rsidRPr="004D6C45">
        <w:rPr>
          <w:rFonts w:ascii="Gadugi" w:hAnsi="Gadugi"/>
          <w:sz w:val="24"/>
          <w:szCs w:val="24"/>
          <w:bdr w:val="none" w:sz="0" w:space="0" w:color="auto" w:frame="1"/>
          <w:lang w:val="es-CO"/>
        </w:rPr>
        <w:t>decisión sin motivación; </w:t>
      </w:r>
      <w:r w:rsidR="001764FF" w:rsidRPr="004D6C45">
        <w:rPr>
          <w:rFonts w:ascii="Gadugi" w:hAnsi="Gadugi"/>
          <w:sz w:val="24"/>
          <w:szCs w:val="24"/>
          <w:bdr w:val="none" w:sz="0" w:space="0" w:color="auto" w:frame="1"/>
          <w:lang w:val="es-CO"/>
        </w:rPr>
        <w:t xml:space="preserve">(vi) </w:t>
      </w:r>
      <w:r w:rsidR="00530D6B" w:rsidRPr="004D6C45">
        <w:rPr>
          <w:rFonts w:ascii="Gadugi" w:hAnsi="Gadugi"/>
          <w:sz w:val="24"/>
          <w:szCs w:val="24"/>
          <w:bdr w:val="none" w:sz="0" w:space="0" w:color="auto" w:frame="1"/>
          <w:lang w:val="es-CO"/>
        </w:rPr>
        <w:t>desconocimiento del precedente constitucional;</w:t>
      </w:r>
      <w:bookmarkStart w:id="2" w:name="_ftnref86"/>
      <w:r w:rsidR="00530D6B" w:rsidRPr="004D6C45">
        <w:rPr>
          <w:rFonts w:ascii="Gadugi" w:hAnsi="Gadugi"/>
          <w:sz w:val="24"/>
          <w:szCs w:val="24"/>
          <w:bdr w:val="none" w:sz="0" w:space="0" w:color="auto" w:frame="1"/>
          <w:lang w:val="es-CO"/>
        </w:rPr>
        <w:fldChar w:fldCharType="begin"/>
      </w:r>
      <w:r w:rsidR="00530D6B" w:rsidRPr="004D6C45">
        <w:rPr>
          <w:rFonts w:ascii="Gadugi" w:hAnsi="Gadugi"/>
          <w:sz w:val="24"/>
          <w:szCs w:val="24"/>
          <w:bdr w:val="none" w:sz="0" w:space="0" w:color="auto" w:frame="1"/>
          <w:lang w:val="es-CO"/>
        </w:rPr>
        <w:instrText xml:space="preserve"> HYPERLINK "http://www.corteconstitucional.gov.co/relatoria/2016/SU222-16.htm" \l "_ftn86" \o "" </w:instrText>
      </w:r>
      <w:r w:rsidR="00530D6B" w:rsidRPr="004D6C45">
        <w:rPr>
          <w:rFonts w:ascii="Gadugi" w:hAnsi="Gadugi"/>
          <w:sz w:val="24"/>
          <w:szCs w:val="24"/>
          <w:bdr w:val="none" w:sz="0" w:space="0" w:color="auto" w:frame="1"/>
          <w:lang w:val="es-CO"/>
        </w:rPr>
        <w:fldChar w:fldCharType="end"/>
      </w:r>
      <w:bookmarkEnd w:id="2"/>
      <w:r w:rsidR="00530D6B" w:rsidRPr="004D6C45">
        <w:rPr>
          <w:rFonts w:ascii="Gadugi" w:hAnsi="Gadugi"/>
          <w:sz w:val="24"/>
          <w:szCs w:val="24"/>
          <w:bdr w:val="none" w:sz="0" w:space="0" w:color="auto" w:frame="1"/>
          <w:lang w:val="es-CO"/>
        </w:rPr>
        <w:t xml:space="preserve"> y </w:t>
      </w:r>
      <w:r w:rsidR="001764FF" w:rsidRPr="004D6C45">
        <w:rPr>
          <w:rFonts w:ascii="Gadugi" w:hAnsi="Gadugi"/>
          <w:sz w:val="24"/>
          <w:szCs w:val="24"/>
          <w:bdr w:val="none" w:sz="0" w:space="0" w:color="auto" w:frame="1"/>
          <w:lang w:val="es-CO"/>
        </w:rPr>
        <w:t xml:space="preserve">(vii) </w:t>
      </w:r>
      <w:r w:rsidR="00530D6B" w:rsidRPr="004D6C45">
        <w:rPr>
          <w:rFonts w:ascii="Gadugi" w:hAnsi="Gadugi"/>
          <w:sz w:val="24"/>
          <w:szCs w:val="24"/>
          <w:bdr w:val="none" w:sz="0" w:space="0" w:color="auto" w:frame="1"/>
          <w:lang w:val="es-CO"/>
        </w:rPr>
        <w:t>violación directa a la constitución.</w:t>
      </w:r>
    </w:p>
    <w:p w:rsidR="002363D0" w:rsidRDefault="00737CC3" w:rsidP="003A53B6">
      <w:pPr>
        <w:pStyle w:val="Sinespaciado2"/>
        <w:spacing w:line="26" w:lineRule="atLeast"/>
        <w:ind w:right="51"/>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p>
    <w:p w:rsidR="003A53B6" w:rsidRDefault="002363D0" w:rsidP="003A53B6">
      <w:pPr>
        <w:pStyle w:val="Sinespaciado2"/>
        <w:spacing w:line="26" w:lineRule="atLeast"/>
        <w:ind w:right="51"/>
        <w:jc w:val="both"/>
        <w:rPr>
          <w:rFonts w:ascii="Gadugi" w:hAnsi="Gadugi"/>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737CC3">
        <w:rPr>
          <w:rFonts w:ascii="Gadugi" w:hAnsi="Gadugi"/>
        </w:rPr>
        <w:t xml:space="preserve">En este </w:t>
      </w:r>
      <w:r w:rsidR="007C6C8F">
        <w:rPr>
          <w:rFonts w:ascii="Gadugi" w:hAnsi="Gadugi"/>
        </w:rPr>
        <w:t>a</w:t>
      </w:r>
      <w:r w:rsidR="00737CC3">
        <w:rPr>
          <w:rFonts w:ascii="Gadugi" w:hAnsi="Gadugi"/>
        </w:rPr>
        <w:t>sunto</w:t>
      </w:r>
      <w:r w:rsidR="003A53B6" w:rsidRPr="004D6C45">
        <w:rPr>
          <w:rFonts w:ascii="Gadugi" w:hAnsi="Gadugi"/>
        </w:rPr>
        <w:t xml:space="preserve">, </w:t>
      </w:r>
      <w:r w:rsidR="003A53B6">
        <w:rPr>
          <w:rFonts w:ascii="Gadugi" w:hAnsi="Gadugi"/>
        </w:rPr>
        <w:t xml:space="preserve">pueden darse por superados los requisitos generales, en la medida en que </w:t>
      </w:r>
      <w:r w:rsidR="003A53B6" w:rsidRPr="004D6C45">
        <w:rPr>
          <w:rFonts w:ascii="Gadugi" w:hAnsi="Gadugi"/>
        </w:rPr>
        <w:t>las quejas involucra</w:t>
      </w:r>
      <w:r w:rsidR="003A53B6" w:rsidRPr="004D6C45">
        <w:rPr>
          <w:rFonts w:ascii="Gadugi" w:hAnsi="Gadugi"/>
          <w:lang w:val="es-CO"/>
        </w:rPr>
        <w:t>n</w:t>
      </w:r>
      <w:r w:rsidR="003A53B6" w:rsidRPr="004D6C45">
        <w:rPr>
          <w:rFonts w:ascii="Gadugi" w:hAnsi="Gadugi"/>
        </w:rPr>
        <w:t xml:space="preserve"> el derecho al debido proceso; se hizo uso de los mecanismos procesales de defensa pertinentes</w:t>
      </w:r>
      <w:r w:rsidR="003A53B6">
        <w:rPr>
          <w:rFonts w:ascii="Gadugi" w:hAnsi="Gadugi"/>
        </w:rPr>
        <w:t xml:space="preserve"> y lo que se discute es, precisamente, la posición del juzgado frente a ellos</w:t>
      </w:r>
      <w:r w:rsidR="003A53B6" w:rsidRPr="004D6C45">
        <w:rPr>
          <w:rFonts w:ascii="Gadugi" w:hAnsi="Gadugi"/>
        </w:rPr>
        <w:t xml:space="preserve">; </w:t>
      </w:r>
      <w:r w:rsidR="007D0D64">
        <w:rPr>
          <w:rFonts w:ascii="Gadugi" w:hAnsi="Gadugi"/>
        </w:rPr>
        <w:t xml:space="preserve">además </w:t>
      </w:r>
      <w:r w:rsidR="007C6C8F">
        <w:rPr>
          <w:rFonts w:ascii="Gadugi" w:hAnsi="Gadugi"/>
        </w:rPr>
        <w:t>el auto</w:t>
      </w:r>
      <w:r w:rsidR="003A53B6" w:rsidRPr="004D6C45">
        <w:rPr>
          <w:rFonts w:ascii="Gadugi" w:hAnsi="Gadugi"/>
        </w:rPr>
        <w:t xml:space="preserve"> que se reprocha</w:t>
      </w:r>
      <w:r w:rsidR="00737CC3">
        <w:rPr>
          <w:rFonts w:ascii="Gadugi" w:hAnsi="Gadugi"/>
        </w:rPr>
        <w:t>, si bien data del 7 de diciembre de 2016, puede verse qu</w:t>
      </w:r>
      <w:r w:rsidR="007C6C8F">
        <w:rPr>
          <w:rFonts w:ascii="Gadugi" w:hAnsi="Gadugi"/>
        </w:rPr>
        <w:t>e solo adquirió firmeza el 7 de noviembre de 2017</w:t>
      </w:r>
      <w:r w:rsidR="007C6C8F" w:rsidRPr="00575600">
        <w:rPr>
          <w:rFonts w:ascii="Gadugi" w:hAnsi="Gadugi"/>
        </w:rPr>
        <w:t xml:space="preserve"> (</w:t>
      </w:r>
      <w:r w:rsidR="00575600" w:rsidRPr="00575600">
        <w:rPr>
          <w:rFonts w:ascii="Gadugi" w:hAnsi="Gadugi"/>
        </w:rPr>
        <w:t>f.</w:t>
      </w:r>
      <w:r w:rsidR="00560939">
        <w:rPr>
          <w:rFonts w:ascii="Gadugi" w:hAnsi="Gadugi"/>
          <w:lang w:val="es-419"/>
        </w:rPr>
        <w:t xml:space="preserve"> </w:t>
      </w:r>
      <w:r w:rsidR="00575600" w:rsidRPr="00575600">
        <w:rPr>
          <w:rFonts w:ascii="Gadugi" w:hAnsi="Gadugi"/>
        </w:rPr>
        <w:t>184</w:t>
      </w:r>
      <w:r w:rsidR="007C6C8F" w:rsidRPr="00575600">
        <w:rPr>
          <w:rFonts w:ascii="Gadugi" w:hAnsi="Gadugi"/>
        </w:rPr>
        <w:t>)</w:t>
      </w:r>
      <w:r w:rsidR="00560939">
        <w:rPr>
          <w:rFonts w:ascii="Gadugi" w:hAnsi="Gadugi"/>
          <w:lang w:val="es-419"/>
        </w:rPr>
        <w:t xml:space="preserve">, </w:t>
      </w:r>
      <w:r w:rsidR="00737CC3">
        <w:rPr>
          <w:rFonts w:ascii="Gadugi" w:hAnsi="Gadugi"/>
        </w:rPr>
        <w:t>es decir que</w:t>
      </w:r>
      <w:r w:rsidR="003A53B6" w:rsidRPr="004D6C45">
        <w:rPr>
          <w:rFonts w:ascii="Gadugi" w:hAnsi="Gadugi"/>
        </w:rPr>
        <w:t xml:space="preserve"> </w:t>
      </w:r>
      <w:r w:rsidR="00575600">
        <w:rPr>
          <w:rFonts w:ascii="Gadugi" w:hAnsi="Gadugi"/>
        </w:rPr>
        <w:t xml:space="preserve">esa actuación </w:t>
      </w:r>
      <w:r>
        <w:rPr>
          <w:rFonts w:ascii="Gadugi" w:hAnsi="Gadugi"/>
          <w:lang w:val="es-419"/>
        </w:rPr>
        <w:t xml:space="preserve">data </w:t>
      </w:r>
      <w:r w:rsidR="003A53B6" w:rsidRPr="004D6C45">
        <w:rPr>
          <w:rFonts w:ascii="Gadugi" w:hAnsi="Gadugi"/>
        </w:rPr>
        <w:t xml:space="preserve">data de </w:t>
      </w:r>
      <w:r>
        <w:rPr>
          <w:rFonts w:ascii="Gadugi" w:hAnsi="Gadugi"/>
          <w:lang w:val="es-419"/>
        </w:rPr>
        <w:t xml:space="preserve">menos de </w:t>
      </w:r>
      <w:r w:rsidR="003A53B6" w:rsidRPr="004D6C45">
        <w:rPr>
          <w:rFonts w:ascii="Gadugi" w:hAnsi="Gadugi"/>
        </w:rPr>
        <w:t>6 meses</w:t>
      </w:r>
      <w:r>
        <w:rPr>
          <w:rFonts w:ascii="Gadugi" w:hAnsi="Gadugi"/>
          <w:lang w:val="es-419"/>
        </w:rPr>
        <w:t>,</w:t>
      </w:r>
      <w:r w:rsidR="003A53B6" w:rsidRPr="004D6C45">
        <w:rPr>
          <w:rFonts w:ascii="Gadugi" w:hAnsi="Gadugi"/>
        </w:rPr>
        <w:t xml:space="preserve"> como tiempo razonable estimado por la jurisprudencia para </w:t>
      </w:r>
      <w:r w:rsidR="003A53B6">
        <w:rPr>
          <w:rFonts w:ascii="Gadugi" w:hAnsi="Gadugi"/>
        </w:rPr>
        <w:t>satisfacer la inmediatez</w:t>
      </w:r>
      <w:r w:rsidR="003A53B6" w:rsidRPr="004D6C45">
        <w:rPr>
          <w:rFonts w:ascii="Gadugi" w:hAnsi="Gadugi"/>
        </w:rPr>
        <w:t>; si se advirtieran las irregularidades que le achaca el demandante al funcionari</w:t>
      </w:r>
      <w:r w:rsidR="00737CC3">
        <w:rPr>
          <w:rFonts w:ascii="Gadugi" w:hAnsi="Gadugi"/>
        </w:rPr>
        <w:t>o</w:t>
      </w:r>
      <w:r w:rsidR="003A53B6" w:rsidRPr="004D6C45">
        <w:rPr>
          <w:rFonts w:ascii="Gadugi" w:hAnsi="Gadugi"/>
        </w:rPr>
        <w:t xml:space="preserve">, incidirían en la </w:t>
      </w:r>
      <w:r w:rsidR="003A53B6">
        <w:rPr>
          <w:rFonts w:ascii="Gadugi" w:hAnsi="Gadugi"/>
        </w:rPr>
        <w:t xml:space="preserve">decisión </w:t>
      </w:r>
      <w:r w:rsidR="003A53B6" w:rsidRPr="004D6C45">
        <w:rPr>
          <w:rFonts w:ascii="Gadugi" w:hAnsi="Gadugi"/>
        </w:rPr>
        <w:t xml:space="preserve">de fondo; y no se </w:t>
      </w:r>
      <w:r>
        <w:rPr>
          <w:rFonts w:ascii="Gadugi" w:hAnsi="Gadugi"/>
          <w:lang w:val="es-419"/>
        </w:rPr>
        <w:t>refiere a</w:t>
      </w:r>
      <w:r w:rsidR="003A53B6" w:rsidRPr="004D6C45">
        <w:rPr>
          <w:rFonts w:ascii="Gadugi" w:hAnsi="Gadugi"/>
        </w:rPr>
        <w:t xml:space="preserve"> providencias dictadas dentro de otras acciones de tutela. </w:t>
      </w:r>
    </w:p>
    <w:p w:rsidR="008A2871" w:rsidRDefault="008A2871" w:rsidP="003A53B6">
      <w:pPr>
        <w:pStyle w:val="Sinespaciado2"/>
        <w:spacing w:line="26" w:lineRule="atLeast"/>
        <w:ind w:right="51"/>
        <w:jc w:val="both"/>
        <w:rPr>
          <w:rFonts w:ascii="Gadugi" w:hAnsi="Gadugi"/>
        </w:rPr>
      </w:pPr>
    </w:p>
    <w:p w:rsidR="008A2871" w:rsidRDefault="00C16B1F" w:rsidP="00C16B1F">
      <w:pPr>
        <w:pStyle w:val="Sinespaciado2"/>
        <w:spacing w:line="26" w:lineRule="atLeast"/>
        <w:ind w:right="51"/>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sidR="00240AAF">
        <w:rPr>
          <w:rFonts w:ascii="Gadugi" w:hAnsi="Gadugi"/>
        </w:rPr>
        <w:t>Se trata</w:t>
      </w:r>
      <w:r w:rsidR="008A2871">
        <w:rPr>
          <w:rFonts w:ascii="Gadugi" w:hAnsi="Gadugi"/>
        </w:rPr>
        <w:t xml:space="preserve"> entonces, de la</w:t>
      </w:r>
      <w:r w:rsidR="006538AB">
        <w:rPr>
          <w:rFonts w:ascii="Gadugi" w:hAnsi="Gadugi"/>
        </w:rPr>
        <w:t xml:space="preserve"> presunta</w:t>
      </w:r>
      <w:r w:rsidR="008A2871">
        <w:rPr>
          <w:rFonts w:ascii="Gadugi" w:hAnsi="Gadugi"/>
        </w:rPr>
        <w:t xml:space="preserve"> incursión, por parte del Juzgado, en los </w:t>
      </w:r>
      <w:r w:rsidR="008A2871" w:rsidRPr="004D6C45">
        <w:rPr>
          <w:rFonts w:ascii="Gadugi" w:hAnsi="Gadugi"/>
        </w:rPr>
        <w:t>defectos sustantivo y procedimental</w:t>
      </w:r>
      <w:r w:rsidR="008A2871">
        <w:rPr>
          <w:rFonts w:ascii="Gadugi" w:hAnsi="Gadugi"/>
        </w:rPr>
        <w:t xml:space="preserve">, según lo que se comprende de la crítica que expone el demandante. Sobre aquel, </w:t>
      </w:r>
      <w:r w:rsidR="008A2871" w:rsidRPr="004D6C45">
        <w:rPr>
          <w:rFonts w:ascii="Gadugi" w:hAnsi="Gadugi"/>
        </w:rPr>
        <w:t>en la sentencia SU-050 de 2017, se recordó que:</w:t>
      </w:r>
    </w:p>
    <w:p w:rsidR="008A2871" w:rsidRDefault="008A2871" w:rsidP="00C16B1F">
      <w:pPr>
        <w:pStyle w:val="Sinespaciado2"/>
        <w:spacing w:line="26" w:lineRule="atLeast"/>
        <w:ind w:right="51"/>
        <w:jc w:val="both"/>
        <w:rPr>
          <w:rFonts w:ascii="Gadugi" w:hAnsi="Gadugi"/>
        </w:rPr>
      </w:pPr>
    </w:p>
    <w:p w:rsidR="008A2871" w:rsidRPr="004D6C45" w:rsidRDefault="008A2871" w:rsidP="008505F7">
      <w:pPr>
        <w:tabs>
          <w:tab w:val="left" w:pos="8829"/>
        </w:tabs>
        <w:spacing w:line="26" w:lineRule="atLeast"/>
        <w:ind w:left="851" w:right="618" w:firstLine="1984"/>
        <w:jc w:val="both"/>
        <w:rPr>
          <w:rFonts w:ascii="Arial Narrow" w:hAnsi="Arial Narrow"/>
          <w:i/>
          <w:sz w:val="24"/>
          <w:szCs w:val="24"/>
        </w:rPr>
      </w:pPr>
      <w:r w:rsidRPr="004D6C45">
        <w:rPr>
          <w:rFonts w:ascii="Arial Narrow" w:hAnsi="Arial Narrow"/>
          <w:sz w:val="24"/>
          <w:szCs w:val="24"/>
        </w:rPr>
        <w:t>La jurisprudencia de esta Corporación</w:t>
      </w:r>
      <w:r w:rsidRPr="004D6C45">
        <w:rPr>
          <w:rStyle w:val="Appelnotedebasdep"/>
          <w:rFonts w:ascii="Arial Narrow" w:hAnsi="Arial Narrow"/>
          <w:sz w:val="24"/>
          <w:szCs w:val="24"/>
        </w:rPr>
        <w:footnoteReference w:id="4"/>
      </w:r>
      <w:r w:rsidRPr="004D6C45">
        <w:rPr>
          <w:rFonts w:ascii="Arial Narrow" w:hAnsi="Arial Narrow"/>
          <w:sz w:val="24"/>
          <w:szCs w:val="24"/>
        </w:rPr>
        <w:t xml:space="preserve"> ha establecido una serie de situaciones en las que una providencia judicial presenta un defecto sustantivo. Estos eventos fueron enunciados de manera reciente en la sentencia T-344 de 2015</w:t>
      </w:r>
      <w:r w:rsidRPr="004D6C45">
        <w:rPr>
          <w:rStyle w:val="Appelnotedebasdep"/>
          <w:rFonts w:ascii="Arial Narrow" w:hAnsi="Arial Narrow"/>
          <w:sz w:val="24"/>
          <w:szCs w:val="24"/>
        </w:rPr>
        <w:footnoteReference w:id="5"/>
      </w:r>
      <w:r w:rsidRPr="004D6C45">
        <w:rPr>
          <w:rFonts w:ascii="Arial Narrow" w:hAnsi="Arial Narrow"/>
          <w:sz w:val="24"/>
          <w:szCs w:val="24"/>
        </w:rPr>
        <w:t xml:space="preserve"> así: “</w:t>
      </w:r>
      <w:r w:rsidRPr="004D6C45">
        <w:rPr>
          <w:rFonts w:ascii="Arial Narrow" w:hAnsi="Arial Narrow"/>
          <w:i/>
          <w:sz w:val="24"/>
          <w:szCs w:val="24"/>
        </w:rPr>
        <w:t>(i) cuando la decisión judicial se basa en una norma que no es aplicable, porque a) no es pertinente</w:t>
      </w:r>
      <w:r w:rsidRPr="004D6C45">
        <w:rPr>
          <w:rFonts w:ascii="Arial Narrow" w:hAnsi="Arial Narrow"/>
          <w:i/>
          <w:sz w:val="24"/>
          <w:szCs w:val="24"/>
          <w:vertAlign w:val="superscript"/>
        </w:rPr>
        <w:footnoteReference w:id="6"/>
      </w:r>
      <w:r w:rsidRPr="004D6C45">
        <w:rPr>
          <w:rFonts w:ascii="Arial Narrow" w:hAnsi="Arial Narrow"/>
          <w:i/>
          <w:sz w:val="24"/>
          <w:szCs w:val="24"/>
        </w:rPr>
        <w:t xml:space="preserve">, b) ha sido derogada y por tanto perdió </w:t>
      </w:r>
      <w:r w:rsidRPr="004D6C45">
        <w:rPr>
          <w:rFonts w:ascii="Arial Narrow" w:hAnsi="Arial Narrow"/>
          <w:i/>
          <w:sz w:val="24"/>
          <w:szCs w:val="24"/>
        </w:rPr>
        <w:lastRenderedPageBreak/>
        <w:t>vigencia</w:t>
      </w:r>
      <w:r w:rsidRPr="004D6C45">
        <w:rPr>
          <w:rFonts w:ascii="Arial Narrow" w:hAnsi="Arial Narrow"/>
          <w:i/>
          <w:sz w:val="24"/>
          <w:szCs w:val="24"/>
          <w:vertAlign w:val="superscript"/>
        </w:rPr>
        <w:footnoteReference w:id="7"/>
      </w:r>
      <w:r w:rsidRPr="004D6C45">
        <w:rPr>
          <w:rFonts w:ascii="Arial Narrow" w:hAnsi="Arial Narrow"/>
          <w:i/>
          <w:sz w:val="24"/>
          <w:szCs w:val="24"/>
        </w:rPr>
        <w:t>, c) es inexistente</w:t>
      </w:r>
      <w:r w:rsidRPr="004D6C45">
        <w:rPr>
          <w:rFonts w:ascii="Arial Narrow" w:hAnsi="Arial Narrow"/>
          <w:i/>
          <w:sz w:val="24"/>
          <w:szCs w:val="24"/>
          <w:vertAlign w:val="superscript"/>
        </w:rPr>
        <w:footnoteReference w:id="8"/>
      </w:r>
      <w:r w:rsidRPr="004D6C45">
        <w:rPr>
          <w:rFonts w:ascii="Arial Narrow" w:hAnsi="Arial Narrow"/>
          <w:i/>
          <w:sz w:val="24"/>
          <w:szCs w:val="24"/>
        </w:rPr>
        <w:t>, d) ha sido declarada contraria a la Constitución</w:t>
      </w:r>
      <w:r w:rsidRPr="004D6C45">
        <w:rPr>
          <w:rFonts w:ascii="Arial Narrow" w:hAnsi="Arial Narrow"/>
          <w:i/>
          <w:sz w:val="24"/>
          <w:szCs w:val="24"/>
          <w:vertAlign w:val="superscript"/>
        </w:rPr>
        <w:footnoteReference w:id="9"/>
      </w:r>
      <w:r w:rsidRPr="004D6C45">
        <w:rPr>
          <w:rFonts w:ascii="Arial Narrow" w:hAnsi="Arial Narrow"/>
          <w:i/>
          <w:sz w:val="24"/>
          <w:szCs w:val="24"/>
        </w:rPr>
        <w:t>, e) a pesar de que la norma cuestionada está vigente y es constitucional, no se adecua a la situación fáctica a la cual se aplicó, porque la norma utilizada, por ejemplo, se le dan efectos distintos a los señalados expresamente por el legislador</w:t>
      </w:r>
      <w:r w:rsidRPr="004D6C45">
        <w:rPr>
          <w:rFonts w:ascii="Arial Narrow" w:hAnsi="Arial Narrow"/>
          <w:i/>
          <w:sz w:val="24"/>
          <w:szCs w:val="24"/>
          <w:vertAlign w:val="superscript"/>
        </w:rPr>
        <w:footnoteReference w:id="10"/>
      </w:r>
      <w:r w:rsidRPr="004D6C45">
        <w:rPr>
          <w:rFonts w:ascii="Arial Narrow" w:hAnsi="Arial Narrow"/>
          <w:i/>
          <w:sz w:val="24"/>
          <w:szCs w:val="24"/>
        </w:rPr>
        <w:t>; (ii) cuando a pesar de la autonomía judicial, la interpretación o aplicación de la norma al caso concreto, no se encuentra, prima facie, dentro del margen de interpretación razonable</w:t>
      </w:r>
      <w:r w:rsidRPr="004D6C45">
        <w:rPr>
          <w:rFonts w:ascii="Arial Narrow" w:hAnsi="Arial Narrow"/>
          <w:i/>
          <w:sz w:val="24"/>
          <w:szCs w:val="24"/>
          <w:vertAlign w:val="superscript"/>
        </w:rPr>
        <w:footnoteReference w:id="11"/>
      </w:r>
      <w:r w:rsidRPr="004D6C45">
        <w:rPr>
          <w:rFonts w:ascii="Arial Narrow" w:hAnsi="Arial Narrow"/>
          <w:i/>
          <w:sz w:val="24"/>
          <w:szCs w:val="24"/>
        </w:rPr>
        <w:t xml:space="preserve"> o “</w:t>
      </w:r>
      <w:r w:rsidRPr="004D6C45">
        <w:rPr>
          <w:rFonts w:ascii="Arial Narrow" w:hAnsi="Arial Narrow"/>
          <w:i/>
          <w:iCs/>
          <w:sz w:val="24"/>
          <w:szCs w:val="24"/>
        </w:rPr>
        <w:t>la aplicación final de la regla es inaceptable por tratarse de una interpretación contraevidente (interpretación contra legem) o claramente perjudicial para los intereses legítimos de una de las partes”</w:t>
      </w:r>
      <w:r w:rsidRPr="004D6C45">
        <w:rPr>
          <w:rFonts w:ascii="Arial Narrow" w:hAnsi="Arial Narrow"/>
          <w:i/>
          <w:iCs/>
          <w:sz w:val="24"/>
          <w:szCs w:val="24"/>
          <w:vertAlign w:val="superscript"/>
        </w:rPr>
        <w:footnoteReference w:id="12"/>
      </w:r>
      <w:r w:rsidRPr="004D6C45">
        <w:rPr>
          <w:rFonts w:ascii="Arial Narrow" w:hAnsi="Arial Narrow"/>
          <w:i/>
          <w:iCs/>
          <w:sz w:val="24"/>
          <w:szCs w:val="24"/>
        </w:rPr>
        <w:t xml:space="preserve"> o cuando se aplica una norma jurídica de forma manifiestamente errada, sacando de los parámetros de la juridicidad y de la interpretación jurídica aceptable la decisión judicial; (iii) cuando no se toman en cuenta sentencias que han definido su alcance con efectos erga omnes</w:t>
      </w:r>
      <w:r w:rsidRPr="004D6C45">
        <w:rPr>
          <w:rFonts w:ascii="Arial Narrow" w:hAnsi="Arial Narrow"/>
          <w:i/>
          <w:sz w:val="24"/>
          <w:szCs w:val="24"/>
          <w:vertAlign w:val="superscript"/>
        </w:rPr>
        <w:footnoteReference w:id="13"/>
      </w:r>
      <w:r w:rsidRPr="004D6C45">
        <w:rPr>
          <w:rFonts w:ascii="Arial Narrow" w:hAnsi="Arial Narrow"/>
          <w:i/>
          <w:sz w:val="24"/>
          <w:szCs w:val="24"/>
        </w:rPr>
        <w:t>, (iv) cuando la disposición aplicada se torna injustificadamente regresiva</w:t>
      </w:r>
      <w:r w:rsidRPr="004D6C45">
        <w:rPr>
          <w:rFonts w:ascii="Arial Narrow" w:hAnsi="Arial Narrow"/>
          <w:i/>
          <w:sz w:val="24"/>
          <w:szCs w:val="24"/>
          <w:vertAlign w:val="superscript"/>
        </w:rPr>
        <w:footnoteReference w:id="14"/>
      </w:r>
      <w:r w:rsidRPr="004D6C45">
        <w:rPr>
          <w:rFonts w:ascii="Arial Narrow" w:hAnsi="Arial Narrow"/>
          <w:i/>
          <w:sz w:val="24"/>
          <w:szCs w:val="24"/>
        </w:rPr>
        <w:t xml:space="preserve"> o contraria a la Constitución</w:t>
      </w:r>
      <w:r w:rsidRPr="004D6C45">
        <w:rPr>
          <w:rFonts w:ascii="Arial Narrow" w:hAnsi="Arial Narrow"/>
          <w:i/>
          <w:sz w:val="24"/>
          <w:szCs w:val="24"/>
          <w:vertAlign w:val="superscript"/>
        </w:rPr>
        <w:footnoteReference w:id="15"/>
      </w:r>
      <w:r w:rsidRPr="004D6C45">
        <w:rPr>
          <w:rFonts w:ascii="Arial Narrow" w:hAnsi="Arial Narrow"/>
          <w:i/>
          <w:sz w:val="24"/>
          <w:szCs w:val="24"/>
        </w:rPr>
        <w:t xml:space="preserve">; (v) cuando un poder concedido al juez por el ordenamiento jurídico se utiliza </w:t>
      </w:r>
      <w:r w:rsidRPr="004D6C45">
        <w:rPr>
          <w:rFonts w:ascii="Arial Narrow" w:hAnsi="Arial Narrow"/>
          <w:i/>
          <w:iCs/>
          <w:sz w:val="24"/>
          <w:szCs w:val="24"/>
        </w:rPr>
        <w:t>“para un fin no previsto en la disposición”</w:t>
      </w:r>
      <w:r w:rsidRPr="004D6C45">
        <w:rPr>
          <w:rFonts w:ascii="Arial Narrow" w:hAnsi="Arial Narrow"/>
          <w:i/>
          <w:iCs/>
          <w:sz w:val="24"/>
          <w:szCs w:val="24"/>
          <w:vertAlign w:val="superscript"/>
        </w:rPr>
        <w:footnoteReference w:id="16"/>
      </w:r>
      <w:r w:rsidRPr="004D6C45">
        <w:rPr>
          <w:rFonts w:ascii="Arial Narrow" w:hAnsi="Arial Narrow"/>
          <w:i/>
          <w:iCs/>
          <w:sz w:val="24"/>
          <w:szCs w:val="24"/>
        </w:rPr>
        <w:t>; (vi) cuando la decisión se funda en una hermenéutica no sistémica de la norma, con omisión del análisis de otras disposiciones que regulan el caso</w:t>
      </w:r>
      <w:r w:rsidRPr="004D6C45">
        <w:rPr>
          <w:rFonts w:ascii="Arial Narrow" w:hAnsi="Arial Narrow"/>
          <w:i/>
          <w:iCs/>
          <w:sz w:val="24"/>
          <w:szCs w:val="24"/>
          <w:vertAlign w:val="superscript"/>
        </w:rPr>
        <w:footnoteReference w:id="17"/>
      </w:r>
      <w:r w:rsidRPr="004D6C45">
        <w:rPr>
          <w:rFonts w:ascii="Arial Narrow" w:hAnsi="Arial Narrow"/>
          <w:i/>
          <w:iCs/>
          <w:sz w:val="24"/>
          <w:szCs w:val="24"/>
        </w:rPr>
        <w:t xml:space="preserve"> o (vii) cuando se desconoce la norma constitucional o legal aplicable al caso concreto</w:t>
      </w:r>
      <w:r w:rsidRPr="004D6C45">
        <w:rPr>
          <w:rFonts w:ascii="Arial Narrow" w:hAnsi="Arial Narrow"/>
          <w:i/>
          <w:sz w:val="24"/>
          <w:szCs w:val="24"/>
          <w:vertAlign w:val="superscript"/>
        </w:rPr>
        <w:footnoteReference w:id="18"/>
      </w:r>
      <w:r w:rsidRPr="004D6C45">
        <w:rPr>
          <w:rFonts w:ascii="Arial Narrow" w:hAnsi="Arial Narrow"/>
          <w:i/>
          <w:sz w:val="24"/>
          <w:szCs w:val="24"/>
        </w:rPr>
        <w:t>. Existe defecto sustantivo igualmente cuando (viii) la decisión no está justificada en forma suficiente</w:t>
      </w:r>
      <w:r w:rsidRPr="004D6C45">
        <w:rPr>
          <w:rFonts w:ascii="Arial Narrow" w:hAnsi="Arial Narrow"/>
          <w:i/>
          <w:sz w:val="24"/>
          <w:szCs w:val="24"/>
          <w:vertAlign w:val="superscript"/>
        </w:rPr>
        <w:footnoteReference w:id="19"/>
      </w:r>
      <w:r w:rsidRPr="004D6C45">
        <w:rPr>
          <w:rFonts w:ascii="Arial Narrow" w:hAnsi="Arial Narrow"/>
          <w:i/>
          <w:sz w:val="24"/>
          <w:szCs w:val="24"/>
        </w:rPr>
        <w:t xml:space="preserve"> de tal manera que se afectan derechos fundamentales</w:t>
      </w:r>
      <w:r w:rsidRPr="004D6C45">
        <w:rPr>
          <w:rFonts w:ascii="Arial Narrow" w:hAnsi="Arial Narrow"/>
          <w:i/>
          <w:sz w:val="24"/>
          <w:szCs w:val="24"/>
          <w:vertAlign w:val="superscript"/>
        </w:rPr>
        <w:footnoteReference w:id="20"/>
      </w:r>
      <w:r w:rsidRPr="004D6C45">
        <w:rPr>
          <w:rFonts w:ascii="Arial Narrow" w:hAnsi="Arial Narrow"/>
          <w:i/>
          <w:sz w:val="24"/>
          <w:szCs w:val="24"/>
        </w:rPr>
        <w:t>; (ix) cuando sin un mínimo de argumentación se desconoce el precedente judicial</w:t>
      </w:r>
      <w:r w:rsidRPr="004D6C45">
        <w:rPr>
          <w:rFonts w:ascii="Arial Narrow" w:hAnsi="Arial Narrow"/>
          <w:i/>
          <w:sz w:val="24"/>
          <w:szCs w:val="24"/>
          <w:vertAlign w:val="superscript"/>
        </w:rPr>
        <w:footnoteReference w:id="21"/>
      </w:r>
      <w:r w:rsidRPr="004D6C45">
        <w:rPr>
          <w:rFonts w:ascii="Arial Narrow" w:hAnsi="Arial Narrow"/>
          <w:i/>
          <w:sz w:val="24"/>
          <w:szCs w:val="24"/>
        </w:rPr>
        <w:t xml:space="preserve"> y, (x) cuando el juez no aplica la excepción de inconstitucionalidad frente a una manifiesta violación de la Constitución</w:t>
      </w:r>
      <w:r w:rsidRPr="004D6C45">
        <w:rPr>
          <w:rFonts w:ascii="Arial Narrow" w:hAnsi="Arial Narrow"/>
          <w:i/>
          <w:sz w:val="24"/>
          <w:szCs w:val="24"/>
          <w:vertAlign w:val="superscript"/>
        </w:rPr>
        <w:footnoteReference w:id="22"/>
      </w:r>
      <w:r w:rsidRPr="004D6C45">
        <w:rPr>
          <w:rFonts w:ascii="Arial Narrow" w:hAnsi="Arial Narrow"/>
          <w:i/>
          <w:sz w:val="24"/>
          <w:szCs w:val="24"/>
        </w:rPr>
        <w:t>.</w:t>
      </w:r>
    </w:p>
    <w:p w:rsidR="008A2871" w:rsidRPr="004D6C45" w:rsidRDefault="008A2871" w:rsidP="008A2871">
      <w:pPr>
        <w:tabs>
          <w:tab w:val="left" w:pos="8829"/>
        </w:tabs>
        <w:spacing w:line="26" w:lineRule="atLeast"/>
        <w:ind w:left="851" w:right="902" w:firstLine="1984"/>
        <w:jc w:val="both"/>
        <w:rPr>
          <w:rFonts w:ascii="Arial Narrow" w:hAnsi="Arial Narrow"/>
          <w:i/>
          <w:sz w:val="24"/>
          <w:szCs w:val="24"/>
        </w:rPr>
      </w:pPr>
    </w:p>
    <w:p w:rsidR="008A2871" w:rsidRPr="004D6C45" w:rsidRDefault="008A2871" w:rsidP="008A2871">
      <w:pPr>
        <w:pStyle w:val="Textoindependiente210"/>
        <w:spacing w:line="26" w:lineRule="atLeast"/>
        <w:ind w:firstLine="0"/>
        <w:rPr>
          <w:rFonts w:ascii="Gadugi" w:hAnsi="Gadugi"/>
        </w:rPr>
      </w:pPr>
      <w:r w:rsidRPr="004D6C45">
        <w:rPr>
          <w:rFonts w:ascii="Arial Narrow" w:hAnsi="Arial Narrow"/>
        </w:rPr>
        <w:t xml:space="preserve"> </w:t>
      </w:r>
      <w:r w:rsidRPr="004D6C45">
        <w:rPr>
          <w:rFonts w:ascii="Arial Narrow" w:hAnsi="Arial Narrow"/>
        </w:rPr>
        <w:tab/>
      </w:r>
      <w:r w:rsidRPr="004D6C45">
        <w:rPr>
          <w:rFonts w:ascii="Arial Narrow" w:hAnsi="Arial Narrow"/>
        </w:rPr>
        <w:tab/>
      </w:r>
      <w:r w:rsidRPr="004D6C45">
        <w:rPr>
          <w:rFonts w:ascii="Arial Narrow" w:hAnsi="Arial Narrow"/>
        </w:rPr>
        <w:tab/>
      </w:r>
      <w:r w:rsidRPr="004D6C45">
        <w:rPr>
          <w:rFonts w:ascii="Arial Narrow" w:hAnsi="Arial Narrow"/>
        </w:rPr>
        <w:tab/>
      </w:r>
      <w:r w:rsidRPr="004D6C45">
        <w:rPr>
          <w:rFonts w:ascii="Gadugi" w:hAnsi="Gadugi"/>
        </w:rPr>
        <w:t>Y sobre el procedimental se ha precisado que</w:t>
      </w:r>
      <w:r w:rsidRPr="004D6C45">
        <w:rPr>
          <w:rStyle w:val="Appelnotedebasdep"/>
          <w:rFonts w:ascii="Gadugi" w:hAnsi="Gadugi"/>
        </w:rPr>
        <w:footnoteReference w:id="23"/>
      </w:r>
      <w:r w:rsidRPr="004D6C45">
        <w:rPr>
          <w:rFonts w:ascii="Gadugi" w:hAnsi="Gadugi"/>
        </w:rPr>
        <w:t>:</w:t>
      </w:r>
    </w:p>
    <w:p w:rsidR="008A2871" w:rsidRPr="004D6C45" w:rsidRDefault="008A2871" w:rsidP="008A2871">
      <w:pPr>
        <w:spacing w:line="26" w:lineRule="atLeast"/>
        <w:ind w:left="709" w:right="618"/>
        <w:jc w:val="both"/>
        <w:rPr>
          <w:rFonts w:ascii="Arial Narrow" w:hAnsi="Arial Narrow"/>
          <w:i/>
          <w:sz w:val="22"/>
          <w:szCs w:val="22"/>
        </w:rPr>
      </w:pPr>
      <w:r w:rsidRPr="004D6C45">
        <w:rPr>
          <w:rFonts w:ascii="Gadugi" w:hAnsi="Gadugi"/>
          <w:sz w:val="24"/>
          <w:szCs w:val="24"/>
        </w:rPr>
        <w:t xml:space="preserve"> </w:t>
      </w:r>
    </w:p>
    <w:p w:rsidR="008A2871" w:rsidRPr="006538AB" w:rsidRDefault="008A2871" w:rsidP="008505F7">
      <w:pPr>
        <w:shd w:val="clear" w:color="auto" w:fill="FFFFFF"/>
        <w:spacing w:line="26" w:lineRule="atLeast"/>
        <w:ind w:left="851" w:right="618"/>
        <w:jc w:val="both"/>
        <w:rPr>
          <w:rFonts w:ascii="Arial Narrow" w:hAnsi="Arial Narrow"/>
          <w:i/>
          <w:sz w:val="24"/>
          <w:szCs w:val="24"/>
        </w:rPr>
      </w:pPr>
      <w:r w:rsidRPr="004D6C45">
        <w:rPr>
          <w:rFonts w:ascii="Arial Narrow" w:hAnsi="Arial Narrow"/>
          <w:i/>
          <w:sz w:val="22"/>
          <w:szCs w:val="22"/>
        </w:rPr>
        <w:tab/>
        <w:t xml:space="preserve">        </w:t>
      </w:r>
      <w:r w:rsidRPr="004D6C45">
        <w:rPr>
          <w:rFonts w:ascii="Arial Narrow" w:hAnsi="Arial Narrow"/>
          <w:i/>
          <w:sz w:val="22"/>
          <w:szCs w:val="22"/>
        </w:rPr>
        <w:tab/>
        <w:t xml:space="preserve">  </w:t>
      </w:r>
      <w:r w:rsidRPr="004D6C45">
        <w:rPr>
          <w:rFonts w:ascii="Arial Narrow" w:hAnsi="Arial Narrow"/>
          <w:i/>
          <w:sz w:val="22"/>
          <w:szCs w:val="22"/>
        </w:rPr>
        <w:tab/>
      </w:r>
      <w:r w:rsidRPr="006538AB">
        <w:rPr>
          <w:rFonts w:ascii="Arial Narrow" w:hAnsi="Arial Narrow"/>
          <w:i/>
          <w:sz w:val="24"/>
          <w:szCs w:val="24"/>
        </w:rPr>
        <w:t>“</w:t>
      </w:r>
      <w:r w:rsidRPr="006538AB">
        <w:rPr>
          <w:rFonts w:ascii="Arial Narrow" w:hAnsi="Arial Narrow"/>
          <w:i/>
          <w:sz w:val="24"/>
          <w:szCs w:val="24"/>
          <w:bdr w:val="none" w:sz="0" w:space="0" w:color="auto" w:frame="1"/>
        </w:rPr>
        <w:t xml:space="preserve">33. El defecto procedimental como una causal especial de procedencia de la tutela contra providencias judiciales se sustenta en los artículos </w:t>
      </w:r>
      <w:r w:rsidRPr="006538AB">
        <w:rPr>
          <w:rFonts w:ascii="Arial Narrow" w:hAnsi="Arial Narrow"/>
          <w:i/>
          <w:sz w:val="24"/>
          <w:szCs w:val="24"/>
          <w:bdr w:val="none" w:sz="0" w:space="0" w:color="auto" w:frame="1"/>
        </w:rPr>
        <w:lastRenderedPageBreak/>
        <w:t>29 y 228 de la Constitución, que consagran los derechos al debido proceso y a la administración de justicia y el principio de prevalencia del derecho sustancial que protege a las personas de que se presente una grave arbitrariedad en el acceso a la justicia. La Corte Constitucional ha reconocido dos modalidades de este defecto: i) el absoluto, que se da cuando hay una desviación del procedimiento legalmente establecido… y ii) por</w:t>
      </w:r>
      <w:r w:rsidRPr="006538AB">
        <w:rPr>
          <w:rFonts w:ascii="Arial Narrow" w:hAnsi="Arial Narrow"/>
          <w:bCs/>
          <w:i/>
          <w:sz w:val="24"/>
          <w:szCs w:val="24"/>
          <w:bdr w:val="none" w:sz="0" w:space="0" w:color="auto" w:frame="1"/>
        </w:rPr>
        <w:t> </w:t>
      </w:r>
      <w:r w:rsidRPr="006538AB">
        <w:rPr>
          <w:rFonts w:ascii="Arial Narrow" w:hAnsi="Arial Narrow"/>
          <w:i/>
          <w:sz w:val="24"/>
          <w:szCs w:val="24"/>
          <w:bdr w:val="none" w:sz="0" w:space="0" w:color="auto" w:frame="1"/>
        </w:rPr>
        <w:t>“</w:t>
      </w:r>
      <w:r w:rsidRPr="006538AB">
        <w:rPr>
          <w:rFonts w:ascii="Arial Narrow" w:hAnsi="Arial Narrow"/>
          <w:i/>
          <w:iCs/>
          <w:sz w:val="24"/>
          <w:szCs w:val="24"/>
          <w:bdr w:val="none" w:sz="0" w:space="0" w:color="auto" w:frame="1"/>
          <w:lang w:val="es-CO"/>
        </w:rPr>
        <w:t>exceso ritual manifiesto</w:t>
      </w:r>
      <w:r w:rsidRPr="006538AB">
        <w:rPr>
          <w:rFonts w:ascii="Arial Narrow" w:hAnsi="Arial Narrow"/>
          <w:i/>
          <w:sz w:val="24"/>
          <w:szCs w:val="24"/>
          <w:bdr w:val="none" w:sz="0" w:space="0" w:color="auto" w:frame="1"/>
          <w:lang w:val="es-CO"/>
        </w:rPr>
        <w:t>, </w:t>
      </w:r>
      <w:r w:rsidRPr="006538AB">
        <w:rPr>
          <w:rFonts w:ascii="Arial Narrow" w:hAnsi="Arial Narrow"/>
          <w:i/>
          <w:iCs/>
          <w:sz w:val="24"/>
          <w:szCs w:val="24"/>
          <w:bdr w:val="none" w:sz="0" w:space="0" w:color="auto" w:frame="1"/>
          <w:shd w:val="clear" w:color="auto" w:fill="FFFFFF"/>
          <w:lang w:val="es-CO"/>
        </w:rPr>
        <w:t>que tiene lugar cuando hay una renuncia consciente de la verdad jurídica objetiva evidente en los hechos, por extremo rigor en la aplicación de las normas procesales</w:t>
      </w:r>
      <w:r w:rsidRPr="006538AB">
        <w:rPr>
          <w:rFonts w:ascii="Arial Narrow" w:hAnsi="Arial Narrow"/>
          <w:i/>
          <w:sz w:val="24"/>
          <w:szCs w:val="24"/>
          <w:bdr w:val="none" w:sz="0" w:space="0" w:color="auto" w:frame="1"/>
          <w:shd w:val="clear" w:color="auto" w:fill="FFFFFF"/>
          <w:lang w:val="es-CO"/>
        </w:rPr>
        <w:t>”…</w:t>
      </w:r>
      <w:hyperlink r:id="rId9" w:anchor="_ftn47" w:history="1"/>
      <w:r w:rsidRPr="006538AB">
        <w:rPr>
          <w:rFonts w:ascii="Arial Narrow" w:hAnsi="Arial Narrow"/>
          <w:i/>
          <w:sz w:val="24"/>
          <w:szCs w:val="24"/>
          <w:bdr w:val="none" w:sz="0" w:space="0" w:color="auto" w:frame="1"/>
          <w:shd w:val="clear" w:color="auto" w:fill="FFFFFF"/>
          <w:lang w:val="es-CO"/>
        </w:rPr>
        <w:t xml:space="preserve">. </w:t>
      </w:r>
    </w:p>
    <w:p w:rsidR="008A2871" w:rsidRPr="000D4FB6" w:rsidRDefault="008A2871" w:rsidP="000D4FB6">
      <w:pPr>
        <w:shd w:val="clear" w:color="auto" w:fill="FFFFFF"/>
        <w:overflowPunct/>
        <w:autoSpaceDE/>
        <w:autoSpaceDN/>
        <w:adjustRightInd/>
        <w:ind w:left="851" w:right="618"/>
        <w:jc w:val="both"/>
        <w:rPr>
          <w:rFonts w:ascii="Arial Narrow" w:hAnsi="Arial Narrow"/>
          <w:i/>
          <w:sz w:val="16"/>
          <w:szCs w:val="16"/>
        </w:rPr>
      </w:pPr>
      <w:r w:rsidRPr="006538AB">
        <w:rPr>
          <w:rFonts w:ascii="Arial Narrow" w:hAnsi="Arial Narrow"/>
          <w:i/>
          <w:sz w:val="24"/>
          <w:szCs w:val="24"/>
          <w:bdr w:val="none" w:sz="0" w:space="0" w:color="auto" w:frame="1"/>
          <w:lang w:val="es-CO"/>
        </w:rPr>
        <w:t> </w:t>
      </w:r>
    </w:p>
    <w:p w:rsidR="008A2871" w:rsidRPr="006538AB" w:rsidRDefault="008A2871" w:rsidP="008505F7">
      <w:pPr>
        <w:shd w:val="clear" w:color="auto" w:fill="FFFFFF"/>
        <w:overflowPunct/>
        <w:autoSpaceDE/>
        <w:autoSpaceDN/>
        <w:adjustRightInd/>
        <w:spacing w:line="26" w:lineRule="atLeast"/>
        <w:ind w:left="851" w:right="618"/>
        <w:jc w:val="both"/>
        <w:rPr>
          <w:rFonts w:ascii="Arial Narrow" w:hAnsi="Arial Narrow"/>
          <w:i/>
          <w:sz w:val="24"/>
          <w:szCs w:val="24"/>
        </w:rPr>
      </w:pPr>
      <w:r w:rsidRPr="006538AB">
        <w:rPr>
          <w:rFonts w:ascii="Arial Narrow" w:hAnsi="Arial Narrow"/>
          <w:i/>
          <w:sz w:val="24"/>
          <w:szCs w:val="24"/>
          <w:bdr w:val="none" w:sz="0" w:space="0" w:color="auto" w:frame="1"/>
          <w:lang w:val="es-CO"/>
        </w:rPr>
        <w:t xml:space="preserve"> </w:t>
      </w:r>
      <w:r w:rsidRPr="006538AB">
        <w:rPr>
          <w:rFonts w:ascii="Arial Narrow" w:hAnsi="Arial Narrow"/>
          <w:i/>
          <w:sz w:val="24"/>
          <w:szCs w:val="24"/>
          <w:bdr w:val="none" w:sz="0" w:space="0" w:color="auto" w:frame="1"/>
          <w:lang w:val="es-CO"/>
        </w:rPr>
        <w:tab/>
      </w:r>
      <w:r w:rsidRPr="006538AB">
        <w:rPr>
          <w:rFonts w:ascii="Arial Narrow" w:hAnsi="Arial Narrow"/>
          <w:i/>
          <w:sz w:val="24"/>
          <w:szCs w:val="24"/>
          <w:bdr w:val="none" w:sz="0" w:space="0" w:color="auto" w:frame="1"/>
          <w:lang w:val="es-CO"/>
        </w:rPr>
        <w:tab/>
      </w:r>
      <w:r w:rsidRPr="006538AB">
        <w:rPr>
          <w:rFonts w:ascii="Arial Narrow" w:hAnsi="Arial Narrow"/>
          <w:i/>
          <w:sz w:val="24"/>
          <w:szCs w:val="24"/>
          <w:bdr w:val="none" w:sz="0" w:space="0" w:color="auto" w:frame="1"/>
          <w:lang w:val="es-CO"/>
        </w:rPr>
        <w:tab/>
        <w:t>34. En relación con el defecto procedimental absoluto…, la Corte ha indicado que “</w:t>
      </w:r>
      <w:r w:rsidRPr="006538AB">
        <w:rPr>
          <w:rFonts w:ascii="Arial Narrow" w:hAnsi="Arial Narrow"/>
          <w:i/>
          <w:iCs/>
          <w:sz w:val="24"/>
          <w:szCs w:val="24"/>
          <w:bdr w:val="none" w:sz="0" w:space="0" w:color="auto" w:frame="1"/>
          <w:lang w:val="es-CO"/>
        </w:rPr>
        <w:t>“[c]uando el juez se desvía por completo del procedimiento fijado por la ley para dar trámite a determinadas cuestiones y actúa de forma arbitraria y caprichosa, con fundamento en su sola voluntad, se configura el defecto procedimental. El defecto procedimental se erige en una violación al debido proceso cuando el juez da un cauce que no corresponde al asunto sometido a su competencia, o cuando pretermite las etapas propias del juicio, como por ejemplo, omite la notificación de un acto que requiera de esta formalidad según la ley, o cuando pasa por alto realizar el debate probatorio, natural a todo proceso, vulnerando el derecho de defensa y contradicción de los sujetos procesales al no permitirles sustentar o comprobar los hechos de la demanda o su contestación, con la consecuente negación de sus pretensiones en la decisión de fondo y la violación a los derechos fundamentales”…</w:t>
      </w:r>
      <w:r w:rsidRPr="006538AB">
        <w:rPr>
          <w:rFonts w:ascii="Arial Narrow" w:hAnsi="Arial Narrow"/>
          <w:i/>
          <w:sz w:val="24"/>
          <w:szCs w:val="24"/>
          <w:bdr w:val="none" w:sz="0" w:space="0" w:color="auto" w:frame="1"/>
          <w:lang w:val="es-CO"/>
        </w:rPr>
        <w:t>.</w:t>
      </w:r>
    </w:p>
    <w:p w:rsidR="008A2871" w:rsidRPr="006538AB" w:rsidRDefault="008A2871" w:rsidP="008505F7">
      <w:pPr>
        <w:shd w:val="clear" w:color="auto" w:fill="FFFFFF"/>
        <w:overflowPunct/>
        <w:autoSpaceDE/>
        <w:autoSpaceDN/>
        <w:adjustRightInd/>
        <w:spacing w:line="26" w:lineRule="atLeast"/>
        <w:ind w:left="851" w:right="618"/>
        <w:jc w:val="both"/>
        <w:rPr>
          <w:rFonts w:ascii="Arial Narrow" w:hAnsi="Arial Narrow"/>
          <w:i/>
          <w:sz w:val="24"/>
          <w:szCs w:val="24"/>
        </w:rPr>
      </w:pPr>
      <w:r w:rsidRPr="006538AB">
        <w:rPr>
          <w:rFonts w:ascii="Arial Narrow" w:hAnsi="Arial Narrow"/>
          <w:b/>
          <w:bCs/>
          <w:i/>
          <w:sz w:val="24"/>
          <w:szCs w:val="24"/>
          <w:bdr w:val="none" w:sz="0" w:space="0" w:color="auto" w:frame="1"/>
          <w:lang w:val="es-CO"/>
        </w:rPr>
        <w:t> </w:t>
      </w:r>
    </w:p>
    <w:p w:rsidR="008A2871" w:rsidRPr="006538AB" w:rsidRDefault="008A2871" w:rsidP="008505F7">
      <w:pPr>
        <w:shd w:val="clear" w:color="auto" w:fill="FFFFFF"/>
        <w:overflowPunct/>
        <w:autoSpaceDE/>
        <w:autoSpaceDN/>
        <w:adjustRightInd/>
        <w:spacing w:line="26" w:lineRule="atLeast"/>
        <w:ind w:left="851" w:right="618"/>
        <w:jc w:val="both"/>
        <w:rPr>
          <w:rFonts w:ascii="Arial Narrow" w:hAnsi="Arial Narrow"/>
          <w:i/>
          <w:sz w:val="24"/>
          <w:szCs w:val="24"/>
        </w:rPr>
      </w:pPr>
      <w:r w:rsidRPr="006538AB">
        <w:rPr>
          <w:rFonts w:ascii="Arial Narrow" w:hAnsi="Arial Narrow"/>
          <w:i/>
          <w:sz w:val="24"/>
          <w:szCs w:val="24"/>
          <w:bdr w:val="none" w:sz="0" w:space="0" w:color="auto" w:frame="1"/>
        </w:rPr>
        <w:t xml:space="preserve"> </w:t>
      </w:r>
      <w:r w:rsidRPr="006538AB">
        <w:rPr>
          <w:rFonts w:ascii="Arial Narrow" w:hAnsi="Arial Narrow"/>
          <w:i/>
          <w:sz w:val="24"/>
          <w:szCs w:val="24"/>
          <w:bdr w:val="none" w:sz="0" w:space="0" w:color="auto" w:frame="1"/>
        </w:rPr>
        <w:tab/>
      </w:r>
      <w:r w:rsidRPr="006538AB">
        <w:rPr>
          <w:rFonts w:ascii="Arial Narrow" w:hAnsi="Arial Narrow"/>
          <w:i/>
          <w:sz w:val="24"/>
          <w:szCs w:val="24"/>
          <w:bdr w:val="none" w:sz="0" w:space="0" w:color="auto" w:frame="1"/>
        </w:rPr>
        <w:tab/>
      </w:r>
      <w:r w:rsidRPr="006538AB">
        <w:rPr>
          <w:rFonts w:ascii="Arial Narrow" w:hAnsi="Arial Narrow"/>
          <w:i/>
          <w:sz w:val="24"/>
          <w:szCs w:val="24"/>
          <w:bdr w:val="none" w:sz="0" w:space="0" w:color="auto" w:frame="1"/>
        </w:rPr>
        <w:tab/>
        <w:t>De acuerdo con lo anterior, la decisión del juez en un proceso se torna arbitraria por falta de fundamento legal que la sostenga, y por lo tanto se configura un defecto procedimental absoluto cuando: i) se tramita un proceso de forma diferente a la establecida legalmente…</w:t>
      </w:r>
      <w:hyperlink r:id="rId10" w:anchor="_ftn50" w:history="1"/>
      <w:r w:rsidRPr="006538AB">
        <w:rPr>
          <w:rFonts w:ascii="Arial Narrow" w:hAnsi="Arial Narrow"/>
          <w:i/>
          <w:sz w:val="24"/>
          <w:szCs w:val="24"/>
          <w:bdr w:val="none" w:sz="0" w:space="0" w:color="auto" w:frame="1"/>
        </w:rPr>
        <w:t> o ii) se desconocen etapas del procedimiento que comprometen los derechos fundamentales de las partes como, por ejemplo, una notificación, un momento probatorio, o la posibilidad de que una decisión sea revisada en segunda instancia cuando era procedente la apelación…</w:t>
      </w:r>
    </w:p>
    <w:p w:rsidR="008A2871" w:rsidRPr="006538AB" w:rsidRDefault="008A2871" w:rsidP="008505F7">
      <w:pPr>
        <w:shd w:val="clear" w:color="auto" w:fill="FFFFFF"/>
        <w:overflowPunct/>
        <w:autoSpaceDE/>
        <w:autoSpaceDN/>
        <w:adjustRightInd/>
        <w:spacing w:line="26" w:lineRule="atLeast"/>
        <w:ind w:left="851" w:right="618"/>
        <w:jc w:val="both"/>
        <w:rPr>
          <w:rFonts w:ascii="Arial Narrow" w:hAnsi="Arial Narrow"/>
          <w:i/>
          <w:sz w:val="24"/>
          <w:szCs w:val="24"/>
        </w:rPr>
      </w:pPr>
      <w:r w:rsidRPr="006538AB">
        <w:rPr>
          <w:rFonts w:ascii="Arial Narrow" w:hAnsi="Arial Narrow"/>
          <w:i/>
          <w:sz w:val="24"/>
          <w:szCs w:val="24"/>
          <w:bdr w:val="none" w:sz="0" w:space="0" w:color="auto" w:frame="1"/>
        </w:rPr>
        <w:t> </w:t>
      </w:r>
    </w:p>
    <w:p w:rsidR="008A2871" w:rsidRPr="006538AB" w:rsidRDefault="008A2871" w:rsidP="008505F7">
      <w:pPr>
        <w:shd w:val="clear" w:color="auto" w:fill="FFFFFF"/>
        <w:overflowPunct/>
        <w:autoSpaceDE/>
        <w:autoSpaceDN/>
        <w:adjustRightInd/>
        <w:spacing w:line="26" w:lineRule="atLeast"/>
        <w:ind w:left="851" w:right="618"/>
        <w:jc w:val="both"/>
        <w:rPr>
          <w:rFonts w:ascii="Arial Narrow" w:hAnsi="Arial Narrow"/>
          <w:i/>
          <w:sz w:val="24"/>
          <w:szCs w:val="24"/>
        </w:rPr>
      </w:pPr>
      <w:r w:rsidRPr="006538AB">
        <w:rPr>
          <w:rFonts w:ascii="Arial Narrow" w:hAnsi="Arial Narrow"/>
          <w:i/>
          <w:sz w:val="24"/>
          <w:szCs w:val="24"/>
          <w:bdr w:val="none" w:sz="0" w:space="0" w:color="auto" w:frame="1"/>
        </w:rPr>
        <w:t xml:space="preserve">  </w:t>
      </w:r>
      <w:r w:rsidRPr="006538AB">
        <w:rPr>
          <w:rFonts w:ascii="Arial Narrow" w:hAnsi="Arial Narrow"/>
          <w:i/>
          <w:sz w:val="24"/>
          <w:szCs w:val="24"/>
          <w:bdr w:val="none" w:sz="0" w:space="0" w:color="auto" w:frame="1"/>
        </w:rPr>
        <w:tab/>
      </w:r>
      <w:r w:rsidRPr="006538AB">
        <w:rPr>
          <w:rFonts w:ascii="Arial Narrow" w:hAnsi="Arial Narrow"/>
          <w:i/>
          <w:sz w:val="24"/>
          <w:szCs w:val="24"/>
          <w:bdr w:val="none" w:sz="0" w:space="0" w:color="auto" w:frame="1"/>
        </w:rPr>
        <w:tab/>
      </w:r>
      <w:r w:rsidRPr="006538AB">
        <w:rPr>
          <w:rFonts w:ascii="Arial Narrow" w:hAnsi="Arial Narrow"/>
          <w:i/>
          <w:sz w:val="24"/>
          <w:szCs w:val="24"/>
          <w:bdr w:val="none" w:sz="0" w:space="0" w:color="auto" w:frame="1"/>
        </w:rPr>
        <w:tab/>
        <w:t>35. Sobre el segundo tipo de defecto procedimental, el exceso ritual manifiesto…</w:t>
      </w:r>
      <w:hyperlink r:id="rId11" w:anchor="_ftn52" w:history="1"/>
      <w:r w:rsidRPr="006538AB">
        <w:rPr>
          <w:rFonts w:ascii="Arial Narrow" w:hAnsi="Arial Narrow"/>
          <w:i/>
          <w:sz w:val="24"/>
          <w:szCs w:val="24"/>
          <w:bdr w:val="none" w:sz="0" w:space="0" w:color="auto" w:frame="1"/>
        </w:rPr>
        <w:t>, la Corte Constitucional ha sostenido que se configura “</w:t>
      </w:r>
      <w:r w:rsidRPr="006538AB">
        <w:rPr>
          <w:rFonts w:ascii="Arial Narrow" w:hAnsi="Arial Narrow"/>
          <w:i/>
          <w:iCs/>
          <w:sz w:val="24"/>
          <w:szCs w:val="24"/>
          <w:bdr w:val="none" w:sz="0" w:space="0" w:color="auto" w:frame="1"/>
          <w:lang w:val="es-ES_tradnl"/>
        </w:rPr>
        <w:t>en eventos en los cuales el juzgador incurre en una vulneración del mandato de dar prevalencia al derecho sustancial, o del derecho al acceso a la administración de justicia por (i) dejar de inaplicar disposiciones procesales que se oponen a la vigencia de derechos constitucionales en un caso concreto; (ii) exigir el cumplimiento de requisitos formales de forma irreflexiva, aunque en determinadas circunstancias puedan constituir cargas imposibles de cumplir para las partes, siempre que esa situación se encuentre comprobada; o (iii), incurrir en un rigorismo procedimental en la apreciación de las pruebas</w:t>
      </w:r>
    </w:p>
    <w:p w:rsidR="008A2871" w:rsidRPr="006538AB" w:rsidRDefault="008A2871" w:rsidP="008505F7">
      <w:pPr>
        <w:shd w:val="clear" w:color="auto" w:fill="FFFFFF"/>
        <w:overflowPunct/>
        <w:autoSpaceDE/>
        <w:autoSpaceDN/>
        <w:adjustRightInd/>
        <w:spacing w:line="26" w:lineRule="atLeast"/>
        <w:ind w:left="851" w:right="618"/>
        <w:jc w:val="both"/>
        <w:rPr>
          <w:rFonts w:ascii="Arial Narrow" w:hAnsi="Arial Narrow"/>
          <w:i/>
          <w:sz w:val="24"/>
          <w:szCs w:val="24"/>
        </w:rPr>
      </w:pPr>
      <w:r w:rsidRPr="006538AB">
        <w:rPr>
          <w:rFonts w:ascii="Arial Narrow" w:hAnsi="Arial Narrow"/>
          <w:i/>
          <w:sz w:val="24"/>
          <w:szCs w:val="24"/>
          <w:bdr w:val="none" w:sz="0" w:space="0" w:color="auto" w:frame="1"/>
        </w:rPr>
        <w:t> </w:t>
      </w:r>
    </w:p>
    <w:p w:rsidR="008A2871" w:rsidRPr="006538AB" w:rsidRDefault="008A2871" w:rsidP="008505F7">
      <w:pPr>
        <w:shd w:val="clear" w:color="auto" w:fill="FFFFFF"/>
        <w:overflowPunct/>
        <w:autoSpaceDE/>
        <w:autoSpaceDN/>
        <w:adjustRightInd/>
        <w:spacing w:line="26" w:lineRule="atLeast"/>
        <w:ind w:left="851" w:right="618"/>
        <w:jc w:val="both"/>
        <w:rPr>
          <w:i/>
          <w:sz w:val="24"/>
          <w:szCs w:val="24"/>
        </w:rPr>
      </w:pPr>
      <w:r w:rsidRPr="006538AB">
        <w:rPr>
          <w:rFonts w:ascii="Arial Narrow" w:hAnsi="Arial Narrow"/>
          <w:i/>
          <w:sz w:val="24"/>
          <w:szCs w:val="24"/>
          <w:bdr w:val="none" w:sz="0" w:space="0" w:color="auto" w:frame="1"/>
        </w:rPr>
        <w:t xml:space="preserve">  </w:t>
      </w:r>
      <w:r w:rsidRPr="006538AB">
        <w:rPr>
          <w:rFonts w:ascii="Arial Narrow" w:hAnsi="Arial Narrow"/>
          <w:i/>
          <w:sz w:val="24"/>
          <w:szCs w:val="24"/>
          <w:bdr w:val="none" w:sz="0" w:space="0" w:color="auto" w:frame="1"/>
        </w:rPr>
        <w:tab/>
      </w:r>
      <w:r w:rsidRPr="006538AB">
        <w:rPr>
          <w:rFonts w:ascii="Arial Narrow" w:hAnsi="Arial Narrow"/>
          <w:i/>
          <w:sz w:val="24"/>
          <w:szCs w:val="24"/>
          <w:bdr w:val="none" w:sz="0" w:space="0" w:color="auto" w:frame="1"/>
        </w:rPr>
        <w:tab/>
      </w:r>
      <w:r w:rsidRPr="006538AB">
        <w:rPr>
          <w:rFonts w:ascii="Arial Narrow" w:hAnsi="Arial Narrow"/>
          <w:i/>
          <w:sz w:val="24"/>
          <w:szCs w:val="24"/>
          <w:bdr w:val="none" w:sz="0" w:space="0" w:color="auto" w:frame="1"/>
        </w:rPr>
        <w:tab/>
        <w:t>36. Adicionalmente, la jurisprudencia ha establecido que tanto para los casos del defecto procedimental absoluto como del exceso ritual manifiesto, es necesario que: i) el desconocimiento del procedimiento tenga un efecto definitivo para la vulneración de los derechos fundamentales…</w:t>
      </w:r>
      <w:hyperlink r:id="rId12" w:anchor="_ftn54" w:history="1"/>
      <w:r w:rsidRPr="006538AB">
        <w:rPr>
          <w:rFonts w:ascii="Arial Narrow" w:hAnsi="Arial Narrow"/>
          <w:i/>
          <w:sz w:val="24"/>
          <w:szCs w:val="24"/>
          <w:bdr w:val="none" w:sz="0" w:space="0" w:color="auto" w:frame="1"/>
        </w:rPr>
        <w:t>; ii) la desviación o irregularidad no pueda subsanarse por otra vía; y iii) de ser posible, haya sido alegada en el proceso”.</w:t>
      </w:r>
    </w:p>
    <w:p w:rsidR="008A2871" w:rsidRDefault="008A2871" w:rsidP="00C16B1F">
      <w:pPr>
        <w:pStyle w:val="Sinespaciado2"/>
        <w:spacing w:line="26" w:lineRule="atLeast"/>
        <w:ind w:right="51"/>
        <w:jc w:val="both"/>
        <w:rPr>
          <w:rFonts w:ascii="Gadugi" w:hAnsi="Gadugi"/>
        </w:rPr>
      </w:pPr>
    </w:p>
    <w:p w:rsidR="00F0110A" w:rsidRDefault="00A078F0" w:rsidP="008A2871">
      <w:pPr>
        <w:pStyle w:val="Sinespaciado2"/>
        <w:spacing w:line="26" w:lineRule="atLeast"/>
        <w:ind w:right="51"/>
        <w:jc w:val="both"/>
        <w:rPr>
          <w:rFonts w:ascii="Gadugi" w:hAnsi="Gadugi"/>
        </w:rPr>
      </w:pPr>
      <w:r>
        <w:rPr>
          <w:rFonts w:ascii="Gadugi" w:hAnsi="Gadugi"/>
        </w:rPr>
        <w:tab/>
      </w:r>
      <w:r w:rsidR="008A2871">
        <w:rPr>
          <w:rFonts w:ascii="Gadugi" w:hAnsi="Gadugi"/>
        </w:rPr>
        <w:tab/>
      </w:r>
      <w:r w:rsidR="008A2871">
        <w:rPr>
          <w:rFonts w:ascii="Gadugi" w:hAnsi="Gadugi"/>
        </w:rPr>
        <w:tab/>
      </w:r>
      <w:r w:rsidR="008A2871">
        <w:rPr>
          <w:rFonts w:ascii="Gadugi" w:hAnsi="Gadugi"/>
        </w:rPr>
        <w:tab/>
      </w:r>
      <w:r w:rsidR="00240AAF">
        <w:rPr>
          <w:rFonts w:ascii="Gadugi" w:hAnsi="Gadugi"/>
        </w:rPr>
        <w:t>Pues bien,</w:t>
      </w:r>
      <w:r w:rsidR="0097244C">
        <w:rPr>
          <w:rFonts w:ascii="Gadugi" w:hAnsi="Gadugi"/>
        </w:rPr>
        <w:t xml:space="preserve"> se tiene que</w:t>
      </w:r>
      <w:r w:rsidR="002363D0">
        <w:rPr>
          <w:rFonts w:ascii="Gadugi" w:hAnsi="Gadugi"/>
          <w:lang w:val="es-419"/>
        </w:rPr>
        <w:t>,</w:t>
      </w:r>
      <w:r w:rsidR="0097244C">
        <w:rPr>
          <w:rFonts w:ascii="Gadugi" w:hAnsi="Gadugi"/>
        </w:rPr>
        <w:t xml:space="preserve"> en este asunto</w:t>
      </w:r>
      <w:r w:rsidR="002363D0">
        <w:rPr>
          <w:rFonts w:ascii="Gadugi" w:hAnsi="Gadugi"/>
          <w:lang w:val="es-419"/>
        </w:rPr>
        <w:t>,</w:t>
      </w:r>
      <w:r w:rsidR="0097244C">
        <w:rPr>
          <w:rFonts w:ascii="Gadugi" w:hAnsi="Gadugi"/>
        </w:rPr>
        <w:t xml:space="preserve"> lo que </w:t>
      </w:r>
      <w:r w:rsidR="00C16B1F">
        <w:rPr>
          <w:rFonts w:ascii="Gadugi" w:hAnsi="Gadugi"/>
        </w:rPr>
        <w:t>es menester absolver es si el funcionario accionado</w:t>
      </w:r>
      <w:r w:rsidR="002363D0">
        <w:rPr>
          <w:rFonts w:ascii="Gadugi" w:hAnsi="Gadugi"/>
          <w:lang w:val="es-419"/>
        </w:rPr>
        <w:t>,</w:t>
      </w:r>
      <w:r w:rsidR="00C16B1F">
        <w:rPr>
          <w:rFonts w:ascii="Gadugi" w:hAnsi="Gadugi"/>
        </w:rPr>
        <w:t xml:space="preserve"> </w:t>
      </w:r>
      <w:r w:rsidR="007D0D64">
        <w:rPr>
          <w:rFonts w:ascii="Gadugi" w:hAnsi="Gadugi"/>
        </w:rPr>
        <w:t xml:space="preserve">mediante proveído del 7 de </w:t>
      </w:r>
      <w:r w:rsidR="007D0D64">
        <w:rPr>
          <w:rFonts w:ascii="Gadugi" w:hAnsi="Gadugi"/>
        </w:rPr>
        <w:lastRenderedPageBreak/>
        <w:t>diciembre del año 2016</w:t>
      </w:r>
      <w:r w:rsidR="00240AAF">
        <w:rPr>
          <w:rFonts w:ascii="Gadugi" w:hAnsi="Gadugi"/>
        </w:rPr>
        <w:t xml:space="preserve"> (f. 153 a 154)</w:t>
      </w:r>
      <w:r w:rsidR="007D0D64">
        <w:rPr>
          <w:rFonts w:ascii="Gadugi" w:hAnsi="Gadugi"/>
        </w:rPr>
        <w:t>, en el que realizó un control de legalidad</w:t>
      </w:r>
      <w:r w:rsidR="00C16B1F">
        <w:rPr>
          <w:rFonts w:ascii="Gadugi" w:hAnsi="Gadugi"/>
        </w:rPr>
        <w:t xml:space="preserve">, </w:t>
      </w:r>
      <w:r w:rsidR="007D0D64">
        <w:rPr>
          <w:rFonts w:ascii="Gadugi" w:hAnsi="Gadugi"/>
        </w:rPr>
        <w:t>incurrió en vías de hecho</w:t>
      </w:r>
      <w:r w:rsidR="000971A0">
        <w:rPr>
          <w:rFonts w:ascii="Gadugi" w:hAnsi="Gadugi"/>
        </w:rPr>
        <w:t xml:space="preserve"> al </w:t>
      </w:r>
      <w:r w:rsidR="00F0110A">
        <w:rPr>
          <w:rFonts w:ascii="Gadugi" w:hAnsi="Gadugi"/>
        </w:rPr>
        <w:t>(i) ordenar notificar a la parte demandada, la cesión de derechos litigiosos en favor del señor Robinson Trujillo Loaiza y (ii) requerir a la parte reconveniente para que de conformidad con el artículo 211 del CPC, modificado por el art. 10 de la ley 1395 de 2010, presentara el juramento estimatorio relacionado con los frutos naturales y civiles pretendidos en la demanda.</w:t>
      </w:r>
    </w:p>
    <w:p w:rsidR="00F0110A" w:rsidRDefault="00F0110A" w:rsidP="0097244C">
      <w:pPr>
        <w:pStyle w:val="Sinespaciado1"/>
        <w:spacing w:line="26" w:lineRule="atLeast"/>
        <w:ind w:right="51" w:firstLine="2835"/>
        <w:jc w:val="both"/>
        <w:rPr>
          <w:rFonts w:ascii="Gadugi" w:hAnsi="Gadugi"/>
        </w:rPr>
      </w:pPr>
    </w:p>
    <w:p w:rsidR="00552B35" w:rsidRDefault="00AE286F" w:rsidP="006E5C25">
      <w:pPr>
        <w:pStyle w:val="Sinespaciado1"/>
        <w:spacing w:line="26" w:lineRule="atLeast"/>
        <w:ind w:right="51" w:firstLine="2835"/>
        <w:jc w:val="both"/>
        <w:rPr>
          <w:rFonts w:ascii="Gadugi" w:hAnsi="Gadugi" w:cs="Arial"/>
        </w:rPr>
      </w:pPr>
      <w:r>
        <w:rPr>
          <w:rFonts w:ascii="Gadugi" w:hAnsi="Gadugi"/>
        </w:rPr>
        <w:t>Perfilado el asunto</w:t>
      </w:r>
      <w:r w:rsidR="003F3524">
        <w:rPr>
          <w:rFonts w:ascii="Gadugi" w:hAnsi="Gadugi"/>
          <w:lang w:val="es-419"/>
        </w:rPr>
        <w:t xml:space="preserve"> de esa manera, </w:t>
      </w:r>
      <w:r w:rsidR="006E5C25">
        <w:rPr>
          <w:rFonts w:ascii="Gadugi" w:hAnsi="Gadugi"/>
        </w:rPr>
        <w:t xml:space="preserve">antes de abordar </w:t>
      </w:r>
      <w:r w:rsidR="003F3524">
        <w:rPr>
          <w:rFonts w:ascii="Gadugi" w:hAnsi="Gadugi"/>
          <w:lang w:val="es-419"/>
        </w:rPr>
        <w:t xml:space="preserve">esos </w:t>
      </w:r>
      <w:r>
        <w:rPr>
          <w:rFonts w:ascii="Gadugi" w:hAnsi="Gadugi"/>
        </w:rPr>
        <w:t>específicos</w:t>
      </w:r>
      <w:r w:rsidR="008C262A">
        <w:rPr>
          <w:rFonts w:ascii="Gadugi" w:hAnsi="Gadugi"/>
        </w:rPr>
        <w:t xml:space="preserve"> </w:t>
      </w:r>
      <w:r w:rsidR="003F3524">
        <w:rPr>
          <w:rFonts w:ascii="Gadugi" w:hAnsi="Gadugi"/>
          <w:lang w:val="es-419"/>
        </w:rPr>
        <w:t xml:space="preserve">aspectos y en vista de que </w:t>
      </w:r>
      <w:r w:rsidR="006E5C25">
        <w:rPr>
          <w:rFonts w:ascii="Gadugi" w:hAnsi="Gadugi"/>
        </w:rPr>
        <w:t xml:space="preserve">el accionante de manera reiterada denuncia que el juzgado </w:t>
      </w:r>
      <w:r>
        <w:rPr>
          <w:rFonts w:ascii="Gadugi" w:hAnsi="Gadugi"/>
        </w:rPr>
        <w:t xml:space="preserve">decidió conforme </w:t>
      </w:r>
      <w:r w:rsidR="003F3524">
        <w:rPr>
          <w:rFonts w:ascii="Gadugi" w:hAnsi="Gadugi"/>
          <w:lang w:val="es-419"/>
        </w:rPr>
        <w:t>a</w:t>
      </w:r>
      <w:r>
        <w:rPr>
          <w:rFonts w:ascii="Gadugi" w:hAnsi="Gadugi"/>
        </w:rPr>
        <w:t>l</w:t>
      </w:r>
      <w:r w:rsidR="006E5C25">
        <w:rPr>
          <w:rFonts w:ascii="Gadugi" w:hAnsi="Gadugi"/>
        </w:rPr>
        <w:t xml:space="preserve"> Código General del Proceso debiendo </w:t>
      </w:r>
      <w:r w:rsidR="006538AB">
        <w:rPr>
          <w:rFonts w:ascii="Gadugi" w:hAnsi="Gadugi"/>
        </w:rPr>
        <w:t>obrar</w:t>
      </w:r>
      <w:r w:rsidR="006E5C25">
        <w:rPr>
          <w:rFonts w:ascii="Gadugi" w:hAnsi="Gadugi"/>
        </w:rPr>
        <w:t xml:space="preserve"> </w:t>
      </w:r>
      <w:r>
        <w:rPr>
          <w:rFonts w:ascii="Gadugi" w:hAnsi="Gadugi"/>
        </w:rPr>
        <w:t>según lo</w:t>
      </w:r>
      <w:r w:rsidR="006E5C25">
        <w:rPr>
          <w:rFonts w:ascii="Gadugi" w:hAnsi="Gadugi"/>
        </w:rPr>
        <w:t xml:space="preserve"> dispuesto por el Código de </w:t>
      </w:r>
      <w:r w:rsidR="001B6AC5">
        <w:rPr>
          <w:rFonts w:ascii="Gadugi" w:hAnsi="Gadugi"/>
        </w:rPr>
        <w:t>P</w:t>
      </w:r>
      <w:r w:rsidR="006E5C25">
        <w:rPr>
          <w:rFonts w:ascii="Gadugi" w:hAnsi="Gadugi"/>
        </w:rPr>
        <w:t xml:space="preserve">rocedimiento </w:t>
      </w:r>
      <w:r w:rsidR="001B6AC5">
        <w:rPr>
          <w:rFonts w:ascii="Gadugi" w:hAnsi="Gadugi"/>
        </w:rPr>
        <w:t>C</w:t>
      </w:r>
      <w:r w:rsidR="006E5C25">
        <w:rPr>
          <w:rFonts w:ascii="Gadugi" w:hAnsi="Gadugi"/>
        </w:rPr>
        <w:t>ivil</w:t>
      </w:r>
      <w:r w:rsidR="001B6AC5">
        <w:rPr>
          <w:rFonts w:ascii="Gadugi" w:hAnsi="Gadugi"/>
        </w:rPr>
        <w:t xml:space="preserve">, lo que podría acarrear un defecto </w:t>
      </w:r>
      <w:r w:rsidR="008505F7">
        <w:rPr>
          <w:rFonts w:ascii="Gadugi" w:hAnsi="Gadugi"/>
        </w:rPr>
        <w:t>sustantivo</w:t>
      </w:r>
      <w:r>
        <w:rPr>
          <w:rFonts w:ascii="Gadugi" w:hAnsi="Gadugi"/>
        </w:rPr>
        <w:t xml:space="preserve"> de la providencia</w:t>
      </w:r>
      <w:r w:rsidR="003F3524">
        <w:rPr>
          <w:rFonts w:ascii="Gadugi" w:hAnsi="Gadugi"/>
          <w:lang w:val="es-419"/>
        </w:rPr>
        <w:t xml:space="preserve">, se destaca que, </w:t>
      </w:r>
      <w:r w:rsidR="00673727">
        <w:rPr>
          <w:rFonts w:ascii="Gadugi" w:hAnsi="Gadugi"/>
        </w:rPr>
        <w:t xml:space="preserve"> aun cuando se evidencia </w:t>
      </w:r>
      <w:r w:rsidR="00DA22A9">
        <w:rPr>
          <w:rFonts w:ascii="Gadugi" w:hAnsi="Gadugi"/>
        </w:rPr>
        <w:t>que</w:t>
      </w:r>
      <w:r w:rsidR="004D51A5">
        <w:rPr>
          <w:rFonts w:ascii="Gadugi" w:hAnsi="Gadugi"/>
        </w:rPr>
        <w:t xml:space="preserve"> </w:t>
      </w:r>
      <w:r w:rsidR="00673727">
        <w:rPr>
          <w:rFonts w:ascii="Gadugi" w:hAnsi="Gadugi"/>
        </w:rPr>
        <w:t>el proceso de marras se rige a</w:t>
      </w:r>
      <w:r w:rsidR="00447478">
        <w:rPr>
          <w:rFonts w:ascii="Gadugi" w:hAnsi="Gadugi"/>
          <w:lang w:val="es-419"/>
        </w:rPr>
        <w:t>ún</w:t>
      </w:r>
      <w:r w:rsidR="00673727">
        <w:rPr>
          <w:rFonts w:ascii="Gadugi" w:hAnsi="Gadugi"/>
        </w:rPr>
        <w:t xml:space="preserve"> por las normas del Código de Procedimiento Civil</w:t>
      </w:r>
      <w:r w:rsidR="003F3524">
        <w:rPr>
          <w:rFonts w:ascii="Gadugi" w:hAnsi="Gadugi"/>
          <w:lang w:val="es-419"/>
        </w:rPr>
        <w:t xml:space="preserve"> en virtud a que todavía falta el decreto de las pruebas, como señala el artículo 625 del nuevo estatuto, </w:t>
      </w:r>
      <w:r w:rsidR="003365DC">
        <w:rPr>
          <w:rFonts w:ascii="Gadugi" w:hAnsi="Gadugi"/>
        </w:rPr>
        <w:t xml:space="preserve">la </w:t>
      </w:r>
      <w:r w:rsidR="003F3524">
        <w:rPr>
          <w:rFonts w:ascii="Gadugi" w:hAnsi="Gadugi"/>
          <w:lang w:val="es-419"/>
        </w:rPr>
        <w:t xml:space="preserve">mención </w:t>
      </w:r>
      <w:r w:rsidR="003365DC">
        <w:rPr>
          <w:rFonts w:ascii="Gadugi" w:hAnsi="Gadugi"/>
        </w:rPr>
        <w:t xml:space="preserve">que hizo el funcionario </w:t>
      </w:r>
      <w:r w:rsidR="0062066E">
        <w:rPr>
          <w:rFonts w:ascii="Gadugi" w:hAnsi="Gadugi" w:cs="Arial"/>
        </w:rPr>
        <w:t>del artículo 132 del Código General del Proceso</w:t>
      </w:r>
      <w:r w:rsidR="003F3524">
        <w:rPr>
          <w:rFonts w:ascii="Gadugi" w:hAnsi="Gadugi" w:cs="Arial"/>
          <w:lang w:val="es-419"/>
        </w:rPr>
        <w:t xml:space="preserve"> para realizar un control de legalidad, </w:t>
      </w:r>
      <w:r w:rsidR="003365DC">
        <w:rPr>
          <w:rFonts w:ascii="Gadugi" w:hAnsi="Gadugi" w:cs="Arial"/>
        </w:rPr>
        <w:t xml:space="preserve">no implica necesariamente que se esté frente </w:t>
      </w:r>
      <w:r>
        <w:rPr>
          <w:rFonts w:ascii="Gadugi" w:hAnsi="Gadugi" w:cs="Arial"/>
        </w:rPr>
        <w:t>al mencionado defecto</w:t>
      </w:r>
      <w:r w:rsidR="0062066E">
        <w:rPr>
          <w:rFonts w:ascii="Gadugi" w:hAnsi="Gadugi" w:cs="Arial"/>
        </w:rPr>
        <w:t xml:space="preserve"> toda vez que</w:t>
      </w:r>
      <w:r w:rsidR="003365DC">
        <w:rPr>
          <w:rFonts w:ascii="Gadugi" w:hAnsi="Gadugi" w:cs="Arial"/>
        </w:rPr>
        <w:t xml:space="preserve"> </w:t>
      </w:r>
      <w:r w:rsidR="00447478">
        <w:rPr>
          <w:rFonts w:ascii="Gadugi" w:hAnsi="Gadugi" w:cs="Arial"/>
          <w:lang w:val="es-419"/>
        </w:rPr>
        <w:t>e</w:t>
      </w:r>
      <w:r w:rsidR="003365DC">
        <w:rPr>
          <w:rFonts w:ascii="Gadugi" w:hAnsi="Gadugi" w:cs="Arial"/>
        </w:rPr>
        <w:t>ste</w:t>
      </w:r>
      <w:r w:rsidR="0062066E">
        <w:rPr>
          <w:rFonts w:ascii="Gadugi" w:hAnsi="Gadugi" w:cs="Arial"/>
        </w:rPr>
        <w:t xml:space="preserve"> </w:t>
      </w:r>
      <w:r w:rsidR="00240AAF" w:rsidRPr="00240AAF">
        <w:rPr>
          <w:rFonts w:ascii="Gadugi" w:hAnsi="Gadugi" w:cs="Arial"/>
        </w:rPr>
        <w:t xml:space="preserve">ocurre cuando </w:t>
      </w:r>
      <w:r w:rsidR="00240AAF">
        <w:rPr>
          <w:rFonts w:ascii="Gadugi" w:hAnsi="Gadugi" w:cs="Arial"/>
          <w:i/>
        </w:rPr>
        <w:t>“se</w:t>
      </w:r>
      <w:r w:rsidR="0062066E" w:rsidRPr="0062066E">
        <w:rPr>
          <w:rFonts w:ascii="Gadugi" w:hAnsi="Gadugi" w:cs="Arial"/>
          <w:i/>
        </w:rPr>
        <w:t xml:space="preserve"> decide con base en normas inexistentes, inconstitucionales </w:t>
      </w:r>
      <w:r w:rsidR="00240AAF" w:rsidRPr="00240AAF">
        <w:rPr>
          <w:rFonts w:ascii="Gadugi" w:hAnsi="Gadugi" w:cs="Arial"/>
          <w:i/>
        </w:rPr>
        <w:t>o que presentan una evidente y grosera contradicción entre los fundamentos y la decisión</w:t>
      </w:r>
      <w:r w:rsidR="0062066E" w:rsidRPr="0062066E">
        <w:rPr>
          <w:rFonts w:ascii="Gadugi" w:hAnsi="Gadugi" w:cs="Arial"/>
          <w:i/>
        </w:rPr>
        <w:t>”</w:t>
      </w:r>
      <w:r w:rsidR="00240AAF">
        <w:rPr>
          <w:rStyle w:val="Appelnotedebasdep"/>
          <w:rFonts w:ascii="Gadugi" w:hAnsi="Gadugi"/>
          <w:i/>
        </w:rPr>
        <w:footnoteReference w:id="24"/>
      </w:r>
      <w:r w:rsidR="003F3524">
        <w:rPr>
          <w:rFonts w:ascii="Gadugi" w:hAnsi="Gadugi" w:cs="Arial"/>
          <w:lang w:val="es-419"/>
        </w:rPr>
        <w:t xml:space="preserve">; y si bien dicho artículo 132 </w:t>
      </w:r>
      <w:r w:rsidR="00447478">
        <w:rPr>
          <w:rFonts w:ascii="Gadugi" w:hAnsi="Gadugi" w:cs="Arial"/>
          <w:lang w:val="es-419"/>
        </w:rPr>
        <w:t xml:space="preserve">es ajeno al </w:t>
      </w:r>
      <w:r w:rsidR="003F3524">
        <w:rPr>
          <w:rFonts w:ascii="Gadugi" w:hAnsi="Gadugi" w:cs="Arial"/>
          <w:lang w:val="es-419"/>
        </w:rPr>
        <w:t xml:space="preserve">Código de Procedimiento Civil, lo cierto es que este también prevé esa posibilidad, </w:t>
      </w:r>
      <w:r w:rsidR="00447478">
        <w:rPr>
          <w:rFonts w:ascii="Gadugi" w:hAnsi="Gadugi" w:cs="Arial"/>
          <w:lang w:val="es-419"/>
        </w:rPr>
        <w:t xml:space="preserve">ya que </w:t>
      </w:r>
      <w:r w:rsidR="003F3524">
        <w:rPr>
          <w:rFonts w:ascii="Gadugi" w:hAnsi="Gadugi" w:cs="Arial"/>
          <w:lang w:val="es-419"/>
        </w:rPr>
        <w:t>es un deber suyo evitar nulidades (art. 37 CPC)</w:t>
      </w:r>
      <w:r w:rsidR="00447478">
        <w:rPr>
          <w:rFonts w:ascii="Gadugi" w:hAnsi="Gadugi" w:cs="Arial"/>
          <w:lang w:val="es-419"/>
        </w:rPr>
        <w:t xml:space="preserve"> y, además, </w:t>
      </w:r>
      <w:r w:rsidR="003F3524">
        <w:rPr>
          <w:rFonts w:ascii="Gadugi" w:hAnsi="Gadugi" w:cs="Arial"/>
          <w:lang w:val="es-419"/>
        </w:rPr>
        <w:t xml:space="preserve">porque </w:t>
      </w:r>
      <w:r w:rsidR="00314A80">
        <w:rPr>
          <w:rFonts w:ascii="Gadugi" w:hAnsi="Gadugi" w:cs="Arial"/>
        </w:rPr>
        <w:t xml:space="preserve">también lo </w:t>
      </w:r>
      <w:r w:rsidR="00032595">
        <w:rPr>
          <w:rFonts w:ascii="Gadugi" w:hAnsi="Gadugi" w:cs="Arial"/>
          <w:lang w:val="es-419"/>
        </w:rPr>
        <w:t xml:space="preserve">ordenó así el artículo 25 de la Ley 1285 de 2009, estatutaria, que manda que </w:t>
      </w:r>
      <w:r w:rsidR="00032595">
        <w:rPr>
          <w:rFonts w:ascii="Gadugi" w:hAnsi="Gadugi" w:cs="Arial"/>
          <w:i/>
          <w:lang w:val="es-419"/>
        </w:rPr>
        <w:t>“</w:t>
      </w:r>
      <w:r w:rsidR="00032595" w:rsidRPr="00032595">
        <w:rPr>
          <w:rFonts w:ascii="Gadugi" w:hAnsi="Gadugi" w:cs="Arial"/>
          <w:i/>
          <w:color w:val="000000"/>
          <w:shd w:val="clear" w:color="auto" w:fill="FFFFFF"/>
        </w:rPr>
        <w:t>Agotada cada etapa del proceso, el Juez ejercerá el control de legalidad para sanear los vicios que acarrean nulidades dentro del proceso, los cuales, salvo que se trate de hechos nuevos, no se podrán alegar en las etapas siguientes en aras de evitar dilaciones injustificada</w:t>
      </w:r>
      <w:r w:rsidR="00032595">
        <w:rPr>
          <w:rFonts w:ascii="Gadugi" w:hAnsi="Gadugi" w:cs="Arial"/>
          <w:i/>
          <w:color w:val="000000"/>
          <w:shd w:val="clear" w:color="auto" w:fill="FFFFFF"/>
        </w:rPr>
        <w:t>s”</w:t>
      </w:r>
      <w:r w:rsidR="00032595">
        <w:rPr>
          <w:rFonts w:ascii="Gadugi" w:hAnsi="Gadugi" w:cs="Arial"/>
          <w:i/>
          <w:color w:val="000000"/>
          <w:shd w:val="clear" w:color="auto" w:fill="FFFFFF"/>
          <w:lang w:val="es-419"/>
        </w:rPr>
        <w:t xml:space="preserve">. </w:t>
      </w:r>
      <w:r w:rsidR="00032595">
        <w:rPr>
          <w:rFonts w:ascii="Gadugi" w:hAnsi="Gadugi" w:cs="Arial"/>
          <w:lang w:val="es-419"/>
        </w:rPr>
        <w:t xml:space="preserve">Por tanto, medidas como las adoptadas, </w:t>
      </w:r>
      <w:r w:rsidR="00314A80">
        <w:rPr>
          <w:rFonts w:ascii="Gadugi" w:hAnsi="Gadugi" w:cs="Arial"/>
        </w:rPr>
        <w:t>no adolece</w:t>
      </w:r>
      <w:r w:rsidR="00032595">
        <w:rPr>
          <w:rFonts w:ascii="Gadugi" w:hAnsi="Gadugi" w:cs="Arial"/>
          <w:lang w:val="es-419"/>
        </w:rPr>
        <w:t>n</w:t>
      </w:r>
      <w:r w:rsidR="00314A80">
        <w:rPr>
          <w:rFonts w:ascii="Gadugi" w:hAnsi="Gadugi" w:cs="Arial"/>
        </w:rPr>
        <w:t xml:space="preserve"> de ninguno de los defectos relacionados </w:t>
      </w:r>
      <w:r w:rsidR="003365DC">
        <w:rPr>
          <w:rFonts w:ascii="Gadugi" w:hAnsi="Gadugi" w:cs="Arial"/>
        </w:rPr>
        <w:t>en la jurisprudencia antes transcrita</w:t>
      </w:r>
      <w:r w:rsidR="00447478">
        <w:rPr>
          <w:rFonts w:ascii="Gadugi" w:hAnsi="Gadugi" w:cs="Arial"/>
          <w:lang w:val="es-419"/>
        </w:rPr>
        <w:t xml:space="preserve">, ni </w:t>
      </w:r>
      <w:r w:rsidR="00314A80">
        <w:rPr>
          <w:rFonts w:ascii="Gadugi" w:hAnsi="Gadugi" w:cs="Arial"/>
        </w:rPr>
        <w:t>atenta</w:t>
      </w:r>
      <w:r w:rsidR="00032595">
        <w:rPr>
          <w:rFonts w:ascii="Gadugi" w:hAnsi="Gadugi" w:cs="Arial"/>
          <w:lang w:val="es-419"/>
        </w:rPr>
        <w:t>n</w:t>
      </w:r>
      <w:r w:rsidR="00314A80">
        <w:rPr>
          <w:rFonts w:ascii="Gadugi" w:hAnsi="Gadugi" w:cs="Arial"/>
        </w:rPr>
        <w:t xml:space="preserve"> contra el debido proceso</w:t>
      </w:r>
      <w:r w:rsidR="00032595">
        <w:rPr>
          <w:rFonts w:ascii="Gadugi" w:hAnsi="Gadugi" w:cs="Arial"/>
          <w:lang w:val="es-419"/>
        </w:rPr>
        <w:t xml:space="preserve">; lo que muestran es que el juez actúa como </w:t>
      </w:r>
      <w:r>
        <w:rPr>
          <w:rFonts w:ascii="Gadugi" w:hAnsi="Gadugi" w:cs="Arial"/>
        </w:rPr>
        <w:t>director del proceso</w:t>
      </w:r>
      <w:r w:rsidR="00032595">
        <w:rPr>
          <w:rFonts w:ascii="Gadugi" w:hAnsi="Gadugi" w:cs="Arial"/>
          <w:lang w:val="es-419"/>
        </w:rPr>
        <w:t xml:space="preserve"> y, en tal calidad, </w:t>
      </w:r>
      <w:r w:rsidR="00314A80">
        <w:rPr>
          <w:rFonts w:ascii="Gadugi" w:hAnsi="Gadugi" w:cs="Arial"/>
        </w:rPr>
        <w:t>con suficiencia argumentativa s</w:t>
      </w:r>
      <w:r w:rsidR="006E5C25">
        <w:rPr>
          <w:rFonts w:ascii="Gadugi" w:hAnsi="Gadugi" w:cs="Arial"/>
        </w:rPr>
        <w:t xml:space="preserve">ustentó la necesidad </w:t>
      </w:r>
      <w:r>
        <w:rPr>
          <w:rFonts w:ascii="Gadugi" w:hAnsi="Gadugi" w:cs="Arial"/>
        </w:rPr>
        <w:t>de proceder de tal modo</w:t>
      </w:r>
      <w:r w:rsidR="005E709D">
        <w:rPr>
          <w:rFonts w:ascii="Gadugi" w:hAnsi="Gadugi" w:cs="Arial"/>
        </w:rPr>
        <w:t>;</w:t>
      </w:r>
      <w:r w:rsidR="006E5C25">
        <w:rPr>
          <w:rFonts w:ascii="Gadugi" w:hAnsi="Gadugi" w:cs="Arial"/>
        </w:rPr>
        <w:t xml:space="preserve"> así que</w:t>
      </w:r>
      <w:r w:rsidR="00552B35">
        <w:rPr>
          <w:rFonts w:ascii="Gadugi" w:hAnsi="Gadugi" w:cs="Arial"/>
        </w:rPr>
        <w:t xml:space="preserve"> </w:t>
      </w:r>
      <w:r w:rsidR="006E5C25">
        <w:rPr>
          <w:rFonts w:ascii="Gadugi" w:hAnsi="Gadugi" w:cs="Arial"/>
        </w:rPr>
        <w:t>si bien fue irregular</w:t>
      </w:r>
      <w:r w:rsidR="00552B35">
        <w:rPr>
          <w:rFonts w:ascii="Gadugi" w:hAnsi="Gadugi" w:cs="Arial"/>
        </w:rPr>
        <w:t xml:space="preserve"> relacionar una norma </w:t>
      </w:r>
      <w:r w:rsidR="008505F7">
        <w:rPr>
          <w:rFonts w:ascii="Gadugi" w:hAnsi="Gadugi" w:cs="Arial"/>
        </w:rPr>
        <w:t>del CGP</w:t>
      </w:r>
      <w:r w:rsidR="006E5C25">
        <w:rPr>
          <w:rFonts w:ascii="Gadugi" w:hAnsi="Gadugi" w:cs="Arial"/>
        </w:rPr>
        <w:t xml:space="preserve">, </w:t>
      </w:r>
      <w:r w:rsidR="00447478">
        <w:rPr>
          <w:rFonts w:ascii="Gadugi" w:hAnsi="Gadugi" w:cs="Arial"/>
          <w:lang w:val="es-419"/>
        </w:rPr>
        <w:t xml:space="preserve">se inadvierte, </w:t>
      </w:r>
      <w:r w:rsidR="001B6AC5">
        <w:rPr>
          <w:rFonts w:ascii="Gadugi" w:hAnsi="Gadugi" w:cs="Arial"/>
        </w:rPr>
        <w:t xml:space="preserve">por </w:t>
      </w:r>
      <w:r w:rsidR="00447478">
        <w:rPr>
          <w:rFonts w:ascii="Gadugi" w:hAnsi="Gadugi" w:cs="Arial"/>
          <w:lang w:val="es-419"/>
        </w:rPr>
        <w:t>ese solo hecho</w:t>
      </w:r>
      <w:r w:rsidR="006E5C25">
        <w:rPr>
          <w:rFonts w:ascii="Gadugi" w:hAnsi="Gadugi" w:cs="Arial"/>
        </w:rPr>
        <w:t xml:space="preserve">, </w:t>
      </w:r>
      <w:r w:rsidR="001B6AC5">
        <w:rPr>
          <w:rFonts w:ascii="Gadugi" w:hAnsi="Gadugi" w:cs="Arial"/>
        </w:rPr>
        <w:t>una</w:t>
      </w:r>
      <w:r w:rsidR="006E5C25">
        <w:rPr>
          <w:rFonts w:ascii="Gadugi" w:hAnsi="Gadugi" w:cs="Arial"/>
        </w:rPr>
        <w:t xml:space="preserve"> </w:t>
      </w:r>
      <w:r w:rsidR="001B6AC5">
        <w:rPr>
          <w:rFonts w:ascii="Gadugi" w:hAnsi="Gadugi" w:cs="Arial"/>
        </w:rPr>
        <w:t>vulneración</w:t>
      </w:r>
      <w:r w:rsidR="006E5C25">
        <w:rPr>
          <w:rFonts w:ascii="Gadugi" w:hAnsi="Gadugi" w:cs="Arial"/>
        </w:rPr>
        <w:t xml:space="preserve"> </w:t>
      </w:r>
      <w:r>
        <w:rPr>
          <w:rFonts w:ascii="Gadugi" w:hAnsi="Gadugi" w:cs="Arial"/>
        </w:rPr>
        <w:t xml:space="preserve">al derecho fundamental </w:t>
      </w:r>
      <w:r w:rsidR="00032595">
        <w:rPr>
          <w:rFonts w:ascii="Gadugi" w:hAnsi="Gadugi" w:cs="Arial"/>
          <w:lang w:val="es-419"/>
        </w:rPr>
        <w:t xml:space="preserve">mencionado. </w:t>
      </w:r>
    </w:p>
    <w:p w:rsidR="006E5C25" w:rsidRDefault="006E5C25" w:rsidP="0097244C">
      <w:pPr>
        <w:pStyle w:val="Sinespaciado1"/>
        <w:spacing w:line="26" w:lineRule="atLeast"/>
        <w:ind w:right="51" w:firstLine="2835"/>
        <w:jc w:val="both"/>
        <w:rPr>
          <w:rFonts w:ascii="Gadugi" w:hAnsi="Gadugi" w:cs="Arial"/>
        </w:rPr>
      </w:pPr>
    </w:p>
    <w:p w:rsidR="00552B35" w:rsidRDefault="006E5C25" w:rsidP="0097244C">
      <w:pPr>
        <w:pStyle w:val="Sinespaciado1"/>
        <w:spacing w:line="26" w:lineRule="atLeast"/>
        <w:ind w:right="51" w:firstLine="2835"/>
        <w:jc w:val="both"/>
        <w:rPr>
          <w:rFonts w:ascii="Gadugi" w:hAnsi="Gadugi" w:cs="Arial"/>
        </w:rPr>
      </w:pPr>
      <w:r>
        <w:rPr>
          <w:rFonts w:ascii="Gadugi" w:hAnsi="Gadugi" w:cs="Arial"/>
        </w:rPr>
        <w:t xml:space="preserve">Superado ese </w:t>
      </w:r>
      <w:r w:rsidR="001B6AC5">
        <w:rPr>
          <w:rFonts w:ascii="Gadugi" w:hAnsi="Gadugi" w:cs="Arial"/>
        </w:rPr>
        <w:t xml:space="preserve">escollo, </w:t>
      </w:r>
      <w:r w:rsidR="00447478">
        <w:rPr>
          <w:rFonts w:ascii="Gadugi" w:hAnsi="Gadugi" w:cs="Arial"/>
        </w:rPr>
        <w:t>advierte la S</w:t>
      </w:r>
      <w:r w:rsidR="00552B35">
        <w:rPr>
          <w:rFonts w:ascii="Gadugi" w:hAnsi="Gadugi" w:cs="Arial"/>
        </w:rPr>
        <w:t>ala que pese a</w:t>
      </w:r>
      <w:r w:rsidR="00447478">
        <w:rPr>
          <w:rFonts w:ascii="Gadugi" w:hAnsi="Gadugi" w:cs="Arial"/>
          <w:lang w:val="es-419"/>
        </w:rPr>
        <w:t xml:space="preserve">l disentimiento del </w:t>
      </w:r>
      <w:r w:rsidR="001B6AC5">
        <w:rPr>
          <w:rFonts w:ascii="Gadugi" w:hAnsi="Gadugi" w:cs="Arial"/>
        </w:rPr>
        <w:t xml:space="preserve">actor </w:t>
      </w:r>
      <w:r w:rsidR="00447478">
        <w:rPr>
          <w:rFonts w:ascii="Gadugi" w:hAnsi="Gadugi" w:cs="Arial"/>
          <w:lang w:val="es-419"/>
        </w:rPr>
        <w:t xml:space="preserve">frente a </w:t>
      </w:r>
      <w:r w:rsidR="001B6AC5">
        <w:rPr>
          <w:rFonts w:ascii="Gadugi" w:hAnsi="Gadugi" w:cs="Arial"/>
        </w:rPr>
        <w:t>algunas de las decisiones de aque</w:t>
      </w:r>
      <w:r w:rsidR="00AE286F">
        <w:rPr>
          <w:rFonts w:ascii="Gadugi" w:hAnsi="Gadugi" w:cs="Arial"/>
        </w:rPr>
        <w:t>l</w:t>
      </w:r>
      <w:r w:rsidR="001B6AC5">
        <w:rPr>
          <w:rFonts w:ascii="Gadugi" w:hAnsi="Gadugi" w:cs="Arial"/>
        </w:rPr>
        <w:t>l</w:t>
      </w:r>
      <w:r w:rsidR="00AE286F">
        <w:rPr>
          <w:rFonts w:ascii="Gadugi" w:hAnsi="Gadugi" w:cs="Arial"/>
        </w:rPr>
        <w:t>a</w:t>
      </w:r>
      <w:r w:rsidR="001B6AC5">
        <w:rPr>
          <w:rFonts w:ascii="Gadugi" w:hAnsi="Gadugi" w:cs="Arial"/>
        </w:rPr>
        <w:t xml:space="preserve"> </w:t>
      </w:r>
      <w:r w:rsidR="00AE286F">
        <w:rPr>
          <w:rFonts w:ascii="Gadugi" w:hAnsi="Gadugi" w:cs="Arial"/>
        </w:rPr>
        <w:t>providencia</w:t>
      </w:r>
      <w:r w:rsidR="001B6AC5">
        <w:rPr>
          <w:rFonts w:ascii="Gadugi" w:hAnsi="Gadugi" w:cs="Arial"/>
        </w:rPr>
        <w:t xml:space="preserve"> y</w:t>
      </w:r>
      <w:r w:rsidR="00E944F9">
        <w:rPr>
          <w:rFonts w:ascii="Gadugi" w:hAnsi="Gadugi" w:cs="Arial"/>
        </w:rPr>
        <w:t xml:space="preserve"> </w:t>
      </w:r>
      <w:r w:rsidR="00447478">
        <w:rPr>
          <w:rFonts w:ascii="Gadugi" w:hAnsi="Gadugi" w:cs="Arial"/>
          <w:lang w:val="es-419"/>
        </w:rPr>
        <w:t xml:space="preserve">de hallarlas </w:t>
      </w:r>
      <w:r w:rsidR="00E944F9">
        <w:rPr>
          <w:rFonts w:ascii="Gadugi" w:hAnsi="Gadugi" w:cs="Arial"/>
        </w:rPr>
        <w:t>contrarias</w:t>
      </w:r>
      <w:r w:rsidR="00552B35">
        <w:rPr>
          <w:rFonts w:ascii="Gadugi" w:hAnsi="Gadugi" w:cs="Arial"/>
        </w:rPr>
        <w:t xml:space="preserve"> a s</w:t>
      </w:r>
      <w:r w:rsidR="00431BE6">
        <w:rPr>
          <w:rFonts w:ascii="Gadugi" w:hAnsi="Gadugi" w:cs="Arial"/>
        </w:rPr>
        <w:t>us intereses</w:t>
      </w:r>
      <w:r w:rsidR="00E6371E">
        <w:rPr>
          <w:rFonts w:ascii="Gadugi" w:hAnsi="Gadugi" w:cs="Arial"/>
        </w:rPr>
        <w:t>, n</w:t>
      </w:r>
      <w:r w:rsidR="00431BE6">
        <w:rPr>
          <w:rFonts w:ascii="Gadugi" w:hAnsi="Gadugi" w:cs="Arial"/>
        </w:rPr>
        <w:t>o fue</w:t>
      </w:r>
      <w:r w:rsidR="002F6470">
        <w:rPr>
          <w:rFonts w:ascii="Gadugi" w:hAnsi="Gadugi" w:cs="Arial"/>
        </w:rPr>
        <w:t>ron arbitrarias o caprichosas y</w:t>
      </w:r>
      <w:r w:rsidR="00447478">
        <w:rPr>
          <w:rFonts w:ascii="Gadugi" w:hAnsi="Gadugi" w:cs="Arial"/>
          <w:lang w:val="es-419"/>
        </w:rPr>
        <w:t>,</w:t>
      </w:r>
      <w:r w:rsidR="002F6470">
        <w:rPr>
          <w:rFonts w:ascii="Gadugi" w:hAnsi="Gadugi" w:cs="Arial"/>
        </w:rPr>
        <w:t xml:space="preserve"> por </w:t>
      </w:r>
      <w:r w:rsidR="00431BE6">
        <w:rPr>
          <w:rFonts w:ascii="Gadugi" w:hAnsi="Gadugi" w:cs="Arial"/>
        </w:rPr>
        <w:t>demás</w:t>
      </w:r>
      <w:r w:rsidR="00447478">
        <w:rPr>
          <w:rFonts w:ascii="Gadugi" w:hAnsi="Gadugi" w:cs="Arial"/>
          <w:lang w:val="es-419"/>
        </w:rPr>
        <w:t>,</w:t>
      </w:r>
      <w:r w:rsidR="00431BE6">
        <w:rPr>
          <w:rFonts w:ascii="Gadugi" w:hAnsi="Gadugi" w:cs="Arial"/>
        </w:rPr>
        <w:t xml:space="preserve"> estuvieron </w:t>
      </w:r>
      <w:r w:rsidR="00E944F9">
        <w:rPr>
          <w:rFonts w:ascii="Gadugi" w:hAnsi="Gadugi" w:cs="Arial"/>
        </w:rPr>
        <w:t xml:space="preserve">precedidas de fundamentos jurídicos coherentes </w:t>
      </w:r>
      <w:r w:rsidR="005E709D">
        <w:rPr>
          <w:rFonts w:ascii="Gadugi" w:hAnsi="Gadugi" w:cs="Arial"/>
        </w:rPr>
        <w:t xml:space="preserve">con </w:t>
      </w:r>
      <w:r w:rsidR="00AE286F">
        <w:rPr>
          <w:rFonts w:ascii="Gadugi" w:hAnsi="Gadugi" w:cs="Arial"/>
        </w:rPr>
        <w:t>la coyuntura procesal que ante</w:t>
      </w:r>
      <w:r w:rsidR="005E709D">
        <w:rPr>
          <w:rFonts w:ascii="Gadugi" w:hAnsi="Gadugi" w:cs="Arial"/>
        </w:rPr>
        <w:t xml:space="preserve"> sí advino</w:t>
      </w:r>
      <w:r w:rsidR="005F2562">
        <w:rPr>
          <w:rFonts w:ascii="Gadugi" w:hAnsi="Gadugi" w:cs="Arial"/>
          <w:lang w:val="es-419"/>
        </w:rPr>
        <w:t xml:space="preserve">. </w:t>
      </w:r>
    </w:p>
    <w:p w:rsidR="002F6470" w:rsidRDefault="002F6470" w:rsidP="0097244C">
      <w:pPr>
        <w:pStyle w:val="Sinespaciado1"/>
        <w:spacing w:line="26" w:lineRule="atLeast"/>
        <w:ind w:right="51" w:firstLine="2835"/>
        <w:jc w:val="both"/>
        <w:rPr>
          <w:rFonts w:ascii="Gadugi" w:hAnsi="Gadugi" w:cs="Arial"/>
        </w:rPr>
      </w:pPr>
    </w:p>
    <w:p w:rsidR="005F2562" w:rsidRDefault="005F2562" w:rsidP="005F2562">
      <w:pPr>
        <w:pStyle w:val="Sinespaciado1"/>
        <w:spacing w:line="26" w:lineRule="atLeast"/>
        <w:ind w:right="51" w:firstLine="2835"/>
        <w:jc w:val="both"/>
        <w:rPr>
          <w:rFonts w:ascii="Gadugi" w:hAnsi="Gadugi" w:cs="Arial"/>
          <w:lang w:val="es-419"/>
        </w:rPr>
      </w:pPr>
      <w:r>
        <w:rPr>
          <w:rFonts w:ascii="Gadugi" w:hAnsi="Gadugi" w:cs="Arial"/>
          <w:lang w:val="es-419"/>
        </w:rPr>
        <w:t xml:space="preserve">En efecto, a punto de </w:t>
      </w:r>
      <w:r w:rsidR="002F6470">
        <w:rPr>
          <w:rFonts w:ascii="Gadugi" w:hAnsi="Gadugi" w:cs="Arial"/>
        </w:rPr>
        <w:t xml:space="preserve">realizar la audiencia </w:t>
      </w:r>
      <w:r>
        <w:rPr>
          <w:rFonts w:ascii="Gadugi" w:hAnsi="Gadugi" w:cs="Arial"/>
          <w:lang w:val="es-419"/>
        </w:rPr>
        <w:t xml:space="preserve">prevista </w:t>
      </w:r>
      <w:r w:rsidR="002F6470">
        <w:rPr>
          <w:rFonts w:ascii="Gadugi" w:hAnsi="Gadugi" w:cs="Arial"/>
        </w:rPr>
        <w:t>en el artículo 101 del Código de Procedimiento Civil, el Juzgado se percató</w:t>
      </w:r>
      <w:r w:rsidR="00E944F9">
        <w:rPr>
          <w:rFonts w:ascii="Gadugi" w:hAnsi="Gadugi" w:cs="Arial"/>
        </w:rPr>
        <w:t xml:space="preserve"> </w:t>
      </w:r>
      <w:r>
        <w:rPr>
          <w:rFonts w:ascii="Gadugi" w:hAnsi="Gadugi" w:cs="Arial"/>
          <w:lang w:val="es-419"/>
        </w:rPr>
        <w:t xml:space="preserve">de </w:t>
      </w:r>
      <w:r w:rsidR="00E944F9">
        <w:rPr>
          <w:rFonts w:ascii="Gadugi" w:hAnsi="Gadugi" w:cs="Arial"/>
        </w:rPr>
        <w:t>que</w:t>
      </w:r>
      <w:r w:rsidR="002F6470">
        <w:rPr>
          <w:rFonts w:ascii="Gadugi" w:hAnsi="Gadugi" w:cs="Arial"/>
        </w:rPr>
        <w:t xml:space="preserve"> en el auto que tuvo como cesionario al señor Robinson Trujillo Loaiza</w:t>
      </w:r>
      <w:r w:rsidR="005E709D">
        <w:rPr>
          <w:rFonts w:ascii="Gadugi" w:hAnsi="Gadugi" w:cs="Arial"/>
        </w:rPr>
        <w:t xml:space="preserve"> (f.</w:t>
      </w:r>
      <w:r w:rsidR="00A46978">
        <w:rPr>
          <w:rFonts w:ascii="Gadugi" w:hAnsi="Gadugi" w:cs="Arial"/>
        </w:rPr>
        <w:t>140</w:t>
      </w:r>
      <w:r w:rsidR="005E709D">
        <w:rPr>
          <w:rFonts w:ascii="Gadugi" w:hAnsi="Gadugi" w:cs="Arial"/>
        </w:rPr>
        <w:t>)</w:t>
      </w:r>
      <w:r w:rsidR="002F6470">
        <w:rPr>
          <w:rFonts w:ascii="Gadugi" w:hAnsi="Gadugi" w:cs="Arial"/>
        </w:rPr>
        <w:t xml:space="preserve">, </w:t>
      </w:r>
      <w:r w:rsidR="00E944F9">
        <w:rPr>
          <w:rFonts w:ascii="Gadugi" w:hAnsi="Gadugi" w:cs="Arial"/>
        </w:rPr>
        <w:t xml:space="preserve">se omitió </w:t>
      </w:r>
      <w:r w:rsidR="00E944F9">
        <w:rPr>
          <w:rFonts w:ascii="Gadugi" w:hAnsi="Gadugi" w:cs="Arial"/>
        </w:rPr>
        <w:lastRenderedPageBreak/>
        <w:t xml:space="preserve">ordenar la notificación de dicho acto </w:t>
      </w:r>
      <w:r w:rsidR="00476A21">
        <w:rPr>
          <w:rFonts w:ascii="Gadugi" w:hAnsi="Gadugi" w:cs="Arial"/>
        </w:rPr>
        <w:t>a la contraparte, por ello</w:t>
      </w:r>
      <w:r w:rsidR="008A7378">
        <w:rPr>
          <w:rFonts w:ascii="Gadugi" w:hAnsi="Gadugi" w:cs="Arial"/>
        </w:rPr>
        <w:t xml:space="preserve"> </w:t>
      </w:r>
      <w:r w:rsidR="00A46978">
        <w:rPr>
          <w:rFonts w:ascii="Gadugi" w:hAnsi="Gadugi" w:cs="Arial"/>
        </w:rPr>
        <w:t>dispuso hacerlo</w:t>
      </w:r>
      <w:r w:rsidR="00476A21">
        <w:rPr>
          <w:rFonts w:ascii="Gadugi" w:hAnsi="Gadugi" w:cs="Arial"/>
        </w:rPr>
        <w:t xml:space="preserve"> </w:t>
      </w:r>
      <w:r w:rsidR="008A7378">
        <w:rPr>
          <w:rFonts w:ascii="Gadugi" w:hAnsi="Gadugi" w:cs="Arial"/>
        </w:rPr>
        <w:t>con fundamento en jurisprudencia</w:t>
      </w:r>
      <w:r w:rsidR="008A7378">
        <w:rPr>
          <w:rStyle w:val="Appelnotedebasdep"/>
          <w:rFonts w:ascii="Gadugi" w:hAnsi="Gadugi"/>
        </w:rPr>
        <w:footnoteReference w:id="25"/>
      </w:r>
      <w:r w:rsidR="008A7378">
        <w:rPr>
          <w:rFonts w:ascii="Gadugi" w:hAnsi="Gadugi" w:cs="Arial"/>
        </w:rPr>
        <w:t xml:space="preserve"> que</w:t>
      </w:r>
      <w:r>
        <w:rPr>
          <w:rFonts w:ascii="Gadugi" w:hAnsi="Gadugi" w:cs="Arial"/>
          <w:lang w:val="es-419"/>
        </w:rPr>
        <w:t>,</w:t>
      </w:r>
      <w:r w:rsidR="008A7378">
        <w:rPr>
          <w:rFonts w:ascii="Gadugi" w:hAnsi="Gadugi" w:cs="Arial"/>
        </w:rPr>
        <w:t xml:space="preserve"> </w:t>
      </w:r>
      <w:r w:rsidR="00A46978">
        <w:rPr>
          <w:rFonts w:ascii="Gadugi" w:hAnsi="Gadugi" w:cs="Arial"/>
        </w:rPr>
        <w:t xml:space="preserve">según su </w:t>
      </w:r>
      <w:r w:rsidR="00A837E1">
        <w:rPr>
          <w:rFonts w:ascii="Gadugi" w:hAnsi="Gadugi" w:cs="Arial"/>
        </w:rPr>
        <w:t>interpretación</w:t>
      </w:r>
      <w:r>
        <w:rPr>
          <w:rFonts w:ascii="Gadugi" w:hAnsi="Gadugi" w:cs="Arial"/>
          <w:lang w:val="es-419"/>
        </w:rPr>
        <w:t>,</w:t>
      </w:r>
      <w:r w:rsidR="008A7378">
        <w:rPr>
          <w:rFonts w:ascii="Gadugi" w:hAnsi="Gadugi" w:cs="Arial"/>
        </w:rPr>
        <w:t xml:space="preserve"> result</w:t>
      </w:r>
      <w:r>
        <w:rPr>
          <w:rFonts w:ascii="Gadugi" w:hAnsi="Gadugi" w:cs="Arial"/>
          <w:lang w:val="es-419"/>
        </w:rPr>
        <w:t>aba</w:t>
      </w:r>
      <w:r w:rsidR="008A7378">
        <w:rPr>
          <w:rFonts w:ascii="Gadugi" w:hAnsi="Gadugi" w:cs="Arial"/>
        </w:rPr>
        <w:t xml:space="preserve"> </w:t>
      </w:r>
      <w:r w:rsidR="00C0308B">
        <w:rPr>
          <w:rFonts w:ascii="Gadugi" w:hAnsi="Gadugi" w:cs="Arial"/>
        </w:rPr>
        <w:t>afín</w:t>
      </w:r>
      <w:r w:rsidR="008A7378">
        <w:rPr>
          <w:rFonts w:ascii="Gadugi" w:hAnsi="Gadugi" w:cs="Arial"/>
        </w:rPr>
        <w:t xml:space="preserve"> al caso</w:t>
      </w:r>
      <w:r w:rsidR="00ED5E49">
        <w:rPr>
          <w:rFonts w:ascii="Gadugi" w:hAnsi="Gadugi" w:cs="Arial"/>
        </w:rPr>
        <w:t xml:space="preserve">, la que en esencia precisa que notificar a la contraparte de la cesión no vulnera derecho fundamental alguno del extremo de la litis que conforman </w:t>
      </w:r>
      <w:r w:rsidR="00A46978">
        <w:rPr>
          <w:rFonts w:ascii="Gadugi" w:hAnsi="Gadugi" w:cs="Arial"/>
        </w:rPr>
        <w:t xml:space="preserve">el </w:t>
      </w:r>
      <w:r w:rsidR="00ED5E49">
        <w:rPr>
          <w:rFonts w:ascii="Gadugi" w:hAnsi="Gadugi" w:cs="Arial"/>
        </w:rPr>
        <w:t xml:space="preserve">cedente y </w:t>
      </w:r>
      <w:r w:rsidR="00A46978">
        <w:rPr>
          <w:rFonts w:ascii="Gadugi" w:hAnsi="Gadugi" w:cs="Arial"/>
        </w:rPr>
        <w:t xml:space="preserve">el </w:t>
      </w:r>
      <w:r w:rsidR="00ED5E49">
        <w:rPr>
          <w:rFonts w:ascii="Gadugi" w:hAnsi="Gadugi" w:cs="Arial"/>
        </w:rPr>
        <w:t>cesionario y s</w:t>
      </w:r>
      <w:r>
        <w:rPr>
          <w:rFonts w:ascii="Gadugi" w:hAnsi="Gadugi" w:cs="Arial"/>
          <w:lang w:val="es-419"/>
        </w:rPr>
        <w:t>í</w:t>
      </w:r>
      <w:r w:rsidR="00A46978">
        <w:rPr>
          <w:rFonts w:ascii="Gadugi" w:hAnsi="Gadugi" w:cs="Arial"/>
        </w:rPr>
        <w:t>,</w:t>
      </w:r>
      <w:r w:rsidR="00ED5E49">
        <w:rPr>
          <w:rFonts w:ascii="Gadugi" w:hAnsi="Gadugi" w:cs="Arial"/>
        </w:rPr>
        <w:t xml:space="preserve"> por el contrario “</w:t>
      </w:r>
      <w:r w:rsidR="00ED5E49" w:rsidRPr="00ED5E49">
        <w:rPr>
          <w:rFonts w:ascii="Gadugi" w:hAnsi="Gadugi" w:cs="Arial"/>
          <w:i/>
        </w:rPr>
        <w:t>protege a la parte que no conoce quién será su nueva contraparte</w:t>
      </w:r>
      <w:r w:rsidR="00ED5E49">
        <w:rPr>
          <w:rFonts w:ascii="Gadugi" w:hAnsi="Gadugi" w:cs="Arial"/>
          <w:i/>
        </w:rPr>
        <w:t>”</w:t>
      </w:r>
      <w:r w:rsidR="00ED5E49">
        <w:rPr>
          <w:rStyle w:val="Appelnotedebasdep"/>
          <w:rFonts w:ascii="Gadugi" w:hAnsi="Gadugi"/>
          <w:i/>
        </w:rPr>
        <w:footnoteReference w:id="26"/>
      </w:r>
      <w:r>
        <w:rPr>
          <w:rFonts w:ascii="Gadugi" w:hAnsi="Gadugi" w:cs="Arial"/>
          <w:i/>
          <w:lang w:val="es-419"/>
        </w:rPr>
        <w:t xml:space="preserve">. </w:t>
      </w:r>
      <w:r>
        <w:rPr>
          <w:rFonts w:ascii="Gadugi" w:hAnsi="Gadugi" w:cs="Arial"/>
          <w:lang w:val="es-419"/>
        </w:rPr>
        <w:t>A</w:t>
      </w:r>
      <w:r w:rsidR="005E709D">
        <w:rPr>
          <w:rFonts w:ascii="Gadugi" w:hAnsi="Gadugi" w:cs="Arial"/>
        </w:rPr>
        <w:t xml:space="preserve">unado a </w:t>
      </w:r>
      <w:r w:rsidR="00ED5E49">
        <w:rPr>
          <w:rFonts w:ascii="Gadugi" w:hAnsi="Gadugi" w:cs="Arial"/>
        </w:rPr>
        <w:t xml:space="preserve">ello, </w:t>
      </w:r>
      <w:r w:rsidR="00447478">
        <w:rPr>
          <w:rFonts w:ascii="Gadugi" w:hAnsi="Gadugi" w:cs="Arial"/>
          <w:lang w:val="es-419"/>
        </w:rPr>
        <w:t xml:space="preserve">aunque </w:t>
      </w:r>
      <w:r w:rsidR="00ED5E49">
        <w:rPr>
          <w:rFonts w:ascii="Gadugi" w:hAnsi="Gadugi" w:cs="Arial"/>
        </w:rPr>
        <w:t xml:space="preserve">era </w:t>
      </w:r>
      <w:r w:rsidR="00447478">
        <w:rPr>
          <w:rFonts w:ascii="Gadugi" w:hAnsi="Gadugi" w:cs="Arial"/>
          <w:lang w:val="es-419"/>
        </w:rPr>
        <w:t>in</w:t>
      </w:r>
      <w:r w:rsidR="00ED5E49">
        <w:rPr>
          <w:rFonts w:ascii="Gadugi" w:hAnsi="Gadugi" w:cs="Arial"/>
        </w:rPr>
        <w:t>necesario ordenar dicha notificación,</w:t>
      </w:r>
      <w:r w:rsidR="005E709D">
        <w:rPr>
          <w:rFonts w:ascii="Gadugi" w:hAnsi="Gadugi" w:cs="Arial"/>
        </w:rPr>
        <w:t xml:space="preserve"> </w:t>
      </w:r>
      <w:r w:rsidR="00ED5E49">
        <w:rPr>
          <w:rFonts w:ascii="Gadugi" w:hAnsi="Gadugi" w:cs="Arial"/>
        </w:rPr>
        <w:t>habida</w:t>
      </w:r>
      <w:r w:rsidR="005E709D">
        <w:rPr>
          <w:rFonts w:ascii="Gadugi" w:hAnsi="Gadugi" w:cs="Arial"/>
        </w:rPr>
        <w:t xml:space="preserve"> cuenta</w:t>
      </w:r>
      <w:r w:rsidR="00A46978">
        <w:rPr>
          <w:rFonts w:ascii="Gadugi" w:hAnsi="Gadugi" w:cs="Arial"/>
        </w:rPr>
        <w:t xml:space="preserve"> que en tal proceso</w:t>
      </w:r>
      <w:r w:rsidR="005E709D">
        <w:rPr>
          <w:rFonts w:ascii="Gadugi" w:hAnsi="Gadugi" w:cs="Arial"/>
        </w:rPr>
        <w:t xml:space="preserve"> ya se encontraba trabada la litis, </w:t>
      </w:r>
      <w:r w:rsidR="00ED5E49">
        <w:rPr>
          <w:rFonts w:ascii="Gadugi" w:hAnsi="Gadugi" w:cs="Arial"/>
        </w:rPr>
        <w:t>una resolución</w:t>
      </w:r>
      <w:r w:rsidR="005E709D">
        <w:rPr>
          <w:rFonts w:ascii="Gadugi" w:hAnsi="Gadugi" w:cs="Arial"/>
        </w:rPr>
        <w:t xml:space="preserve"> en tal sentido </w:t>
      </w:r>
      <w:r w:rsidR="00447478">
        <w:rPr>
          <w:rFonts w:ascii="Gadugi" w:hAnsi="Gadugi" w:cs="Arial"/>
          <w:lang w:val="es-419"/>
        </w:rPr>
        <w:t xml:space="preserve">en nada </w:t>
      </w:r>
      <w:r w:rsidR="005E709D">
        <w:rPr>
          <w:rFonts w:ascii="Gadugi" w:hAnsi="Gadugi" w:cs="Arial"/>
        </w:rPr>
        <w:t xml:space="preserve">afecta </w:t>
      </w:r>
      <w:r>
        <w:rPr>
          <w:rFonts w:ascii="Gadugi" w:hAnsi="Gadugi" w:cs="Arial"/>
          <w:lang w:val="es-419"/>
        </w:rPr>
        <w:t>los derechos de las partes, antes bien</w:t>
      </w:r>
      <w:r w:rsidR="00447478">
        <w:rPr>
          <w:rFonts w:ascii="Gadugi" w:hAnsi="Gadugi" w:cs="Arial"/>
          <w:lang w:val="es-419"/>
        </w:rPr>
        <w:t>,</w:t>
      </w:r>
      <w:r>
        <w:rPr>
          <w:rFonts w:ascii="Gadugi" w:hAnsi="Gadugi" w:cs="Arial"/>
          <w:lang w:val="es-419"/>
        </w:rPr>
        <w:t xml:space="preserve"> los garantiza. En todo caso, ese acto procesal, todo lo que hace es que se pueda verificar en qué posición queda cada uno de los intervinientes frente al proceso, esto es, el cedente, el cesionario y la contraparte. Por ello se ha dicho que: </w:t>
      </w:r>
    </w:p>
    <w:p w:rsidR="00447478" w:rsidRDefault="00552B35" w:rsidP="001C6081">
      <w:pPr>
        <w:pStyle w:val="Sinespaciado1"/>
        <w:spacing w:line="26" w:lineRule="atLeast"/>
        <w:ind w:left="851" w:right="618"/>
        <w:jc w:val="both"/>
        <w:rPr>
          <w:rFonts w:ascii="Gadugi" w:hAnsi="Gadugi" w:cs="Arial"/>
        </w:rPr>
      </w:pPr>
      <w:r>
        <w:rPr>
          <w:rFonts w:ascii="Gadugi" w:hAnsi="Gadugi" w:cs="Arial"/>
        </w:rPr>
        <w:tab/>
      </w:r>
      <w:r w:rsidRPr="005F2562">
        <w:rPr>
          <w:rFonts w:ascii="Gadugi" w:hAnsi="Gadugi" w:cs="Arial"/>
        </w:rPr>
        <w:tab/>
      </w:r>
      <w:r w:rsidRPr="005F2562">
        <w:rPr>
          <w:rFonts w:ascii="Gadugi" w:hAnsi="Gadugi" w:cs="Arial"/>
        </w:rPr>
        <w:tab/>
      </w:r>
    </w:p>
    <w:p w:rsidR="00132E42" w:rsidRPr="005F2562" w:rsidRDefault="00447478" w:rsidP="001C6081">
      <w:pPr>
        <w:pStyle w:val="Sinespaciado1"/>
        <w:spacing w:line="26" w:lineRule="atLeast"/>
        <w:ind w:left="851" w:right="618"/>
        <w:jc w:val="both"/>
        <w:rPr>
          <w:rFonts w:ascii="Arial Narrow" w:hAnsi="Arial Narrow" w:cs="Arial"/>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sidR="008C262A" w:rsidRPr="005F2562">
        <w:rPr>
          <w:rFonts w:ascii="Arial Narrow" w:hAnsi="Arial Narrow" w:cs="Arial"/>
        </w:rPr>
        <w:t>Resulta entonces infundado que se reclame la ausencia de la notificación prevista en el artículo 60 del C.P.C. cuando en última instancia ella no es necesaria, pues la misma norma establece que el proceso continúa en el caso en el que no se perfeccione la sucesión procesal, en razón a que la parte interesada que no cumple con la carga de notificar a la parte contraria, simplemente conserva la calidad de litisconsorte en el proceso. En otros términos, la consecuencia real que conlleva la práctica de la notificación es que si la parte contraria acepta la sucesión procesal, permite que el juez admita al interesado como parte íntegra en el proceso, si no se realiza la notificación y correspondiente aceptación, simplemente conserva la calidad de litisconsorte en el juicio</w:t>
      </w:r>
      <w:r w:rsidR="00ED5E49" w:rsidRPr="005F2562">
        <w:rPr>
          <w:rStyle w:val="Appelnotedebasdep"/>
          <w:rFonts w:ascii="Arial Narrow" w:hAnsi="Arial Narrow"/>
        </w:rPr>
        <w:footnoteReference w:id="27"/>
      </w:r>
      <w:r w:rsidR="005F2562" w:rsidRPr="005F2562">
        <w:rPr>
          <w:rFonts w:ascii="Arial Narrow" w:hAnsi="Arial Narrow" w:cs="Arial"/>
        </w:rPr>
        <w:t>.</w:t>
      </w:r>
    </w:p>
    <w:p w:rsidR="008C262A" w:rsidRDefault="008C262A" w:rsidP="002E4609">
      <w:pPr>
        <w:pStyle w:val="Sinespaciado1"/>
        <w:spacing w:line="26" w:lineRule="atLeast"/>
        <w:ind w:right="51"/>
        <w:jc w:val="both"/>
        <w:rPr>
          <w:rFonts w:ascii="Gadugi" w:hAnsi="Gadugi" w:cs="Arial"/>
        </w:rPr>
      </w:pPr>
    </w:p>
    <w:p w:rsidR="008403F4" w:rsidRDefault="008C262A" w:rsidP="005E709D">
      <w:pPr>
        <w:pStyle w:val="Sinespaciado1"/>
        <w:spacing w:line="26" w:lineRule="atLeast"/>
        <w:ind w:right="51" w:firstLine="2835"/>
        <w:jc w:val="both"/>
        <w:rPr>
          <w:rFonts w:ascii="Gadugi" w:hAnsi="Gadugi"/>
          <w:lang w:val="es-419"/>
        </w:rPr>
      </w:pPr>
      <w:r>
        <w:rPr>
          <w:rFonts w:ascii="Gadugi" w:hAnsi="Gadugi" w:cs="Arial"/>
        </w:rPr>
        <w:tab/>
      </w:r>
      <w:r w:rsidR="008A2871">
        <w:rPr>
          <w:rFonts w:ascii="Gadugi" w:hAnsi="Gadugi"/>
        </w:rPr>
        <w:t xml:space="preserve">Por esa misma </w:t>
      </w:r>
      <w:r w:rsidR="008A2871" w:rsidRPr="004D6C45">
        <w:rPr>
          <w:rFonts w:ascii="Gadugi" w:hAnsi="Gadugi"/>
        </w:rPr>
        <w:t xml:space="preserve">senda cae </w:t>
      </w:r>
      <w:r w:rsidR="008A2871">
        <w:rPr>
          <w:rFonts w:ascii="Gadugi" w:hAnsi="Gadugi"/>
        </w:rPr>
        <w:t>el reproche frente al</w:t>
      </w:r>
      <w:r w:rsidR="001B6AC5">
        <w:rPr>
          <w:rFonts w:ascii="Gadugi" w:hAnsi="Gadugi"/>
        </w:rPr>
        <w:t xml:space="preserve"> requerimiento que se le hizo</w:t>
      </w:r>
      <w:r w:rsidR="005909E8">
        <w:rPr>
          <w:rFonts w:ascii="Gadugi" w:hAnsi="Gadugi"/>
          <w:lang w:val="es-419"/>
        </w:rPr>
        <w:t xml:space="preserve"> a</w:t>
      </w:r>
      <w:r w:rsidR="001B6AC5">
        <w:rPr>
          <w:rFonts w:ascii="Gadugi" w:hAnsi="Gadugi"/>
        </w:rPr>
        <w:t xml:space="preserve"> </w:t>
      </w:r>
      <w:r w:rsidR="007D7561">
        <w:rPr>
          <w:rFonts w:ascii="Gadugi" w:hAnsi="Gadugi"/>
        </w:rPr>
        <w:t>la parte demandante en reconvención</w:t>
      </w:r>
      <w:r w:rsidR="001B6AC5">
        <w:rPr>
          <w:rFonts w:ascii="Gadugi" w:hAnsi="Gadugi"/>
        </w:rPr>
        <w:t xml:space="preserve"> </w:t>
      </w:r>
      <w:r w:rsidR="00595C88">
        <w:rPr>
          <w:rFonts w:ascii="Gadugi" w:hAnsi="Gadugi"/>
        </w:rPr>
        <w:t>para que</w:t>
      </w:r>
      <w:r w:rsidR="001B6AC5">
        <w:rPr>
          <w:rFonts w:ascii="Gadugi" w:hAnsi="Gadugi"/>
        </w:rPr>
        <w:t xml:space="preserve"> presentar</w:t>
      </w:r>
      <w:r w:rsidR="00595C88">
        <w:rPr>
          <w:rFonts w:ascii="Gadugi" w:hAnsi="Gadugi"/>
        </w:rPr>
        <w:t>a</w:t>
      </w:r>
      <w:r w:rsidR="001B6AC5">
        <w:rPr>
          <w:rFonts w:ascii="Gadugi" w:hAnsi="Gadugi"/>
        </w:rPr>
        <w:t xml:space="preserve"> el juramento estimatorio</w:t>
      </w:r>
      <w:r w:rsidR="005F2562">
        <w:rPr>
          <w:rFonts w:ascii="Gadugi" w:hAnsi="Gadugi"/>
          <w:lang w:val="es-419"/>
        </w:rPr>
        <w:t xml:space="preserve">. Si </w:t>
      </w:r>
      <w:r w:rsidR="00921C23" w:rsidRPr="004D6C45">
        <w:rPr>
          <w:rFonts w:ascii="Gadugi" w:hAnsi="Gadugi"/>
        </w:rPr>
        <w:t>de</w:t>
      </w:r>
      <w:r w:rsidR="007D7561">
        <w:rPr>
          <w:rFonts w:ascii="Gadugi" w:hAnsi="Gadugi"/>
        </w:rPr>
        <w:t xml:space="preserve"> lo que se duele el interesado es </w:t>
      </w:r>
      <w:r w:rsidR="005F2562">
        <w:rPr>
          <w:rFonts w:ascii="Gadugi" w:hAnsi="Gadugi"/>
          <w:lang w:val="es-419"/>
        </w:rPr>
        <w:t xml:space="preserve">de </w:t>
      </w:r>
      <w:r w:rsidR="007D7561">
        <w:rPr>
          <w:rFonts w:ascii="Gadugi" w:hAnsi="Gadugi"/>
        </w:rPr>
        <w:t xml:space="preserve">que </w:t>
      </w:r>
      <w:r w:rsidR="001C6081">
        <w:rPr>
          <w:rFonts w:ascii="Gadugi" w:hAnsi="Gadugi"/>
        </w:rPr>
        <w:t>dicho</w:t>
      </w:r>
      <w:r w:rsidR="007D7561">
        <w:rPr>
          <w:rFonts w:ascii="Gadugi" w:hAnsi="Gadugi"/>
        </w:rPr>
        <w:t xml:space="preserve"> anuncio debió hacerse desde la presentación de la demanda, </w:t>
      </w:r>
      <w:r w:rsidR="008403F4">
        <w:rPr>
          <w:rFonts w:ascii="Gadugi" w:hAnsi="Gadugi"/>
          <w:lang w:val="es-419"/>
        </w:rPr>
        <w:t xml:space="preserve">ha debido, dentro del </w:t>
      </w:r>
      <w:r w:rsidR="007D7561">
        <w:rPr>
          <w:rFonts w:ascii="Gadugi" w:hAnsi="Gadugi"/>
        </w:rPr>
        <w:t>término de traslado</w:t>
      </w:r>
      <w:r w:rsidR="008403F4">
        <w:rPr>
          <w:rFonts w:ascii="Gadugi" w:hAnsi="Gadugi"/>
          <w:lang w:val="es-419"/>
        </w:rPr>
        <w:t>,</w:t>
      </w:r>
      <w:r w:rsidR="00595C88">
        <w:rPr>
          <w:rFonts w:ascii="Gadugi" w:hAnsi="Gadugi"/>
        </w:rPr>
        <w:t xml:space="preserve"> poner de presente tal situación</w:t>
      </w:r>
      <w:r w:rsidR="008403F4">
        <w:rPr>
          <w:rFonts w:ascii="Gadugi" w:hAnsi="Gadugi"/>
          <w:lang w:val="es-419"/>
        </w:rPr>
        <w:t xml:space="preserve">.  Ahora, frente a lo novedoso que resultaba, y aún lo es, el tema del juramento estimatorio, la omisión que en su momento hubo por parte del reconviniente y del juzgado, que no inadmitió el libelo respectivo, bien puede sanearse luego, supuesto que se trata de uno de los tantos medios de prueba que ofrece la legislación procesal civil. </w:t>
      </w:r>
    </w:p>
    <w:p w:rsidR="008403F4" w:rsidRDefault="008403F4" w:rsidP="005E709D">
      <w:pPr>
        <w:pStyle w:val="Sinespaciado1"/>
        <w:spacing w:line="26" w:lineRule="atLeast"/>
        <w:ind w:right="51" w:firstLine="2835"/>
        <w:jc w:val="both"/>
        <w:rPr>
          <w:rFonts w:ascii="Gadugi" w:hAnsi="Gadugi"/>
          <w:lang w:val="es-419"/>
        </w:rPr>
      </w:pPr>
    </w:p>
    <w:p w:rsidR="008403F4" w:rsidRDefault="008403F4" w:rsidP="005E709D">
      <w:pPr>
        <w:pStyle w:val="Sinespaciado1"/>
        <w:spacing w:line="26" w:lineRule="atLeast"/>
        <w:ind w:right="51" w:firstLine="2835"/>
        <w:jc w:val="both"/>
        <w:rPr>
          <w:rFonts w:ascii="Gadugi" w:hAnsi="Gadugi"/>
          <w:lang w:val="es-419"/>
        </w:rPr>
      </w:pPr>
      <w:r>
        <w:rPr>
          <w:rFonts w:ascii="Gadugi" w:hAnsi="Gadugi"/>
          <w:lang w:val="es-419"/>
        </w:rPr>
        <w:t xml:space="preserve">No se olvide, en todo caso, que como el proceso se está tramitando aún por el cauce del Código de Procedimiento Civil, el artículo 211, </w:t>
      </w:r>
      <w:r w:rsidR="00A837E1">
        <w:rPr>
          <w:rFonts w:ascii="Gadugi" w:hAnsi="Gadugi"/>
          <w:lang w:val="es-419"/>
        </w:rPr>
        <w:t>modificado</w:t>
      </w:r>
      <w:r>
        <w:rPr>
          <w:rFonts w:ascii="Gadugi" w:hAnsi="Gadugi"/>
          <w:lang w:val="es-419"/>
        </w:rPr>
        <w:t xml:space="preserve"> por el 10 de la Ley 1395 de 2010, no señaló una consecuencia específica de la omisión, como sí lo hace el CGP, que inserta, como causal de inadmisión </w:t>
      </w:r>
      <w:r w:rsidR="005909E8">
        <w:rPr>
          <w:rFonts w:ascii="Gadugi" w:hAnsi="Gadugi"/>
          <w:lang w:val="es-419"/>
        </w:rPr>
        <w:t xml:space="preserve">de </w:t>
      </w:r>
      <w:r>
        <w:rPr>
          <w:rFonts w:ascii="Gadugi" w:hAnsi="Gadugi"/>
          <w:lang w:val="es-419"/>
        </w:rPr>
        <w:t xml:space="preserve">la demanda </w:t>
      </w:r>
      <w:r w:rsidR="005909E8">
        <w:rPr>
          <w:rFonts w:ascii="Gadugi" w:hAnsi="Gadugi"/>
          <w:lang w:val="es-419"/>
        </w:rPr>
        <w:t xml:space="preserve">el olvido del juramento estimatorio que manda </w:t>
      </w:r>
      <w:r>
        <w:rPr>
          <w:rFonts w:ascii="Gadugi" w:hAnsi="Gadugi"/>
          <w:lang w:val="es-419"/>
        </w:rPr>
        <w:t xml:space="preserve">el artículo 206 del nuevo estatuto (art. 90), o que, si es el demandado quien lo omite, </w:t>
      </w:r>
      <w:r w:rsidR="005909E8">
        <w:rPr>
          <w:rFonts w:ascii="Gadugi" w:hAnsi="Gadugi"/>
          <w:lang w:val="es-419"/>
        </w:rPr>
        <w:t xml:space="preserve">a pesar de ser requerido para subsanarlo, </w:t>
      </w:r>
      <w:r>
        <w:rPr>
          <w:rFonts w:ascii="Gadugi" w:hAnsi="Gadugi"/>
          <w:lang w:val="es-419"/>
        </w:rPr>
        <w:t xml:space="preserve">se deba abstener el juez de considerar su reclamo (art. 97). Por ello, en ejercicio de ese señalado poder de dirección, nada se opone a que el juez haga ese requerimiento, por supuesto antes de que se abra el debate probatorio. </w:t>
      </w:r>
    </w:p>
    <w:p w:rsidR="005950C1" w:rsidRDefault="00741864" w:rsidP="002D3736">
      <w:pPr>
        <w:pStyle w:val="Sinespaciado1"/>
        <w:spacing w:line="26" w:lineRule="atLeast"/>
        <w:ind w:right="51"/>
        <w:jc w:val="both"/>
        <w:rPr>
          <w:rFonts w:ascii="Gadugi" w:hAnsi="Gadugi"/>
        </w:rPr>
      </w:pPr>
      <w:r>
        <w:rPr>
          <w:rFonts w:ascii="Gadugi" w:hAnsi="Gadugi"/>
        </w:rPr>
        <w:lastRenderedPageBreak/>
        <w:t xml:space="preserve">  </w:t>
      </w:r>
      <w:r>
        <w:rPr>
          <w:rFonts w:ascii="Gadugi" w:hAnsi="Gadugi"/>
        </w:rPr>
        <w:tab/>
      </w:r>
      <w:r>
        <w:rPr>
          <w:rFonts w:ascii="Gadugi" w:hAnsi="Gadugi"/>
        </w:rPr>
        <w:tab/>
      </w:r>
      <w:r w:rsidR="00572FC4" w:rsidRPr="004D6C45">
        <w:rPr>
          <w:rFonts w:ascii="Gadugi" w:hAnsi="Gadugi"/>
        </w:rPr>
        <w:tab/>
      </w:r>
      <w:r w:rsidR="00572FC4" w:rsidRPr="004D6C45">
        <w:rPr>
          <w:rFonts w:ascii="Gadugi" w:hAnsi="Gadugi"/>
        </w:rPr>
        <w:tab/>
      </w:r>
      <w:r w:rsidR="008403F4">
        <w:rPr>
          <w:rFonts w:ascii="Gadugi" w:hAnsi="Gadugi"/>
          <w:lang w:val="es-419"/>
        </w:rPr>
        <w:t xml:space="preserve">Así las cosas, con </w:t>
      </w:r>
      <w:r w:rsidR="00BE29D1">
        <w:rPr>
          <w:rFonts w:ascii="Gadugi" w:hAnsi="Gadugi"/>
        </w:rPr>
        <w:t>todo</w:t>
      </w:r>
      <w:r w:rsidR="008403F4">
        <w:rPr>
          <w:rFonts w:ascii="Gadugi" w:hAnsi="Gadugi"/>
          <w:lang w:val="es-419"/>
        </w:rPr>
        <w:t xml:space="preserve"> y las irregularidades que se observan en la providencia</w:t>
      </w:r>
      <w:r w:rsidR="001C6081">
        <w:rPr>
          <w:rFonts w:ascii="Gadugi" w:hAnsi="Gadugi"/>
        </w:rPr>
        <w:t xml:space="preserve"> atacada</w:t>
      </w:r>
      <w:r w:rsidR="002D3736">
        <w:rPr>
          <w:rFonts w:ascii="Gadugi" w:hAnsi="Gadugi"/>
        </w:rPr>
        <w:t xml:space="preserve">, ellas </w:t>
      </w:r>
      <w:r w:rsidR="005909E8">
        <w:rPr>
          <w:rFonts w:ascii="Gadugi" w:hAnsi="Gadugi"/>
          <w:lang w:val="es-419"/>
        </w:rPr>
        <w:t xml:space="preserve">son insuficientes para </w:t>
      </w:r>
      <w:r w:rsidR="002D3736">
        <w:rPr>
          <w:rFonts w:ascii="Gadugi" w:hAnsi="Gadugi"/>
        </w:rPr>
        <w:t xml:space="preserve">vulnerar </w:t>
      </w:r>
      <w:r w:rsidR="0070663D">
        <w:rPr>
          <w:rFonts w:ascii="Gadugi" w:hAnsi="Gadugi"/>
        </w:rPr>
        <w:t>el</w:t>
      </w:r>
      <w:r w:rsidR="002D3736">
        <w:rPr>
          <w:rFonts w:ascii="Gadugi" w:hAnsi="Gadugi"/>
        </w:rPr>
        <w:t xml:space="preserve"> derecho fundamental denunciado, motivo por el cual</w:t>
      </w:r>
      <w:r w:rsidR="007D7561">
        <w:rPr>
          <w:rFonts w:ascii="Gadugi" w:hAnsi="Gadugi"/>
        </w:rPr>
        <w:t xml:space="preserve"> </w:t>
      </w:r>
      <w:r w:rsidR="00D97602" w:rsidRPr="004D6C45">
        <w:rPr>
          <w:rFonts w:ascii="Gadugi" w:hAnsi="Gadugi"/>
        </w:rPr>
        <w:t xml:space="preserve">a nada conduciría forzar por esta vía un nuevo pronunciamiento </w:t>
      </w:r>
      <w:r w:rsidR="005950C1">
        <w:rPr>
          <w:rFonts w:ascii="Gadugi" w:hAnsi="Gadugi"/>
        </w:rPr>
        <w:t xml:space="preserve">en relación </w:t>
      </w:r>
      <w:r w:rsidR="007D7561">
        <w:rPr>
          <w:rFonts w:ascii="Gadugi" w:hAnsi="Gadugi"/>
        </w:rPr>
        <w:t xml:space="preserve">a las decisiones atacadas </w:t>
      </w:r>
      <w:r w:rsidR="00FD3266">
        <w:rPr>
          <w:rFonts w:ascii="Gadugi" w:hAnsi="Gadugi"/>
        </w:rPr>
        <w:t>en este trámite,</w:t>
      </w:r>
      <w:r w:rsidR="007D7561">
        <w:rPr>
          <w:rFonts w:ascii="Gadugi" w:hAnsi="Gadugi"/>
        </w:rPr>
        <w:t xml:space="preserve"> contenidas en el auto proferido el 7 de diciembre de 2016</w:t>
      </w:r>
      <w:r w:rsidR="00D97602" w:rsidRPr="004D6C45">
        <w:rPr>
          <w:rFonts w:ascii="Gadugi" w:hAnsi="Gadugi"/>
        </w:rPr>
        <w:t xml:space="preserve">, </w:t>
      </w:r>
      <w:r w:rsidR="00FD3266">
        <w:rPr>
          <w:rFonts w:ascii="Gadugi" w:hAnsi="Gadugi"/>
        </w:rPr>
        <w:t>dado</w:t>
      </w:r>
      <w:r w:rsidR="00BE29D1">
        <w:rPr>
          <w:rFonts w:ascii="Gadugi" w:hAnsi="Gadugi"/>
        </w:rPr>
        <w:t xml:space="preserve"> se tiene </w:t>
      </w:r>
      <w:r w:rsidR="00FD3266">
        <w:rPr>
          <w:rFonts w:ascii="Gadugi" w:hAnsi="Gadugi"/>
        </w:rPr>
        <w:t>por sentado</w:t>
      </w:r>
      <w:r w:rsidR="00BE29D1">
        <w:rPr>
          <w:rFonts w:ascii="Gadugi" w:hAnsi="Gadugi"/>
        </w:rPr>
        <w:t xml:space="preserve"> </w:t>
      </w:r>
      <w:r w:rsidR="00FD3266">
        <w:rPr>
          <w:rFonts w:ascii="Gadugi" w:hAnsi="Gadugi"/>
        </w:rPr>
        <w:t xml:space="preserve">que </w:t>
      </w:r>
      <w:r w:rsidR="005950C1">
        <w:rPr>
          <w:rFonts w:ascii="Gadugi" w:hAnsi="Gadugi"/>
        </w:rPr>
        <w:t>frente</w:t>
      </w:r>
      <w:r w:rsidR="00FD3266">
        <w:rPr>
          <w:rFonts w:ascii="Gadugi" w:hAnsi="Gadugi"/>
        </w:rPr>
        <w:t xml:space="preserve"> a la notificación de la cesión,</w:t>
      </w:r>
      <w:r w:rsidR="005950C1">
        <w:rPr>
          <w:rFonts w:ascii="Gadugi" w:hAnsi="Gadugi"/>
        </w:rPr>
        <w:t xml:space="preserve"> su materializaci</w:t>
      </w:r>
      <w:r w:rsidR="00FD3266">
        <w:rPr>
          <w:rFonts w:ascii="Gadugi" w:hAnsi="Gadugi"/>
        </w:rPr>
        <w:t>ón</w:t>
      </w:r>
      <w:r w:rsidR="005950C1">
        <w:rPr>
          <w:rFonts w:ascii="Gadugi" w:hAnsi="Gadugi"/>
        </w:rPr>
        <w:t>, no implica un entorpecimiento del proceso ni un favorecimiento para una de las partes</w:t>
      </w:r>
      <w:r w:rsidR="00A46978">
        <w:rPr>
          <w:rFonts w:ascii="Gadugi" w:hAnsi="Gadugi"/>
        </w:rPr>
        <w:t>;</w:t>
      </w:r>
      <w:r w:rsidR="005950C1">
        <w:rPr>
          <w:rFonts w:ascii="Gadugi" w:hAnsi="Gadugi"/>
        </w:rPr>
        <w:t xml:space="preserve"> y frente a</w:t>
      </w:r>
      <w:r w:rsidR="00FD3266">
        <w:rPr>
          <w:rFonts w:ascii="Gadugi" w:hAnsi="Gadugi"/>
        </w:rPr>
        <w:t>l requerimiento tardío que se hi</w:t>
      </w:r>
      <w:r w:rsidR="005909E8">
        <w:rPr>
          <w:rFonts w:ascii="Gadugi" w:hAnsi="Gadugi"/>
          <w:lang w:val="es-419"/>
        </w:rPr>
        <w:t>zo</w:t>
      </w:r>
      <w:r w:rsidR="00FD3266">
        <w:rPr>
          <w:rFonts w:ascii="Gadugi" w:hAnsi="Gadugi"/>
        </w:rPr>
        <w:t xml:space="preserve"> sobre la presentación del juramento estimatorio </w:t>
      </w:r>
      <w:r w:rsidR="00A46978">
        <w:rPr>
          <w:rFonts w:ascii="Gadugi" w:hAnsi="Gadugi"/>
        </w:rPr>
        <w:t xml:space="preserve">se reitera que </w:t>
      </w:r>
      <w:r w:rsidR="005909E8">
        <w:rPr>
          <w:rFonts w:ascii="Gadugi" w:hAnsi="Gadugi"/>
          <w:lang w:val="es-419"/>
        </w:rPr>
        <w:t xml:space="preserve">ninguna </w:t>
      </w:r>
      <w:r w:rsidR="00FD3266">
        <w:rPr>
          <w:rFonts w:ascii="Gadugi" w:hAnsi="Gadugi"/>
        </w:rPr>
        <w:t>prohibi</w:t>
      </w:r>
      <w:r w:rsidR="005909E8">
        <w:rPr>
          <w:rFonts w:ascii="Gadugi" w:hAnsi="Gadugi"/>
          <w:lang w:val="es-419"/>
        </w:rPr>
        <w:t xml:space="preserve">ción se advierte para que </w:t>
      </w:r>
      <w:r w:rsidR="00FD3266">
        <w:rPr>
          <w:rFonts w:ascii="Gadugi" w:hAnsi="Gadugi"/>
        </w:rPr>
        <w:t xml:space="preserve">el juez </w:t>
      </w:r>
      <w:r w:rsidR="008403F4">
        <w:rPr>
          <w:rFonts w:ascii="Gadugi" w:hAnsi="Gadugi"/>
          <w:lang w:val="es-419"/>
        </w:rPr>
        <w:t>subsan</w:t>
      </w:r>
      <w:r w:rsidR="005909E8">
        <w:rPr>
          <w:rFonts w:ascii="Gadugi" w:hAnsi="Gadugi"/>
          <w:lang w:val="es-419"/>
        </w:rPr>
        <w:t>e</w:t>
      </w:r>
      <w:r w:rsidR="008403F4">
        <w:rPr>
          <w:rFonts w:ascii="Gadugi" w:hAnsi="Gadugi"/>
          <w:lang w:val="es-419"/>
        </w:rPr>
        <w:t xml:space="preserve"> una deficiencia que ha debido </w:t>
      </w:r>
      <w:r w:rsidR="001C376F">
        <w:rPr>
          <w:rFonts w:ascii="Gadugi" w:hAnsi="Gadugi"/>
          <w:lang w:val="es-419"/>
        </w:rPr>
        <w:t xml:space="preserve">examinar </w:t>
      </w:r>
      <w:r w:rsidR="008403F4">
        <w:rPr>
          <w:rFonts w:ascii="Gadugi" w:hAnsi="Gadugi"/>
          <w:lang w:val="es-419"/>
        </w:rPr>
        <w:t>desde la admisión</w:t>
      </w:r>
      <w:r w:rsidR="001C376F">
        <w:rPr>
          <w:rFonts w:ascii="Gadugi" w:hAnsi="Gadugi"/>
          <w:lang w:val="es-419"/>
        </w:rPr>
        <w:t xml:space="preserve">. </w:t>
      </w:r>
    </w:p>
    <w:p w:rsidR="000A2175" w:rsidRPr="004D6C45" w:rsidRDefault="000A2175" w:rsidP="004D6C45">
      <w:pPr>
        <w:pStyle w:val="Textoindependiente210"/>
        <w:spacing w:line="26" w:lineRule="atLeast"/>
        <w:ind w:firstLine="0"/>
        <w:rPr>
          <w:rFonts w:ascii="Gadugi" w:hAnsi="Gadugi"/>
        </w:rPr>
      </w:pPr>
    </w:p>
    <w:p w:rsidR="0012183E" w:rsidRPr="004D6C45" w:rsidRDefault="001C376F" w:rsidP="004D6C45">
      <w:pPr>
        <w:pStyle w:val="Corpsdetexte"/>
        <w:spacing w:line="26" w:lineRule="atLeast"/>
        <w:ind w:firstLine="2835"/>
        <w:rPr>
          <w:rFonts w:ascii="Gadugi" w:hAnsi="Gadugi"/>
          <w:szCs w:val="24"/>
        </w:rPr>
      </w:pPr>
      <w:r>
        <w:rPr>
          <w:rFonts w:ascii="Gadugi" w:hAnsi="Gadugi"/>
          <w:szCs w:val="24"/>
          <w:lang w:val="es-419"/>
        </w:rPr>
        <w:t xml:space="preserve">De manera que </w:t>
      </w:r>
      <w:r w:rsidR="00BE29D1">
        <w:rPr>
          <w:rFonts w:ascii="Gadugi" w:hAnsi="Gadugi"/>
          <w:szCs w:val="24"/>
        </w:rPr>
        <w:t xml:space="preserve">ninguna circunstancia </w:t>
      </w:r>
      <w:r w:rsidR="009D087F" w:rsidRPr="004D6C45">
        <w:rPr>
          <w:rFonts w:ascii="Gadugi" w:hAnsi="Gadugi"/>
          <w:szCs w:val="24"/>
        </w:rPr>
        <w:t>aflora que permita la injerencia del juez constitucional, porque</w:t>
      </w:r>
      <w:r w:rsidR="00BE29D1">
        <w:rPr>
          <w:rFonts w:ascii="Gadugi" w:hAnsi="Gadugi"/>
          <w:szCs w:val="24"/>
        </w:rPr>
        <w:t>,</w:t>
      </w:r>
      <w:r w:rsidR="009D087F" w:rsidRPr="004D6C45">
        <w:rPr>
          <w:rFonts w:ascii="Gadugi" w:hAnsi="Gadugi"/>
          <w:szCs w:val="24"/>
        </w:rPr>
        <w:t xml:space="preserve"> al margen de que las resoluciones de las que se duele el actor </w:t>
      </w:r>
      <w:r w:rsidR="00BE29D1">
        <w:rPr>
          <w:rFonts w:ascii="Gadugi" w:hAnsi="Gadugi"/>
          <w:szCs w:val="24"/>
        </w:rPr>
        <w:t>le sean des</w:t>
      </w:r>
      <w:r w:rsidR="009D087F" w:rsidRPr="004D6C45">
        <w:rPr>
          <w:rFonts w:ascii="Gadugi" w:hAnsi="Gadugi"/>
          <w:szCs w:val="24"/>
        </w:rPr>
        <w:t>favorable</w:t>
      </w:r>
      <w:r w:rsidR="0012183E" w:rsidRPr="004D6C45">
        <w:rPr>
          <w:rFonts w:ascii="Gadugi" w:hAnsi="Gadugi"/>
          <w:szCs w:val="24"/>
        </w:rPr>
        <w:t xml:space="preserve">s, no </w:t>
      </w:r>
      <w:r w:rsidR="00BE29D1">
        <w:rPr>
          <w:rFonts w:ascii="Gadugi" w:hAnsi="Gadugi"/>
          <w:szCs w:val="24"/>
        </w:rPr>
        <w:t xml:space="preserve">por ello se traducen en </w:t>
      </w:r>
      <w:r w:rsidR="0012183E" w:rsidRPr="004D6C45">
        <w:rPr>
          <w:rFonts w:ascii="Gadugi" w:hAnsi="Gadugi"/>
          <w:szCs w:val="24"/>
        </w:rPr>
        <w:t xml:space="preserve">arbitrarias o irracionales; </w:t>
      </w:r>
      <w:r w:rsidR="00BE29D1">
        <w:rPr>
          <w:rFonts w:ascii="Gadugi" w:hAnsi="Gadugi"/>
          <w:szCs w:val="24"/>
        </w:rPr>
        <w:t xml:space="preserve">al contrario, se muestran acordes con la </w:t>
      </w:r>
      <w:r w:rsidR="0012183E" w:rsidRPr="004D6C45">
        <w:rPr>
          <w:rFonts w:ascii="Gadugi" w:hAnsi="Gadugi"/>
          <w:szCs w:val="24"/>
        </w:rPr>
        <w:t>realidad procesal</w:t>
      </w:r>
      <w:r w:rsidR="00BE29D1">
        <w:rPr>
          <w:rFonts w:ascii="Gadugi" w:hAnsi="Gadugi"/>
          <w:szCs w:val="24"/>
        </w:rPr>
        <w:t xml:space="preserve">. </w:t>
      </w:r>
      <w:r w:rsidR="0012183E" w:rsidRPr="004D6C45">
        <w:rPr>
          <w:rFonts w:ascii="Gadugi" w:hAnsi="Gadugi"/>
          <w:szCs w:val="24"/>
        </w:rPr>
        <w:t xml:space="preserve">Esto, por más discutible que le parezca al </w:t>
      </w:r>
      <w:r w:rsidR="0012183E" w:rsidRPr="004D6C45">
        <w:rPr>
          <w:rFonts w:ascii="Gadugi" w:hAnsi="Gadugi"/>
          <w:szCs w:val="24"/>
          <w:lang w:val="es-CO"/>
        </w:rPr>
        <w:t>interesado</w:t>
      </w:r>
      <w:r w:rsidR="0012183E" w:rsidRPr="004D6C45">
        <w:rPr>
          <w:rFonts w:ascii="Gadugi" w:hAnsi="Gadugi"/>
          <w:szCs w:val="24"/>
        </w:rPr>
        <w:t>, e incluso si pudiera interpretarse de manera diversa</w:t>
      </w:r>
      <w:r w:rsidR="00BE29D1">
        <w:rPr>
          <w:rFonts w:ascii="Gadugi" w:hAnsi="Gadugi"/>
          <w:szCs w:val="24"/>
        </w:rPr>
        <w:t xml:space="preserve"> la cuestión. </w:t>
      </w:r>
    </w:p>
    <w:p w:rsidR="0012183E" w:rsidRPr="004D6C45" w:rsidRDefault="0012183E" w:rsidP="004D6C45">
      <w:pPr>
        <w:pStyle w:val="Corpsdetexte"/>
        <w:spacing w:line="26" w:lineRule="atLeast"/>
        <w:ind w:firstLine="2835"/>
        <w:rPr>
          <w:rFonts w:ascii="Gadugi" w:hAnsi="Gadugi"/>
          <w:szCs w:val="24"/>
        </w:rPr>
      </w:pPr>
    </w:p>
    <w:p w:rsidR="0012183E" w:rsidRPr="004D6C45" w:rsidRDefault="0012183E" w:rsidP="004D6C45">
      <w:pPr>
        <w:pStyle w:val="Corpsdetexte"/>
        <w:spacing w:line="26" w:lineRule="atLeast"/>
        <w:ind w:firstLine="2835"/>
        <w:rPr>
          <w:rFonts w:ascii="Gadugi" w:hAnsi="Gadugi"/>
          <w:szCs w:val="24"/>
        </w:rPr>
      </w:pPr>
      <w:r w:rsidRPr="004D6C45">
        <w:rPr>
          <w:rFonts w:ascii="Gadugi" w:hAnsi="Gadugi"/>
          <w:szCs w:val="24"/>
        </w:rPr>
        <w:t>Valga traer a colación lo que sobre el particular tiene dicho la jurisprudencia</w:t>
      </w:r>
      <w:r w:rsidRPr="004D6C45">
        <w:rPr>
          <w:rStyle w:val="Appelnotedebasdep"/>
          <w:rFonts w:ascii="Gadugi" w:hAnsi="Gadugi"/>
          <w:szCs w:val="24"/>
        </w:rPr>
        <w:footnoteReference w:id="28"/>
      </w:r>
      <w:r w:rsidRPr="004D6C45">
        <w:rPr>
          <w:rFonts w:ascii="Gadugi" w:hAnsi="Gadugi"/>
          <w:szCs w:val="24"/>
        </w:rPr>
        <w:t>:</w:t>
      </w:r>
    </w:p>
    <w:p w:rsidR="0012183E" w:rsidRPr="004D6C45" w:rsidRDefault="0012183E" w:rsidP="004D6C45">
      <w:pPr>
        <w:spacing w:line="26" w:lineRule="atLeast"/>
        <w:ind w:firstLine="2835"/>
        <w:jc w:val="both"/>
        <w:rPr>
          <w:rFonts w:ascii="Gadugi" w:hAnsi="Gadugi"/>
          <w:b/>
          <w:sz w:val="24"/>
          <w:szCs w:val="24"/>
        </w:rPr>
      </w:pPr>
    </w:p>
    <w:p w:rsidR="0012183E" w:rsidRPr="004D6C45" w:rsidRDefault="0012183E" w:rsidP="004D6C45">
      <w:pPr>
        <w:spacing w:line="26" w:lineRule="atLeast"/>
        <w:ind w:left="567" w:right="618" w:firstLine="2268"/>
        <w:jc w:val="both"/>
        <w:rPr>
          <w:rFonts w:ascii="Arial Narrow" w:hAnsi="Arial Narrow"/>
          <w:iCs/>
          <w:sz w:val="24"/>
          <w:szCs w:val="24"/>
        </w:rPr>
      </w:pPr>
      <w:r w:rsidRPr="004D6C45">
        <w:rPr>
          <w:rFonts w:ascii="Arial Narrow" w:hAnsi="Arial Narrow"/>
          <w:iCs/>
          <w:sz w:val="24"/>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12183E" w:rsidRPr="004D6C45" w:rsidRDefault="0012183E" w:rsidP="004D6C45">
      <w:pPr>
        <w:spacing w:line="26" w:lineRule="atLeast"/>
        <w:ind w:left="567" w:right="618" w:firstLine="2268"/>
        <w:jc w:val="both"/>
        <w:rPr>
          <w:rFonts w:ascii="Arial Narrow" w:hAnsi="Arial Narrow"/>
          <w:iCs/>
          <w:sz w:val="24"/>
          <w:szCs w:val="24"/>
        </w:rPr>
      </w:pPr>
    </w:p>
    <w:p w:rsidR="0012183E" w:rsidRPr="004D6C45" w:rsidRDefault="0012183E" w:rsidP="004D6C45">
      <w:pPr>
        <w:spacing w:line="26" w:lineRule="atLeast"/>
        <w:ind w:left="567" w:right="618" w:firstLine="2268"/>
        <w:jc w:val="both"/>
        <w:rPr>
          <w:rFonts w:ascii="Arial Narrow" w:hAnsi="Arial Narrow"/>
          <w:iCs/>
          <w:sz w:val="24"/>
          <w:szCs w:val="24"/>
        </w:rPr>
      </w:pPr>
      <w:r w:rsidRPr="004D6C45">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 sino una vía de Derecho distinta, en sí misma respetable si no carece de razonabilidad. Esta, así como el contenido y alcances de la sentencia proferida con ese apoyo, deben ser escrutados por la misma jurisdicción y por los procedimientos ordinarios, a través de los recursos que la ley establece y no, por regla general, a través de la acción de tutela.</w:t>
      </w:r>
    </w:p>
    <w:p w:rsidR="0012183E" w:rsidRPr="004D6C45" w:rsidRDefault="0012183E" w:rsidP="004D6C45">
      <w:pPr>
        <w:spacing w:line="26" w:lineRule="atLeast"/>
        <w:ind w:left="567" w:right="618" w:firstLine="2268"/>
        <w:jc w:val="both"/>
        <w:rPr>
          <w:rFonts w:ascii="Arial Narrow" w:hAnsi="Arial Narrow"/>
          <w:iCs/>
          <w:sz w:val="24"/>
          <w:szCs w:val="24"/>
        </w:rPr>
      </w:pPr>
    </w:p>
    <w:p w:rsidR="0012183E" w:rsidRPr="004D6C45" w:rsidRDefault="0012183E" w:rsidP="004D6C45">
      <w:pPr>
        <w:spacing w:line="26" w:lineRule="atLeast"/>
        <w:ind w:left="567" w:right="618" w:firstLine="2268"/>
        <w:jc w:val="both"/>
        <w:rPr>
          <w:rFonts w:ascii="Arial Narrow" w:hAnsi="Arial Narrow"/>
          <w:iCs/>
          <w:sz w:val="24"/>
          <w:szCs w:val="24"/>
        </w:rPr>
      </w:pPr>
      <w:r w:rsidRPr="004D6C45">
        <w:rPr>
          <w:rFonts w:ascii="Arial Narrow" w:hAnsi="Arial Narrow"/>
          <w:iCs/>
          <w:sz w:val="24"/>
          <w:szCs w:val="24"/>
        </w:rPr>
        <w:t xml:space="preserve">[…]Diferente es el caso de la ostensible aplicación indebida de una norma, en cuya virtud se pretende lograr que los hechos quepan en ella, aun contra toda evidencia. Allí puede darse la vía de hecho, como lo ha admitido esta </w:t>
      </w:r>
      <w:r w:rsidRPr="004D6C45">
        <w:rPr>
          <w:rFonts w:ascii="Arial Narrow" w:hAnsi="Arial Narrow"/>
          <w:iCs/>
          <w:sz w:val="24"/>
          <w:szCs w:val="24"/>
        </w:rPr>
        <w:lastRenderedPageBreak/>
        <w:t>Corte, si por haberse forzado arbitrariamente el ordenamiento jurídico se han quebrantado o se amenazan derechos constitucionales fundamentales”</w:t>
      </w:r>
      <w:r w:rsidRPr="004D6C45">
        <w:rPr>
          <w:rStyle w:val="Appelnotedebasdep"/>
          <w:rFonts w:ascii="Arial Narrow" w:hAnsi="Arial Narrow"/>
          <w:iCs/>
          <w:sz w:val="24"/>
          <w:szCs w:val="24"/>
        </w:rPr>
        <w:t xml:space="preserve"> </w:t>
      </w:r>
      <w:r w:rsidRPr="004D6C45">
        <w:rPr>
          <w:rStyle w:val="Appelnotedebasdep"/>
          <w:rFonts w:ascii="Arial Narrow" w:hAnsi="Arial Narrow"/>
          <w:iCs/>
          <w:sz w:val="24"/>
          <w:szCs w:val="24"/>
        </w:rPr>
        <w:footnoteReference w:id="29"/>
      </w:r>
    </w:p>
    <w:p w:rsidR="0012183E" w:rsidRPr="004D6C45" w:rsidRDefault="0012183E" w:rsidP="004D6C45">
      <w:pPr>
        <w:spacing w:line="26" w:lineRule="atLeast"/>
        <w:ind w:left="567" w:right="618" w:firstLine="2268"/>
        <w:jc w:val="both"/>
        <w:rPr>
          <w:rFonts w:ascii="Arial Narrow" w:hAnsi="Arial Narrow"/>
          <w:sz w:val="24"/>
          <w:szCs w:val="24"/>
          <w:lang w:val="es-CO"/>
        </w:rPr>
      </w:pPr>
    </w:p>
    <w:p w:rsidR="0012183E" w:rsidRPr="004D6C45" w:rsidRDefault="0012183E" w:rsidP="004D6C45">
      <w:pPr>
        <w:spacing w:line="26" w:lineRule="atLeast"/>
        <w:ind w:left="567" w:right="618" w:firstLine="2268"/>
        <w:jc w:val="both"/>
        <w:rPr>
          <w:rFonts w:ascii="Arial Narrow" w:hAnsi="Arial Narrow"/>
          <w:sz w:val="24"/>
          <w:szCs w:val="24"/>
        </w:rPr>
      </w:pPr>
      <w:r w:rsidRPr="004D6C45">
        <w:rPr>
          <w:rFonts w:ascii="Arial Narrow" w:hAnsi="Arial Narrow"/>
          <w:sz w:val="24"/>
          <w:szCs w:val="24"/>
          <w:lang w:val="es-CO"/>
        </w:rPr>
        <w:t>Con los presupuestos indicados para la procedencia de la acción de tutela  cuando se acusa una decisión judicial de constituir vía de hecho, la Sala reitera la conclusión que se ha referido en anteriores fallos, en el sentido de precisar que “</w:t>
      </w:r>
      <w:r w:rsidRPr="004D6C45">
        <w:rPr>
          <w:rFonts w:ascii="Arial Narrow" w:hAnsi="Arial Narrow"/>
          <w:iCs/>
          <w:sz w:val="24"/>
          <w:szCs w:val="24"/>
        </w:rPr>
        <w:t>No toda vía de hecho reúne las características necesarias para incoar la acción referida, porque, para que sea viable requiere no sólo que se afecte un derecho fundamental, sino que además se presente cierta gravedad e inminencia en la vulneración o amenaza.”</w:t>
      </w:r>
      <w:r w:rsidRPr="004D6C45">
        <w:rPr>
          <w:rStyle w:val="Appelnotedebasdep"/>
          <w:rFonts w:ascii="Arial Narrow" w:hAnsi="Arial Narrow"/>
          <w:sz w:val="24"/>
          <w:szCs w:val="24"/>
        </w:rPr>
        <w:t xml:space="preserve"> </w:t>
      </w:r>
      <w:r w:rsidRPr="004D6C45">
        <w:rPr>
          <w:rStyle w:val="Appelnotedebasdep"/>
          <w:rFonts w:ascii="Arial Narrow" w:hAnsi="Arial Narrow"/>
          <w:sz w:val="24"/>
          <w:szCs w:val="24"/>
        </w:rPr>
        <w:footnoteReference w:id="30"/>
      </w:r>
      <w:r w:rsidRPr="004D6C45">
        <w:rPr>
          <w:rFonts w:ascii="Arial Narrow" w:hAnsi="Arial Narrow"/>
          <w:sz w:val="24"/>
          <w:szCs w:val="24"/>
        </w:rPr>
        <w:t>, requisitos que no basta con que sean alegados, sino que deben acreditarse o evidenciarse en cada caso concreto.”</w:t>
      </w:r>
    </w:p>
    <w:p w:rsidR="0012183E" w:rsidRPr="004D6C45" w:rsidRDefault="0012183E" w:rsidP="004D6C45">
      <w:pPr>
        <w:spacing w:line="26" w:lineRule="atLeast"/>
        <w:ind w:left="567" w:right="618" w:firstLine="2268"/>
        <w:jc w:val="both"/>
        <w:rPr>
          <w:rFonts w:ascii="Arial Narrow" w:hAnsi="Arial Narrow"/>
          <w:sz w:val="24"/>
          <w:szCs w:val="24"/>
        </w:rPr>
      </w:pPr>
    </w:p>
    <w:p w:rsidR="008B6E2E" w:rsidRDefault="0012183E" w:rsidP="00BE29D1">
      <w:pPr>
        <w:tabs>
          <w:tab w:val="left" w:pos="2835"/>
          <w:tab w:val="left" w:pos="5910"/>
        </w:tabs>
        <w:spacing w:line="26" w:lineRule="atLeast"/>
        <w:ind w:right="-57"/>
        <w:jc w:val="both"/>
        <w:rPr>
          <w:rFonts w:ascii="Gadugi" w:hAnsi="Gadugi"/>
          <w:sz w:val="24"/>
          <w:szCs w:val="24"/>
        </w:rPr>
      </w:pPr>
      <w:r w:rsidRPr="004D6C45">
        <w:rPr>
          <w:rFonts w:ascii="Gadugi" w:hAnsi="Gadugi"/>
          <w:sz w:val="24"/>
          <w:szCs w:val="24"/>
        </w:rPr>
        <w:t xml:space="preserve">                       </w:t>
      </w:r>
      <w:r w:rsidR="005601AA">
        <w:rPr>
          <w:rFonts w:ascii="Gadugi" w:hAnsi="Gadugi"/>
          <w:sz w:val="24"/>
          <w:szCs w:val="24"/>
          <w:lang w:val="es-419"/>
        </w:rPr>
        <w:t xml:space="preserve"> </w:t>
      </w:r>
      <w:r w:rsidR="005601AA">
        <w:rPr>
          <w:rFonts w:ascii="Gadugi" w:hAnsi="Gadugi"/>
          <w:sz w:val="24"/>
          <w:szCs w:val="24"/>
          <w:lang w:val="es-419"/>
        </w:rPr>
        <w:tab/>
      </w:r>
      <w:r w:rsidRPr="004D6C45">
        <w:rPr>
          <w:rFonts w:ascii="Gadugi" w:hAnsi="Gadugi"/>
          <w:sz w:val="24"/>
          <w:szCs w:val="24"/>
        </w:rPr>
        <w:t xml:space="preserve">Surge </w:t>
      </w:r>
      <w:r w:rsidRPr="004D6C45">
        <w:rPr>
          <w:rFonts w:ascii="Gadugi" w:hAnsi="Gadugi"/>
          <w:sz w:val="24"/>
          <w:szCs w:val="24"/>
          <w:lang w:val="es-MX"/>
        </w:rPr>
        <w:t xml:space="preserve">de todo lo dicho, </w:t>
      </w:r>
      <w:r w:rsidRPr="004D6C45">
        <w:rPr>
          <w:rFonts w:ascii="Gadugi" w:hAnsi="Gadugi"/>
          <w:sz w:val="24"/>
          <w:szCs w:val="24"/>
        </w:rPr>
        <w:t>que</w:t>
      </w:r>
      <w:r w:rsidR="008B6E2E" w:rsidRPr="004D6C45">
        <w:rPr>
          <w:rFonts w:ascii="Gadugi" w:hAnsi="Gadugi"/>
          <w:sz w:val="24"/>
          <w:szCs w:val="24"/>
        </w:rPr>
        <w:t xml:space="preserve"> por estos</w:t>
      </w:r>
      <w:r w:rsidRPr="004D6C45">
        <w:rPr>
          <w:rFonts w:ascii="Gadugi" w:hAnsi="Gadugi"/>
          <w:sz w:val="24"/>
          <w:szCs w:val="24"/>
        </w:rPr>
        <w:t xml:space="preserve"> </w:t>
      </w:r>
      <w:r w:rsidR="004C0A33" w:rsidRPr="004D6C45">
        <w:rPr>
          <w:rFonts w:ascii="Gadugi" w:hAnsi="Gadugi"/>
          <w:sz w:val="24"/>
          <w:szCs w:val="24"/>
        </w:rPr>
        <w:t xml:space="preserve">puntuales </w:t>
      </w:r>
      <w:r w:rsidRPr="004D6C45">
        <w:rPr>
          <w:rFonts w:ascii="Gadugi" w:hAnsi="Gadugi"/>
          <w:sz w:val="24"/>
          <w:szCs w:val="24"/>
        </w:rPr>
        <w:t>aspecto</w:t>
      </w:r>
      <w:r w:rsidR="008B6E2E" w:rsidRPr="004D6C45">
        <w:rPr>
          <w:rFonts w:ascii="Gadugi" w:hAnsi="Gadugi"/>
          <w:sz w:val="24"/>
          <w:szCs w:val="24"/>
        </w:rPr>
        <w:t>s se negará el amparo pretendido.</w:t>
      </w:r>
    </w:p>
    <w:p w:rsidR="005909E8" w:rsidRPr="004D6C45" w:rsidRDefault="005909E8" w:rsidP="00BE29D1">
      <w:pPr>
        <w:tabs>
          <w:tab w:val="left" w:pos="2835"/>
          <w:tab w:val="left" w:pos="5910"/>
        </w:tabs>
        <w:spacing w:line="26" w:lineRule="atLeast"/>
        <w:ind w:right="-57"/>
        <w:jc w:val="both"/>
        <w:rPr>
          <w:rFonts w:ascii="Gadugi" w:hAnsi="Gadugi"/>
          <w:sz w:val="24"/>
          <w:szCs w:val="24"/>
        </w:rPr>
      </w:pPr>
    </w:p>
    <w:p w:rsidR="00D76114" w:rsidRPr="004D6C45" w:rsidRDefault="00D76114" w:rsidP="004D6C45">
      <w:pPr>
        <w:pStyle w:val="Sinespaciado1"/>
        <w:spacing w:line="26" w:lineRule="atLeast"/>
        <w:ind w:right="51"/>
        <w:jc w:val="both"/>
        <w:rPr>
          <w:rFonts w:ascii="Gadugi" w:hAnsi="Gadugi" w:cs="Arial"/>
        </w:rPr>
      </w:pPr>
      <w:r w:rsidRPr="004D6C45">
        <w:rPr>
          <w:rFonts w:ascii="Gadugi" w:hAnsi="Gadugi" w:cs="Arial"/>
        </w:rPr>
        <w:tab/>
        <w:t xml:space="preserve">  </w:t>
      </w:r>
      <w:r w:rsidRPr="004D6C45">
        <w:rPr>
          <w:rFonts w:ascii="Gadugi" w:hAnsi="Gadugi" w:cs="Arial"/>
        </w:rPr>
        <w:tab/>
      </w:r>
      <w:r w:rsidRPr="004D6C45">
        <w:rPr>
          <w:rFonts w:ascii="Gadugi" w:hAnsi="Gadugi" w:cs="Arial"/>
        </w:rPr>
        <w:tab/>
      </w:r>
      <w:r w:rsidRPr="004D6C45">
        <w:rPr>
          <w:rFonts w:ascii="Gadugi" w:hAnsi="Gadugi" w:cs="Arial"/>
        </w:rPr>
        <w:tab/>
        <w:t>Se absolverá a los demás citados al asunto, por no hallar de su parte trasgresión alguna de los derechos del demandante</w:t>
      </w:r>
      <w:r w:rsidR="005909E8">
        <w:rPr>
          <w:rFonts w:ascii="Gadugi" w:hAnsi="Gadugi" w:cs="Arial"/>
          <w:lang w:val="es-419"/>
        </w:rPr>
        <w:t xml:space="preserve">. </w:t>
      </w:r>
    </w:p>
    <w:p w:rsidR="00D76114" w:rsidRPr="004D6C45" w:rsidRDefault="00D76114" w:rsidP="004D6C45">
      <w:pPr>
        <w:spacing w:line="26" w:lineRule="atLeast"/>
        <w:jc w:val="both"/>
        <w:rPr>
          <w:rFonts w:ascii="Gadugi" w:hAnsi="Gadugi"/>
          <w:sz w:val="24"/>
          <w:szCs w:val="24"/>
        </w:rPr>
      </w:pPr>
      <w:r w:rsidRPr="004D6C45">
        <w:rPr>
          <w:rFonts w:ascii="Gadugi" w:hAnsi="Gadugi"/>
          <w:sz w:val="24"/>
          <w:szCs w:val="24"/>
        </w:rPr>
        <w:tab/>
      </w:r>
    </w:p>
    <w:p w:rsidR="00D76114" w:rsidRPr="004D6C45" w:rsidRDefault="00D76114" w:rsidP="004D6C45">
      <w:pPr>
        <w:spacing w:line="26" w:lineRule="atLeast"/>
        <w:ind w:firstLine="2835"/>
        <w:jc w:val="both"/>
        <w:rPr>
          <w:rFonts w:ascii="Gadugi" w:hAnsi="Gadugi" w:cs="Arial"/>
          <w:b/>
          <w:sz w:val="24"/>
          <w:szCs w:val="24"/>
        </w:rPr>
      </w:pPr>
      <w:r w:rsidRPr="004D6C45">
        <w:rPr>
          <w:rFonts w:ascii="Gadugi" w:hAnsi="Gadugi" w:cs="Arial"/>
          <w:b/>
          <w:sz w:val="24"/>
          <w:szCs w:val="24"/>
        </w:rPr>
        <w:t>DECISIÓN</w:t>
      </w:r>
    </w:p>
    <w:p w:rsidR="00D76114" w:rsidRPr="004D6C45" w:rsidRDefault="00D76114" w:rsidP="004D6C45">
      <w:pPr>
        <w:spacing w:line="26" w:lineRule="atLeast"/>
        <w:jc w:val="both"/>
        <w:rPr>
          <w:rFonts w:ascii="Gadugi" w:hAnsi="Gadugi"/>
          <w:sz w:val="24"/>
          <w:szCs w:val="24"/>
        </w:rPr>
      </w:pPr>
      <w:r w:rsidRPr="004D6C45">
        <w:rPr>
          <w:rFonts w:ascii="Gadugi" w:hAnsi="Gadugi"/>
          <w:sz w:val="24"/>
          <w:szCs w:val="24"/>
        </w:rPr>
        <w:t xml:space="preserve">  </w:t>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r w:rsidR="00CF59A9">
        <w:rPr>
          <w:rFonts w:ascii="Gadugi" w:hAnsi="Gadugi"/>
          <w:sz w:val="24"/>
          <w:szCs w:val="24"/>
        </w:rPr>
        <w:tab/>
      </w:r>
    </w:p>
    <w:p w:rsidR="00294017" w:rsidRDefault="00D76114" w:rsidP="004D6C45">
      <w:pPr>
        <w:pStyle w:val="Sinespaciado1"/>
        <w:spacing w:line="26" w:lineRule="atLeast"/>
        <w:ind w:right="51" w:firstLine="2835"/>
        <w:jc w:val="both"/>
        <w:rPr>
          <w:rFonts w:ascii="Gadugi" w:hAnsi="Gadugi" w:cs="Century Gothic"/>
          <w:b/>
          <w:lang w:val="es-419"/>
        </w:rPr>
      </w:pPr>
      <w:r w:rsidRPr="004D6C45">
        <w:rPr>
          <w:rFonts w:ascii="Gadugi" w:hAnsi="Gadugi" w:cs="Arial"/>
        </w:rPr>
        <w:t xml:space="preserve">En armonía con lo dicho, la Sala Civil Familia del Tribunal Superior de Pereira, administrando justicia en nombre de la República y por autoridad de la Ley, </w:t>
      </w:r>
      <w:r w:rsidR="00294017" w:rsidRPr="005909E8">
        <w:rPr>
          <w:rFonts w:ascii="Gadugi" w:hAnsi="Gadugi" w:cs="Arial"/>
          <w:b/>
          <w:lang w:val="es-CO"/>
        </w:rPr>
        <w:t>NIEGA</w:t>
      </w:r>
      <w:r w:rsidRPr="004D6C45">
        <w:rPr>
          <w:rFonts w:ascii="Gadugi" w:hAnsi="Gadugi" w:cs="Arial"/>
          <w:b/>
          <w:lang w:val="es-CO"/>
        </w:rPr>
        <w:t xml:space="preserve"> </w:t>
      </w:r>
      <w:r w:rsidRPr="004D6C45">
        <w:rPr>
          <w:rFonts w:ascii="Gadugi" w:hAnsi="Gadugi" w:cs="Arial"/>
          <w:lang w:val="es-CO"/>
        </w:rPr>
        <w:t xml:space="preserve">el </w:t>
      </w:r>
      <w:r w:rsidRPr="004D6C45">
        <w:rPr>
          <w:rFonts w:ascii="Gadugi" w:hAnsi="Gadugi" w:cs="Arial"/>
        </w:rPr>
        <w:t>amparo impetrado por</w:t>
      </w:r>
      <w:r w:rsidRPr="004D6C45">
        <w:rPr>
          <w:rFonts w:ascii="Gadugi" w:hAnsi="Gadugi" w:cs="Century Gothic"/>
          <w:b/>
        </w:rPr>
        <w:t xml:space="preserve"> </w:t>
      </w:r>
      <w:r w:rsidR="004F5632">
        <w:rPr>
          <w:rFonts w:ascii="Gadugi" w:hAnsi="Gadugi" w:cs="Century Gothic"/>
          <w:b/>
        </w:rPr>
        <w:t>Alexánder</w:t>
      </w:r>
      <w:r w:rsidR="00294017">
        <w:rPr>
          <w:rFonts w:ascii="Gadugi" w:hAnsi="Gadugi" w:cs="Century Gothic"/>
          <w:b/>
        </w:rPr>
        <w:t xml:space="preserve"> García </w:t>
      </w:r>
      <w:r w:rsidR="00294017" w:rsidRPr="004D6C45">
        <w:rPr>
          <w:rFonts w:ascii="Gadugi" w:hAnsi="Gadugi" w:cs="Century Gothic"/>
          <w:bCs/>
        </w:rPr>
        <w:t>contra</w:t>
      </w:r>
      <w:r w:rsidR="00294017" w:rsidRPr="004D6C45">
        <w:rPr>
          <w:rFonts w:ascii="Gadugi" w:hAnsi="Gadugi" w:cs="Century Gothic"/>
        </w:rPr>
        <w:t xml:space="preserve"> el </w:t>
      </w:r>
      <w:r w:rsidR="00294017" w:rsidRPr="004D6C45">
        <w:rPr>
          <w:rFonts w:ascii="Gadugi" w:hAnsi="Gadugi" w:cs="Century Gothic"/>
          <w:b/>
        </w:rPr>
        <w:t xml:space="preserve">Juzgado Civil del Circuito </w:t>
      </w:r>
      <w:r w:rsidR="00294017" w:rsidRPr="004D6C45">
        <w:rPr>
          <w:rFonts w:ascii="Gadugi" w:hAnsi="Gadugi" w:cs="Century Gothic"/>
        </w:rPr>
        <w:t xml:space="preserve">de </w:t>
      </w:r>
      <w:r w:rsidR="00294017" w:rsidRPr="004D6C45">
        <w:rPr>
          <w:rFonts w:ascii="Gadugi" w:hAnsi="Gadugi" w:cs="Century Gothic"/>
          <w:b/>
        </w:rPr>
        <w:t>Dosquebradas</w:t>
      </w:r>
      <w:r w:rsidR="005909E8">
        <w:rPr>
          <w:rFonts w:ascii="Gadugi" w:hAnsi="Gadugi" w:cs="Century Gothic"/>
          <w:b/>
          <w:lang w:val="es-419"/>
        </w:rPr>
        <w:t xml:space="preserve">. </w:t>
      </w:r>
    </w:p>
    <w:p w:rsidR="005909E8" w:rsidRPr="004D6C45" w:rsidRDefault="005909E8" w:rsidP="004D6C45">
      <w:pPr>
        <w:pStyle w:val="Sinespaciado1"/>
        <w:spacing w:line="26" w:lineRule="atLeast"/>
        <w:ind w:right="51" w:firstLine="2835"/>
        <w:jc w:val="both"/>
        <w:rPr>
          <w:rFonts w:ascii="Gadugi" w:hAnsi="Gadugi"/>
        </w:rPr>
      </w:pPr>
    </w:p>
    <w:p w:rsidR="00D76114" w:rsidRPr="004D6C45" w:rsidRDefault="00690284" w:rsidP="00294017">
      <w:pPr>
        <w:spacing w:line="26" w:lineRule="atLeast"/>
        <w:jc w:val="both"/>
        <w:rPr>
          <w:rFonts w:ascii="Gadugi" w:hAnsi="Gadugi" w:cs="Arial"/>
          <w:sz w:val="24"/>
          <w:szCs w:val="24"/>
        </w:rPr>
      </w:pPr>
      <w:r w:rsidRPr="004D6C45">
        <w:rPr>
          <w:rFonts w:ascii="Gadugi" w:eastAsia="Dotum" w:hAnsi="Gadugi"/>
          <w:sz w:val="24"/>
          <w:szCs w:val="24"/>
        </w:rPr>
        <w:t xml:space="preserve">  </w:t>
      </w:r>
      <w:r w:rsidRPr="004D6C45">
        <w:rPr>
          <w:rFonts w:ascii="Gadugi" w:eastAsia="Dotum" w:hAnsi="Gadugi"/>
          <w:sz w:val="24"/>
          <w:szCs w:val="24"/>
        </w:rPr>
        <w:tab/>
      </w:r>
      <w:r w:rsidRPr="004D6C45">
        <w:rPr>
          <w:rFonts w:ascii="Gadugi" w:eastAsia="Dotum" w:hAnsi="Gadugi"/>
          <w:sz w:val="24"/>
          <w:szCs w:val="24"/>
        </w:rPr>
        <w:tab/>
      </w:r>
      <w:r w:rsidRPr="004D6C45">
        <w:rPr>
          <w:rFonts w:ascii="Gadugi" w:eastAsia="Dotum" w:hAnsi="Gadugi"/>
          <w:sz w:val="24"/>
          <w:szCs w:val="24"/>
        </w:rPr>
        <w:tab/>
      </w:r>
      <w:r w:rsidRPr="004D6C45">
        <w:rPr>
          <w:rFonts w:ascii="Gadugi" w:eastAsia="Dotum" w:hAnsi="Gadugi"/>
          <w:sz w:val="24"/>
          <w:szCs w:val="24"/>
        </w:rPr>
        <w:tab/>
      </w:r>
      <w:r w:rsidR="00D76114" w:rsidRPr="004D6C45">
        <w:rPr>
          <w:rFonts w:ascii="Gadugi" w:hAnsi="Gadugi" w:cs="Arial"/>
          <w:sz w:val="24"/>
          <w:szCs w:val="24"/>
        </w:rPr>
        <w:t>Se absuelve</w:t>
      </w:r>
      <w:r w:rsidR="00D76114" w:rsidRPr="004D6C45">
        <w:rPr>
          <w:rFonts w:ascii="Gadugi" w:hAnsi="Gadugi" w:cs="Arial"/>
          <w:b/>
          <w:sz w:val="24"/>
          <w:szCs w:val="24"/>
        </w:rPr>
        <w:t xml:space="preserve"> </w:t>
      </w:r>
      <w:r w:rsidR="00D76114" w:rsidRPr="004D6C45">
        <w:rPr>
          <w:rFonts w:ascii="Gadugi" w:hAnsi="Gadugi" w:cs="Arial"/>
          <w:sz w:val="24"/>
          <w:szCs w:val="24"/>
        </w:rPr>
        <w:t>a los demás intervinientes.</w:t>
      </w:r>
    </w:p>
    <w:p w:rsidR="00D76114" w:rsidRPr="004D6C45" w:rsidRDefault="00D76114" w:rsidP="004D6C45">
      <w:pPr>
        <w:spacing w:line="26" w:lineRule="atLeast"/>
        <w:ind w:firstLine="2835"/>
        <w:jc w:val="both"/>
        <w:rPr>
          <w:rFonts w:ascii="Gadugi" w:hAnsi="Gadugi" w:cs="Arial"/>
          <w:sz w:val="24"/>
          <w:szCs w:val="24"/>
        </w:rPr>
      </w:pPr>
    </w:p>
    <w:p w:rsidR="00D76114" w:rsidRPr="004D6C45" w:rsidRDefault="00D76114" w:rsidP="004D6C45">
      <w:pPr>
        <w:spacing w:line="26" w:lineRule="atLeast"/>
        <w:ind w:firstLine="2835"/>
        <w:jc w:val="both"/>
        <w:rPr>
          <w:rFonts w:ascii="Gadugi" w:hAnsi="Gadugi" w:cs="Arial"/>
          <w:sz w:val="24"/>
          <w:szCs w:val="24"/>
          <w:lang w:val="es-CO"/>
        </w:rPr>
      </w:pPr>
      <w:r w:rsidRPr="004D6C45">
        <w:rPr>
          <w:rFonts w:ascii="Gadugi" w:hAnsi="Gadugi" w:cs="Arial"/>
          <w:sz w:val="24"/>
          <w:szCs w:val="24"/>
        </w:rPr>
        <w:t>Notifíquese la decisión a las partes en la forma prevista en el artículo 5º del Decreto 306 de 1992, y si no es impugnada rem</w:t>
      </w:r>
      <w:r w:rsidRPr="004D6C45">
        <w:rPr>
          <w:rFonts w:ascii="Gadugi" w:hAnsi="Gadugi" w:cs="Arial"/>
          <w:sz w:val="24"/>
          <w:szCs w:val="24"/>
          <w:lang w:val="es-CO"/>
        </w:rPr>
        <w:t>ítase a la Corte Constitucional para su eventual revisión.</w:t>
      </w:r>
    </w:p>
    <w:p w:rsidR="00D76114" w:rsidRPr="004D6C45" w:rsidRDefault="00D76114" w:rsidP="004D6C45">
      <w:pPr>
        <w:spacing w:line="26" w:lineRule="atLeast"/>
        <w:ind w:firstLine="2835"/>
        <w:jc w:val="both"/>
        <w:rPr>
          <w:rFonts w:ascii="Gadugi" w:hAnsi="Gadugi" w:cs="Arial"/>
          <w:sz w:val="24"/>
          <w:szCs w:val="24"/>
          <w:lang w:val="es-CO"/>
        </w:rPr>
      </w:pPr>
    </w:p>
    <w:p w:rsidR="00D76114" w:rsidRPr="004D6C45" w:rsidRDefault="00D76114" w:rsidP="004D6C45">
      <w:pPr>
        <w:spacing w:line="26" w:lineRule="atLeast"/>
        <w:ind w:firstLine="2835"/>
        <w:jc w:val="both"/>
        <w:rPr>
          <w:rFonts w:ascii="Gadugi" w:hAnsi="Gadugi" w:cs="Arial"/>
          <w:sz w:val="24"/>
          <w:szCs w:val="24"/>
          <w:lang w:val="es-CO"/>
        </w:rPr>
      </w:pPr>
      <w:r w:rsidRPr="004D6C45">
        <w:rPr>
          <w:rFonts w:ascii="Gadugi" w:hAnsi="Gadugi" w:cs="Arial"/>
          <w:sz w:val="24"/>
          <w:szCs w:val="24"/>
          <w:lang w:val="es-CO"/>
        </w:rPr>
        <w:t>A su regreso, archívese el expediente</w:t>
      </w:r>
      <w:r w:rsidRPr="004D6C45">
        <w:rPr>
          <w:rFonts w:ascii="Gadugi" w:hAnsi="Gadugi" w:cs="Arial"/>
          <w:sz w:val="24"/>
          <w:szCs w:val="24"/>
        </w:rPr>
        <w:t>.</w:t>
      </w:r>
      <w:r w:rsidRPr="004D6C45">
        <w:rPr>
          <w:rFonts w:ascii="Gadugi" w:hAnsi="Gadugi" w:cs="Arial"/>
          <w:sz w:val="24"/>
          <w:szCs w:val="24"/>
          <w:lang w:val="es-CO"/>
        </w:rPr>
        <w:t xml:space="preserve"> </w:t>
      </w:r>
    </w:p>
    <w:p w:rsidR="000D4FB6" w:rsidRDefault="000D4FB6" w:rsidP="004D6C45">
      <w:pPr>
        <w:spacing w:line="26" w:lineRule="atLeast"/>
        <w:ind w:firstLine="2835"/>
        <w:jc w:val="both"/>
        <w:rPr>
          <w:rFonts w:ascii="Gadugi" w:hAnsi="Gadugi" w:cs="Arial"/>
          <w:sz w:val="24"/>
          <w:szCs w:val="24"/>
        </w:rPr>
      </w:pPr>
    </w:p>
    <w:p w:rsidR="000D4FB6" w:rsidRPr="004D6C45" w:rsidRDefault="000D4FB6" w:rsidP="004D6C45">
      <w:pPr>
        <w:spacing w:line="26" w:lineRule="atLeast"/>
        <w:ind w:firstLine="2835"/>
        <w:jc w:val="both"/>
        <w:rPr>
          <w:rFonts w:ascii="Gadugi" w:hAnsi="Gadugi" w:cs="Arial"/>
          <w:sz w:val="24"/>
          <w:szCs w:val="24"/>
        </w:rPr>
      </w:pPr>
    </w:p>
    <w:p w:rsidR="00D76114" w:rsidRPr="004D6C45" w:rsidRDefault="00D76114" w:rsidP="004D6C45">
      <w:pPr>
        <w:spacing w:line="26" w:lineRule="atLeast"/>
        <w:ind w:firstLine="2835"/>
        <w:jc w:val="both"/>
        <w:rPr>
          <w:rFonts w:ascii="Gadugi" w:hAnsi="Gadugi" w:cs="Arial"/>
          <w:bCs/>
          <w:sz w:val="24"/>
          <w:szCs w:val="24"/>
        </w:rPr>
      </w:pPr>
      <w:r w:rsidRPr="004D6C45">
        <w:rPr>
          <w:rFonts w:ascii="Gadugi" w:hAnsi="Gadugi" w:cs="Arial"/>
          <w:bCs/>
          <w:sz w:val="24"/>
          <w:szCs w:val="24"/>
        </w:rPr>
        <w:t>Los Magistrados,</w:t>
      </w:r>
    </w:p>
    <w:p w:rsidR="00D76114" w:rsidRPr="004D6C45" w:rsidRDefault="00D76114" w:rsidP="004D6C45">
      <w:pPr>
        <w:spacing w:line="26" w:lineRule="atLeast"/>
        <w:jc w:val="both"/>
        <w:rPr>
          <w:rFonts w:ascii="Gadugi" w:hAnsi="Gadugi" w:cs="Arial"/>
          <w:b/>
          <w:sz w:val="24"/>
          <w:szCs w:val="24"/>
        </w:rPr>
      </w:pPr>
    </w:p>
    <w:p w:rsidR="00D76114" w:rsidRDefault="00D76114" w:rsidP="004D6C45">
      <w:pPr>
        <w:spacing w:line="26" w:lineRule="atLeast"/>
        <w:ind w:firstLine="2835"/>
        <w:jc w:val="both"/>
        <w:rPr>
          <w:rFonts w:ascii="Gadugi" w:hAnsi="Gadugi" w:cs="Arial"/>
          <w:b/>
          <w:sz w:val="24"/>
          <w:szCs w:val="24"/>
        </w:rPr>
      </w:pPr>
    </w:p>
    <w:p w:rsidR="00CF59A9" w:rsidRDefault="00CF59A9" w:rsidP="004D6C45">
      <w:pPr>
        <w:spacing w:line="26" w:lineRule="atLeast"/>
        <w:ind w:firstLine="2835"/>
        <w:jc w:val="both"/>
        <w:rPr>
          <w:rFonts w:ascii="Gadugi" w:hAnsi="Gadugi" w:cs="Arial"/>
          <w:b/>
          <w:sz w:val="24"/>
          <w:szCs w:val="24"/>
        </w:rPr>
      </w:pPr>
    </w:p>
    <w:p w:rsidR="00D76114" w:rsidRPr="00CF59A9" w:rsidRDefault="00D76114" w:rsidP="004D6C45">
      <w:pPr>
        <w:spacing w:line="26" w:lineRule="atLeast"/>
        <w:ind w:firstLine="2835"/>
        <w:jc w:val="both"/>
        <w:rPr>
          <w:rFonts w:ascii="Gadugi" w:hAnsi="Gadugi" w:cs="Arial"/>
          <w:b/>
          <w:sz w:val="24"/>
          <w:szCs w:val="24"/>
        </w:rPr>
      </w:pPr>
      <w:r w:rsidRPr="00CF59A9">
        <w:rPr>
          <w:rFonts w:ascii="Gadugi" w:hAnsi="Gadugi" w:cs="Arial"/>
          <w:b/>
          <w:sz w:val="24"/>
          <w:szCs w:val="24"/>
        </w:rPr>
        <w:t>JAIME ALBERTO SARAZA NARANJO</w:t>
      </w:r>
    </w:p>
    <w:p w:rsidR="00D76114" w:rsidRPr="00CF59A9" w:rsidRDefault="00D76114" w:rsidP="004D6C45">
      <w:pPr>
        <w:spacing w:line="26" w:lineRule="atLeast"/>
        <w:jc w:val="both"/>
        <w:rPr>
          <w:rFonts w:ascii="Gadugi" w:hAnsi="Gadugi" w:cs="Arial"/>
          <w:b/>
          <w:sz w:val="24"/>
          <w:szCs w:val="24"/>
        </w:rPr>
      </w:pPr>
    </w:p>
    <w:p w:rsidR="00D76114" w:rsidRDefault="00D76114" w:rsidP="004D6C45">
      <w:pPr>
        <w:spacing w:line="26" w:lineRule="atLeast"/>
        <w:jc w:val="both"/>
        <w:rPr>
          <w:rFonts w:ascii="Gadugi" w:hAnsi="Gadugi" w:cs="Arial"/>
          <w:b/>
          <w:sz w:val="24"/>
          <w:szCs w:val="24"/>
        </w:rPr>
      </w:pPr>
    </w:p>
    <w:p w:rsidR="00D76114" w:rsidRPr="00CF59A9" w:rsidRDefault="00D76114" w:rsidP="004D6C45">
      <w:pPr>
        <w:spacing w:line="26" w:lineRule="atLeast"/>
        <w:jc w:val="both"/>
        <w:rPr>
          <w:rFonts w:ascii="Gadugi" w:hAnsi="Gadugi" w:cs="Arial"/>
          <w:b/>
          <w:sz w:val="24"/>
          <w:szCs w:val="24"/>
        </w:rPr>
      </w:pPr>
    </w:p>
    <w:p w:rsidR="00FD3266" w:rsidRPr="00CF59A9" w:rsidRDefault="00D76114" w:rsidP="0070663D">
      <w:pPr>
        <w:spacing w:line="26" w:lineRule="atLeast"/>
        <w:jc w:val="both"/>
        <w:rPr>
          <w:rFonts w:ascii="Gadugi" w:hAnsi="Gadugi"/>
          <w:sz w:val="24"/>
          <w:szCs w:val="24"/>
        </w:rPr>
      </w:pPr>
      <w:r w:rsidRPr="00CF59A9">
        <w:rPr>
          <w:rFonts w:ascii="Gadugi" w:hAnsi="Gadugi" w:cs="Arial"/>
          <w:b/>
          <w:sz w:val="24"/>
          <w:szCs w:val="24"/>
          <w:lang w:val="es-ES_tradnl"/>
        </w:rPr>
        <w:t>CLAUDIA MARÍA ARCILA RÍOS</w:t>
      </w:r>
      <w:r w:rsidRPr="00CF59A9">
        <w:rPr>
          <w:rFonts w:ascii="Gadugi" w:hAnsi="Gadugi" w:cs="Arial"/>
          <w:b/>
          <w:sz w:val="24"/>
          <w:szCs w:val="24"/>
          <w:lang w:val="es-ES_tradnl"/>
        </w:rPr>
        <w:tab/>
      </w:r>
      <w:r w:rsidRPr="00CF59A9">
        <w:rPr>
          <w:rFonts w:ascii="Gadugi" w:hAnsi="Gadugi" w:cs="Arial"/>
          <w:b/>
          <w:sz w:val="24"/>
          <w:szCs w:val="24"/>
          <w:lang w:val="es-ES_tradnl"/>
        </w:rPr>
        <w:tab/>
        <w:t xml:space="preserve">     </w:t>
      </w:r>
      <w:r w:rsidR="00CF59A9">
        <w:rPr>
          <w:rFonts w:ascii="Gadugi" w:hAnsi="Gadugi" w:cs="Arial"/>
          <w:b/>
          <w:sz w:val="24"/>
          <w:szCs w:val="24"/>
          <w:lang w:val="es-ES_tradnl"/>
        </w:rPr>
        <w:t xml:space="preserve"> </w:t>
      </w:r>
      <w:r w:rsidRPr="00CF59A9">
        <w:rPr>
          <w:rFonts w:ascii="Gadugi" w:hAnsi="Gadugi" w:cs="Arial"/>
          <w:b/>
          <w:sz w:val="24"/>
          <w:szCs w:val="24"/>
          <w:lang w:val="es-ES_tradnl"/>
        </w:rPr>
        <w:t xml:space="preserve">  DUBERNEY GRISALES HERRERA </w:t>
      </w:r>
      <w:r w:rsidRPr="00CF59A9">
        <w:rPr>
          <w:rFonts w:ascii="Gadugi" w:hAnsi="Gadugi"/>
          <w:sz w:val="24"/>
          <w:szCs w:val="24"/>
        </w:rPr>
        <w:t xml:space="preserve"> </w:t>
      </w:r>
      <w:r w:rsidRPr="00CF59A9">
        <w:rPr>
          <w:rFonts w:ascii="Gadugi" w:hAnsi="Gadugi"/>
          <w:sz w:val="24"/>
          <w:szCs w:val="24"/>
        </w:rPr>
        <w:tab/>
      </w:r>
      <w:r w:rsidRPr="00CF59A9">
        <w:rPr>
          <w:rFonts w:ascii="Gadugi" w:hAnsi="Gadugi"/>
          <w:sz w:val="24"/>
          <w:szCs w:val="24"/>
        </w:rPr>
        <w:tab/>
      </w:r>
      <w:r w:rsidRPr="00CF59A9">
        <w:rPr>
          <w:rFonts w:ascii="Gadugi" w:hAnsi="Gadugi"/>
          <w:sz w:val="24"/>
          <w:szCs w:val="24"/>
        </w:rPr>
        <w:tab/>
      </w:r>
      <w:r w:rsidRPr="00CF59A9">
        <w:rPr>
          <w:rFonts w:ascii="Gadugi" w:hAnsi="Gadugi"/>
          <w:sz w:val="24"/>
          <w:szCs w:val="24"/>
        </w:rPr>
        <w:tab/>
      </w:r>
      <w:r w:rsidRPr="00CF59A9">
        <w:rPr>
          <w:rFonts w:ascii="Gadugi" w:hAnsi="Gadugi"/>
          <w:lang w:val="es-CO"/>
        </w:rPr>
        <w:t xml:space="preserve">   </w:t>
      </w:r>
      <w:r w:rsidRPr="00CF59A9">
        <w:rPr>
          <w:rFonts w:ascii="Gadugi" w:hAnsi="Gadugi"/>
          <w:lang w:val="es-CO"/>
        </w:rPr>
        <w:tab/>
      </w:r>
      <w:r w:rsidRPr="00CF59A9">
        <w:rPr>
          <w:rFonts w:ascii="Gadugi" w:hAnsi="Gadugi"/>
          <w:lang w:val="es-CO"/>
        </w:rPr>
        <w:tab/>
      </w:r>
      <w:r w:rsidRPr="00CF59A9">
        <w:rPr>
          <w:rFonts w:ascii="Gadugi" w:hAnsi="Gadugi"/>
          <w:lang w:val="es-CO"/>
        </w:rPr>
        <w:tab/>
      </w:r>
      <w:r w:rsidRPr="00CF59A9">
        <w:rPr>
          <w:rFonts w:ascii="Gadugi" w:hAnsi="Gadugi" w:cs="Arial"/>
          <w:lang w:val="es-CO"/>
        </w:rPr>
        <w:t xml:space="preserve"> </w:t>
      </w:r>
      <w:r w:rsidRPr="00CF59A9">
        <w:rPr>
          <w:rFonts w:ascii="Gadugi" w:hAnsi="Gadugi" w:cs="Arial"/>
        </w:rPr>
        <w:t xml:space="preserve">  </w:t>
      </w:r>
    </w:p>
    <w:sectPr w:rsidR="00FD3266" w:rsidRPr="00CF59A9" w:rsidSect="000D4FB6">
      <w:headerReference w:type="default" r:id="rId13"/>
      <w:footerReference w:type="default" r:id="rId14"/>
      <w:type w:val="nextColumn"/>
      <w:pgSz w:w="12242" w:h="18722" w:code="121"/>
      <w:pgMar w:top="198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B1" w:rsidRDefault="006B12B1">
      <w:r>
        <w:separator/>
      </w:r>
    </w:p>
  </w:endnote>
  <w:endnote w:type="continuationSeparator" w:id="0">
    <w:p w:rsidR="006B12B1" w:rsidRDefault="006B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E" w:rsidRDefault="00815BAE">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4FB6">
      <w:rPr>
        <w:rStyle w:val="Numrodepage"/>
        <w:noProof/>
      </w:rPr>
      <w:t>10</w:t>
    </w:r>
    <w:r>
      <w:rPr>
        <w:rStyle w:val="Numrodepage"/>
      </w:rPr>
      <w:fldChar w:fldCharType="end"/>
    </w:r>
  </w:p>
  <w:p w:rsidR="00815BAE" w:rsidRDefault="00815BA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B1" w:rsidRDefault="006B12B1">
      <w:r>
        <w:separator/>
      </w:r>
    </w:p>
  </w:footnote>
  <w:footnote w:type="continuationSeparator" w:id="0">
    <w:p w:rsidR="006B12B1" w:rsidRDefault="006B12B1">
      <w:r>
        <w:continuationSeparator/>
      </w:r>
    </w:p>
  </w:footnote>
  <w:footnote w:id="1">
    <w:p w:rsidR="00815BAE" w:rsidRPr="00A837E1" w:rsidRDefault="00815BAE">
      <w:pPr>
        <w:pStyle w:val="Notedebasdepage"/>
        <w:rPr>
          <w:rFonts w:ascii="Agency FB" w:hAnsi="Agency FB"/>
          <w:sz w:val="24"/>
          <w:szCs w:val="24"/>
          <w:lang w:val="es-MX"/>
        </w:rPr>
      </w:pPr>
      <w:r w:rsidRPr="00A837E1">
        <w:rPr>
          <w:rStyle w:val="Appelnotedebasdep"/>
          <w:rFonts w:ascii="Agency FB" w:hAnsi="Agency FB"/>
          <w:sz w:val="24"/>
          <w:szCs w:val="24"/>
        </w:rPr>
        <w:footnoteRef/>
      </w:r>
      <w:r w:rsidRPr="00A837E1">
        <w:rPr>
          <w:rFonts w:ascii="Agency FB" w:hAnsi="Agency FB"/>
          <w:sz w:val="24"/>
          <w:szCs w:val="24"/>
        </w:rPr>
        <w:t xml:space="preserve"> </w:t>
      </w:r>
      <w:r w:rsidRPr="00A837E1">
        <w:rPr>
          <w:rFonts w:ascii="Agency FB" w:hAnsi="Agency FB"/>
          <w:sz w:val="24"/>
          <w:szCs w:val="24"/>
          <w:lang w:val="es-MX"/>
        </w:rPr>
        <w:t xml:space="preserve">Cesión que fuera aceptada mediante </w:t>
      </w:r>
      <w:r w:rsidR="004F5632">
        <w:rPr>
          <w:rFonts w:ascii="Agency FB" w:hAnsi="Agency FB"/>
          <w:sz w:val="24"/>
          <w:szCs w:val="24"/>
          <w:lang w:val="es-MX"/>
        </w:rPr>
        <w:t>proveído del 28 de julio de 2016</w:t>
      </w:r>
      <w:r w:rsidRPr="00A837E1">
        <w:rPr>
          <w:rFonts w:ascii="Agency FB" w:hAnsi="Agency FB"/>
          <w:sz w:val="24"/>
          <w:szCs w:val="24"/>
          <w:lang w:val="es-MX"/>
        </w:rPr>
        <w:t xml:space="preserve"> (fl.</w:t>
      </w:r>
      <w:r w:rsidR="00575600" w:rsidRPr="00A837E1">
        <w:rPr>
          <w:rFonts w:ascii="Agency FB" w:hAnsi="Agency FB"/>
          <w:sz w:val="24"/>
          <w:szCs w:val="24"/>
          <w:lang w:val="es-MX"/>
        </w:rPr>
        <w:t>140</w:t>
      </w:r>
      <w:r w:rsidRPr="00A837E1">
        <w:rPr>
          <w:rFonts w:ascii="Agency FB" w:hAnsi="Agency FB"/>
          <w:sz w:val="24"/>
          <w:szCs w:val="24"/>
          <w:lang w:val="es-MX"/>
        </w:rPr>
        <w:t>).</w:t>
      </w:r>
    </w:p>
  </w:footnote>
  <w:footnote w:id="2">
    <w:p w:rsidR="00815BAE" w:rsidRPr="00A837E1" w:rsidRDefault="00815BAE">
      <w:pPr>
        <w:pStyle w:val="Notedebasdepage"/>
        <w:rPr>
          <w:rFonts w:ascii="Agency FB" w:hAnsi="Agency FB"/>
          <w:sz w:val="24"/>
          <w:szCs w:val="24"/>
          <w:lang w:val="es-MX"/>
        </w:rPr>
      </w:pPr>
      <w:r w:rsidRPr="00A837E1">
        <w:rPr>
          <w:rStyle w:val="Appelnotedebasdep"/>
          <w:rFonts w:ascii="Agency FB" w:hAnsi="Agency FB"/>
          <w:sz w:val="24"/>
          <w:szCs w:val="24"/>
        </w:rPr>
        <w:footnoteRef/>
      </w:r>
      <w:r w:rsidRPr="00A837E1">
        <w:rPr>
          <w:rFonts w:ascii="Agency FB" w:hAnsi="Agency FB"/>
          <w:sz w:val="24"/>
          <w:szCs w:val="24"/>
        </w:rPr>
        <w:t xml:space="preserve"> </w:t>
      </w:r>
      <w:r w:rsidRPr="00A837E1">
        <w:rPr>
          <w:rFonts w:ascii="Agency FB" w:hAnsi="Agency FB"/>
          <w:sz w:val="24"/>
          <w:szCs w:val="24"/>
          <w:lang w:val="es-MX"/>
        </w:rPr>
        <w:t>Refiriéndose al recurso de queja que desató esta Sala Unitaria mediante proveído del 30 de octubre de 2017 (fl.</w:t>
      </w:r>
      <w:r w:rsidR="00575600" w:rsidRPr="00A837E1">
        <w:rPr>
          <w:rFonts w:ascii="Agency FB" w:hAnsi="Agency FB"/>
          <w:sz w:val="24"/>
          <w:szCs w:val="24"/>
          <w:lang w:val="es-MX"/>
        </w:rPr>
        <w:t>181  a 183</w:t>
      </w:r>
      <w:r w:rsidRPr="00A837E1">
        <w:rPr>
          <w:rFonts w:ascii="Agency FB" w:hAnsi="Agency FB"/>
          <w:sz w:val="24"/>
          <w:szCs w:val="24"/>
          <w:lang w:val="es-MX"/>
        </w:rPr>
        <w:t>).</w:t>
      </w:r>
    </w:p>
  </w:footnote>
  <w:footnote w:id="3">
    <w:p w:rsidR="00815BAE" w:rsidRPr="00A837E1" w:rsidRDefault="00815BAE" w:rsidP="007E64F2">
      <w:pPr>
        <w:pStyle w:val="Notedebasdepage"/>
        <w:tabs>
          <w:tab w:val="left" w:pos="426"/>
        </w:tabs>
        <w:rPr>
          <w:rFonts w:ascii="Agency FB" w:hAnsi="Agency FB"/>
          <w:sz w:val="24"/>
          <w:szCs w:val="24"/>
          <w:lang w:val="es-CO"/>
        </w:rPr>
      </w:pPr>
      <w:r w:rsidRPr="00A837E1">
        <w:rPr>
          <w:rStyle w:val="Appelnotedebasdep"/>
          <w:rFonts w:ascii="Agency FB" w:hAnsi="Agency FB"/>
          <w:sz w:val="24"/>
          <w:szCs w:val="24"/>
        </w:rPr>
        <w:footnoteRef/>
      </w:r>
      <w:r w:rsidRPr="00A837E1">
        <w:rPr>
          <w:rFonts w:ascii="Agency FB" w:hAnsi="Agency FB"/>
          <w:sz w:val="24"/>
          <w:szCs w:val="24"/>
          <w:vertAlign w:val="superscript"/>
        </w:rPr>
        <w:t xml:space="preserve"> </w:t>
      </w:r>
      <w:r w:rsidRPr="00A837E1">
        <w:rPr>
          <w:rFonts w:ascii="Agency FB" w:hAnsi="Agency FB"/>
          <w:sz w:val="24"/>
          <w:szCs w:val="24"/>
        </w:rPr>
        <w:t>Sentencia C-543-92</w:t>
      </w:r>
    </w:p>
  </w:footnote>
  <w:footnote w:id="4">
    <w:p w:rsidR="00815BAE" w:rsidRPr="000D4FB6" w:rsidRDefault="00815BAE" w:rsidP="008A2871">
      <w:pPr>
        <w:pStyle w:val="Notedebasdepage"/>
        <w:jc w:val="both"/>
        <w:rPr>
          <w:rFonts w:ascii="Agency FB" w:hAnsi="Agency FB"/>
          <w:sz w:val="22"/>
          <w:szCs w:val="22"/>
        </w:rPr>
      </w:pPr>
      <w:r w:rsidRPr="00A837E1">
        <w:rPr>
          <w:rStyle w:val="Appelnotedebasdep"/>
          <w:rFonts w:ascii="Agency FB" w:hAnsi="Agency FB"/>
          <w:sz w:val="24"/>
          <w:szCs w:val="24"/>
          <w:lang w:val="es-CO"/>
        </w:rPr>
        <w:footnoteRef/>
      </w:r>
      <w:r w:rsidRPr="00A837E1">
        <w:rPr>
          <w:rFonts w:ascii="Agency FB" w:hAnsi="Agency FB"/>
          <w:sz w:val="24"/>
          <w:szCs w:val="24"/>
          <w:lang w:val="es-CO"/>
        </w:rPr>
        <w:t xml:space="preserve"> </w:t>
      </w:r>
      <w:r w:rsidRPr="000D4FB6">
        <w:rPr>
          <w:rFonts w:ascii="Agency FB" w:hAnsi="Agency FB"/>
          <w:sz w:val="22"/>
          <w:szCs w:val="22"/>
          <w:lang w:val="es-CO"/>
        </w:rPr>
        <w:t xml:space="preserve">Sentencias T-158 de 1993 </w:t>
      </w:r>
      <w:r w:rsidRPr="000D4FB6">
        <w:rPr>
          <w:rFonts w:ascii="Agency FB" w:hAnsi="Agency FB"/>
          <w:sz w:val="22"/>
          <w:szCs w:val="22"/>
          <w:shd w:val="clear" w:color="auto" w:fill="FFFFFF"/>
          <w:lang w:val="es-CO"/>
        </w:rPr>
        <w:t>MSPS Jorge Arango Mejía y Antonio Barrera Carbonell</w:t>
      </w:r>
      <w:r w:rsidRPr="000D4FB6">
        <w:rPr>
          <w:rFonts w:ascii="Agency FB" w:hAnsi="Agency FB"/>
          <w:sz w:val="22"/>
          <w:szCs w:val="22"/>
          <w:lang w:val="es-CO"/>
        </w:rPr>
        <w:t xml:space="preserve">, </w:t>
      </w:r>
      <w:r w:rsidRPr="000D4FB6">
        <w:rPr>
          <w:rFonts w:ascii="Agency FB" w:hAnsi="Agency FB"/>
          <w:sz w:val="22"/>
          <w:szCs w:val="22"/>
          <w:shd w:val="clear" w:color="auto" w:fill="FFFFFF"/>
          <w:lang w:val="es-CO"/>
        </w:rPr>
        <w:t>T</w:t>
      </w:r>
      <w:r w:rsidRPr="000D4FB6">
        <w:rPr>
          <w:rFonts w:ascii="Agency FB" w:hAnsi="Agency FB"/>
          <w:sz w:val="22"/>
          <w:szCs w:val="22"/>
          <w:lang w:val="es-CO"/>
        </w:rPr>
        <w:t xml:space="preserve">-572 de 1994 </w:t>
      </w:r>
      <w:r w:rsidRPr="000D4FB6">
        <w:rPr>
          <w:rFonts w:ascii="Agency FB" w:hAnsi="Agency FB"/>
          <w:sz w:val="22"/>
          <w:szCs w:val="22"/>
          <w:shd w:val="clear" w:color="auto" w:fill="FFFFFF"/>
          <w:lang w:val="es-CO"/>
        </w:rPr>
        <w:t>MP Alejandro Martínez Caballero,</w:t>
      </w:r>
      <w:r w:rsidRPr="000D4FB6">
        <w:rPr>
          <w:rFonts w:ascii="Agency FB" w:hAnsi="Agency FB"/>
          <w:sz w:val="22"/>
          <w:szCs w:val="22"/>
          <w:lang w:val="es-CO"/>
        </w:rPr>
        <w:t xml:space="preserve"> T-100 de 1998 </w:t>
      </w:r>
      <w:r w:rsidRPr="000D4FB6">
        <w:rPr>
          <w:rFonts w:ascii="Agency FB" w:hAnsi="Agency FB"/>
          <w:sz w:val="22"/>
          <w:szCs w:val="22"/>
          <w:shd w:val="clear" w:color="auto" w:fill="FFFFFF"/>
          <w:lang w:val="es-CO"/>
        </w:rPr>
        <w:t>MP José Gregorio Hernández Galindo</w:t>
      </w:r>
      <w:r w:rsidRPr="000D4FB6">
        <w:rPr>
          <w:rFonts w:ascii="Agency FB" w:hAnsi="Agency FB"/>
          <w:sz w:val="22"/>
          <w:szCs w:val="22"/>
          <w:lang w:val="es-CO"/>
        </w:rPr>
        <w:t>, SU-159 2002</w:t>
      </w:r>
      <w:r w:rsidRPr="000D4FB6">
        <w:rPr>
          <w:rFonts w:ascii="Agency FB" w:hAnsi="Agency FB"/>
          <w:sz w:val="22"/>
          <w:szCs w:val="22"/>
          <w:shd w:val="clear" w:color="auto" w:fill="FFFFFF"/>
          <w:lang w:val="es-CO"/>
        </w:rPr>
        <w:t xml:space="preserve"> MP Manuel José Cepeda Espinosa, T-808 de 2007 MP E Catalina Botero Marino y T-086 de 2007 MP Manuel José Cepeda Espinosa, SU-174 de 2007 MP Manuel José Cepeda Espinosa, T-364 de 2009 MP Mauricio González Cuervo, T-792 de 2010 MP Jorge Iván Palacio, T-510 de 2011 MP Jorge Iván Palacio, T-343 de 2011 MP Humberto Sierra Porto, T-138 de 2011 MP María Victoria Calle Correa, T-360 de 2011 MP Humberto Antonio Sierra Porto, T-160 de 2013 MP Luis Guillermo Guerrero Pérez, T-267 de 2013 MP Jorge Iván Palacio, T-465 de 2013 MP Luis Ernesto Vargas Silva, T-564 de 2013 MP Luis Ernesto Vargas Silva, SU.917 de 2013 MP Luis Ernesto Vargas Silva, T-116 de 2014 MP Luis Guillermo Guerrero Pérez, T-146 de 2014 MP Mauricio González Cuervo, T-374 de 2014 Luis Ernesto Vargas Silva, SU.770 de 2014 MP Mauricio González Cuervo, T-869 de 2014 MP Jorge Ignacio Pretelt Chaljub, T-073 de 2015 MP Mauricio González Cuervo.</w:t>
      </w:r>
    </w:p>
  </w:footnote>
  <w:footnote w:id="5">
    <w:p w:rsidR="00815BAE" w:rsidRPr="000D4FB6" w:rsidRDefault="00815BAE" w:rsidP="008A2871">
      <w:pPr>
        <w:pStyle w:val="Notedebasdepage"/>
        <w:rPr>
          <w:rFonts w:ascii="Agency FB" w:hAnsi="Agency FB"/>
          <w:sz w:val="22"/>
          <w:szCs w:val="22"/>
        </w:rPr>
      </w:pPr>
      <w:r w:rsidRPr="000D4FB6">
        <w:rPr>
          <w:rStyle w:val="Appelnotedebasdep"/>
          <w:rFonts w:ascii="Agency FB" w:hAnsi="Agency FB"/>
          <w:sz w:val="22"/>
          <w:szCs w:val="22"/>
        </w:rPr>
        <w:footnoteRef/>
      </w:r>
      <w:r w:rsidRPr="000D4FB6">
        <w:rPr>
          <w:rFonts w:ascii="Agency FB" w:hAnsi="Agency FB"/>
          <w:sz w:val="22"/>
          <w:szCs w:val="22"/>
          <w:lang w:val="pt-BR"/>
        </w:rPr>
        <w:t xml:space="preserve"> </w:t>
      </w:r>
      <w:r w:rsidRPr="000D4FB6">
        <w:rPr>
          <w:rFonts w:ascii="Agency FB" w:hAnsi="Agency FB"/>
          <w:sz w:val="22"/>
          <w:szCs w:val="22"/>
          <w:lang w:val="pt-BR"/>
        </w:rPr>
        <w:t xml:space="preserve">MP (E) Myriam Ávila Roldan. </w:t>
      </w:r>
    </w:p>
  </w:footnote>
  <w:footnote w:id="6">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 T-189 de 2005”.</w:t>
      </w:r>
    </w:p>
  </w:footnote>
  <w:footnote w:id="7">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 T-205 de 2004”.</w:t>
      </w:r>
    </w:p>
  </w:footnote>
  <w:footnote w:id="8">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 T-800 de 2006”.</w:t>
      </w:r>
    </w:p>
  </w:footnote>
  <w:footnote w:id="9">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 T-522 de 2001”.</w:t>
      </w:r>
    </w:p>
  </w:footnote>
  <w:footnote w:id="10">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 SU-159 de 2002”.</w:t>
      </w:r>
    </w:p>
  </w:footnote>
  <w:footnote w:id="11">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Sentencias T-1101 de 2005, T-1222 de 2005 y T-051 de 2009.</w:t>
      </w:r>
    </w:p>
  </w:footnote>
  <w:footnote w:id="12">
    <w:p w:rsidR="00815BAE" w:rsidRPr="000D4FB6" w:rsidRDefault="00815BAE" w:rsidP="008A2871">
      <w:pPr>
        <w:ind w:right="-283"/>
        <w:jc w:val="both"/>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Sentencias T-001 de 1999 y T-462 de 2003.</w:t>
      </w:r>
    </w:p>
  </w:footnote>
  <w:footnote w:id="13">
    <w:p w:rsidR="00815BAE" w:rsidRPr="000D4FB6" w:rsidRDefault="00815BAE" w:rsidP="008A2871">
      <w:pPr>
        <w:pStyle w:val="Notedebasdepage"/>
        <w:ind w:right="-283"/>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 T-814 de 1999, T-462 de 2003, T-1244 de 2004, T-462 de 2003 y T-1060 de 2009.</w:t>
      </w:r>
    </w:p>
  </w:footnote>
  <w:footnote w:id="14">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 T-018 de 2008.</w:t>
      </w:r>
    </w:p>
  </w:footnote>
  <w:footnote w:id="15">
    <w:p w:rsidR="00815BAE" w:rsidRPr="000D4FB6" w:rsidRDefault="00815BAE" w:rsidP="008A2871">
      <w:pPr>
        <w:pStyle w:val="Notedebasdepage"/>
        <w:ind w:right="-283"/>
        <w:rPr>
          <w:rFonts w:ascii="Agency FB" w:hAnsi="Agency FB"/>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Sentencia T-086 de 2007.</w:t>
      </w:r>
    </w:p>
  </w:footnote>
  <w:footnote w:id="16">
    <w:p w:rsidR="00815BAE" w:rsidRPr="000D4FB6" w:rsidRDefault="00815BAE" w:rsidP="008A2871">
      <w:pPr>
        <w:tabs>
          <w:tab w:val="left" w:pos="4252"/>
          <w:tab w:val="left" w:pos="8504"/>
        </w:tabs>
        <w:ind w:right="-283"/>
        <w:jc w:val="both"/>
        <w:rPr>
          <w:rFonts w:ascii="Agency FB" w:hAnsi="Agency FB"/>
          <w:sz w:val="22"/>
          <w:szCs w:val="22"/>
        </w:rPr>
      </w:pPr>
      <w:r w:rsidRPr="000D4FB6">
        <w:rPr>
          <w:rStyle w:val="Appelnotedebasdep"/>
          <w:rFonts w:ascii="Agency FB" w:hAnsi="Agency FB"/>
          <w:sz w:val="22"/>
          <w:szCs w:val="22"/>
        </w:rPr>
        <w:footnoteRef/>
      </w:r>
      <w:r w:rsidRPr="000D4FB6">
        <w:rPr>
          <w:rFonts w:ascii="Agency FB" w:hAnsi="Agency FB"/>
          <w:sz w:val="22"/>
          <w:szCs w:val="22"/>
        </w:rPr>
        <w:t xml:space="preserve"> T-231 de 1994 M.P. Eduardo Cifuentes Muñoz. Dijo la Corte: </w:t>
      </w:r>
      <w:r w:rsidRPr="000D4FB6">
        <w:rPr>
          <w:rFonts w:ascii="Agency FB" w:hAnsi="Agency FB"/>
          <w:i/>
          <w:iCs/>
          <w:sz w:val="22"/>
          <w:szCs w:val="22"/>
        </w:rPr>
        <w:t>“La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tomarse como vinculantes, habida cuenta de la "malversación" de la competencia y de la manifiesta actuación ultra o extra vires de su titular. // Si este comportamiento - abultadamente deformado respecto del postulado en la norma - se traduce en la utilización de un</w:t>
      </w:r>
      <w:r w:rsidRPr="000D4FB6">
        <w:rPr>
          <w:rFonts w:ascii="Agency FB" w:hAnsi="Agency FB"/>
          <w:sz w:val="22"/>
          <w:szCs w:val="22"/>
        </w:rPr>
        <w:t xml:space="preserve"> </w:t>
      </w:r>
      <w:r w:rsidRPr="000D4FB6">
        <w:rPr>
          <w:rFonts w:ascii="Agency FB" w:hAnsi="Agency FB"/>
          <w:i/>
          <w:sz w:val="22"/>
          <w:szCs w:val="22"/>
        </w:rPr>
        <w:t>poder concedido al juez por el ordenamiento para un fin no previsto en la disposición (defecto sustantivo)…”.</w:t>
      </w:r>
    </w:p>
  </w:footnote>
  <w:footnote w:id="17">
    <w:p w:rsidR="00815BAE" w:rsidRPr="000D4FB6" w:rsidRDefault="00815BAE" w:rsidP="008A2871">
      <w:pPr>
        <w:pStyle w:val="Notedebasdepage"/>
        <w:ind w:right="-283"/>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 T-807 de 2004.</w:t>
      </w:r>
    </w:p>
  </w:footnote>
  <w:footnote w:id="18">
    <w:p w:rsidR="00815BAE" w:rsidRPr="000D4FB6" w:rsidRDefault="00815BAE" w:rsidP="008A2871">
      <w:pPr>
        <w:pStyle w:val="Notedebasdepage"/>
        <w:ind w:right="-283"/>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 T-056 de 2005, T-1216 de 2005, T-298 de 2008 y T-066 de 2009.</w:t>
      </w:r>
    </w:p>
  </w:footnote>
  <w:footnote w:id="19">
    <w:p w:rsidR="00815BAE" w:rsidRPr="000D4FB6" w:rsidRDefault="00815BAE" w:rsidP="008A2871">
      <w:pPr>
        <w:pStyle w:val="Notedebasdepage"/>
        <w:ind w:right="-283"/>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Sentencias T-114 de 2002 y T- 1285 de 2005.</w:t>
      </w:r>
    </w:p>
  </w:footnote>
  <w:footnote w:id="20">
    <w:p w:rsidR="00815BAE" w:rsidRPr="000D4FB6" w:rsidRDefault="00815BAE" w:rsidP="008A2871">
      <w:pPr>
        <w:pStyle w:val="Notedebasdepage"/>
        <w:ind w:right="-283"/>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 T-086 de 2007.</w:t>
      </w:r>
    </w:p>
  </w:footnote>
  <w:footnote w:id="21">
    <w:p w:rsidR="00815BAE" w:rsidRPr="000D4FB6" w:rsidRDefault="00815BAE" w:rsidP="008A2871">
      <w:pPr>
        <w:pStyle w:val="Notedebasdepage"/>
        <w:ind w:right="-283"/>
        <w:rPr>
          <w:rFonts w:ascii="Agency FB" w:hAnsi="Agency FB"/>
          <w:i/>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Sentencias T-193 de 1995, T-949 de 2003, T-1285 de 2005 y T-086 de 2007.</w:t>
      </w:r>
    </w:p>
    <w:p w:rsidR="00815BAE" w:rsidRPr="000D4FB6" w:rsidRDefault="00815BAE" w:rsidP="008A2871">
      <w:pPr>
        <w:pStyle w:val="Notedebasdepage"/>
        <w:ind w:right="-283"/>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Sentencias </w:t>
      </w:r>
      <w:proofErr w:type="spellStart"/>
      <w:r w:rsidRPr="000D4FB6">
        <w:rPr>
          <w:rFonts w:ascii="Agency FB" w:hAnsi="Agency FB"/>
          <w:i/>
          <w:sz w:val="22"/>
          <w:szCs w:val="22"/>
          <w:lang w:val="fr-FR"/>
        </w:rPr>
        <w:t>SU-640</w:t>
      </w:r>
      <w:proofErr w:type="spellEnd"/>
      <w:r w:rsidRPr="000D4FB6">
        <w:rPr>
          <w:rFonts w:ascii="Agency FB" w:hAnsi="Agency FB"/>
          <w:i/>
          <w:sz w:val="22"/>
          <w:szCs w:val="22"/>
          <w:lang w:val="fr-FR"/>
        </w:rPr>
        <w:t xml:space="preserve"> de 1998, T-462 de 2003, T-292 de 2006 y T-086 de 2007.</w:t>
      </w:r>
    </w:p>
  </w:footnote>
  <w:footnote w:id="22">
    <w:p w:rsidR="00815BAE" w:rsidRPr="000D4FB6" w:rsidRDefault="00815BAE" w:rsidP="008A2871">
      <w:pPr>
        <w:ind w:right="-283"/>
        <w:rPr>
          <w:rFonts w:ascii="Agency FB" w:hAnsi="Agency FB"/>
          <w:sz w:val="22"/>
          <w:szCs w:val="22"/>
          <w:lang w:val="fr-FR"/>
        </w:rPr>
      </w:pPr>
      <w:r w:rsidRPr="000D4FB6">
        <w:rPr>
          <w:rStyle w:val="Appelnotedebasdep"/>
          <w:rFonts w:ascii="Agency FB" w:hAnsi="Agency FB"/>
          <w:i/>
          <w:sz w:val="22"/>
          <w:szCs w:val="22"/>
        </w:rPr>
        <w:footnoteRef/>
      </w:r>
      <w:r w:rsidRPr="000D4FB6">
        <w:rPr>
          <w:rFonts w:ascii="Agency FB" w:hAnsi="Agency FB"/>
          <w:i/>
          <w:sz w:val="22"/>
          <w:szCs w:val="22"/>
          <w:lang w:val="fr-FR"/>
        </w:rPr>
        <w:t xml:space="preserve"> Sentencias T-1625 de 2000, T-522 de 2001, </w:t>
      </w:r>
      <w:proofErr w:type="spellStart"/>
      <w:r w:rsidRPr="000D4FB6">
        <w:rPr>
          <w:rFonts w:ascii="Agency FB" w:hAnsi="Agency FB"/>
          <w:i/>
          <w:sz w:val="22"/>
          <w:szCs w:val="22"/>
          <w:lang w:val="fr-FR"/>
        </w:rPr>
        <w:t>SU-1184</w:t>
      </w:r>
      <w:proofErr w:type="spellEnd"/>
      <w:r w:rsidRPr="000D4FB6">
        <w:rPr>
          <w:rFonts w:ascii="Agency FB" w:hAnsi="Agency FB"/>
          <w:i/>
          <w:sz w:val="22"/>
          <w:szCs w:val="22"/>
          <w:lang w:val="fr-FR"/>
        </w:rPr>
        <w:t xml:space="preserve"> de 2001 y T-047 de 2005.</w:t>
      </w:r>
    </w:p>
  </w:footnote>
  <w:footnote w:id="23">
    <w:p w:rsidR="00815BAE" w:rsidRPr="000D4FB6" w:rsidRDefault="00815BAE" w:rsidP="008A2871">
      <w:pPr>
        <w:pStyle w:val="Notedebasdepage"/>
        <w:rPr>
          <w:rFonts w:ascii="Agency FB" w:hAnsi="Agency FB"/>
          <w:i/>
          <w:sz w:val="22"/>
          <w:szCs w:val="22"/>
        </w:rPr>
      </w:pPr>
      <w:r w:rsidRPr="000D4FB6">
        <w:rPr>
          <w:rStyle w:val="Appelnotedebasdep"/>
          <w:rFonts w:ascii="Agency FB" w:hAnsi="Agency FB"/>
          <w:i/>
          <w:sz w:val="22"/>
          <w:szCs w:val="22"/>
        </w:rPr>
        <w:footnoteRef/>
      </w:r>
      <w:r w:rsidRPr="000D4FB6">
        <w:rPr>
          <w:rFonts w:ascii="Agency FB" w:hAnsi="Agency FB"/>
          <w:i/>
          <w:sz w:val="22"/>
          <w:szCs w:val="22"/>
        </w:rPr>
        <w:t xml:space="preserve">  </w:t>
      </w:r>
      <w:r w:rsidRPr="000D4FB6">
        <w:rPr>
          <w:rFonts w:ascii="Agency FB" w:hAnsi="Agency FB"/>
          <w:i/>
          <w:sz w:val="22"/>
          <w:szCs w:val="22"/>
          <w:lang w:val="es-MX"/>
        </w:rPr>
        <w:t xml:space="preserve">Sentencia </w:t>
      </w:r>
      <w:r w:rsidRPr="000D4FB6">
        <w:rPr>
          <w:rFonts w:ascii="Agency FB" w:hAnsi="Agency FB"/>
          <w:i/>
          <w:sz w:val="22"/>
          <w:szCs w:val="22"/>
        </w:rPr>
        <w:t>T-667 de 2015</w:t>
      </w:r>
    </w:p>
  </w:footnote>
  <w:footnote w:id="24">
    <w:p w:rsidR="00240AAF" w:rsidRPr="000D4FB6" w:rsidRDefault="00240AAF">
      <w:pPr>
        <w:pStyle w:val="Notedebasdepage"/>
        <w:rPr>
          <w:rFonts w:ascii="Agency FB" w:hAnsi="Agency FB"/>
          <w:sz w:val="22"/>
          <w:szCs w:val="22"/>
          <w:lang w:val="es-MX"/>
        </w:rPr>
      </w:pPr>
      <w:r w:rsidRPr="000D4FB6">
        <w:rPr>
          <w:rStyle w:val="Appelnotedebasdep"/>
          <w:rFonts w:ascii="Agency FB" w:hAnsi="Agency FB"/>
          <w:sz w:val="22"/>
          <w:szCs w:val="22"/>
        </w:rPr>
        <w:footnoteRef/>
      </w:r>
      <w:r w:rsidRPr="000D4FB6">
        <w:rPr>
          <w:rFonts w:ascii="Agency FB" w:hAnsi="Agency FB"/>
          <w:sz w:val="22"/>
          <w:szCs w:val="22"/>
        </w:rPr>
        <w:t xml:space="preserve"> Sentencia C-590/05</w:t>
      </w:r>
    </w:p>
  </w:footnote>
  <w:footnote w:id="25">
    <w:p w:rsidR="00815BAE" w:rsidRPr="000D4FB6" w:rsidRDefault="00815BAE" w:rsidP="008A7378">
      <w:pPr>
        <w:pStyle w:val="Notedebasdepage"/>
        <w:rPr>
          <w:rFonts w:ascii="Agency FB" w:hAnsi="Agency FB"/>
          <w:sz w:val="22"/>
          <w:szCs w:val="22"/>
        </w:rPr>
      </w:pPr>
      <w:r w:rsidRPr="000D4FB6">
        <w:rPr>
          <w:rStyle w:val="Appelnotedebasdep"/>
          <w:rFonts w:ascii="Agency FB" w:hAnsi="Agency FB"/>
          <w:sz w:val="22"/>
          <w:szCs w:val="22"/>
        </w:rPr>
        <w:footnoteRef/>
      </w:r>
      <w:r w:rsidRPr="000D4FB6">
        <w:rPr>
          <w:rFonts w:ascii="Agency FB" w:hAnsi="Agency FB"/>
          <w:sz w:val="22"/>
          <w:szCs w:val="22"/>
        </w:rPr>
        <w:t xml:space="preserve"> </w:t>
      </w:r>
      <w:r w:rsidR="00A46978" w:rsidRPr="000D4FB6">
        <w:rPr>
          <w:rFonts w:ascii="Agency FB" w:hAnsi="Agency FB"/>
          <w:sz w:val="22"/>
          <w:szCs w:val="22"/>
        </w:rPr>
        <w:t>S</w:t>
      </w:r>
      <w:r w:rsidRPr="000D4FB6">
        <w:rPr>
          <w:rFonts w:ascii="Agency FB" w:hAnsi="Agency FB"/>
          <w:sz w:val="22"/>
          <w:szCs w:val="22"/>
        </w:rPr>
        <w:t xml:space="preserve">entencia t-148/2010 </w:t>
      </w:r>
    </w:p>
  </w:footnote>
  <w:footnote w:id="26">
    <w:p w:rsidR="00815BAE" w:rsidRPr="000D4FB6" w:rsidRDefault="00815BAE" w:rsidP="005F2562">
      <w:pPr>
        <w:pStyle w:val="Notedebasdepage"/>
        <w:tabs>
          <w:tab w:val="left" w:pos="2835"/>
        </w:tabs>
        <w:rPr>
          <w:rFonts w:ascii="Agency FB" w:hAnsi="Agency FB"/>
          <w:sz w:val="22"/>
          <w:szCs w:val="22"/>
          <w:lang w:val="es-CO"/>
        </w:rPr>
      </w:pPr>
      <w:r w:rsidRPr="000D4FB6">
        <w:rPr>
          <w:rStyle w:val="Appelnotedebasdep"/>
          <w:rFonts w:ascii="Agency FB" w:hAnsi="Agency FB"/>
          <w:sz w:val="22"/>
          <w:szCs w:val="22"/>
        </w:rPr>
        <w:footnoteRef/>
      </w:r>
      <w:r w:rsidRPr="000D4FB6">
        <w:rPr>
          <w:rFonts w:ascii="Agency FB" w:hAnsi="Agency FB"/>
          <w:sz w:val="22"/>
          <w:szCs w:val="22"/>
        </w:rPr>
        <w:t xml:space="preserve"> </w:t>
      </w:r>
      <w:r w:rsidRPr="000D4FB6">
        <w:rPr>
          <w:rFonts w:ascii="Agency FB" w:hAnsi="Agency FB"/>
          <w:sz w:val="22"/>
          <w:szCs w:val="22"/>
          <w:lang w:val="es-CO"/>
        </w:rPr>
        <w:t>Ibid</w:t>
      </w:r>
    </w:p>
  </w:footnote>
  <w:footnote w:id="27">
    <w:p w:rsidR="00815BAE" w:rsidRPr="000D4FB6" w:rsidRDefault="00815BAE">
      <w:pPr>
        <w:pStyle w:val="Notedebasdepage"/>
        <w:rPr>
          <w:rFonts w:ascii="Agency FB" w:hAnsi="Agency FB"/>
          <w:sz w:val="22"/>
          <w:szCs w:val="22"/>
          <w:lang w:val="es-CO"/>
        </w:rPr>
      </w:pPr>
      <w:r w:rsidRPr="000D4FB6">
        <w:rPr>
          <w:rStyle w:val="Appelnotedebasdep"/>
          <w:rFonts w:ascii="Agency FB" w:hAnsi="Agency FB"/>
          <w:sz w:val="22"/>
          <w:szCs w:val="22"/>
        </w:rPr>
        <w:footnoteRef/>
      </w:r>
      <w:r w:rsidRPr="000D4FB6">
        <w:rPr>
          <w:rFonts w:ascii="Agency FB" w:hAnsi="Agency FB"/>
          <w:sz w:val="22"/>
          <w:szCs w:val="22"/>
        </w:rPr>
        <w:t xml:space="preserve"> Sentencia T-374/14</w:t>
      </w:r>
    </w:p>
  </w:footnote>
  <w:footnote w:id="28">
    <w:p w:rsidR="00815BAE" w:rsidRPr="000D4FB6" w:rsidRDefault="00815BAE" w:rsidP="0012183E">
      <w:pPr>
        <w:ind w:right="475"/>
        <w:jc w:val="both"/>
        <w:rPr>
          <w:rFonts w:ascii="Agency FB" w:hAnsi="Agency FB"/>
          <w:sz w:val="22"/>
          <w:szCs w:val="22"/>
        </w:rPr>
      </w:pPr>
      <w:r w:rsidRPr="000D4FB6">
        <w:rPr>
          <w:rStyle w:val="Appelnotedebasdep"/>
          <w:rFonts w:ascii="Agency FB" w:hAnsi="Agency FB"/>
          <w:sz w:val="22"/>
          <w:szCs w:val="22"/>
        </w:rPr>
        <w:footnoteRef/>
      </w:r>
      <w:r w:rsidRPr="000D4FB6">
        <w:rPr>
          <w:rFonts w:ascii="Agency FB" w:hAnsi="Agency FB"/>
          <w:sz w:val="22"/>
          <w:szCs w:val="22"/>
        </w:rPr>
        <w:t xml:space="preserve"> Sentencia T-388/06. Así se reitera en otras providencias, como la sentencia T-060 de 2014</w:t>
      </w:r>
    </w:p>
  </w:footnote>
  <w:footnote w:id="29">
    <w:p w:rsidR="00815BAE" w:rsidRPr="000D4FB6" w:rsidRDefault="00815BAE" w:rsidP="0012183E">
      <w:pPr>
        <w:pStyle w:val="Pieddepage"/>
        <w:jc w:val="both"/>
        <w:rPr>
          <w:rFonts w:ascii="Agency FB" w:hAnsi="Agency FB"/>
          <w:sz w:val="22"/>
          <w:szCs w:val="22"/>
        </w:rPr>
      </w:pPr>
      <w:r w:rsidRPr="000D4FB6">
        <w:rPr>
          <w:rStyle w:val="Appelnotedebasdep"/>
          <w:rFonts w:ascii="Agency FB" w:hAnsi="Agency FB"/>
          <w:sz w:val="22"/>
          <w:szCs w:val="22"/>
        </w:rPr>
        <w:footnoteRef/>
      </w:r>
      <w:r w:rsidRPr="000D4FB6">
        <w:rPr>
          <w:rFonts w:ascii="Agency FB" w:hAnsi="Agency FB"/>
          <w:sz w:val="22"/>
          <w:szCs w:val="22"/>
        </w:rPr>
        <w:t xml:space="preserve"> </w:t>
      </w:r>
      <w:r w:rsidRPr="000D4FB6">
        <w:rPr>
          <w:rFonts w:ascii="Agency FB" w:hAnsi="Agency FB"/>
          <w:sz w:val="22"/>
          <w:szCs w:val="22"/>
          <w:lang w:val="es-MX"/>
        </w:rPr>
        <w:t xml:space="preserve">En sentido similar pueden consultarse las sentencias </w:t>
      </w:r>
      <w:r w:rsidRPr="000D4FB6">
        <w:rPr>
          <w:rFonts w:ascii="Agency FB" w:hAnsi="Agency FB"/>
          <w:sz w:val="22"/>
          <w:szCs w:val="22"/>
        </w:rPr>
        <w:t>T-765 de 1998, M.P., José Gregorio Hernández Galindo; T-555 de 2000 M.P., Fabio Morón Díaz y T-085 de 2001 M.P., Alejandro Martínez Caballero; T-702 de 2003, M.P. Clara Inés Vargas Hernández.</w:t>
      </w:r>
    </w:p>
  </w:footnote>
  <w:footnote w:id="30">
    <w:p w:rsidR="00815BAE" w:rsidRPr="000D4FB6" w:rsidRDefault="00815BAE" w:rsidP="0012183E">
      <w:pPr>
        <w:pStyle w:val="Notedebasdepage"/>
        <w:rPr>
          <w:rFonts w:ascii="Agency FB" w:hAnsi="Agency FB"/>
          <w:sz w:val="22"/>
          <w:szCs w:val="22"/>
        </w:rPr>
      </w:pPr>
      <w:r w:rsidRPr="000D4FB6">
        <w:rPr>
          <w:rStyle w:val="Appelnotedebasdep"/>
          <w:rFonts w:ascii="Agency FB" w:hAnsi="Agency FB"/>
          <w:sz w:val="22"/>
          <w:szCs w:val="22"/>
        </w:rPr>
        <w:footnoteRef/>
      </w:r>
      <w:r w:rsidRPr="000D4FB6">
        <w:rPr>
          <w:rFonts w:ascii="Agency FB" w:hAnsi="Agency FB"/>
          <w:sz w:val="22"/>
          <w:szCs w:val="22"/>
        </w:rPr>
        <w:t xml:space="preserve"> Sentencia T-327 de 1994, M.P. Vladimiro Naranjo Mesa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E" w:rsidRDefault="00815BAE"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0"/>
  <w:activeWritingStyle w:appName="MSWord" w:lang="pt-BR" w:vendorID="64" w:dllVersion="131078"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3"/>
    <w:rsid w:val="00000171"/>
    <w:rsid w:val="00000A24"/>
    <w:rsid w:val="00000B68"/>
    <w:rsid w:val="00000D9E"/>
    <w:rsid w:val="00001118"/>
    <w:rsid w:val="000015BA"/>
    <w:rsid w:val="00003AC9"/>
    <w:rsid w:val="0000647B"/>
    <w:rsid w:val="0000738E"/>
    <w:rsid w:val="00010598"/>
    <w:rsid w:val="00010988"/>
    <w:rsid w:val="000156AF"/>
    <w:rsid w:val="000164E8"/>
    <w:rsid w:val="00016A46"/>
    <w:rsid w:val="00020BAD"/>
    <w:rsid w:val="00022BA8"/>
    <w:rsid w:val="00023AC5"/>
    <w:rsid w:val="00027096"/>
    <w:rsid w:val="000277AD"/>
    <w:rsid w:val="00027B91"/>
    <w:rsid w:val="00027C5D"/>
    <w:rsid w:val="00027E7E"/>
    <w:rsid w:val="00032595"/>
    <w:rsid w:val="00035FA4"/>
    <w:rsid w:val="000417D6"/>
    <w:rsid w:val="000418A0"/>
    <w:rsid w:val="00043F7D"/>
    <w:rsid w:val="0004633F"/>
    <w:rsid w:val="000509EF"/>
    <w:rsid w:val="00056A19"/>
    <w:rsid w:val="00057672"/>
    <w:rsid w:val="00057E31"/>
    <w:rsid w:val="000615A6"/>
    <w:rsid w:val="00062869"/>
    <w:rsid w:val="00064115"/>
    <w:rsid w:val="00064930"/>
    <w:rsid w:val="00071ABC"/>
    <w:rsid w:val="00072EBD"/>
    <w:rsid w:val="000731AA"/>
    <w:rsid w:val="00076C4B"/>
    <w:rsid w:val="000773A6"/>
    <w:rsid w:val="00077C12"/>
    <w:rsid w:val="000856DD"/>
    <w:rsid w:val="000856F2"/>
    <w:rsid w:val="00085DA6"/>
    <w:rsid w:val="00087A93"/>
    <w:rsid w:val="000909D5"/>
    <w:rsid w:val="00092CB9"/>
    <w:rsid w:val="00093032"/>
    <w:rsid w:val="000940D0"/>
    <w:rsid w:val="00094758"/>
    <w:rsid w:val="00095DC4"/>
    <w:rsid w:val="000971A0"/>
    <w:rsid w:val="000A06FA"/>
    <w:rsid w:val="000A190D"/>
    <w:rsid w:val="000A2175"/>
    <w:rsid w:val="000A25B1"/>
    <w:rsid w:val="000A2799"/>
    <w:rsid w:val="000A52D6"/>
    <w:rsid w:val="000A563F"/>
    <w:rsid w:val="000A7D06"/>
    <w:rsid w:val="000B7F20"/>
    <w:rsid w:val="000C3319"/>
    <w:rsid w:val="000C3A66"/>
    <w:rsid w:val="000D4FB6"/>
    <w:rsid w:val="000E4DEE"/>
    <w:rsid w:val="000E4F75"/>
    <w:rsid w:val="000F1C62"/>
    <w:rsid w:val="000F2D20"/>
    <w:rsid w:val="000F34D1"/>
    <w:rsid w:val="000F4B3F"/>
    <w:rsid w:val="000F794C"/>
    <w:rsid w:val="00100CFD"/>
    <w:rsid w:val="001029F9"/>
    <w:rsid w:val="00102FBC"/>
    <w:rsid w:val="0010355F"/>
    <w:rsid w:val="0010436F"/>
    <w:rsid w:val="00104B59"/>
    <w:rsid w:val="00107134"/>
    <w:rsid w:val="0011036B"/>
    <w:rsid w:val="001108EE"/>
    <w:rsid w:val="00112E77"/>
    <w:rsid w:val="00112F2E"/>
    <w:rsid w:val="001146C1"/>
    <w:rsid w:val="00117BFC"/>
    <w:rsid w:val="00117F57"/>
    <w:rsid w:val="0012009B"/>
    <w:rsid w:val="0012183E"/>
    <w:rsid w:val="00121D97"/>
    <w:rsid w:val="001242A2"/>
    <w:rsid w:val="00124B8F"/>
    <w:rsid w:val="00125981"/>
    <w:rsid w:val="00125B49"/>
    <w:rsid w:val="00126547"/>
    <w:rsid w:val="00126D1D"/>
    <w:rsid w:val="0013184A"/>
    <w:rsid w:val="00132E42"/>
    <w:rsid w:val="00133405"/>
    <w:rsid w:val="001370BB"/>
    <w:rsid w:val="00137DEB"/>
    <w:rsid w:val="0014227E"/>
    <w:rsid w:val="00143A06"/>
    <w:rsid w:val="00145DFA"/>
    <w:rsid w:val="00146007"/>
    <w:rsid w:val="0014686B"/>
    <w:rsid w:val="00147A00"/>
    <w:rsid w:val="001521F2"/>
    <w:rsid w:val="0015244E"/>
    <w:rsid w:val="00152624"/>
    <w:rsid w:val="00155937"/>
    <w:rsid w:val="001562DF"/>
    <w:rsid w:val="0016343F"/>
    <w:rsid w:val="00163A18"/>
    <w:rsid w:val="001659AB"/>
    <w:rsid w:val="00170791"/>
    <w:rsid w:val="00174559"/>
    <w:rsid w:val="00174F38"/>
    <w:rsid w:val="00176355"/>
    <w:rsid w:val="001764FF"/>
    <w:rsid w:val="0017660D"/>
    <w:rsid w:val="001768A3"/>
    <w:rsid w:val="00177342"/>
    <w:rsid w:val="001809CE"/>
    <w:rsid w:val="00182D65"/>
    <w:rsid w:val="00185E56"/>
    <w:rsid w:val="00186FD9"/>
    <w:rsid w:val="0018704B"/>
    <w:rsid w:val="00194089"/>
    <w:rsid w:val="001950B5"/>
    <w:rsid w:val="001A1D9A"/>
    <w:rsid w:val="001A2A3F"/>
    <w:rsid w:val="001A4B2C"/>
    <w:rsid w:val="001A4D30"/>
    <w:rsid w:val="001A521D"/>
    <w:rsid w:val="001B010C"/>
    <w:rsid w:val="001B21F1"/>
    <w:rsid w:val="001B31D1"/>
    <w:rsid w:val="001B31EC"/>
    <w:rsid w:val="001B63A0"/>
    <w:rsid w:val="001B6AC5"/>
    <w:rsid w:val="001B758C"/>
    <w:rsid w:val="001C0808"/>
    <w:rsid w:val="001C231F"/>
    <w:rsid w:val="001C2427"/>
    <w:rsid w:val="001C376F"/>
    <w:rsid w:val="001C6081"/>
    <w:rsid w:val="001C6B76"/>
    <w:rsid w:val="001C7197"/>
    <w:rsid w:val="001D0067"/>
    <w:rsid w:val="001D0492"/>
    <w:rsid w:val="001D1C76"/>
    <w:rsid w:val="001D4EFF"/>
    <w:rsid w:val="001D7E6B"/>
    <w:rsid w:val="001E079F"/>
    <w:rsid w:val="001E43DD"/>
    <w:rsid w:val="001E5FDF"/>
    <w:rsid w:val="001F5455"/>
    <w:rsid w:val="002011E9"/>
    <w:rsid w:val="002062E0"/>
    <w:rsid w:val="00206611"/>
    <w:rsid w:val="002224EE"/>
    <w:rsid w:val="002228CF"/>
    <w:rsid w:val="00222F6E"/>
    <w:rsid w:val="00224947"/>
    <w:rsid w:val="00226DE8"/>
    <w:rsid w:val="00232AB4"/>
    <w:rsid w:val="00232EFA"/>
    <w:rsid w:val="00233511"/>
    <w:rsid w:val="002342A4"/>
    <w:rsid w:val="002356D6"/>
    <w:rsid w:val="002363D0"/>
    <w:rsid w:val="002379C0"/>
    <w:rsid w:val="00237BB9"/>
    <w:rsid w:val="00240AAF"/>
    <w:rsid w:val="00240E3A"/>
    <w:rsid w:val="002429D7"/>
    <w:rsid w:val="00242B59"/>
    <w:rsid w:val="00243C09"/>
    <w:rsid w:val="002451E5"/>
    <w:rsid w:val="00245BC0"/>
    <w:rsid w:val="00246716"/>
    <w:rsid w:val="0025210F"/>
    <w:rsid w:val="0025442B"/>
    <w:rsid w:val="00256694"/>
    <w:rsid w:val="00261859"/>
    <w:rsid w:val="00263D0A"/>
    <w:rsid w:val="00265715"/>
    <w:rsid w:val="00266D69"/>
    <w:rsid w:val="00270620"/>
    <w:rsid w:val="0027143F"/>
    <w:rsid w:val="00276FE2"/>
    <w:rsid w:val="0027764C"/>
    <w:rsid w:val="002779A5"/>
    <w:rsid w:val="00285D72"/>
    <w:rsid w:val="0029014D"/>
    <w:rsid w:val="00290DF2"/>
    <w:rsid w:val="00293AA5"/>
    <w:rsid w:val="00294017"/>
    <w:rsid w:val="002942F4"/>
    <w:rsid w:val="002965FA"/>
    <w:rsid w:val="00297436"/>
    <w:rsid w:val="002A21CF"/>
    <w:rsid w:val="002A2911"/>
    <w:rsid w:val="002A2C04"/>
    <w:rsid w:val="002A3471"/>
    <w:rsid w:val="002A4C03"/>
    <w:rsid w:val="002A7176"/>
    <w:rsid w:val="002A736F"/>
    <w:rsid w:val="002B1090"/>
    <w:rsid w:val="002B181E"/>
    <w:rsid w:val="002B18C3"/>
    <w:rsid w:val="002B2EC1"/>
    <w:rsid w:val="002B3895"/>
    <w:rsid w:val="002B7D13"/>
    <w:rsid w:val="002C052B"/>
    <w:rsid w:val="002C2E95"/>
    <w:rsid w:val="002C312A"/>
    <w:rsid w:val="002C4F2C"/>
    <w:rsid w:val="002C579E"/>
    <w:rsid w:val="002C6F56"/>
    <w:rsid w:val="002D2450"/>
    <w:rsid w:val="002D3736"/>
    <w:rsid w:val="002D3FC2"/>
    <w:rsid w:val="002D6FC6"/>
    <w:rsid w:val="002D7148"/>
    <w:rsid w:val="002E19BE"/>
    <w:rsid w:val="002E3740"/>
    <w:rsid w:val="002E4609"/>
    <w:rsid w:val="002E4626"/>
    <w:rsid w:val="002E5AA0"/>
    <w:rsid w:val="002E5C0C"/>
    <w:rsid w:val="002F03A6"/>
    <w:rsid w:val="002F3B3D"/>
    <w:rsid w:val="002F3F39"/>
    <w:rsid w:val="002F482A"/>
    <w:rsid w:val="002F5C1A"/>
    <w:rsid w:val="002F6439"/>
    <w:rsid w:val="002F6470"/>
    <w:rsid w:val="002F6DB8"/>
    <w:rsid w:val="002F71E5"/>
    <w:rsid w:val="002F7294"/>
    <w:rsid w:val="003005C4"/>
    <w:rsid w:val="0030210D"/>
    <w:rsid w:val="003027AA"/>
    <w:rsid w:val="003032AB"/>
    <w:rsid w:val="0030787B"/>
    <w:rsid w:val="003103BF"/>
    <w:rsid w:val="003118F7"/>
    <w:rsid w:val="00311BD4"/>
    <w:rsid w:val="003128A1"/>
    <w:rsid w:val="003140C5"/>
    <w:rsid w:val="00314A80"/>
    <w:rsid w:val="003156C7"/>
    <w:rsid w:val="00315809"/>
    <w:rsid w:val="00317A0F"/>
    <w:rsid w:val="00320306"/>
    <w:rsid w:val="00323A68"/>
    <w:rsid w:val="00326746"/>
    <w:rsid w:val="00327896"/>
    <w:rsid w:val="00327BC5"/>
    <w:rsid w:val="00327FAE"/>
    <w:rsid w:val="003308E1"/>
    <w:rsid w:val="00335B57"/>
    <w:rsid w:val="00335F80"/>
    <w:rsid w:val="0033654B"/>
    <w:rsid w:val="003365DC"/>
    <w:rsid w:val="00336961"/>
    <w:rsid w:val="00336B50"/>
    <w:rsid w:val="00337892"/>
    <w:rsid w:val="00343315"/>
    <w:rsid w:val="00344FAD"/>
    <w:rsid w:val="0035445E"/>
    <w:rsid w:val="00354FEE"/>
    <w:rsid w:val="00355143"/>
    <w:rsid w:val="00360589"/>
    <w:rsid w:val="00362363"/>
    <w:rsid w:val="0036267B"/>
    <w:rsid w:val="003665DE"/>
    <w:rsid w:val="0036672D"/>
    <w:rsid w:val="003677EB"/>
    <w:rsid w:val="00370BE7"/>
    <w:rsid w:val="00370C15"/>
    <w:rsid w:val="00371156"/>
    <w:rsid w:val="00371414"/>
    <w:rsid w:val="00374CA3"/>
    <w:rsid w:val="00374DA6"/>
    <w:rsid w:val="00377E1D"/>
    <w:rsid w:val="0038111E"/>
    <w:rsid w:val="00383496"/>
    <w:rsid w:val="00383EA3"/>
    <w:rsid w:val="00385BA0"/>
    <w:rsid w:val="0038769B"/>
    <w:rsid w:val="00387AC2"/>
    <w:rsid w:val="00390B99"/>
    <w:rsid w:val="003912BF"/>
    <w:rsid w:val="0039221D"/>
    <w:rsid w:val="00393A05"/>
    <w:rsid w:val="003944AA"/>
    <w:rsid w:val="00394936"/>
    <w:rsid w:val="00397743"/>
    <w:rsid w:val="003A0971"/>
    <w:rsid w:val="003A367F"/>
    <w:rsid w:val="003A4990"/>
    <w:rsid w:val="003A53B6"/>
    <w:rsid w:val="003A62CB"/>
    <w:rsid w:val="003B0160"/>
    <w:rsid w:val="003B0FA2"/>
    <w:rsid w:val="003B1549"/>
    <w:rsid w:val="003B3550"/>
    <w:rsid w:val="003C1AEB"/>
    <w:rsid w:val="003C1F5B"/>
    <w:rsid w:val="003C344A"/>
    <w:rsid w:val="003C34A3"/>
    <w:rsid w:val="003C37BE"/>
    <w:rsid w:val="003D119F"/>
    <w:rsid w:val="003D19F8"/>
    <w:rsid w:val="003D216E"/>
    <w:rsid w:val="003D2251"/>
    <w:rsid w:val="003D271A"/>
    <w:rsid w:val="003D2815"/>
    <w:rsid w:val="003D286A"/>
    <w:rsid w:val="003D42BC"/>
    <w:rsid w:val="003D47E9"/>
    <w:rsid w:val="003D73BD"/>
    <w:rsid w:val="003E00B2"/>
    <w:rsid w:val="003E0F16"/>
    <w:rsid w:val="003E44E8"/>
    <w:rsid w:val="003E4CAA"/>
    <w:rsid w:val="003E74E7"/>
    <w:rsid w:val="003F0A81"/>
    <w:rsid w:val="003F1E4B"/>
    <w:rsid w:val="003F2EEF"/>
    <w:rsid w:val="003F3524"/>
    <w:rsid w:val="003F4338"/>
    <w:rsid w:val="003F491A"/>
    <w:rsid w:val="00400681"/>
    <w:rsid w:val="00401150"/>
    <w:rsid w:val="00403743"/>
    <w:rsid w:val="004134EC"/>
    <w:rsid w:val="00413DAB"/>
    <w:rsid w:val="00413EB4"/>
    <w:rsid w:val="00414894"/>
    <w:rsid w:val="00415291"/>
    <w:rsid w:val="0042069A"/>
    <w:rsid w:val="00420F8E"/>
    <w:rsid w:val="00426125"/>
    <w:rsid w:val="00431093"/>
    <w:rsid w:val="00431BE6"/>
    <w:rsid w:val="00441285"/>
    <w:rsid w:val="004416E7"/>
    <w:rsid w:val="0044200B"/>
    <w:rsid w:val="00442402"/>
    <w:rsid w:val="0044375A"/>
    <w:rsid w:val="00443EAB"/>
    <w:rsid w:val="00447478"/>
    <w:rsid w:val="00447EDE"/>
    <w:rsid w:val="00455F04"/>
    <w:rsid w:val="004572D9"/>
    <w:rsid w:val="00460BD0"/>
    <w:rsid w:val="00461B6B"/>
    <w:rsid w:val="00462117"/>
    <w:rsid w:val="004623A9"/>
    <w:rsid w:val="00464973"/>
    <w:rsid w:val="00467338"/>
    <w:rsid w:val="00471260"/>
    <w:rsid w:val="00476A21"/>
    <w:rsid w:val="00480FA3"/>
    <w:rsid w:val="0048249F"/>
    <w:rsid w:val="00482B01"/>
    <w:rsid w:val="00490EBB"/>
    <w:rsid w:val="00491435"/>
    <w:rsid w:val="00492307"/>
    <w:rsid w:val="0049306B"/>
    <w:rsid w:val="00493239"/>
    <w:rsid w:val="004A1B09"/>
    <w:rsid w:val="004A1BDA"/>
    <w:rsid w:val="004A3AD5"/>
    <w:rsid w:val="004A3E93"/>
    <w:rsid w:val="004A4E12"/>
    <w:rsid w:val="004A5922"/>
    <w:rsid w:val="004A7A82"/>
    <w:rsid w:val="004B09B5"/>
    <w:rsid w:val="004B0C4A"/>
    <w:rsid w:val="004B295E"/>
    <w:rsid w:val="004B5FDF"/>
    <w:rsid w:val="004C0304"/>
    <w:rsid w:val="004C0A33"/>
    <w:rsid w:val="004C59D0"/>
    <w:rsid w:val="004C788E"/>
    <w:rsid w:val="004D047F"/>
    <w:rsid w:val="004D0F8E"/>
    <w:rsid w:val="004D133A"/>
    <w:rsid w:val="004D1693"/>
    <w:rsid w:val="004D49B9"/>
    <w:rsid w:val="004D51A5"/>
    <w:rsid w:val="004D5425"/>
    <w:rsid w:val="004D6A4F"/>
    <w:rsid w:val="004D6C45"/>
    <w:rsid w:val="004D6D13"/>
    <w:rsid w:val="004E0015"/>
    <w:rsid w:val="004E00B4"/>
    <w:rsid w:val="004E2C17"/>
    <w:rsid w:val="004E4296"/>
    <w:rsid w:val="004E5487"/>
    <w:rsid w:val="004E6A24"/>
    <w:rsid w:val="004F2C52"/>
    <w:rsid w:val="004F327C"/>
    <w:rsid w:val="004F398D"/>
    <w:rsid w:val="004F542F"/>
    <w:rsid w:val="004F5632"/>
    <w:rsid w:val="004F5D53"/>
    <w:rsid w:val="00500F3D"/>
    <w:rsid w:val="00501030"/>
    <w:rsid w:val="00503F5A"/>
    <w:rsid w:val="0050628D"/>
    <w:rsid w:val="00506FDD"/>
    <w:rsid w:val="00510BA5"/>
    <w:rsid w:val="00510BB1"/>
    <w:rsid w:val="005119A1"/>
    <w:rsid w:val="0051285D"/>
    <w:rsid w:val="005139B9"/>
    <w:rsid w:val="005220FD"/>
    <w:rsid w:val="00522804"/>
    <w:rsid w:val="00527FB8"/>
    <w:rsid w:val="005306A0"/>
    <w:rsid w:val="00530D6B"/>
    <w:rsid w:val="0053178B"/>
    <w:rsid w:val="00532277"/>
    <w:rsid w:val="00533B32"/>
    <w:rsid w:val="00535C28"/>
    <w:rsid w:val="005363FD"/>
    <w:rsid w:val="005473E0"/>
    <w:rsid w:val="00552B35"/>
    <w:rsid w:val="00552C33"/>
    <w:rsid w:val="0055379D"/>
    <w:rsid w:val="00554593"/>
    <w:rsid w:val="00555427"/>
    <w:rsid w:val="005601AA"/>
    <w:rsid w:val="00560939"/>
    <w:rsid w:val="00562710"/>
    <w:rsid w:val="0056380A"/>
    <w:rsid w:val="00563EB9"/>
    <w:rsid w:val="00566514"/>
    <w:rsid w:val="00572FC4"/>
    <w:rsid w:val="00573006"/>
    <w:rsid w:val="005744DA"/>
    <w:rsid w:val="0057504A"/>
    <w:rsid w:val="005755F5"/>
    <w:rsid w:val="00575600"/>
    <w:rsid w:val="00575D7F"/>
    <w:rsid w:val="00580B0C"/>
    <w:rsid w:val="00580DAC"/>
    <w:rsid w:val="00581957"/>
    <w:rsid w:val="00583498"/>
    <w:rsid w:val="005841B5"/>
    <w:rsid w:val="005866B4"/>
    <w:rsid w:val="00586FE5"/>
    <w:rsid w:val="00587560"/>
    <w:rsid w:val="005909E8"/>
    <w:rsid w:val="00590E1C"/>
    <w:rsid w:val="005950C1"/>
    <w:rsid w:val="005950DA"/>
    <w:rsid w:val="00595C88"/>
    <w:rsid w:val="005968B8"/>
    <w:rsid w:val="005971D1"/>
    <w:rsid w:val="00597DE7"/>
    <w:rsid w:val="005A00F5"/>
    <w:rsid w:val="005A0B8E"/>
    <w:rsid w:val="005A2582"/>
    <w:rsid w:val="005A280C"/>
    <w:rsid w:val="005A2967"/>
    <w:rsid w:val="005A2DA2"/>
    <w:rsid w:val="005A40C9"/>
    <w:rsid w:val="005A7D1F"/>
    <w:rsid w:val="005B18BC"/>
    <w:rsid w:val="005B18F4"/>
    <w:rsid w:val="005B25A6"/>
    <w:rsid w:val="005B2BFC"/>
    <w:rsid w:val="005B2F80"/>
    <w:rsid w:val="005B588F"/>
    <w:rsid w:val="005B5CCB"/>
    <w:rsid w:val="005B6206"/>
    <w:rsid w:val="005B70E5"/>
    <w:rsid w:val="005B7E92"/>
    <w:rsid w:val="005C1CD5"/>
    <w:rsid w:val="005C2EF4"/>
    <w:rsid w:val="005C36C4"/>
    <w:rsid w:val="005C71F3"/>
    <w:rsid w:val="005C73B2"/>
    <w:rsid w:val="005C79A7"/>
    <w:rsid w:val="005C7E08"/>
    <w:rsid w:val="005D29EA"/>
    <w:rsid w:val="005D4D3F"/>
    <w:rsid w:val="005D79D7"/>
    <w:rsid w:val="005E28BF"/>
    <w:rsid w:val="005E378D"/>
    <w:rsid w:val="005E4226"/>
    <w:rsid w:val="005E48EE"/>
    <w:rsid w:val="005E48F6"/>
    <w:rsid w:val="005E5F0F"/>
    <w:rsid w:val="005E645A"/>
    <w:rsid w:val="005E6A4B"/>
    <w:rsid w:val="005E709D"/>
    <w:rsid w:val="005E7260"/>
    <w:rsid w:val="005F0563"/>
    <w:rsid w:val="005F0B0A"/>
    <w:rsid w:val="005F211A"/>
    <w:rsid w:val="005F2370"/>
    <w:rsid w:val="005F2562"/>
    <w:rsid w:val="005F3F44"/>
    <w:rsid w:val="005F43CC"/>
    <w:rsid w:val="005F53ED"/>
    <w:rsid w:val="00600E3E"/>
    <w:rsid w:val="006024EB"/>
    <w:rsid w:val="006041DD"/>
    <w:rsid w:val="00606DB7"/>
    <w:rsid w:val="006108D1"/>
    <w:rsid w:val="00610A0D"/>
    <w:rsid w:val="006123E1"/>
    <w:rsid w:val="00612E99"/>
    <w:rsid w:val="00617211"/>
    <w:rsid w:val="00617588"/>
    <w:rsid w:val="0061767E"/>
    <w:rsid w:val="00617C5D"/>
    <w:rsid w:val="0062066E"/>
    <w:rsid w:val="00623BD7"/>
    <w:rsid w:val="00623D77"/>
    <w:rsid w:val="006246F0"/>
    <w:rsid w:val="00626F64"/>
    <w:rsid w:val="0062741D"/>
    <w:rsid w:val="00632766"/>
    <w:rsid w:val="006327A0"/>
    <w:rsid w:val="00635BC4"/>
    <w:rsid w:val="00636C57"/>
    <w:rsid w:val="00641511"/>
    <w:rsid w:val="006415D3"/>
    <w:rsid w:val="00643DBE"/>
    <w:rsid w:val="00643DF0"/>
    <w:rsid w:val="00645D88"/>
    <w:rsid w:val="00646B2E"/>
    <w:rsid w:val="00647B8F"/>
    <w:rsid w:val="0065042A"/>
    <w:rsid w:val="00650A5C"/>
    <w:rsid w:val="00650F4B"/>
    <w:rsid w:val="006513C9"/>
    <w:rsid w:val="00652F33"/>
    <w:rsid w:val="006533EA"/>
    <w:rsid w:val="006538AB"/>
    <w:rsid w:val="00654D42"/>
    <w:rsid w:val="00657167"/>
    <w:rsid w:val="00661E79"/>
    <w:rsid w:val="00661E83"/>
    <w:rsid w:val="00662359"/>
    <w:rsid w:val="00662DAF"/>
    <w:rsid w:val="00663960"/>
    <w:rsid w:val="00665D1E"/>
    <w:rsid w:val="006664D2"/>
    <w:rsid w:val="00671872"/>
    <w:rsid w:val="006732B2"/>
    <w:rsid w:val="00673727"/>
    <w:rsid w:val="00674E66"/>
    <w:rsid w:val="0067755C"/>
    <w:rsid w:val="00677DCC"/>
    <w:rsid w:val="006801C1"/>
    <w:rsid w:val="00680CA4"/>
    <w:rsid w:val="00681078"/>
    <w:rsid w:val="0068238E"/>
    <w:rsid w:val="00682442"/>
    <w:rsid w:val="00687645"/>
    <w:rsid w:val="00690284"/>
    <w:rsid w:val="00691B53"/>
    <w:rsid w:val="006946C3"/>
    <w:rsid w:val="0069483A"/>
    <w:rsid w:val="006965EA"/>
    <w:rsid w:val="006967E1"/>
    <w:rsid w:val="006971CE"/>
    <w:rsid w:val="006A6B31"/>
    <w:rsid w:val="006A6C45"/>
    <w:rsid w:val="006A7538"/>
    <w:rsid w:val="006B0C96"/>
    <w:rsid w:val="006B11E8"/>
    <w:rsid w:val="006B12B1"/>
    <w:rsid w:val="006B1439"/>
    <w:rsid w:val="006B5CC0"/>
    <w:rsid w:val="006B65FD"/>
    <w:rsid w:val="006B6D22"/>
    <w:rsid w:val="006B7A78"/>
    <w:rsid w:val="006C092E"/>
    <w:rsid w:val="006C09B5"/>
    <w:rsid w:val="006C6907"/>
    <w:rsid w:val="006C6BE5"/>
    <w:rsid w:val="006C7F40"/>
    <w:rsid w:val="006D5DA1"/>
    <w:rsid w:val="006D6816"/>
    <w:rsid w:val="006E49E3"/>
    <w:rsid w:val="006E4A1F"/>
    <w:rsid w:val="006E5C25"/>
    <w:rsid w:val="006E5D3C"/>
    <w:rsid w:val="006E7C17"/>
    <w:rsid w:val="006E7E24"/>
    <w:rsid w:val="006F0236"/>
    <w:rsid w:val="006F36DF"/>
    <w:rsid w:val="006F3B2D"/>
    <w:rsid w:val="006F60FB"/>
    <w:rsid w:val="0070029C"/>
    <w:rsid w:val="007026BC"/>
    <w:rsid w:val="00702F02"/>
    <w:rsid w:val="0070663D"/>
    <w:rsid w:val="007107E0"/>
    <w:rsid w:val="0071290A"/>
    <w:rsid w:val="007152A5"/>
    <w:rsid w:val="007153A7"/>
    <w:rsid w:val="007155EC"/>
    <w:rsid w:val="00715E35"/>
    <w:rsid w:val="00717F62"/>
    <w:rsid w:val="00720659"/>
    <w:rsid w:val="007209AF"/>
    <w:rsid w:val="00722FF3"/>
    <w:rsid w:val="0072344A"/>
    <w:rsid w:val="00725631"/>
    <w:rsid w:val="00726064"/>
    <w:rsid w:val="007334AE"/>
    <w:rsid w:val="007344D0"/>
    <w:rsid w:val="00734E19"/>
    <w:rsid w:val="00735325"/>
    <w:rsid w:val="00735CA4"/>
    <w:rsid w:val="007372FB"/>
    <w:rsid w:val="00737CC3"/>
    <w:rsid w:val="00737E23"/>
    <w:rsid w:val="0074055E"/>
    <w:rsid w:val="0074129B"/>
    <w:rsid w:val="0074150A"/>
    <w:rsid w:val="0074163F"/>
    <w:rsid w:val="00741864"/>
    <w:rsid w:val="00741AB1"/>
    <w:rsid w:val="00741FB0"/>
    <w:rsid w:val="007461B0"/>
    <w:rsid w:val="00752103"/>
    <w:rsid w:val="00753C9C"/>
    <w:rsid w:val="0075433F"/>
    <w:rsid w:val="007558E4"/>
    <w:rsid w:val="00756A7B"/>
    <w:rsid w:val="00757225"/>
    <w:rsid w:val="00760019"/>
    <w:rsid w:val="007614E3"/>
    <w:rsid w:val="00762C53"/>
    <w:rsid w:val="00762D06"/>
    <w:rsid w:val="00770346"/>
    <w:rsid w:val="007709ED"/>
    <w:rsid w:val="00770CE2"/>
    <w:rsid w:val="007711E8"/>
    <w:rsid w:val="007712EC"/>
    <w:rsid w:val="0077133D"/>
    <w:rsid w:val="007714B2"/>
    <w:rsid w:val="007726E2"/>
    <w:rsid w:val="00776F5D"/>
    <w:rsid w:val="0078038B"/>
    <w:rsid w:val="00781406"/>
    <w:rsid w:val="00781962"/>
    <w:rsid w:val="00785118"/>
    <w:rsid w:val="00791576"/>
    <w:rsid w:val="00792B69"/>
    <w:rsid w:val="0079374E"/>
    <w:rsid w:val="0079476E"/>
    <w:rsid w:val="00794D9F"/>
    <w:rsid w:val="007952CA"/>
    <w:rsid w:val="0079570A"/>
    <w:rsid w:val="00796DE6"/>
    <w:rsid w:val="007A53B4"/>
    <w:rsid w:val="007A796B"/>
    <w:rsid w:val="007B0313"/>
    <w:rsid w:val="007B33CA"/>
    <w:rsid w:val="007B5D19"/>
    <w:rsid w:val="007B6A2B"/>
    <w:rsid w:val="007C085E"/>
    <w:rsid w:val="007C09E0"/>
    <w:rsid w:val="007C2897"/>
    <w:rsid w:val="007C2F36"/>
    <w:rsid w:val="007C4202"/>
    <w:rsid w:val="007C4FBF"/>
    <w:rsid w:val="007C64E4"/>
    <w:rsid w:val="007C6C46"/>
    <w:rsid w:val="007C6C8F"/>
    <w:rsid w:val="007D0A22"/>
    <w:rsid w:val="007D0D64"/>
    <w:rsid w:val="007D2910"/>
    <w:rsid w:val="007D2E8C"/>
    <w:rsid w:val="007D6FEB"/>
    <w:rsid w:val="007D7561"/>
    <w:rsid w:val="007E0D84"/>
    <w:rsid w:val="007E433B"/>
    <w:rsid w:val="007E50A4"/>
    <w:rsid w:val="007E57FE"/>
    <w:rsid w:val="007E64F2"/>
    <w:rsid w:val="007E7CF5"/>
    <w:rsid w:val="007F0B46"/>
    <w:rsid w:val="007F2C80"/>
    <w:rsid w:val="007F31A7"/>
    <w:rsid w:val="007F4CD1"/>
    <w:rsid w:val="007F519C"/>
    <w:rsid w:val="008002FC"/>
    <w:rsid w:val="008035EA"/>
    <w:rsid w:val="008054CA"/>
    <w:rsid w:val="00806E61"/>
    <w:rsid w:val="008101A0"/>
    <w:rsid w:val="00811158"/>
    <w:rsid w:val="008111B2"/>
    <w:rsid w:val="0081591E"/>
    <w:rsid w:val="00815BAE"/>
    <w:rsid w:val="008162D6"/>
    <w:rsid w:val="008174C1"/>
    <w:rsid w:val="008177A3"/>
    <w:rsid w:val="00821505"/>
    <w:rsid w:val="00821872"/>
    <w:rsid w:val="00821FD7"/>
    <w:rsid w:val="00826811"/>
    <w:rsid w:val="0082730E"/>
    <w:rsid w:val="008336D4"/>
    <w:rsid w:val="00835C8A"/>
    <w:rsid w:val="008403F4"/>
    <w:rsid w:val="00843B2F"/>
    <w:rsid w:val="0084765C"/>
    <w:rsid w:val="008503EA"/>
    <w:rsid w:val="008505F7"/>
    <w:rsid w:val="00851EFC"/>
    <w:rsid w:val="00853159"/>
    <w:rsid w:val="00853985"/>
    <w:rsid w:val="00856CE8"/>
    <w:rsid w:val="00856F25"/>
    <w:rsid w:val="008570A1"/>
    <w:rsid w:val="00861AF9"/>
    <w:rsid w:val="00862ECB"/>
    <w:rsid w:val="00863C67"/>
    <w:rsid w:val="008641B0"/>
    <w:rsid w:val="0086597A"/>
    <w:rsid w:val="00865E57"/>
    <w:rsid w:val="008669F6"/>
    <w:rsid w:val="00866E4B"/>
    <w:rsid w:val="00867BE2"/>
    <w:rsid w:val="00871F43"/>
    <w:rsid w:val="0087232C"/>
    <w:rsid w:val="008730C9"/>
    <w:rsid w:val="00873D3D"/>
    <w:rsid w:val="00874CD4"/>
    <w:rsid w:val="0087671A"/>
    <w:rsid w:val="00882BF5"/>
    <w:rsid w:val="00883197"/>
    <w:rsid w:val="00883B04"/>
    <w:rsid w:val="00883FDD"/>
    <w:rsid w:val="0088736F"/>
    <w:rsid w:val="00890723"/>
    <w:rsid w:val="00891528"/>
    <w:rsid w:val="008918AF"/>
    <w:rsid w:val="00892706"/>
    <w:rsid w:val="00897517"/>
    <w:rsid w:val="008A2871"/>
    <w:rsid w:val="008A58C4"/>
    <w:rsid w:val="008A61F5"/>
    <w:rsid w:val="008A7378"/>
    <w:rsid w:val="008B13B4"/>
    <w:rsid w:val="008B25C7"/>
    <w:rsid w:val="008B4EBF"/>
    <w:rsid w:val="008B5A5A"/>
    <w:rsid w:val="008B6E2E"/>
    <w:rsid w:val="008C262A"/>
    <w:rsid w:val="008C61E9"/>
    <w:rsid w:val="008C63FC"/>
    <w:rsid w:val="008D0003"/>
    <w:rsid w:val="008D2FDF"/>
    <w:rsid w:val="008D7398"/>
    <w:rsid w:val="008E0021"/>
    <w:rsid w:val="008E1791"/>
    <w:rsid w:val="008E2140"/>
    <w:rsid w:val="008E2C9E"/>
    <w:rsid w:val="008E411D"/>
    <w:rsid w:val="008E5B03"/>
    <w:rsid w:val="008E78BC"/>
    <w:rsid w:val="008F14C2"/>
    <w:rsid w:val="008F18B8"/>
    <w:rsid w:val="008F43AC"/>
    <w:rsid w:val="008F5A00"/>
    <w:rsid w:val="008F620E"/>
    <w:rsid w:val="008F664A"/>
    <w:rsid w:val="008F6684"/>
    <w:rsid w:val="008F774E"/>
    <w:rsid w:val="00900487"/>
    <w:rsid w:val="009006A8"/>
    <w:rsid w:val="00900BE5"/>
    <w:rsid w:val="009013A5"/>
    <w:rsid w:val="00903FA0"/>
    <w:rsid w:val="0090400F"/>
    <w:rsid w:val="009071A2"/>
    <w:rsid w:val="009100EF"/>
    <w:rsid w:val="0091040B"/>
    <w:rsid w:val="00911F07"/>
    <w:rsid w:val="0091355E"/>
    <w:rsid w:val="0092137B"/>
    <w:rsid w:val="00921C23"/>
    <w:rsid w:val="00923105"/>
    <w:rsid w:val="009238F9"/>
    <w:rsid w:val="00925EB7"/>
    <w:rsid w:val="00931A6D"/>
    <w:rsid w:val="00932155"/>
    <w:rsid w:val="00935EAB"/>
    <w:rsid w:val="0093650E"/>
    <w:rsid w:val="009367EB"/>
    <w:rsid w:val="00937D81"/>
    <w:rsid w:val="00942D51"/>
    <w:rsid w:val="00944652"/>
    <w:rsid w:val="00945415"/>
    <w:rsid w:val="0094624B"/>
    <w:rsid w:val="009465F3"/>
    <w:rsid w:val="00952191"/>
    <w:rsid w:val="00953A31"/>
    <w:rsid w:val="009546BE"/>
    <w:rsid w:val="00960F4C"/>
    <w:rsid w:val="00961349"/>
    <w:rsid w:val="00965E5A"/>
    <w:rsid w:val="0096686E"/>
    <w:rsid w:val="00967E06"/>
    <w:rsid w:val="00971305"/>
    <w:rsid w:val="0097134A"/>
    <w:rsid w:val="0097244C"/>
    <w:rsid w:val="009759FC"/>
    <w:rsid w:val="009774F6"/>
    <w:rsid w:val="009802BC"/>
    <w:rsid w:val="00980EF6"/>
    <w:rsid w:val="00982281"/>
    <w:rsid w:val="009823CC"/>
    <w:rsid w:val="00986BCC"/>
    <w:rsid w:val="009975D1"/>
    <w:rsid w:val="009A40C3"/>
    <w:rsid w:val="009A53F4"/>
    <w:rsid w:val="009A635A"/>
    <w:rsid w:val="009A70BE"/>
    <w:rsid w:val="009A75E8"/>
    <w:rsid w:val="009B301E"/>
    <w:rsid w:val="009B3103"/>
    <w:rsid w:val="009B33E2"/>
    <w:rsid w:val="009B44EE"/>
    <w:rsid w:val="009B6714"/>
    <w:rsid w:val="009C08A9"/>
    <w:rsid w:val="009C1995"/>
    <w:rsid w:val="009C3AB6"/>
    <w:rsid w:val="009C3D18"/>
    <w:rsid w:val="009C3DB0"/>
    <w:rsid w:val="009C4D95"/>
    <w:rsid w:val="009C6BA9"/>
    <w:rsid w:val="009C7413"/>
    <w:rsid w:val="009D087F"/>
    <w:rsid w:val="009D2183"/>
    <w:rsid w:val="009D3195"/>
    <w:rsid w:val="009D42DB"/>
    <w:rsid w:val="009E149B"/>
    <w:rsid w:val="009E1C8C"/>
    <w:rsid w:val="009E54E4"/>
    <w:rsid w:val="009E6801"/>
    <w:rsid w:val="009E6F26"/>
    <w:rsid w:val="009F0CCE"/>
    <w:rsid w:val="009F14A0"/>
    <w:rsid w:val="009F1B8E"/>
    <w:rsid w:val="009F2CBB"/>
    <w:rsid w:val="009F400F"/>
    <w:rsid w:val="009F4325"/>
    <w:rsid w:val="009F44C6"/>
    <w:rsid w:val="009F4F08"/>
    <w:rsid w:val="009F526E"/>
    <w:rsid w:val="009F67D5"/>
    <w:rsid w:val="009F7169"/>
    <w:rsid w:val="00A012F6"/>
    <w:rsid w:val="00A033BC"/>
    <w:rsid w:val="00A049FB"/>
    <w:rsid w:val="00A05C27"/>
    <w:rsid w:val="00A078F0"/>
    <w:rsid w:val="00A079F9"/>
    <w:rsid w:val="00A117A9"/>
    <w:rsid w:val="00A13A3A"/>
    <w:rsid w:val="00A15E31"/>
    <w:rsid w:val="00A212F4"/>
    <w:rsid w:val="00A2263F"/>
    <w:rsid w:val="00A22EFE"/>
    <w:rsid w:val="00A25B5E"/>
    <w:rsid w:val="00A2631B"/>
    <w:rsid w:val="00A26D83"/>
    <w:rsid w:val="00A30DE2"/>
    <w:rsid w:val="00A322A1"/>
    <w:rsid w:val="00A33366"/>
    <w:rsid w:val="00A3394A"/>
    <w:rsid w:val="00A34240"/>
    <w:rsid w:val="00A40304"/>
    <w:rsid w:val="00A40F4E"/>
    <w:rsid w:val="00A416B7"/>
    <w:rsid w:val="00A42F7D"/>
    <w:rsid w:val="00A46978"/>
    <w:rsid w:val="00A472A4"/>
    <w:rsid w:val="00A4734B"/>
    <w:rsid w:val="00A505C4"/>
    <w:rsid w:val="00A50BA8"/>
    <w:rsid w:val="00A5562A"/>
    <w:rsid w:val="00A56F15"/>
    <w:rsid w:val="00A67019"/>
    <w:rsid w:val="00A67F27"/>
    <w:rsid w:val="00A7054F"/>
    <w:rsid w:val="00A7056B"/>
    <w:rsid w:val="00A7195B"/>
    <w:rsid w:val="00A75163"/>
    <w:rsid w:val="00A77A8D"/>
    <w:rsid w:val="00A77BFA"/>
    <w:rsid w:val="00A802C2"/>
    <w:rsid w:val="00A81C48"/>
    <w:rsid w:val="00A837E1"/>
    <w:rsid w:val="00A85975"/>
    <w:rsid w:val="00A90003"/>
    <w:rsid w:val="00A93A91"/>
    <w:rsid w:val="00AA1E69"/>
    <w:rsid w:val="00AA25CF"/>
    <w:rsid w:val="00AA280E"/>
    <w:rsid w:val="00AA305F"/>
    <w:rsid w:val="00AA49B8"/>
    <w:rsid w:val="00AA54F6"/>
    <w:rsid w:val="00AA68E7"/>
    <w:rsid w:val="00AA7620"/>
    <w:rsid w:val="00AA78AB"/>
    <w:rsid w:val="00AB00BE"/>
    <w:rsid w:val="00AB336B"/>
    <w:rsid w:val="00AB6336"/>
    <w:rsid w:val="00AB6495"/>
    <w:rsid w:val="00AB6E1B"/>
    <w:rsid w:val="00AC2072"/>
    <w:rsid w:val="00AC3166"/>
    <w:rsid w:val="00AD2157"/>
    <w:rsid w:val="00AD39A5"/>
    <w:rsid w:val="00AD3E14"/>
    <w:rsid w:val="00AD4C27"/>
    <w:rsid w:val="00AD5826"/>
    <w:rsid w:val="00AD6AFA"/>
    <w:rsid w:val="00AE1283"/>
    <w:rsid w:val="00AE286F"/>
    <w:rsid w:val="00AE3811"/>
    <w:rsid w:val="00AE53A5"/>
    <w:rsid w:val="00AE5BF9"/>
    <w:rsid w:val="00AE5E64"/>
    <w:rsid w:val="00AF074F"/>
    <w:rsid w:val="00AF0CA1"/>
    <w:rsid w:val="00AF0DEC"/>
    <w:rsid w:val="00AF0F8C"/>
    <w:rsid w:val="00AF13D6"/>
    <w:rsid w:val="00AF51F8"/>
    <w:rsid w:val="00AF6101"/>
    <w:rsid w:val="00B0043B"/>
    <w:rsid w:val="00B01086"/>
    <w:rsid w:val="00B01BAD"/>
    <w:rsid w:val="00B03C13"/>
    <w:rsid w:val="00B06586"/>
    <w:rsid w:val="00B12787"/>
    <w:rsid w:val="00B16CE9"/>
    <w:rsid w:val="00B233E0"/>
    <w:rsid w:val="00B25578"/>
    <w:rsid w:val="00B26BD1"/>
    <w:rsid w:val="00B30180"/>
    <w:rsid w:val="00B305A1"/>
    <w:rsid w:val="00B334FF"/>
    <w:rsid w:val="00B34AA5"/>
    <w:rsid w:val="00B34B08"/>
    <w:rsid w:val="00B35B24"/>
    <w:rsid w:val="00B37312"/>
    <w:rsid w:val="00B4200B"/>
    <w:rsid w:val="00B5331B"/>
    <w:rsid w:val="00B53A9A"/>
    <w:rsid w:val="00B53F68"/>
    <w:rsid w:val="00B542AA"/>
    <w:rsid w:val="00B54F3C"/>
    <w:rsid w:val="00B60AF8"/>
    <w:rsid w:val="00B62E34"/>
    <w:rsid w:val="00B63554"/>
    <w:rsid w:val="00B6588D"/>
    <w:rsid w:val="00B67E54"/>
    <w:rsid w:val="00B70113"/>
    <w:rsid w:val="00B71663"/>
    <w:rsid w:val="00B72993"/>
    <w:rsid w:val="00B72B84"/>
    <w:rsid w:val="00B734ED"/>
    <w:rsid w:val="00B73889"/>
    <w:rsid w:val="00B76A53"/>
    <w:rsid w:val="00B7715B"/>
    <w:rsid w:val="00B800CA"/>
    <w:rsid w:val="00B82E6D"/>
    <w:rsid w:val="00B8463C"/>
    <w:rsid w:val="00B8500B"/>
    <w:rsid w:val="00B85108"/>
    <w:rsid w:val="00B878D5"/>
    <w:rsid w:val="00B90270"/>
    <w:rsid w:val="00B90836"/>
    <w:rsid w:val="00B93D05"/>
    <w:rsid w:val="00B95203"/>
    <w:rsid w:val="00BA1A52"/>
    <w:rsid w:val="00BA249A"/>
    <w:rsid w:val="00BA2C1B"/>
    <w:rsid w:val="00BA3EF9"/>
    <w:rsid w:val="00BA6AD1"/>
    <w:rsid w:val="00BA7568"/>
    <w:rsid w:val="00BB0F4B"/>
    <w:rsid w:val="00BB141A"/>
    <w:rsid w:val="00BB418B"/>
    <w:rsid w:val="00BB5DE5"/>
    <w:rsid w:val="00BB61A4"/>
    <w:rsid w:val="00BB7B23"/>
    <w:rsid w:val="00BC1826"/>
    <w:rsid w:val="00BC35BE"/>
    <w:rsid w:val="00BC3639"/>
    <w:rsid w:val="00BC3681"/>
    <w:rsid w:val="00BC692F"/>
    <w:rsid w:val="00BC6CCD"/>
    <w:rsid w:val="00BC7A10"/>
    <w:rsid w:val="00BD171A"/>
    <w:rsid w:val="00BD1F06"/>
    <w:rsid w:val="00BD2308"/>
    <w:rsid w:val="00BD26FA"/>
    <w:rsid w:val="00BD2DE1"/>
    <w:rsid w:val="00BE29D1"/>
    <w:rsid w:val="00BE2D8D"/>
    <w:rsid w:val="00BE4341"/>
    <w:rsid w:val="00BE74FC"/>
    <w:rsid w:val="00BF2D86"/>
    <w:rsid w:val="00BF39AA"/>
    <w:rsid w:val="00BF4BDB"/>
    <w:rsid w:val="00C0176A"/>
    <w:rsid w:val="00C021DE"/>
    <w:rsid w:val="00C0308B"/>
    <w:rsid w:val="00C035DF"/>
    <w:rsid w:val="00C102D2"/>
    <w:rsid w:val="00C10435"/>
    <w:rsid w:val="00C11425"/>
    <w:rsid w:val="00C11AE3"/>
    <w:rsid w:val="00C13DD6"/>
    <w:rsid w:val="00C1420C"/>
    <w:rsid w:val="00C16B1F"/>
    <w:rsid w:val="00C21B99"/>
    <w:rsid w:val="00C22374"/>
    <w:rsid w:val="00C2301F"/>
    <w:rsid w:val="00C23082"/>
    <w:rsid w:val="00C24D82"/>
    <w:rsid w:val="00C262BC"/>
    <w:rsid w:val="00C31E82"/>
    <w:rsid w:val="00C332E7"/>
    <w:rsid w:val="00C360D5"/>
    <w:rsid w:val="00C37001"/>
    <w:rsid w:val="00C41B65"/>
    <w:rsid w:val="00C43841"/>
    <w:rsid w:val="00C43C78"/>
    <w:rsid w:val="00C43E49"/>
    <w:rsid w:val="00C44C86"/>
    <w:rsid w:val="00C47779"/>
    <w:rsid w:val="00C51A08"/>
    <w:rsid w:val="00C52908"/>
    <w:rsid w:val="00C530FB"/>
    <w:rsid w:val="00C53707"/>
    <w:rsid w:val="00C5448B"/>
    <w:rsid w:val="00C5462C"/>
    <w:rsid w:val="00C60C5C"/>
    <w:rsid w:val="00C60C98"/>
    <w:rsid w:val="00C61205"/>
    <w:rsid w:val="00C61D6D"/>
    <w:rsid w:val="00C65C27"/>
    <w:rsid w:val="00C673FB"/>
    <w:rsid w:val="00C67F7A"/>
    <w:rsid w:val="00C7615A"/>
    <w:rsid w:val="00C775F9"/>
    <w:rsid w:val="00C803FD"/>
    <w:rsid w:val="00C819A3"/>
    <w:rsid w:val="00C94936"/>
    <w:rsid w:val="00CA057A"/>
    <w:rsid w:val="00CA3183"/>
    <w:rsid w:val="00CA38FF"/>
    <w:rsid w:val="00CA5320"/>
    <w:rsid w:val="00CA5725"/>
    <w:rsid w:val="00CA70AD"/>
    <w:rsid w:val="00CA7A95"/>
    <w:rsid w:val="00CB45CA"/>
    <w:rsid w:val="00CB47B5"/>
    <w:rsid w:val="00CB745F"/>
    <w:rsid w:val="00CC061C"/>
    <w:rsid w:val="00CC45A7"/>
    <w:rsid w:val="00CC55F4"/>
    <w:rsid w:val="00CC6313"/>
    <w:rsid w:val="00CC73FF"/>
    <w:rsid w:val="00CD12A4"/>
    <w:rsid w:val="00CD135B"/>
    <w:rsid w:val="00CD169D"/>
    <w:rsid w:val="00CD302A"/>
    <w:rsid w:val="00CD30BC"/>
    <w:rsid w:val="00CD35E5"/>
    <w:rsid w:val="00CD4734"/>
    <w:rsid w:val="00CD7AB0"/>
    <w:rsid w:val="00CE0CE3"/>
    <w:rsid w:val="00CE24F7"/>
    <w:rsid w:val="00CE3E8B"/>
    <w:rsid w:val="00CE5653"/>
    <w:rsid w:val="00CF4A62"/>
    <w:rsid w:val="00CF59A9"/>
    <w:rsid w:val="00CF65BE"/>
    <w:rsid w:val="00CF6F94"/>
    <w:rsid w:val="00D009A0"/>
    <w:rsid w:val="00D00E4A"/>
    <w:rsid w:val="00D01B83"/>
    <w:rsid w:val="00D026CA"/>
    <w:rsid w:val="00D06300"/>
    <w:rsid w:val="00D07526"/>
    <w:rsid w:val="00D077F4"/>
    <w:rsid w:val="00D14583"/>
    <w:rsid w:val="00D164F6"/>
    <w:rsid w:val="00D17B48"/>
    <w:rsid w:val="00D20D5E"/>
    <w:rsid w:val="00D21FEE"/>
    <w:rsid w:val="00D23CDF"/>
    <w:rsid w:val="00D26D3D"/>
    <w:rsid w:val="00D27814"/>
    <w:rsid w:val="00D30690"/>
    <w:rsid w:val="00D3379C"/>
    <w:rsid w:val="00D33E68"/>
    <w:rsid w:val="00D344E6"/>
    <w:rsid w:val="00D40044"/>
    <w:rsid w:val="00D420A5"/>
    <w:rsid w:val="00D425C3"/>
    <w:rsid w:val="00D442D4"/>
    <w:rsid w:val="00D444B8"/>
    <w:rsid w:val="00D47657"/>
    <w:rsid w:val="00D47915"/>
    <w:rsid w:val="00D47E0C"/>
    <w:rsid w:val="00D54C6B"/>
    <w:rsid w:val="00D560F8"/>
    <w:rsid w:val="00D56515"/>
    <w:rsid w:val="00D605E0"/>
    <w:rsid w:val="00D60CE8"/>
    <w:rsid w:val="00D629B1"/>
    <w:rsid w:val="00D6326B"/>
    <w:rsid w:val="00D63CD9"/>
    <w:rsid w:val="00D63CDD"/>
    <w:rsid w:val="00D67E7D"/>
    <w:rsid w:val="00D7057E"/>
    <w:rsid w:val="00D710A0"/>
    <w:rsid w:val="00D71182"/>
    <w:rsid w:val="00D73664"/>
    <w:rsid w:val="00D754BD"/>
    <w:rsid w:val="00D755B8"/>
    <w:rsid w:val="00D76114"/>
    <w:rsid w:val="00D77619"/>
    <w:rsid w:val="00D77B88"/>
    <w:rsid w:val="00D77CF4"/>
    <w:rsid w:val="00D80429"/>
    <w:rsid w:val="00D8160B"/>
    <w:rsid w:val="00D81B49"/>
    <w:rsid w:val="00D81DF3"/>
    <w:rsid w:val="00D83770"/>
    <w:rsid w:val="00D845AA"/>
    <w:rsid w:val="00D846FC"/>
    <w:rsid w:val="00D8485C"/>
    <w:rsid w:val="00D84969"/>
    <w:rsid w:val="00D8703F"/>
    <w:rsid w:val="00D87CF2"/>
    <w:rsid w:val="00D91870"/>
    <w:rsid w:val="00D925F3"/>
    <w:rsid w:val="00D94B00"/>
    <w:rsid w:val="00D9608F"/>
    <w:rsid w:val="00D97602"/>
    <w:rsid w:val="00DA0526"/>
    <w:rsid w:val="00DA1696"/>
    <w:rsid w:val="00DA2146"/>
    <w:rsid w:val="00DA22A9"/>
    <w:rsid w:val="00DA2991"/>
    <w:rsid w:val="00DA5D65"/>
    <w:rsid w:val="00DA63F0"/>
    <w:rsid w:val="00DA72A5"/>
    <w:rsid w:val="00DB0C3D"/>
    <w:rsid w:val="00DB0C4F"/>
    <w:rsid w:val="00DB15DA"/>
    <w:rsid w:val="00DB1E88"/>
    <w:rsid w:val="00DB2166"/>
    <w:rsid w:val="00DB2E32"/>
    <w:rsid w:val="00DB372E"/>
    <w:rsid w:val="00DB39C3"/>
    <w:rsid w:val="00DB3BCA"/>
    <w:rsid w:val="00DB4495"/>
    <w:rsid w:val="00DC1F9C"/>
    <w:rsid w:val="00DC5606"/>
    <w:rsid w:val="00DC67A3"/>
    <w:rsid w:val="00DD2C81"/>
    <w:rsid w:val="00DD3711"/>
    <w:rsid w:val="00DD4E5B"/>
    <w:rsid w:val="00DD6B56"/>
    <w:rsid w:val="00DE179D"/>
    <w:rsid w:val="00DE18A9"/>
    <w:rsid w:val="00DE1C12"/>
    <w:rsid w:val="00DE38F9"/>
    <w:rsid w:val="00DE5A42"/>
    <w:rsid w:val="00DF02DB"/>
    <w:rsid w:val="00DF2F83"/>
    <w:rsid w:val="00DF519B"/>
    <w:rsid w:val="00E033FF"/>
    <w:rsid w:val="00E05CFB"/>
    <w:rsid w:val="00E068DB"/>
    <w:rsid w:val="00E06F61"/>
    <w:rsid w:val="00E104C4"/>
    <w:rsid w:val="00E11C38"/>
    <w:rsid w:val="00E12004"/>
    <w:rsid w:val="00E13377"/>
    <w:rsid w:val="00E13CB7"/>
    <w:rsid w:val="00E1477B"/>
    <w:rsid w:val="00E16292"/>
    <w:rsid w:val="00E2420B"/>
    <w:rsid w:val="00E24AC9"/>
    <w:rsid w:val="00E2538C"/>
    <w:rsid w:val="00E26D5A"/>
    <w:rsid w:val="00E27823"/>
    <w:rsid w:val="00E27E11"/>
    <w:rsid w:val="00E30D50"/>
    <w:rsid w:val="00E31B89"/>
    <w:rsid w:val="00E36728"/>
    <w:rsid w:val="00E36ED1"/>
    <w:rsid w:val="00E37EC1"/>
    <w:rsid w:val="00E4117F"/>
    <w:rsid w:val="00E42155"/>
    <w:rsid w:val="00E42CE6"/>
    <w:rsid w:val="00E4480D"/>
    <w:rsid w:val="00E449CE"/>
    <w:rsid w:val="00E44BF6"/>
    <w:rsid w:val="00E4680A"/>
    <w:rsid w:val="00E46FAC"/>
    <w:rsid w:val="00E52AD4"/>
    <w:rsid w:val="00E54BA0"/>
    <w:rsid w:val="00E572A2"/>
    <w:rsid w:val="00E5796D"/>
    <w:rsid w:val="00E61E68"/>
    <w:rsid w:val="00E625ED"/>
    <w:rsid w:val="00E62978"/>
    <w:rsid w:val="00E633FE"/>
    <w:rsid w:val="00E6371E"/>
    <w:rsid w:val="00E63D38"/>
    <w:rsid w:val="00E64737"/>
    <w:rsid w:val="00E657FB"/>
    <w:rsid w:val="00E66A61"/>
    <w:rsid w:val="00E66BD1"/>
    <w:rsid w:val="00E67A52"/>
    <w:rsid w:val="00E733C4"/>
    <w:rsid w:val="00E80D57"/>
    <w:rsid w:val="00E84A88"/>
    <w:rsid w:val="00E86AA4"/>
    <w:rsid w:val="00E92F3C"/>
    <w:rsid w:val="00E92FBC"/>
    <w:rsid w:val="00E944F9"/>
    <w:rsid w:val="00E94E87"/>
    <w:rsid w:val="00E966FC"/>
    <w:rsid w:val="00E97F8A"/>
    <w:rsid w:val="00EA3A2A"/>
    <w:rsid w:val="00EA3F69"/>
    <w:rsid w:val="00EA5309"/>
    <w:rsid w:val="00EA6BEE"/>
    <w:rsid w:val="00EA71DD"/>
    <w:rsid w:val="00EB3FB3"/>
    <w:rsid w:val="00EB744C"/>
    <w:rsid w:val="00EC1E28"/>
    <w:rsid w:val="00EC2B72"/>
    <w:rsid w:val="00EC379A"/>
    <w:rsid w:val="00EC4CE7"/>
    <w:rsid w:val="00EC537B"/>
    <w:rsid w:val="00EC7BFA"/>
    <w:rsid w:val="00ED1459"/>
    <w:rsid w:val="00ED18B0"/>
    <w:rsid w:val="00ED3BA2"/>
    <w:rsid w:val="00ED5C7A"/>
    <w:rsid w:val="00ED5E49"/>
    <w:rsid w:val="00EE084F"/>
    <w:rsid w:val="00EE1F24"/>
    <w:rsid w:val="00EE5E54"/>
    <w:rsid w:val="00EE6D1F"/>
    <w:rsid w:val="00EF3081"/>
    <w:rsid w:val="00EF6801"/>
    <w:rsid w:val="00F009F3"/>
    <w:rsid w:val="00F0110A"/>
    <w:rsid w:val="00F0221E"/>
    <w:rsid w:val="00F023D9"/>
    <w:rsid w:val="00F0323E"/>
    <w:rsid w:val="00F03946"/>
    <w:rsid w:val="00F05A8F"/>
    <w:rsid w:val="00F05DA7"/>
    <w:rsid w:val="00F0746A"/>
    <w:rsid w:val="00F07EBD"/>
    <w:rsid w:val="00F07F73"/>
    <w:rsid w:val="00F15AF4"/>
    <w:rsid w:val="00F17F46"/>
    <w:rsid w:val="00F21A67"/>
    <w:rsid w:val="00F23D93"/>
    <w:rsid w:val="00F248B2"/>
    <w:rsid w:val="00F30891"/>
    <w:rsid w:val="00F317D2"/>
    <w:rsid w:val="00F3291C"/>
    <w:rsid w:val="00F32943"/>
    <w:rsid w:val="00F32FA1"/>
    <w:rsid w:val="00F36CA5"/>
    <w:rsid w:val="00F36F22"/>
    <w:rsid w:val="00F4073D"/>
    <w:rsid w:val="00F463FC"/>
    <w:rsid w:val="00F5183A"/>
    <w:rsid w:val="00F51AC3"/>
    <w:rsid w:val="00F52D4E"/>
    <w:rsid w:val="00F53C37"/>
    <w:rsid w:val="00F53FFC"/>
    <w:rsid w:val="00F54243"/>
    <w:rsid w:val="00F553FC"/>
    <w:rsid w:val="00F5721C"/>
    <w:rsid w:val="00F62A9C"/>
    <w:rsid w:val="00F6474C"/>
    <w:rsid w:val="00F64E14"/>
    <w:rsid w:val="00F728C7"/>
    <w:rsid w:val="00F74063"/>
    <w:rsid w:val="00F74102"/>
    <w:rsid w:val="00F76862"/>
    <w:rsid w:val="00F769EC"/>
    <w:rsid w:val="00F77BC2"/>
    <w:rsid w:val="00F80479"/>
    <w:rsid w:val="00F81D3A"/>
    <w:rsid w:val="00F83434"/>
    <w:rsid w:val="00F84D25"/>
    <w:rsid w:val="00F871A6"/>
    <w:rsid w:val="00F87BC1"/>
    <w:rsid w:val="00F87D7C"/>
    <w:rsid w:val="00F90495"/>
    <w:rsid w:val="00F90B92"/>
    <w:rsid w:val="00F911C3"/>
    <w:rsid w:val="00F9193F"/>
    <w:rsid w:val="00F91A03"/>
    <w:rsid w:val="00F92782"/>
    <w:rsid w:val="00F945C8"/>
    <w:rsid w:val="00F948D3"/>
    <w:rsid w:val="00FA159B"/>
    <w:rsid w:val="00FA26A8"/>
    <w:rsid w:val="00FA3E87"/>
    <w:rsid w:val="00FA4C8F"/>
    <w:rsid w:val="00FA7BB0"/>
    <w:rsid w:val="00FB4BC0"/>
    <w:rsid w:val="00FC03CE"/>
    <w:rsid w:val="00FC11EB"/>
    <w:rsid w:val="00FC4134"/>
    <w:rsid w:val="00FC4864"/>
    <w:rsid w:val="00FC5C69"/>
    <w:rsid w:val="00FC6343"/>
    <w:rsid w:val="00FC75A6"/>
    <w:rsid w:val="00FD038E"/>
    <w:rsid w:val="00FD0AA4"/>
    <w:rsid w:val="00FD0DE4"/>
    <w:rsid w:val="00FD28B5"/>
    <w:rsid w:val="00FD3266"/>
    <w:rsid w:val="00FE16FE"/>
    <w:rsid w:val="00FE3162"/>
    <w:rsid w:val="00FE71EF"/>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note text" w:uiPriority="99" w:qFormat="1"/>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qFormat/>
    <w:pPr>
      <w:keepNext/>
      <w:spacing w:line="360" w:lineRule="auto"/>
      <w:jc w:val="both"/>
      <w:outlineLvl w:val="1"/>
    </w:pPr>
    <w:rPr>
      <w:rFonts w:ascii="Arial Narrow" w:hAnsi="Arial Narrow"/>
      <w:b/>
      <w:sz w:val="24"/>
    </w:rPr>
  </w:style>
  <w:style w:type="paragraph" w:styleId="Titre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pPr>
      <w:tabs>
        <w:tab w:val="center" w:pos="4419"/>
        <w:tab w:val="right" w:pos="8838"/>
      </w:tabs>
    </w:pPr>
  </w:style>
  <w:style w:type="paragraph" w:styleId="Pieddepage">
    <w:name w:val="footer"/>
    <w:aliases w:val="aaPie de página,Pie de página Car Car"/>
    <w:basedOn w:val="Normal"/>
    <w:link w:val="PieddepageCar"/>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
    <w:basedOn w:val="Normal"/>
    <w:link w:val="NotedebasdepageCar"/>
    <w:uiPriority w:val="99"/>
    <w:qFormat/>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qFormat/>
    <w:rPr>
      <w:rFonts w:cs="Times New Roman"/>
      <w:vertAlign w:val="superscript"/>
    </w:rPr>
  </w:style>
  <w:style w:type="paragraph" w:styleId="Retraitcorpsdetexte">
    <w:name w:val="Body Text Indent"/>
    <w:basedOn w:val="Normal"/>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link w:val="Corpsdetex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uiPriority w:val="99"/>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CorpsdetexteCar">
    <w:name w:val="Corps de texte Car"/>
    <w:link w:val="Corpsdetex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depageCar">
    <w:name w:val="Pied de page Car"/>
    <w:aliases w:val="aaPie de página Car,Pie de página Car Car Car"/>
    <w:link w:val="Pieddepage"/>
    <w:rsid w:val="00EA3A2A"/>
  </w:style>
  <w:style w:type="character" w:customStyle="1" w:styleId="Corpsdetexte3Car">
    <w:name w:val="Corps de texte 3 Car"/>
    <w:link w:val="Corpsdetex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edebulles">
    <w:name w:val="Balloon Text"/>
    <w:basedOn w:val="Normal"/>
    <w:link w:val="TextedebullesCar"/>
    <w:rsid w:val="001E079F"/>
    <w:rPr>
      <w:rFonts w:ascii="Segoe UI" w:hAnsi="Segoe UI" w:cs="Segoe UI"/>
      <w:sz w:val="18"/>
      <w:szCs w:val="18"/>
    </w:rPr>
  </w:style>
  <w:style w:type="character" w:customStyle="1" w:styleId="TextedebullesCar">
    <w:name w:val="Texte de bulles Car"/>
    <w:link w:val="Textedebulles"/>
    <w:rsid w:val="001E079F"/>
    <w:rPr>
      <w:rFonts w:ascii="Segoe UI" w:hAnsi="Segoe UI" w:cs="Segoe UI"/>
      <w:sz w:val="18"/>
      <w:szCs w:val="18"/>
    </w:rPr>
  </w:style>
  <w:style w:type="paragraph" w:customStyle="1" w:styleId="Sinespaciado2">
    <w:name w:val="Sin espaciado2"/>
    <w:rsid w:val="001A4B2C"/>
    <w:rPr>
      <w:sz w:val="24"/>
      <w:szCs w:val="24"/>
      <w:lang w:val="es-ES" w:eastAsia="es-ES"/>
    </w:rPr>
  </w:style>
  <w:style w:type="character" w:styleId="Lienhypertexte">
    <w:name w:val="Hyperlink"/>
    <w:uiPriority w:val="99"/>
    <w:rsid w:val="001A4B2C"/>
    <w:rPr>
      <w:color w:val="0000FF"/>
      <w:u w:val="single"/>
    </w:rPr>
  </w:style>
  <w:style w:type="paragraph" w:customStyle="1" w:styleId="NormalCSJ">
    <w:name w:val="Normal CSJ"/>
    <w:basedOn w:val="Normal"/>
    <w:link w:val="NormalCSJCar"/>
    <w:qFormat/>
    <w:rsid w:val="001A4B2C"/>
    <w:pPr>
      <w:overflowPunct/>
      <w:autoSpaceDE/>
      <w:autoSpaceDN/>
      <w:adjustRightInd/>
      <w:spacing w:line="360" w:lineRule="auto"/>
      <w:ind w:firstLine="709"/>
      <w:jc w:val="both"/>
      <w:textAlignment w:val="auto"/>
    </w:pPr>
    <w:rPr>
      <w:rFonts w:ascii="Bookman Old Style" w:eastAsia="Calibri" w:hAnsi="Bookman Old Style"/>
      <w:sz w:val="28"/>
      <w:szCs w:val="28"/>
    </w:rPr>
  </w:style>
  <w:style w:type="character" w:customStyle="1" w:styleId="NormalCSJCar">
    <w:name w:val="Normal CSJ Car"/>
    <w:link w:val="NormalCSJ"/>
    <w:rsid w:val="001A4B2C"/>
    <w:rPr>
      <w:rFonts w:ascii="Bookman Old Style" w:eastAsia="Calibri" w:hAnsi="Bookman Old Style"/>
      <w:sz w:val="28"/>
      <w:szCs w:val="28"/>
      <w:lang w:val="es-ES" w:eastAsia="es-ES"/>
    </w:rPr>
  </w:style>
  <w:style w:type="paragraph" w:customStyle="1" w:styleId="normal1">
    <w:name w:val="normal1"/>
    <w:basedOn w:val="Normal"/>
    <w:rsid w:val="00121D97"/>
    <w:pPr>
      <w:overflowPunct/>
      <w:autoSpaceDE/>
      <w:autoSpaceDN/>
      <w:adjustRightInd/>
      <w:spacing w:before="100" w:beforeAutospacing="1" w:after="100" w:afterAutospacing="1"/>
      <w:textAlignment w:val="auto"/>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note text" w:uiPriority="99" w:qFormat="1"/>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qFormat/>
    <w:pPr>
      <w:keepNext/>
      <w:spacing w:line="360" w:lineRule="auto"/>
      <w:jc w:val="both"/>
      <w:outlineLvl w:val="1"/>
    </w:pPr>
    <w:rPr>
      <w:rFonts w:ascii="Arial Narrow" w:hAnsi="Arial Narrow"/>
      <w:b/>
      <w:sz w:val="24"/>
    </w:rPr>
  </w:style>
  <w:style w:type="paragraph" w:styleId="Titre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pPr>
      <w:tabs>
        <w:tab w:val="center" w:pos="4419"/>
        <w:tab w:val="right" w:pos="8838"/>
      </w:tabs>
    </w:pPr>
  </w:style>
  <w:style w:type="paragraph" w:styleId="Pieddepage">
    <w:name w:val="footer"/>
    <w:aliases w:val="aaPie de página,Pie de página Car Car"/>
    <w:basedOn w:val="Normal"/>
    <w:link w:val="PieddepageCar"/>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
    <w:basedOn w:val="Normal"/>
    <w:link w:val="NotedebasdepageCar"/>
    <w:uiPriority w:val="99"/>
    <w:qFormat/>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qFormat/>
    <w:rPr>
      <w:rFonts w:cs="Times New Roman"/>
      <w:vertAlign w:val="superscript"/>
    </w:rPr>
  </w:style>
  <w:style w:type="paragraph" w:styleId="Retraitcorpsdetexte">
    <w:name w:val="Body Text Indent"/>
    <w:basedOn w:val="Normal"/>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link w:val="Corpsdetex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uiPriority w:val="99"/>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CorpsdetexteCar">
    <w:name w:val="Corps de texte Car"/>
    <w:link w:val="Corpsdetex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depageCar">
    <w:name w:val="Pied de page Car"/>
    <w:aliases w:val="aaPie de página Car,Pie de página Car Car Car"/>
    <w:link w:val="Pieddepage"/>
    <w:rsid w:val="00EA3A2A"/>
  </w:style>
  <w:style w:type="character" w:customStyle="1" w:styleId="Corpsdetexte3Car">
    <w:name w:val="Corps de texte 3 Car"/>
    <w:link w:val="Corpsdetex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edebulles">
    <w:name w:val="Balloon Text"/>
    <w:basedOn w:val="Normal"/>
    <w:link w:val="TextedebullesCar"/>
    <w:rsid w:val="001E079F"/>
    <w:rPr>
      <w:rFonts w:ascii="Segoe UI" w:hAnsi="Segoe UI" w:cs="Segoe UI"/>
      <w:sz w:val="18"/>
      <w:szCs w:val="18"/>
    </w:rPr>
  </w:style>
  <w:style w:type="character" w:customStyle="1" w:styleId="TextedebullesCar">
    <w:name w:val="Texte de bulles Car"/>
    <w:link w:val="Textedebulles"/>
    <w:rsid w:val="001E079F"/>
    <w:rPr>
      <w:rFonts w:ascii="Segoe UI" w:hAnsi="Segoe UI" w:cs="Segoe UI"/>
      <w:sz w:val="18"/>
      <w:szCs w:val="18"/>
    </w:rPr>
  </w:style>
  <w:style w:type="paragraph" w:customStyle="1" w:styleId="Sinespaciado2">
    <w:name w:val="Sin espaciado2"/>
    <w:rsid w:val="001A4B2C"/>
    <w:rPr>
      <w:sz w:val="24"/>
      <w:szCs w:val="24"/>
      <w:lang w:val="es-ES" w:eastAsia="es-ES"/>
    </w:rPr>
  </w:style>
  <w:style w:type="character" w:styleId="Lienhypertexte">
    <w:name w:val="Hyperlink"/>
    <w:uiPriority w:val="99"/>
    <w:rsid w:val="001A4B2C"/>
    <w:rPr>
      <w:color w:val="0000FF"/>
      <w:u w:val="single"/>
    </w:rPr>
  </w:style>
  <w:style w:type="paragraph" w:customStyle="1" w:styleId="NormalCSJ">
    <w:name w:val="Normal CSJ"/>
    <w:basedOn w:val="Normal"/>
    <w:link w:val="NormalCSJCar"/>
    <w:qFormat/>
    <w:rsid w:val="001A4B2C"/>
    <w:pPr>
      <w:overflowPunct/>
      <w:autoSpaceDE/>
      <w:autoSpaceDN/>
      <w:adjustRightInd/>
      <w:spacing w:line="360" w:lineRule="auto"/>
      <w:ind w:firstLine="709"/>
      <w:jc w:val="both"/>
      <w:textAlignment w:val="auto"/>
    </w:pPr>
    <w:rPr>
      <w:rFonts w:ascii="Bookman Old Style" w:eastAsia="Calibri" w:hAnsi="Bookman Old Style"/>
      <w:sz w:val="28"/>
      <w:szCs w:val="28"/>
    </w:rPr>
  </w:style>
  <w:style w:type="character" w:customStyle="1" w:styleId="NormalCSJCar">
    <w:name w:val="Normal CSJ Car"/>
    <w:link w:val="NormalCSJ"/>
    <w:rsid w:val="001A4B2C"/>
    <w:rPr>
      <w:rFonts w:ascii="Bookman Old Style" w:eastAsia="Calibri" w:hAnsi="Bookman Old Style"/>
      <w:sz w:val="28"/>
      <w:szCs w:val="28"/>
      <w:lang w:val="es-ES" w:eastAsia="es-ES"/>
    </w:rPr>
  </w:style>
  <w:style w:type="paragraph" w:customStyle="1" w:styleId="normal1">
    <w:name w:val="normal1"/>
    <w:basedOn w:val="Normal"/>
    <w:rsid w:val="00121D97"/>
    <w:pPr>
      <w:overflowPunct/>
      <w:autoSpaceDE/>
      <w:autoSpaceDN/>
      <w:adjustRightInd/>
      <w:spacing w:before="100" w:beforeAutospacing="1" w:after="100" w:afterAutospacing="1"/>
      <w:textAlignment w:val="auto"/>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499">
      <w:bodyDiv w:val="1"/>
      <w:marLeft w:val="0"/>
      <w:marRight w:val="0"/>
      <w:marTop w:val="0"/>
      <w:marBottom w:val="0"/>
      <w:divBdr>
        <w:top w:val="none" w:sz="0" w:space="0" w:color="auto"/>
        <w:left w:val="none" w:sz="0" w:space="0" w:color="auto"/>
        <w:bottom w:val="none" w:sz="0" w:space="0" w:color="auto"/>
        <w:right w:val="none" w:sz="0" w:space="0" w:color="auto"/>
      </w:divBdr>
    </w:div>
    <w:div w:id="120265603">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393360030">
      <w:bodyDiv w:val="1"/>
      <w:marLeft w:val="0"/>
      <w:marRight w:val="0"/>
      <w:marTop w:val="0"/>
      <w:marBottom w:val="0"/>
      <w:divBdr>
        <w:top w:val="none" w:sz="0" w:space="0" w:color="auto"/>
        <w:left w:val="none" w:sz="0" w:space="0" w:color="auto"/>
        <w:bottom w:val="none" w:sz="0" w:space="0" w:color="auto"/>
        <w:right w:val="none" w:sz="0" w:space="0" w:color="auto"/>
      </w:divBdr>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534926045">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816920210">
      <w:bodyDiv w:val="1"/>
      <w:marLeft w:val="0"/>
      <w:marRight w:val="0"/>
      <w:marTop w:val="0"/>
      <w:marBottom w:val="0"/>
      <w:divBdr>
        <w:top w:val="none" w:sz="0" w:space="0" w:color="auto"/>
        <w:left w:val="none" w:sz="0" w:space="0" w:color="auto"/>
        <w:bottom w:val="none" w:sz="0" w:space="0" w:color="auto"/>
        <w:right w:val="none" w:sz="0" w:space="0" w:color="auto"/>
      </w:divBdr>
    </w:div>
    <w:div w:id="10787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teconstitucional.gov.co/relatoria/2015/T-667-1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econstitucional.gov.co/relatoria/2015/T-667-15.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rteconstitucional.gov.co/relatoria/2015/T-667-15.htm" TargetMode="External"/><Relationship Id="rId4" Type="http://schemas.microsoft.com/office/2007/relationships/stylesWithEffects" Target="stylesWithEffects.xml"/><Relationship Id="rId9" Type="http://schemas.openxmlformats.org/officeDocument/2006/relationships/hyperlink" Target="http://www.corteconstitucional.gov.co/relatoria/2015/T-667-15.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5BE9-C636-41BE-A5FE-72AE4D49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4292</Words>
  <Characters>23609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27846</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Malucimedina</cp:lastModifiedBy>
  <cp:revision>8</cp:revision>
  <cp:lastPrinted>2018-02-22T13:10:00Z</cp:lastPrinted>
  <dcterms:created xsi:type="dcterms:W3CDTF">2018-02-19T17:07:00Z</dcterms:created>
  <dcterms:modified xsi:type="dcterms:W3CDTF">2018-03-12T14:23:00Z</dcterms:modified>
</cp:coreProperties>
</file>