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E4" w:rsidRPr="001230F9" w:rsidRDefault="003B40E4" w:rsidP="003B40E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cs="Calibri"/>
          <w:color w:val="FF0000"/>
          <w:spacing w:val="-8"/>
          <w:sz w:val="18"/>
          <w:szCs w:val="16"/>
          <w:lang w:val="es-CO" w:eastAsia="fr-FR"/>
        </w:rPr>
      </w:pPr>
      <w:r w:rsidRPr="001230F9">
        <w:rPr>
          <w:rFonts w:cs="Calibri"/>
          <w:color w:val="FF0000"/>
          <w:spacing w:val="-8"/>
          <w:sz w:val="18"/>
          <w:szCs w:val="16"/>
          <w:lang w:val="es-CO" w:eastAsia="fr-FR"/>
        </w:rPr>
        <w:t>El siguiente es el documento presentado por el Magistrado Ponente que sirvió de base para proferir la providencia dentro del presente proceso.</w:t>
      </w:r>
    </w:p>
    <w:p w:rsidR="003B40E4" w:rsidRPr="001230F9" w:rsidRDefault="003B40E4" w:rsidP="003B40E4">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0"/>
          <w:szCs w:val="18"/>
          <w:lang w:val="es-CO" w:eastAsia="fr-FR"/>
        </w:rPr>
      </w:pPr>
      <w:r w:rsidRPr="001230F9">
        <w:rPr>
          <w:rFonts w:cs="Calibri"/>
          <w:color w:val="FF0000"/>
          <w:sz w:val="18"/>
          <w:szCs w:val="16"/>
          <w:lang w:val="es-CO" w:eastAsia="fr-FR"/>
        </w:rPr>
        <w:t>El contenido total y fiel de la decisión debe ser verificado en la Secretaría de esta Sala.</w:t>
      </w:r>
    </w:p>
    <w:p w:rsidR="003B40E4" w:rsidRPr="009B5975" w:rsidRDefault="003B40E4" w:rsidP="003B40E4">
      <w:pPr>
        <w:shd w:val="clear" w:color="auto" w:fill="FFFFFF"/>
        <w:spacing w:after="0" w:line="240" w:lineRule="auto"/>
        <w:ind w:left="1843" w:hanging="1843"/>
        <w:jc w:val="both"/>
        <w:rPr>
          <w:rFonts w:eastAsia="Times New Roman" w:cs="Calibri"/>
          <w:color w:val="222222"/>
          <w:sz w:val="18"/>
          <w:szCs w:val="18"/>
          <w:lang w:val="es-CO" w:eastAsia="fr-FR"/>
        </w:rPr>
      </w:pPr>
      <w:r w:rsidRPr="009B5975">
        <w:rPr>
          <w:rFonts w:eastAsia="Times New Roman" w:cs="Calibri"/>
          <w:color w:val="222222"/>
          <w:sz w:val="18"/>
          <w:szCs w:val="18"/>
          <w:lang w:val="es-CO" w:eastAsia="fr-FR"/>
        </w:rPr>
        <w:t>Providenci</w:t>
      </w:r>
      <w:r>
        <w:rPr>
          <w:rFonts w:eastAsia="Times New Roman" w:cs="Calibri"/>
          <w:color w:val="222222"/>
          <w:sz w:val="18"/>
          <w:szCs w:val="18"/>
          <w:lang w:val="es-CO" w:eastAsia="fr-FR"/>
        </w:rPr>
        <w:t>a:</w:t>
      </w:r>
      <w:r>
        <w:rPr>
          <w:rFonts w:eastAsia="Times New Roman" w:cs="Calibri"/>
          <w:color w:val="222222"/>
          <w:sz w:val="18"/>
          <w:szCs w:val="18"/>
          <w:lang w:val="es-CO" w:eastAsia="fr-FR"/>
        </w:rPr>
        <w:tab/>
        <w:t xml:space="preserve">Sentencia  – 1ª instancia – </w:t>
      </w:r>
      <w:r>
        <w:rPr>
          <w:rFonts w:eastAsia="Times New Roman" w:cs="Calibri"/>
          <w:color w:val="222222"/>
          <w:sz w:val="18"/>
          <w:szCs w:val="18"/>
          <w:lang w:val="es-CO" w:eastAsia="fr-FR"/>
        </w:rPr>
        <w:t>22</w:t>
      </w:r>
      <w:r w:rsidRPr="009B5975">
        <w:rPr>
          <w:rFonts w:eastAsia="Times New Roman" w:cs="Calibri"/>
          <w:color w:val="222222"/>
          <w:sz w:val="18"/>
          <w:szCs w:val="18"/>
          <w:lang w:val="es-CO" w:eastAsia="fr-FR"/>
        </w:rPr>
        <w:t xml:space="preserve"> de </w:t>
      </w:r>
      <w:r>
        <w:rPr>
          <w:rFonts w:eastAsia="Times New Roman" w:cs="Calibri"/>
          <w:color w:val="222222"/>
          <w:sz w:val="18"/>
          <w:szCs w:val="18"/>
          <w:lang w:val="es-CO" w:eastAsia="fr-FR"/>
        </w:rPr>
        <w:t>marzo</w:t>
      </w:r>
      <w:r w:rsidRPr="009B5975">
        <w:rPr>
          <w:rFonts w:eastAsia="Times New Roman" w:cs="Calibri"/>
          <w:color w:val="222222"/>
          <w:sz w:val="18"/>
          <w:szCs w:val="18"/>
          <w:lang w:val="es-CO" w:eastAsia="fr-FR"/>
        </w:rPr>
        <w:t xml:space="preserve"> de 2018</w:t>
      </w:r>
    </w:p>
    <w:p w:rsidR="003B40E4" w:rsidRPr="009B5975" w:rsidRDefault="003B40E4" w:rsidP="003B40E4">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9B5975">
        <w:rPr>
          <w:rFonts w:cs="Calibri"/>
          <w:color w:val="222222"/>
          <w:sz w:val="18"/>
          <w:szCs w:val="18"/>
          <w:lang w:val="es-CO" w:eastAsia="fr-FR"/>
        </w:rPr>
        <w:t>Proceso:</w:t>
      </w:r>
      <w:r w:rsidRPr="009B5975">
        <w:rPr>
          <w:rFonts w:cs="Calibri"/>
          <w:color w:val="222222"/>
          <w:sz w:val="18"/>
          <w:szCs w:val="18"/>
          <w:lang w:val="es-CO" w:eastAsia="fr-FR"/>
        </w:rPr>
        <w:tab/>
        <w:t>Acción de</w:t>
      </w:r>
      <w:r>
        <w:rPr>
          <w:rFonts w:cs="Calibri"/>
          <w:color w:val="222222"/>
          <w:sz w:val="18"/>
          <w:szCs w:val="18"/>
          <w:lang w:val="es-CO" w:eastAsia="fr-FR"/>
        </w:rPr>
        <w:t xml:space="preserve"> Tutela – </w:t>
      </w:r>
      <w:r>
        <w:rPr>
          <w:rFonts w:cs="Calibri"/>
          <w:color w:val="222222"/>
          <w:sz w:val="18"/>
          <w:szCs w:val="18"/>
          <w:lang w:val="es-CO" w:eastAsia="fr-FR"/>
        </w:rPr>
        <w:t>Niega</w:t>
      </w:r>
    </w:p>
    <w:p w:rsidR="003B40E4" w:rsidRPr="009B5975" w:rsidRDefault="003B40E4" w:rsidP="003B40E4">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lang w:eastAsia="fr-FR"/>
        </w:rPr>
      </w:pPr>
      <w:r w:rsidRPr="009B5975">
        <w:rPr>
          <w:rFonts w:cs="Calibri"/>
          <w:color w:val="222222"/>
          <w:sz w:val="18"/>
          <w:szCs w:val="18"/>
          <w:lang w:val="es-CO" w:eastAsia="fr-FR"/>
        </w:rPr>
        <w:t>Radicación Nro. :</w:t>
      </w:r>
      <w:r w:rsidRPr="009B5975">
        <w:rPr>
          <w:rFonts w:cs="Calibri"/>
          <w:color w:val="222222"/>
          <w:sz w:val="18"/>
          <w:szCs w:val="18"/>
          <w:lang w:val="es-CO" w:eastAsia="fr-FR"/>
        </w:rPr>
        <w:tab/>
      </w:r>
      <w:r w:rsidRPr="009B5975">
        <w:rPr>
          <w:rFonts w:cs="Calibri"/>
          <w:color w:val="222222"/>
          <w:sz w:val="18"/>
          <w:szCs w:val="18"/>
          <w:lang w:val="es-CO" w:eastAsia="fr-FR"/>
        </w:rPr>
        <w:tab/>
        <w:t xml:space="preserve"> </w:t>
      </w:r>
      <w:r w:rsidRPr="003B40E4">
        <w:rPr>
          <w:rFonts w:cs="Calibri"/>
          <w:bCs/>
          <w:iCs/>
          <w:color w:val="222222"/>
          <w:sz w:val="18"/>
          <w:szCs w:val="18"/>
          <w:lang w:eastAsia="fr-FR"/>
        </w:rPr>
        <w:t>66001-22-13-000-2018-00063-00</w:t>
      </w:r>
    </w:p>
    <w:p w:rsidR="003B40E4" w:rsidRPr="009B5975" w:rsidRDefault="003B40E4" w:rsidP="003B40E4">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u w:val="double"/>
          <w:lang w:eastAsia="fr-FR"/>
        </w:rPr>
      </w:pPr>
      <w:r w:rsidRPr="009B5975">
        <w:rPr>
          <w:rFonts w:cs="Calibri"/>
          <w:bCs/>
          <w:iCs/>
          <w:color w:val="222222"/>
          <w:sz w:val="18"/>
          <w:szCs w:val="18"/>
          <w:lang w:eastAsia="fr-FR"/>
        </w:rPr>
        <w:t xml:space="preserve">Accionante: </w:t>
      </w:r>
      <w:r w:rsidRPr="009B5975">
        <w:rPr>
          <w:rFonts w:cs="Calibri"/>
          <w:bCs/>
          <w:iCs/>
          <w:color w:val="222222"/>
          <w:sz w:val="18"/>
          <w:szCs w:val="18"/>
          <w:lang w:eastAsia="fr-FR"/>
        </w:rPr>
        <w:tab/>
      </w:r>
      <w:r w:rsidRPr="009B5975">
        <w:rPr>
          <w:rFonts w:cs="Calibri"/>
          <w:bCs/>
          <w:iCs/>
          <w:color w:val="222222"/>
          <w:sz w:val="18"/>
          <w:szCs w:val="18"/>
          <w:lang w:eastAsia="fr-FR"/>
        </w:rPr>
        <w:tab/>
      </w:r>
      <w:r w:rsidRPr="009B5975">
        <w:rPr>
          <w:rFonts w:cs="Calibri"/>
          <w:bCs/>
          <w:iCs/>
          <w:color w:val="222222"/>
          <w:sz w:val="18"/>
          <w:szCs w:val="18"/>
          <w:lang w:eastAsia="fr-FR"/>
        </w:rPr>
        <w:tab/>
        <w:t xml:space="preserve">JAVIER ELÍAS ARIAS </w:t>
      </w:r>
      <w:proofErr w:type="spellStart"/>
      <w:r w:rsidRPr="009B5975">
        <w:rPr>
          <w:rFonts w:cs="Calibri"/>
          <w:bCs/>
          <w:iCs/>
          <w:color w:val="222222"/>
          <w:sz w:val="18"/>
          <w:szCs w:val="18"/>
          <w:lang w:eastAsia="fr-FR"/>
        </w:rPr>
        <w:t>IDÁRRAGA</w:t>
      </w:r>
      <w:proofErr w:type="spellEnd"/>
    </w:p>
    <w:p w:rsidR="003B40E4" w:rsidRPr="009B5975" w:rsidRDefault="003B40E4" w:rsidP="003B40E4">
      <w:pPr>
        <w:shd w:val="clear" w:color="auto" w:fill="FFFFFF"/>
        <w:tabs>
          <w:tab w:val="left" w:pos="1790"/>
          <w:tab w:val="left" w:pos="1816"/>
          <w:tab w:val="left" w:pos="1843"/>
          <w:tab w:val="left" w:pos="4755"/>
        </w:tabs>
        <w:spacing w:after="0" w:line="240" w:lineRule="auto"/>
        <w:ind w:left="1843" w:hanging="1843"/>
        <w:jc w:val="both"/>
        <w:rPr>
          <w:rFonts w:cs="Calibri"/>
          <w:color w:val="222222"/>
          <w:spacing w:val="-6"/>
          <w:sz w:val="18"/>
          <w:szCs w:val="18"/>
          <w:lang w:val="es-ES_tradnl" w:eastAsia="fr-FR"/>
        </w:rPr>
      </w:pPr>
      <w:r w:rsidRPr="009B5975">
        <w:rPr>
          <w:rFonts w:cs="Calibri"/>
          <w:color w:val="222222"/>
          <w:sz w:val="18"/>
          <w:szCs w:val="18"/>
          <w:lang w:val="es-CO" w:eastAsia="fr-FR"/>
        </w:rPr>
        <w:t>Accionado:</w:t>
      </w:r>
      <w:r w:rsidRPr="009B5975">
        <w:rPr>
          <w:rFonts w:cs="Calibri"/>
          <w:color w:val="222222"/>
          <w:sz w:val="18"/>
          <w:szCs w:val="18"/>
          <w:lang w:val="es-CO" w:eastAsia="fr-FR"/>
        </w:rPr>
        <w:tab/>
        <w:t xml:space="preserve"> </w:t>
      </w:r>
      <w:r w:rsidRPr="009B5975">
        <w:rPr>
          <w:rFonts w:cs="Calibri"/>
          <w:bCs/>
          <w:iCs/>
          <w:color w:val="222222"/>
          <w:sz w:val="18"/>
          <w:szCs w:val="18"/>
          <w:lang w:eastAsia="fr-FR"/>
        </w:rPr>
        <w:t xml:space="preserve">JUZGADO CIVIL DEL CIRCUITO </w:t>
      </w:r>
      <w:r>
        <w:rPr>
          <w:rFonts w:cs="Calibri"/>
          <w:bCs/>
          <w:iCs/>
          <w:color w:val="222222"/>
          <w:sz w:val="18"/>
          <w:szCs w:val="18"/>
          <w:lang w:eastAsia="fr-FR"/>
        </w:rPr>
        <w:t>SANTA ROSA DE CABAL</w:t>
      </w:r>
      <w:r w:rsidRPr="009B5975">
        <w:rPr>
          <w:rFonts w:cs="Calibri"/>
          <w:bCs/>
          <w:iCs/>
          <w:color w:val="222222"/>
          <w:sz w:val="18"/>
          <w:szCs w:val="18"/>
          <w:lang w:eastAsia="fr-FR"/>
        </w:rPr>
        <w:t xml:space="preserve"> Y OTROS</w:t>
      </w:r>
    </w:p>
    <w:p w:rsidR="003B40E4" w:rsidRPr="009B5975" w:rsidRDefault="003B40E4" w:rsidP="003B40E4">
      <w:pPr>
        <w:shd w:val="clear" w:color="auto" w:fill="FFFFFF"/>
        <w:tabs>
          <w:tab w:val="left" w:pos="1790"/>
          <w:tab w:val="left" w:pos="1816"/>
          <w:tab w:val="left" w:pos="1843"/>
          <w:tab w:val="left" w:pos="4755"/>
        </w:tabs>
        <w:spacing w:after="0" w:line="240" w:lineRule="auto"/>
        <w:ind w:left="1843" w:hanging="1843"/>
        <w:jc w:val="both"/>
        <w:rPr>
          <w:rFonts w:cs="Calibri"/>
          <w:bCs/>
          <w:iCs/>
          <w:color w:val="222222"/>
          <w:sz w:val="18"/>
          <w:szCs w:val="18"/>
          <w:lang w:val="es-CO" w:eastAsia="fr-FR"/>
        </w:rPr>
      </w:pPr>
      <w:r w:rsidRPr="009B5975">
        <w:rPr>
          <w:rFonts w:cs="Calibri"/>
          <w:color w:val="222222"/>
          <w:sz w:val="18"/>
          <w:szCs w:val="18"/>
          <w:lang w:val="es-CO" w:eastAsia="fr-FR"/>
        </w:rPr>
        <w:t xml:space="preserve">Magistrado Ponente: </w:t>
      </w:r>
      <w:r w:rsidRPr="009B5975">
        <w:rPr>
          <w:rFonts w:cs="Calibri"/>
          <w:color w:val="222222"/>
          <w:sz w:val="18"/>
          <w:szCs w:val="18"/>
          <w:lang w:val="es-CO" w:eastAsia="fr-FR"/>
        </w:rPr>
        <w:tab/>
        <w:t xml:space="preserve">  </w:t>
      </w:r>
      <w:r w:rsidRPr="009B5975">
        <w:rPr>
          <w:rFonts w:cs="Calibri"/>
          <w:bCs/>
          <w:iCs/>
          <w:color w:val="222222"/>
          <w:sz w:val="18"/>
          <w:szCs w:val="18"/>
          <w:lang w:val="es-CO" w:eastAsia="fr-FR"/>
        </w:rPr>
        <w:t>JAIME ALBERTO SARAZA NARANJO</w:t>
      </w:r>
    </w:p>
    <w:p w:rsidR="003B40E4" w:rsidRPr="009B5975" w:rsidRDefault="003B40E4" w:rsidP="003B40E4">
      <w:pPr>
        <w:shd w:val="clear" w:color="auto" w:fill="FFFFFF"/>
        <w:tabs>
          <w:tab w:val="left" w:pos="1843"/>
          <w:tab w:val="left" w:pos="4755"/>
        </w:tabs>
        <w:spacing w:after="0" w:line="240" w:lineRule="auto"/>
        <w:ind w:left="1843" w:hanging="1843"/>
        <w:jc w:val="both"/>
        <w:rPr>
          <w:rFonts w:ascii="Times New Roman" w:hAnsi="Times New Roman"/>
          <w:sz w:val="16"/>
          <w:szCs w:val="16"/>
          <w:lang w:val="es-CO" w:eastAsia="fr-FR"/>
        </w:rPr>
      </w:pPr>
    </w:p>
    <w:p w:rsidR="003B40E4" w:rsidRPr="003B40E4" w:rsidRDefault="003B40E4" w:rsidP="003B40E4">
      <w:pPr>
        <w:tabs>
          <w:tab w:val="left" w:pos="1843"/>
          <w:tab w:val="left" w:pos="2432"/>
        </w:tabs>
        <w:spacing w:after="0" w:line="240" w:lineRule="auto"/>
        <w:jc w:val="both"/>
        <w:rPr>
          <w:rFonts w:cs="Calibri"/>
          <w:bCs/>
          <w:iCs/>
          <w:color w:val="222222"/>
          <w:sz w:val="18"/>
          <w:szCs w:val="18"/>
          <w:lang w:val="es-419" w:eastAsia="fr-FR"/>
        </w:rPr>
      </w:pPr>
      <w:r w:rsidRPr="009B5975">
        <w:rPr>
          <w:rFonts w:cs="Calibri"/>
          <w:b/>
          <w:bCs/>
          <w:iCs/>
          <w:color w:val="222222"/>
          <w:sz w:val="18"/>
          <w:szCs w:val="18"/>
          <w:lang w:val="es-CO" w:eastAsia="fr-FR"/>
        </w:rPr>
        <w:t xml:space="preserve">Temas: </w:t>
      </w:r>
      <w:r w:rsidRPr="009B5975">
        <w:rPr>
          <w:rFonts w:cs="Calibri"/>
          <w:b/>
          <w:bCs/>
          <w:iCs/>
          <w:color w:val="222222"/>
          <w:sz w:val="18"/>
          <w:szCs w:val="18"/>
          <w:lang w:val="es-CO" w:eastAsia="fr-FR"/>
        </w:rPr>
        <w:tab/>
        <w:t xml:space="preserve">DEBIDO PROCESO / TUTELA CONTRA PROVIDENCIA JUDICIAL / </w:t>
      </w:r>
      <w:r>
        <w:rPr>
          <w:rFonts w:cs="Calibri"/>
          <w:b/>
          <w:bCs/>
          <w:iCs/>
          <w:color w:val="222222"/>
          <w:sz w:val="18"/>
          <w:szCs w:val="18"/>
          <w:lang w:val="es-CO" w:eastAsia="fr-FR"/>
        </w:rPr>
        <w:t>VENCIMIENTO TÉRMINOS ACCIÓN POPULAR / DECISIÓN JUDICIAL  NO FUE ARBITRARIA / INEXISTENCIA DE DEFECTO SUSTANTIVO</w:t>
      </w:r>
      <w:r>
        <w:rPr>
          <w:rFonts w:cs="Calibri"/>
          <w:b/>
          <w:bCs/>
          <w:iCs/>
          <w:color w:val="222222"/>
          <w:sz w:val="18"/>
          <w:szCs w:val="18"/>
          <w:lang w:val="es-CO" w:eastAsia="fr-FR"/>
        </w:rPr>
        <w:t xml:space="preserve"> /</w:t>
      </w:r>
      <w:r w:rsidRPr="009B5975">
        <w:rPr>
          <w:rFonts w:cs="Calibri"/>
          <w:b/>
          <w:bCs/>
          <w:iCs/>
          <w:color w:val="222222"/>
          <w:sz w:val="18"/>
          <w:szCs w:val="18"/>
          <w:lang w:val="es-CO" w:eastAsia="fr-FR"/>
        </w:rPr>
        <w:t xml:space="preserve"> </w:t>
      </w:r>
      <w:r>
        <w:rPr>
          <w:rFonts w:cs="Calibri"/>
          <w:b/>
          <w:bCs/>
          <w:iCs/>
          <w:color w:val="222222"/>
          <w:sz w:val="18"/>
          <w:szCs w:val="18"/>
          <w:lang w:val="es-CO" w:eastAsia="fr-FR"/>
        </w:rPr>
        <w:t>NIEGA</w:t>
      </w:r>
      <w:r w:rsidRPr="009B5975">
        <w:rPr>
          <w:rFonts w:cs="Calibri"/>
          <w:b/>
          <w:bCs/>
          <w:iCs/>
          <w:color w:val="222222"/>
          <w:sz w:val="18"/>
          <w:szCs w:val="18"/>
          <w:lang w:val="es-CO" w:eastAsia="fr-FR"/>
        </w:rPr>
        <w:t>.</w:t>
      </w:r>
      <w:r w:rsidRPr="009B5975">
        <w:rPr>
          <w:rFonts w:cs="Calibri"/>
          <w:bCs/>
          <w:iCs/>
          <w:color w:val="222222"/>
          <w:sz w:val="18"/>
          <w:szCs w:val="18"/>
          <w:lang w:val="es-419" w:eastAsia="fr-FR"/>
        </w:rPr>
        <w:t xml:space="preserve"> </w:t>
      </w:r>
      <w:r w:rsidRPr="003B40E4">
        <w:rPr>
          <w:rFonts w:cs="Calibri"/>
          <w:bCs/>
          <w:iCs/>
          <w:color w:val="222222"/>
          <w:sz w:val="18"/>
          <w:szCs w:val="18"/>
          <w:lang w:val="es-419" w:eastAsia="fr-FR"/>
        </w:rPr>
        <w:t xml:space="preserve">A pesar de las explicaciones que blande el accionante, no hay criterios constitucionales que permitan deducir el resquebrajamiento de los derechos fundamentales invocados. En efecto, como se observa, la queja del actor deviene de la intelección que la funcionaria ofreció en torno a sus solicitudes relacionadas con la aplicación del artículo 121 el Código General del Proceso  (págs. 42 y 46 del cd – f. 12), en las que sustentó con claridad su impertinencia en una acción de esta estirpe, además de haber considerado que “no han vencido los términos de los que habla el artículo 121 del Código General del Proceso” lo que resulta coherente con lo sucedido en </w:t>
      </w:r>
      <w:bookmarkStart w:id="0" w:name="_GoBack"/>
      <w:bookmarkEnd w:id="0"/>
      <w:r w:rsidRPr="003B40E4">
        <w:rPr>
          <w:rFonts w:cs="Calibri"/>
          <w:bCs/>
          <w:iCs/>
          <w:color w:val="222222"/>
          <w:sz w:val="18"/>
          <w:szCs w:val="18"/>
          <w:lang w:val="es-419" w:eastAsia="fr-FR"/>
        </w:rPr>
        <w:t>aquel proceso en el que, a causa de la nulidad decretada por esta colegiatura el 30 de noviembre de 2017, se inició de nuevo, parte del trámite de la notificación.</w:t>
      </w:r>
    </w:p>
    <w:p w:rsidR="003B40E4" w:rsidRDefault="003B40E4" w:rsidP="003B40E4">
      <w:pPr>
        <w:tabs>
          <w:tab w:val="left" w:pos="1843"/>
          <w:tab w:val="left" w:pos="2432"/>
        </w:tabs>
        <w:spacing w:after="0" w:line="240" w:lineRule="auto"/>
        <w:jc w:val="both"/>
        <w:rPr>
          <w:rFonts w:cs="Calibri"/>
          <w:bCs/>
          <w:iCs/>
          <w:color w:val="222222"/>
          <w:sz w:val="18"/>
          <w:szCs w:val="18"/>
          <w:lang w:val="es-419" w:eastAsia="fr-FR"/>
        </w:rPr>
      </w:pPr>
      <w:r w:rsidRPr="003B40E4">
        <w:rPr>
          <w:rFonts w:cs="Calibri"/>
          <w:bCs/>
          <w:iCs/>
          <w:color w:val="222222"/>
          <w:sz w:val="18"/>
          <w:szCs w:val="18"/>
          <w:lang w:val="es-419" w:eastAsia="fr-FR"/>
        </w:rPr>
        <w:t>Esas resoluciones del Juzgado, por sí solas, son insuficientes para trasgredir los derechos del demandante, porque el razonamiento de la funcionaria de la causa, por más discutible que le parezca, y aun si pudiera admitir otras posiciones, no lleva inserta tal vulneración, que es lo que por esta vía se puede proteger. Apoyada en criterio jurisprudencial sobre la materia y precedida de argumentos en torno a la naturaleza  de la acción popular, nada de arbitrario o antojadizo se advierte en sus decisiones, con lo que al juez de tutela le está vedado intervenir</w:t>
      </w:r>
      <w:r w:rsidRPr="009B5975">
        <w:rPr>
          <w:rFonts w:cs="Calibri"/>
          <w:bCs/>
          <w:iCs/>
          <w:color w:val="222222"/>
          <w:sz w:val="18"/>
          <w:szCs w:val="18"/>
          <w:lang w:val="es-419" w:eastAsia="fr-FR"/>
        </w:rPr>
        <w:t xml:space="preserve">. </w:t>
      </w:r>
    </w:p>
    <w:p w:rsidR="003B40E4" w:rsidRDefault="003B40E4" w:rsidP="003B40E4">
      <w:pPr>
        <w:tabs>
          <w:tab w:val="left" w:pos="1843"/>
          <w:tab w:val="left" w:pos="2432"/>
        </w:tabs>
        <w:spacing w:after="0" w:line="240" w:lineRule="auto"/>
        <w:jc w:val="both"/>
        <w:rPr>
          <w:rFonts w:cs="Calibri"/>
          <w:bCs/>
          <w:iCs/>
          <w:color w:val="222222"/>
          <w:sz w:val="18"/>
          <w:szCs w:val="18"/>
          <w:lang w:val="es-419" w:eastAsia="fr-FR"/>
        </w:rPr>
      </w:pPr>
    </w:p>
    <w:p w:rsidR="003B40E4" w:rsidRDefault="003B40E4" w:rsidP="00004C19">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r w:rsidRPr="00063B82">
        <w:rPr>
          <w:rFonts w:ascii="Gadugi" w:eastAsia="Times New Roman" w:hAnsi="Gadugi"/>
          <w:b/>
          <w:sz w:val="24"/>
          <w:szCs w:val="24"/>
          <w:lang w:eastAsia="es-ES"/>
        </w:rPr>
        <w:t xml:space="preserve">TRIBUNAL SUPERIOR DEL DISTRITO JUDICIAL </w:t>
      </w: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r w:rsidRPr="00063B82">
        <w:rPr>
          <w:rFonts w:ascii="Gadugi" w:eastAsia="Times New Roman" w:hAnsi="Gadugi"/>
          <w:b/>
          <w:sz w:val="24"/>
          <w:szCs w:val="24"/>
          <w:lang w:eastAsia="es-ES"/>
        </w:rPr>
        <w:t xml:space="preserve">           SALA DE DECISIÓN CIVIL FAMILIA </w:t>
      </w: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063B82">
        <w:rPr>
          <w:rFonts w:ascii="Gadugi" w:eastAsia="Times New Roman" w:hAnsi="Gadugi"/>
          <w:sz w:val="24"/>
          <w:szCs w:val="24"/>
          <w:lang w:eastAsia="es-ES"/>
        </w:rPr>
        <w:t>Magistrado: Jaime Alberto Saraza Naranjo</w:t>
      </w:r>
    </w:p>
    <w:p w:rsidR="000B015F" w:rsidRPr="00D80E38" w:rsidRDefault="000B015F" w:rsidP="00004C19">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val="es-419" w:eastAsia="es-ES"/>
        </w:rPr>
      </w:pPr>
      <w:r w:rsidRPr="0090057C">
        <w:rPr>
          <w:rFonts w:ascii="Gadugi" w:eastAsia="Times New Roman" w:hAnsi="Gadugi"/>
          <w:sz w:val="24"/>
          <w:szCs w:val="24"/>
          <w:lang w:eastAsia="es-ES"/>
        </w:rPr>
        <w:t xml:space="preserve">Pereira, </w:t>
      </w:r>
      <w:r w:rsidR="007224E7">
        <w:rPr>
          <w:rFonts w:ascii="Gadugi" w:eastAsia="Times New Roman" w:hAnsi="Gadugi"/>
          <w:sz w:val="24"/>
          <w:szCs w:val="24"/>
          <w:lang w:val="es-419" w:eastAsia="es-ES"/>
        </w:rPr>
        <w:t xml:space="preserve"> </w:t>
      </w:r>
      <w:r w:rsidR="00D04132">
        <w:rPr>
          <w:rFonts w:ascii="Gadugi" w:eastAsia="Times New Roman" w:hAnsi="Gadugi"/>
          <w:sz w:val="24"/>
          <w:szCs w:val="24"/>
          <w:lang w:val="es-419" w:eastAsia="es-ES"/>
        </w:rPr>
        <w:t>marzo veintidós de dos mil dieciocho</w:t>
      </w:r>
    </w:p>
    <w:p w:rsidR="000B015F" w:rsidRPr="0090057C" w:rsidRDefault="000B015F" w:rsidP="00004C19">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90057C">
        <w:rPr>
          <w:rFonts w:ascii="Gadugi" w:eastAsia="Times New Roman" w:hAnsi="Gadugi"/>
          <w:sz w:val="24"/>
          <w:szCs w:val="24"/>
          <w:lang w:eastAsia="es-ES"/>
        </w:rPr>
        <w:t>Expediente 66001-22-13-000-201</w:t>
      </w:r>
      <w:r w:rsidR="00BD6EAD">
        <w:rPr>
          <w:rFonts w:ascii="Gadugi" w:eastAsia="Times New Roman" w:hAnsi="Gadugi"/>
          <w:sz w:val="24"/>
          <w:szCs w:val="24"/>
          <w:lang w:eastAsia="es-ES"/>
        </w:rPr>
        <w:t>8-00063</w:t>
      </w:r>
      <w:r w:rsidRPr="0090057C">
        <w:rPr>
          <w:rFonts w:ascii="Gadugi" w:eastAsia="Times New Roman" w:hAnsi="Gadugi"/>
          <w:sz w:val="24"/>
          <w:szCs w:val="24"/>
          <w:lang w:eastAsia="es-ES"/>
        </w:rPr>
        <w:t xml:space="preserve">-00 </w:t>
      </w:r>
      <w:r w:rsidRPr="0090057C">
        <w:rPr>
          <w:rFonts w:ascii="Gadugi" w:eastAsia="Times New Roman" w:hAnsi="Gadugi"/>
          <w:sz w:val="24"/>
          <w:szCs w:val="24"/>
          <w:lang w:eastAsia="es-ES"/>
        </w:rPr>
        <w:tab/>
      </w:r>
    </w:p>
    <w:p w:rsidR="000B015F" w:rsidRPr="00D04132" w:rsidRDefault="000B015F" w:rsidP="00004C19">
      <w:pPr>
        <w:overflowPunct w:val="0"/>
        <w:autoSpaceDE w:val="0"/>
        <w:autoSpaceDN w:val="0"/>
        <w:adjustRightInd w:val="0"/>
        <w:spacing w:after="0" w:line="26" w:lineRule="atLeast"/>
        <w:jc w:val="both"/>
        <w:textAlignment w:val="baseline"/>
        <w:rPr>
          <w:rFonts w:ascii="Gadugi" w:eastAsia="Times New Roman" w:hAnsi="Gadugi"/>
          <w:sz w:val="24"/>
          <w:szCs w:val="24"/>
          <w:lang w:val="es-419" w:eastAsia="es-ES"/>
        </w:rPr>
      </w:pPr>
      <w:r w:rsidRPr="0090057C">
        <w:rPr>
          <w:rFonts w:ascii="Gadugi" w:eastAsia="Times New Roman" w:hAnsi="Gadugi"/>
          <w:sz w:val="24"/>
          <w:szCs w:val="24"/>
          <w:lang w:eastAsia="es-ES"/>
        </w:rPr>
        <w:t xml:space="preserve">  </w:t>
      </w:r>
      <w:r w:rsidRPr="0090057C">
        <w:rPr>
          <w:rFonts w:ascii="Gadugi" w:eastAsia="Times New Roman" w:hAnsi="Gadugi"/>
          <w:sz w:val="24"/>
          <w:szCs w:val="24"/>
          <w:lang w:eastAsia="es-ES"/>
        </w:rPr>
        <w:tab/>
      </w:r>
      <w:r w:rsidRPr="0090057C">
        <w:rPr>
          <w:rFonts w:ascii="Gadugi" w:eastAsia="Times New Roman" w:hAnsi="Gadugi"/>
          <w:sz w:val="24"/>
          <w:szCs w:val="24"/>
          <w:lang w:eastAsia="es-ES"/>
        </w:rPr>
        <w:tab/>
      </w:r>
      <w:r w:rsidRPr="0090057C">
        <w:rPr>
          <w:rFonts w:ascii="Gadugi" w:eastAsia="Times New Roman" w:hAnsi="Gadugi"/>
          <w:sz w:val="24"/>
          <w:szCs w:val="24"/>
          <w:lang w:eastAsia="es-ES"/>
        </w:rPr>
        <w:tab/>
      </w:r>
      <w:r w:rsidRPr="0090057C">
        <w:rPr>
          <w:rFonts w:ascii="Gadugi" w:eastAsia="Times New Roman" w:hAnsi="Gadugi"/>
          <w:sz w:val="24"/>
          <w:szCs w:val="24"/>
          <w:lang w:eastAsia="es-ES"/>
        </w:rPr>
        <w:tab/>
        <w:t xml:space="preserve">Acta No. </w:t>
      </w:r>
      <w:r w:rsidR="00D04132">
        <w:rPr>
          <w:rFonts w:ascii="Gadugi" w:eastAsia="Times New Roman" w:hAnsi="Gadugi"/>
          <w:sz w:val="24"/>
          <w:szCs w:val="24"/>
          <w:lang w:val="es-419" w:eastAsia="es-ES"/>
        </w:rPr>
        <w:t>86 de marzo 22 de 2018</w:t>
      </w:r>
    </w:p>
    <w:p w:rsidR="00B865E2" w:rsidRPr="00B85EDF" w:rsidRDefault="00B865E2" w:rsidP="00004C19">
      <w:pPr>
        <w:overflowPunct w:val="0"/>
        <w:autoSpaceDE w:val="0"/>
        <w:autoSpaceDN w:val="0"/>
        <w:adjustRightInd w:val="0"/>
        <w:spacing w:after="0" w:line="26" w:lineRule="atLeast"/>
        <w:jc w:val="both"/>
        <w:textAlignment w:val="baseline"/>
        <w:rPr>
          <w:rFonts w:ascii="Gadugi" w:eastAsia="Times New Roman" w:hAnsi="Gadugi"/>
          <w:sz w:val="24"/>
          <w:szCs w:val="24"/>
          <w:lang w:val="es-419" w:eastAsia="es-ES"/>
        </w:rPr>
      </w:pPr>
      <w:r w:rsidRPr="00063B82">
        <w:rPr>
          <w:rFonts w:ascii="Gadugi" w:eastAsia="Times New Roman" w:hAnsi="Gadugi"/>
          <w:sz w:val="24"/>
          <w:szCs w:val="24"/>
          <w:lang w:eastAsia="es-ES"/>
        </w:rPr>
        <w:t xml:space="preserve">. </w:t>
      </w: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7224E7" w:rsidRDefault="002D3054" w:rsidP="00004C19">
      <w:pPr>
        <w:spacing w:after="0" w:line="26" w:lineRule="atLeast"/>
        <w:jc w:val="both"/>
        <w:rPr>
          <w:rFonts w:ascii="Gadugi" w:hAnsi="Gadugi"/>
          <w:b/>
          <w:sz w:val="24"/>
          <w:szCs w:val="24"/>
          <w:lang w:val="es-MX"/>
        </w:rPr>
      </w:pPr>
      <w:r w:rsidRPr="00063B82">
        <w:rPr>
          <w:rFonts w:ascii="Gadugi" w:eastAsia="Times New Roman" w:hAnsi="Gadugi" w:cs="Century Gothic"/>
          <w:sz w:val="24"/>
          <w:szCs w:val="24"/>
          <w:lang w:eastAsia="es-ES"/>
        </w:rPr>
        <w:t xml:space="preserve">  </w:t>
      </w:r>
      <w:r w:rsidRPr="00063B82">
        <w:rPr>
          <w:rFonts w:ascii="Gadugi" w:eastAsia="Times New Roman" w:hAnsi="Gadugi" w:cs="Century Gothic"/>
          <w:sz w:val="24"/>
          <w:szCs w:val="24"/>
          <w:lang w:eastAsia="es-ES"/>
        </w:rPr>
        <w:tab/>
      </w:r>
      <w:r w:rsidRPr="00063B82">
        <w:rPr>
          <w:rFonts w:ascii="Gadugi" w:eastAsia="Times New Roman" w:hAnsi="Gadugi" w:cs="Century Gothic"/>
          <w:sz w:val="24"/>
          <w:szCs w:val="24"/>
          <w:lang w:eastAsia="es-ES"/>
        </w:rPr>
        <w:tab/>
      </w:r>
      <w:r w:rsidRPr="00063B82">
        <w:rPr>
          <w:rFonts w:ascii="Gadugi" w:eastAsia="Times New Roman" w:hAnsi="Gadugi" w:cs="Century Gothic"/>
          <w:sz w:val="24"/>
          <w:szCs w:val="24"/>
          <w:lang w:eastAsia="es-ES"/>
        </w:rPr>
        <w:tab/>
      </w:r>
      <w:r w:rsidRPr="00063B82">
        <w:rPr>
          <w:rFonts w:ascii="Gadugi" w:eastAsia="Times New Roman" w:hAnsi="Gadugi" w:cs="Century Gothic"/>
          <w:sz w:val="24"/>
          <w:szCs w:val="24"/>
          <w:lang w:eastAsia="es-ES"/>
        </w:rPr>
        <w:tab/>
      </w:r>
      <w:r w:rsidR="00B865E2" w:rsidRPr="00063B82">
        <w:rPr>
          <w:rFonts w:ascii="Gadugi" w:eastAsia="Times New Roman" w:hAnsi="Gadugi" w:cs="Century Gothic"/>
          <w:sz w:val="24"/>
          <w:szCs w:val="24"/>
          <w:lang w:eastAsia="es-ES"/>
        </w:rPr>
        <w:t>Decide la Sala la acci</w:t>
      </w:r>
      <w:r w:rsidR="00B865E2" w:rsidRPr="00063B82">
        <w:rPr>
          <w:rFonts w:ascii="Gadugi" w:eastAsia="Times New Roman" w:hAnsi="Gadugi" w:cs="Century Gothic"/>
          <w:sz w:val="24"/>
          <w:szCs w:val="24"/>
          <w:lang w:val="es-419" w:eastAsia="es-ES"/>
        </w:rPr>
        <w:t>ón</w:t>
      </w:r>
      <w:r w:rsidR="00B865E2" w:rsidRPr="00063B82">
        <w:rPr>
          <w:rFonts w:ascii="Gadugi" w:eastAsia="Times New Roman" w:hAnsi="Gadugi" w:cs="Century Gothic"/>
          <w:sz w:val="24"/>
          <w:szCs w:val="24"/>
          <w:lang w:eastAsia="es-ES"/>
        </w:rPr>
        <w:t xml:space="preserve"> de tutela </w:t>
      </w:r>
      <w:r w:rsidR="00B865E2" w:rsidRPr="00063B82">
        <w:rPr>
          <w:rFonts w:ascii="Gadugi" w:eastAsia="Times New Roman" w:hAnsi="Gadugi" w:cs="Century Gothic"/>
          <w:sz w:val="24"/>
          <w:szCs w:val="24"/>
          <w:lang w:val="es-419" w:eastAsia="es-ES"/>
        </w:rPr>
        <w:t xml:space="preserve">de la referencia, </w:t>
      </w:r>
      <w:r w:rsidR="00B865E2" w:rsidRPr="00063B82">
        <w:rPr>
          <w:rFonts w:ascii="Gadugi" w:eastAsia="Times New Roman" w:hAnsi="Gadugi" w:cs="Century Gothic"/>
          <w:sz w:val="24"/>
          <w:szCs w:val="24"/>
          <w:lang w:eastAsia="es-ES"/>
        </w:rPr>
        <w:t xml:space="preserve">propuesta por </w:t>
      </w:r>
      <w:r w:rsidR="00B57B7F" w:rsidRPr="00063B82">
        <w:rPr>
          <w:rFonts w:ascii="Gadugi" w:hAnsi="Gadugi"/>
          <w:b/>
          <w:sz w:val="24"/>
          <w:szCs w:val="24"/>
          <w:lang w:val="es-MX"/>
        </w:rPr>
        <w:t xml:space="preserve">Javier Elías Arias Idárraga, </w:t>
      </w:r>
      <w:r w:rsidR="00B57B7F" w:rsidRPr="00063B82">
        <w:rPr>
          <w:rFonts w:ascii="Gadugi" w:hAnsi="Gadugi"/>
          <w:sz w:val="24"/>
          <w:szCs w:val="24"/>
          <w:lang w:val="es-MX"/>
        </w:rPr>
        <w:t xml:space="preserve">contra el </w:t>
      </w:r>
      <w:r w:rsidR="00B57B7F" w:rsidRPr="00063B82">
        <w:rPr>
          <w:rFonts w:ascii="Gadugi" w:hAnsi="Gadugi"/>
          <w:b/>
          <w:sz w:val="24"/>
          <w:szCs w:val="24"/>
          <w:lang w:val="es-MX"/>
        </w:rPr>
        <w:t xml:space="preserve">Juzgado </w:t>
      </w:r>
      <w:r w:rsidR="007224E7">
        <w:rPr>
          <w:rFonts w:ascii="Gadugi" w:hAnsi="Gadugi"/>
          <w:b/>
          <w:sz w:val="24"/>
          <w:szCs w:val="24"/>
          <w:lang w:val="es-MX"/>
        </w:rPr>
        <w:t>Civil del Circuito de Santa Rosa de Cabal</w:t>
      </w:r>
      <w:r w:rsidR="00BD6EAD">
        <w:rPr>
          <w:rFonts w:ascii="Gadugi" w:hAnsi="Gadugi"/>
          <w:b/>
          <w:sz w:val="24"/>
          <w:szCs w:val="24"/>
          <w:lang w:val="es-MX"/>
        </w:rPr>
        <w:t xml:space="preserve"> </w:t>
      </w:r>
      <w:r w:rsidR="00BD6EAD" w:rsidRPr="00BD6EAD">
        <w:rPr>
          <w:rFonts w:ascii="Gadugi" w:hAnsi="Gadugi"/>
          <w:sz w:val="24"/>
          <w:szCs w:val="24"/>
          <w:lang w:val="es-MX"/>
        </w:rPr>
        <w:t>y el</w:t>
      </w:r>
      <w:r w:rsidR="00BD6EAD">
        <w:rPr>
          <w:rFonts w:ascii="Gadugi" w:hAnsi="Gadugi"/>
          <w:b/>
          <w:sz w:val="24"/>
          <w:szCs w:val="24"/>
          <w:lang w:val="es-MX"/>
        </w:rPr>
        <w:t xml:space="preserve"> Personero Municipal </w:t>
      </w:r>
      <w:r w:rsidR="00BD6EAD">
        <w:rPr>
          <w:rFonts w:ascii="Gadugi" w:hAnsi="Gadugi"/>
          <w:sz w:val="24"/>
          <w:szCs w:val="24"/>
          <w:lang w:val="es-MX"/>
        </w:rPr>
        <w:t>de la misma municipalidad</w:t>
      </w:r>
      <w:r w:rsidR="0069654B">
        <w:rPr>
          <w:rFonts w:ascii="Gadugi" w:hAnsi="Gadugi"/>
          <w:sz w:val="24"/>
          <w:szCs w:val="24"/>
          <w:lang w:val="es-MX"/>
        </w:rPr>
        <w:t xml:space="preserve">, a la que </w:t>
      </w:r>
      <w:r w:rsidR="00BD6EAD">
        <w:rPr>
          <w:rFonts w:ascii="Gadugi" w:hAnsi="Gadugi"/>
          <w:sz w:val="24"/>
          <w:szCs w:val="24"/>
          <w:lang w:val="es-MX"/>
        </w:rPr>
        <w:t>adicionalmente se citó</w:t>
      </w:r>
      <w:r w:rsidR="007224E7">
        <w:rPr>
          <w:rFonts w:ascii="Gadugi" w:hAnsi="Gadugi"/>
          <w:b/>
          <w:sz w:val="24"/>
          <w:szCs w:val="24"/>
          <w:lang w:val="es-MX"/>
        </w:rPr>
        <w:t xml:space="preserve"> </w:t>
      </w:r>
      <w:r w:rsidR="00F62B27">
        <w:rPr>
          <w:rFonts w:ascii="Gadugi" w:hAnsi="Gadugi"/>
          <w:sz w:val="24"/>
          <w:szCs w:val="24"/>
          <w:lang w:val="es-419"/>
        </w:rPr>
        <w:t>a</w:t>
      </w:r>
      <w:r w:rsidR="003B6452">
        <w:rPr>
          <w:rFonts w:ascii="Gadugi" w:hAnsi="Gadugi"/>
          <w:b/>
          <w:sz w:val="24"/>
          <w:szCs w:val="24"/>
          <w:lang w:val="es-MX"/>
        </w:rPr>
        <w:t xml:space="preserve"> Paulo César Lizcano, </w:t>
      </w:r>
      <w:r w:rsidR="007224E7">
        <w:rPr>
          <w:rFonts w:ascii="Gadugi" w:hAnsi="Gadugi"/>
          <w:b/>
          <w:sz w:val="24"/>
          <w:szCs w:val="24"/>
          <w:lang w:val="es-MX"/>
        </w:rPr>
        <w:t>Bancolombia S</w:t>
      </w:r>
      <w:r w:rsidR="00E32ACC">
        <w:rPr>
          <w:rFonts w:ascii="Gadugi" w:hAnsi="Gadugi"/>
          <w:b/>
          <w:sz w:val="24"/>
          <w:szCs w:val="24"/>
          <w:lang w:val="es-419"/>
        </w:rPr>
        <w:t>.</w:t>
      </w:r>
      <w:r w:rsidR="007224E7">
        <w:rPr>
          <w:rFonts w:ascii="Gadugi" w:hAnsi="Gadugi"/>
          <w:b/>
          <w:sz w:val="24"/>
          <w:szCs w:val="24"/>
          <w:lang w:val="es-MX"/>
        </w:rPr>
        <w:t>A</w:t>
      </w:r>
      <w:r w:rsidR="00E32ACC">
        <w:rPr>
          <w:rFonts w:ascii="Gadugi" w:hAnsi="Gadugi"/>
          <w:b/>
          <w:sz w:val="24"/>
          <w:szCs w:val="24"/>
          <w:lang w:val="es-419"/>
        </w:rPr>
        <w:t>.</w:t>
      </w:r>
      <w:r w:rsidR="007224E7">
        <w:rPr>
          <w:rFonts w:ascii="Gadugi" w:hAnsi="Gadugi"/>
          <w:b/>
          <w:sz w:val="24"/>
          <w:szCs w:val="24"/>
          <w:lang w:val="es-MX"/>
        </w:rPr>
        <w:t xml:space="preserve">, </w:t>
      </w:r>
      <w:r w:rsidR="007224E7" w:rsidRPr="007224E7">
        <w:rPr>
          <w:rFonts w:ascii="Gadugi" w:hAnsi="Gadugi"/>
          <w:sz w:val="24"/>
          <w:szCs w:val="24"/>
          <w:lang w:val="es-MX"/>
        </w:rPr>
        <w:t>el</w:t>
      </w:r>
      <w:r w:rsidR="007224E7">
        <w:rPr>
          <w:rFonts w:ascii="Gadugi" w:hAnsi="Gadugi"/>
          <w:b/>
          <w:sz w:val="24"/>
          <w:szCs w:val="24"/>
          <w:lang w:val="es-MX"/>
        </w:rPr>
        <w:t xml:space="preserve"> Personero </w:t>
      </w:r>
      <w:r w:rsidR="00BD6EAD">
        <w:rPr>
          <w:rFonts w:ascii="Gadugi" w:hAnsi="Gadugi"/>
          <w:b/>
          <w:sz w:val="24"/>
          <w:szCs w:val="24"/>
          <w:lang w:val="es-MX"/>
        </w:rPr>
        <w:t>Bogotá DC</w:t>
      </w:r>
      <w:r w:rsidR="007224E7">
        <w:rPr>
          <w:rFonts w:ascii="Gadugi" w:hAnsi="Gadugi"/>
          <w:b/>
          <w:sz w:val="24"/>
          <w:szCs w:val="24"/>
          <w:lang w:val="es-MX"/>
        </w:rPr>
        <w:t xml:space="preserve">, </w:t>
      </w:r>
      <w:r w:rsidR="007224E7" w:rsidRPr="007224E7">
        <w:rPr>
          <w:rFonts w:ascii="Gadugi" w:hAnsi="Gadugi"/>
          <w:sz w:val="24"/>
          <w:szCs w:val="24"/>
          <w:lang w:val="es-MX"/>
        </w:rPr>
        <w:t>la</w:t>
      </w:r>
      <w:r w:rsidR="00662114">
        <w:rPr>
          <w:rFonts w:ascii="Gadugi" w:hAnsi="Gadugi"/>
          <w:sz w:val="24"/>
          <w:szCs w:val="24"/>
          <w:lang w:val="es-MX"/>
        </w:rPr>
        <w:t>s</w:t>
      </w:r>
      <w:r w:rsidR="007224E7">
        <w:rPr>
          <w:rFonts w:ascii="Gadugi" w:hAnsi="Gadugi"/>
          <w:b/>
          <w:sz w:val="24"/>
          <w:szCs w:val="24"/>
          <w:lang w:val="es-MX"/>
        </w:rPr>
        <w:t xml:space="preserve"> </w:t>
      </w:r>
      <w:r w:rsidR="00662114" w:rsidRPr="007224E7">
        <w:rPr>
          <w:rFonts w:ascii="Gadugi" w:hAnsi="Gadugi"/>
          <w:sz w:val="24"/>
          <w:szCs w:val="24"/>
          <w:lang w:val="es-MX"/>
        </w:rPr>
        <w:t xml:space="preserve">regionales </w:t>
      </w:r>
      <w:r w:rsidR="00BD6EAD">
        <w:rPr>
          <w:rFonts w:ascii="Gadugi" w:hAnsi="Gadugi"/>
          <w:b/>
          <w:sz w:val="24"/>
          <w:szCs w:val="24"/>
          <w:lang w:val="es-MX"/>
        </w:rPr>
        <w:t>Cundinamarca</w:t>
      </w:r>
      <w:r w:rsidR="00662114">
        <w:rPr>
          <w:rFonts w:ascii="Gadugi" w:hAnsi="Gadugi"/>
          <w:b/>
          <w:sz w:val="24"/>
          <w:szCs w:val="24"/>
          <w:lang w:val="es-MX"/>
        </w:rPr>
        <w:t xml:space="preserve"> </w:t>
      </w:r>
      <w:r w:rsidR="00662114" w:rsidRPr="007224E7">
        <w:rPr>
          <w:rFonts w:ascii="Gadugi" w:hAnsi="Gadugi"/>
          <w:sz w:val="24"/>
          <w:szCs w:val="24"/>
          <w:lang w:val="es-MX"/>
        </w:rPr>
        <w:t>y</w:t>
      </w:r>
      <w:r w:rsidR="00662114">
        <w:rPr>
          <w:rFonts w:ascii="Gadugi" w:hAnsi="Gadugi"/>
          <w:b/>
          <w:sz w:val="24"/>
          <w:szCs w:val="24"/>
          <w:lang w:val="es-MX"/>
        </w:rPr>
        <w:t xml:space="preserve"> Risaralda </w:t>
      </w:r>
      <w:r w:rsidR="00662114" w:rsidRPr="00662114">
        <w:rPr>
          <w:rFonts w:ascii="Gadugi" w:hAnsi="Gadugi"/>
          <w:sz w:val="24"/>
          <w:szCs w:val="24"/>
          <w:lang w:val="es-MX"/>
        </w:rPr>
        <w:t>de la</w:t>
      </w:r>
      <w:r w:rsidR="00662114">
        <w:rPr>
          <w:rFonts w:ascii="Gadugi" w:hAnsi="Gadugi"/>
          <w:b/>
          <w:sz w:val="24"/>
          <w:szCs w:val="24"/>
          <w:lang w:val="es-MX"/>
        </w:rPr>
        <w:t xml:space="preserve"> </w:t>
      </w:r>
      <w:r w:rsidR="007224E7">
        <w:rPr>
          <w:rFonts w:ascii="Gadugi" w:hAnsi="Gadugi"/>
          <w:b/>
          <w:sz w:val="24"/>
          <w:szCs w:val="24"/>
          <w:lang w:val="es-MX"/>
        </w:rPr>
        <w:t>Defensoría del Pueblo</w:t>
      </w:r>
      <w:r w:rsidR="00662114">
        <w:rPr>
          <w:rFonts w:ascii="Gadugi" w:hAnsi="Gadugi"/>
          <w:b/>
          <w:sz w:val="24"/>
          <w:szCs w:val="24"/>
          <w:lang w:val="es-MX"/>
        </w:rPr>
        <w:t xml:space="preserve"> </w:t>
      </w:r>
      <w:r w:rsidR="003B6452" w:rsidRPr="003B6452">
        <w:rPr>
          <w:rFonts w:ascii="Gadugi" w:hAnsi="Gadugi"/>
          <w:sz w:val="24"/>
          <w:szCs w:val="24"/>
          <w:lang w:val="es-MX"/>
        </w:rPr>
        <w:t>y</w:t>
      </w:r>
      <w:r w:rsidR="007224E7">
        <w:rPr>
          <w:rFonts w:ascii="Gadugi" w:hAnsi="Gadugi"/>
          <w:b/>
          <w:sz w:val="24"/>
          <w:szCs w:val="24"/>
          <w:lang w:val="es-MX"/>
        </w:rPr>
        <w:t xml:space="preserve"> </w:t>
      </w:r>
      <w:r w:rsidR="00F62B27" w:rsidRPr="00F62B27">
        <w:rPr>
          <w:rFonts w:ascii="Gadugi" w:hAnsi="Gadugi"/>
          <w:sz w:val="24"/>
          <w:szCs w:val="24"/>
          <w:lang w:val="es-419"/>
        </w:rPr>
        <w:t>e</w:t>
      </w:r>
      <w:r w:rsidR="003B6452" w:rsidRPr="00F62B27">
        <w:rPr>
          <w:rFonts w:ascii="Gadugi" w:hAnsi="Gadugi"/>
          <w:sz w:val="24"/>
          <w:szCs w:val="24"/>
          <w:lang w:val="es-MX"/>
        </w:rPr>
        <w:t>l</w:t>
      </w:r>
      <w:r w:rsidR="003B6452">
        <w:rPr>
          <w:rFonts w:ascii="Gadugi" w:hAnsi="Gadugi"/>
          <w:sz w:val="24"/>
          <w:szCs w:val="24"/>
          <w:lang w:val="es-MX"/>
        </w:rPr>
        <w:t xml:space="preserve"> </w:t>
      </w:r>
      <w:r w:rsidR="003B6452" w:rsidRPr="00E32ACC">
        <w:rPr>
          <w:rFonts w:ascii="Gadugi" w:hAnsi="Gadugi"/>
          <w:sz w:val="24"/>
          <w:szCs w:val="24"/>
          <w:lang w:val="es-MX"/>
        </w:rPr>
        <w:t>agente del</w:t>
      </w:r>
      <w:r w:rsidR="003B6452">
        <w:rPr>
          <w:rFonts w:ascii="Gadugi" w:hAnsi="Gadugi"/>
          <w:b/>
          <w:sz w:val="24"/>
          <w:szCs w:val="24"/>
          <w:lang w:val="es-MX"/>
        </w:rPr>
        <w:t xml:space="preserve"> Ministerio Público</w:t>
      </w:r>
      <w:r w:rsidR="00E4162C">
        <w:rPr>
          <w:rFonts w:ascii="Gadugi" w:hAnsi="Gadugi"/>
          <w:b/>
          <w:sz w:val="24"/>
          <w:szCs w:val="24"/>
          <w:lang w:val="es-MX"/>
        </w:rPr>
        <w:t xml:space="preserve"> local.</w:t>
      </w:r>
    </w:p>
    <w:p w:rsidR="007224E7" w:rsidRDefault="007224E7" w:rsidP="00004C19">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p>
    <w:p w:rsidR="00BD6EAD" w:rsidRDefault="00BD6EAD" w:rsidP="00004C19">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p>
    <w:p w:rsidR="00B865E2" w:rsidRPr="00063B82" w:rsidRDefault="00B865E2" w:rsidP="00004C19">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r w:rsidRPr="00063B82">
        <w:rPr>
          <w:rFonts w:ascii="Gadugi" w:eastAsia="Times New Roman" w:hAnsi="Gadugi"/>
          <w:b/>
          <w:sz w:val="24"/>
          <w:szCs w:val="24"/>
          <w:lang w:val="es-MX" w:eastAsia="es-ES"/>
        </w:rPr>
        <w:t>ANTECEDENTES</w:t>
      </w:r>
    </w:p>
    <w:p w:rsidR="00B865E2" w:rsidRPr="00063B82" w:rsidRDefault="00B865E2" w:rsidP="00004C19">
      <w:pPr>
        <w:overflowPunct w:val="0"/>
        <w:autoSpaceDE w:val="0"/>
        <w:autoSpaceDN w:val="0"/>
        <w:adjustRightInd w:val="0"/>
        <w:spacing w:after="0" w:line="26" w:lineRule="atLeast"/>
        <w:ind w:firstLine="2835"/>
        <w:jc w:val="both"/>
        <w:textAlignment w:val="baseline"/>
        <w:rPr>
          <w:rFonts w:ascii="Gadugi" w:eastAsia="Times New Roman" w:hAnsi="Gadugi" w:cs="Century Gothic"/>
          <w:b/>
          <w:bCs/>
          <w:sz w:val="24"/>
          <w:szCs w:val="24"/>
          <w:lang w:eastAsia="es-ES"/>
        </w:rPr>
      </w:pPr>
    </w:p>
    <w:p w:rsidR="00B865E2" w:rsidRPr="00063B82" w:rsidRDefault="00B865E2" w:rsidP="00004C19">
      <w:pPr>
        <w:spacing w:after="0" w:line="26" w:lineRule="atLeast"/>
        <w:ind w:firstLine="2835"/>
        <w:jc w:val="both"/>
        <w:rPr>
          <w:rFonts w:ascii="Gadugi" w:eastAsia="Times New Roman" w:hAnsi="Gadugi" w:cs="Century Gothic"/>
          <w:sz w:val="24"/>
          <w:szCs w:val="24"/>
          <w:lang w:eastAsia="es-ES"/>
        </w:rPr>
      </w:pPr>
    </w:p>
    <w:p w:rsidR="0069654B" w:rsidRDefault="00B865E2" w:rsidP="00004C19">
      <w:pPr>
        <w:spacing w:after="0" w:line="26" w:lineRule="atLeast"/>
        <w:ind w:firstLine="2835"/>
        <w:jc w:val="both"/>
        <w:rPr>
          <w:rFonts w:ascii="Gadugi" w:eastAsia="Times New Roman" w:hAnsi="Gadugi" w:cs="Century Gothic"/>
          <w:sz w:val="24"/>
          <w:szCs w:val="24"/>
          <w:lang w:eastAsia="es-ES"/>
        </w:rPr>
      </w:pPr>
      <w:r w:rsidRPr="00063B82">
        <w:rPr>
          <w:rFonts w:ascii="Gadugi" w:eastAsia="Times New Roman" w:hAnsi="Gadugi" w:cs="Century Gothic"/>
          <w:sz w:val="24"/>
          <w:szCs w:val="24"/>
          <w:lang w:eastAsia="es-ES"/>
        </w:rPr>
        <w:t xml:space="preserve">Javier Elías Arias Idárraga, actuando en su propio nombre, presentó acción de tutela por la presunta violación de sus </w:t>
      </w:r>
      <w:r w:rsidR="00C703EA">
        <w:rPr>
          <w:rFonts w:ascii="Gadugi" w:eastAsia="Times New Roman" w:hAnsi="Gadugi" w:cs="Century Gothic"/>
          <w:i/>
          <w:sz w:val="24"/>
          <w:szCs w:val="24"/>
          <w:lang w:eastAsia="es-ES"/>
        </w:rPr>
        <w:t>“</w:t>
      </w:r>
      <w:r w:rsidR="00E32ACC">
        <w:rPr>
          <w:rFonts w:ascii="Gadugi" w:eastAsia="Times New Roman" w:hAnsi="Gadugi" w:cs="Century Gothic"/>
          <w:i/>
          <w:sz w:val="24"/>
          <w:szCs w:val="24"/>
          <w:lang w:val="es-419" w:eastAsia="es-ES"/>
        </w:rPr>
        <w:t>…</w:t>
      </w:r>
      <w:r w:rsidR="00C703EA">
        <w:rPr>
          <w:rFonts w:ascii="Gadugi" w:eastAsia="Times New Roman" w:hAnsi="Gadugi" w:cs="Century Gothic"/>
          <w:i/>
          <w:sz w:val="24"/>
          <w:szCs w:val="24"/>
          <w:lang w:eastAsia="es-ES"/>
        </w:rPr>
        <w:t>garantías procesales, art. 13 y 83 CN, Carta Iberoamericana de Usuarios de Justicia”</w:t>
      </w:r>
      <w:r w:rsidR="0069654B">
        <w:rPr>
          <w:rFonts w:ascii="Gadugi" w:eastAsia="Times New Roman" w:hAnsi="Gadugi" w:cs="Century Gothic"/>
          <w:sz w:val="24"/>
          <w:szCs w:val="24"/>
          <w:lang w:eastAsia="es-ES"/>
        </w:rPr>
        <w:t>.</w:t>
      </w:r>
    </w:p>
    <w:p w:rsidR="0069654B" w:rsidRDefault="0069654B" w:rsidP="00004C19">
      <w:pPr>
        <w:spacing w:after="0" w:line="26" w:lineRule="atLeast"/>
        <w:ind w:firstLine="2835"/>
        <w:jc w:val="both"/>
        <w:rPr>
          <w:rFonts w:ascii="Gadugi" w:eastAsia="Times New Roman" w:hAnsi="Gadugi" w:cs="Century Gothic"/>
          <w:sz w:val="24"/>
          <w:szCs w:val="24"/>
          <w:lang w:eastAsia="es-ES"/>
        </w:rPr>
      </w:pPr>
    </w:p>
    <w:p w:rsidR="00647A6B" w:rsidRDefault="00E4162C" w:rsidP="00004C19">
      <w:pPr>
        <w:spacing w:after="0" w:line="26" w:lineRule="atLeast"/>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lastRenderedPageBreak/>
        <w:t>Como</w:t>
      </w:r>
      <w:r w:rsidR="00B865E2" w:rsidRPr="00063B82">
        <w:rPr>
          <w:rFonts w:ascii="Gadugi" w:eastAsia="Times New Roman" w:hAnsi="Gadugi" w:cs="Century Gothic"/>
          <w:sz w:val="24"/>
          <w:szCs w:val="24"/>
          <w:lang w:eastAsia="es-ES"/>
        </w:rPr>
        <w:t xml:space="preserve"> consecuencia de ello, </w:t>
      </w:r>
      <w:r w:rsidR="00690F78" w:rsidRPr="00063B82">
        <w:rPr>
          <w:rFonts w:ascii="Gadugi" w:eastAsia="Times New Roman" w:hAnsi="Gadugi" w:cs="Century Gothic"/>
          <w:sz w:val="24"/>
          <w:szCs w:val="24"/>
          <w:lang w:val="es-419" w:eastAsia="es-ES"/>
        </w:rPr>
        <w:t>solicit</w:t>
      </w:r>
      <w:r w:rsidR="0069654B">
        <w:rPr>
          <w:rFonts w:ascii="Gadugi" w:eastAsia="Times New Roman" w:hAnsi="Gadugi" w:cs="Century Gothic"/>
          <w:sz w:val="24"/>
          <w:szCs w:val="24"/>
          <w:lang w:val="es-419" w:eastAsia="es-ES"/>
        </w:rPr>
        <w:t>a</w:t>
      </w:r>
      <w:r w:rsidR="00C43FC2">
        <w:rPr>
          <w:rFonts w:ascii="Gadugi" w:eastAsia="Times New Roman" w:hAnsi="Gadugi" w:cs="Century Gothic"/>
          <w:sz w:val="24"/>
          <w:szCs w:val="24"/>
          <w:lang w:val="es-419" w:eastAsia="es-ES"/>
        </w:rPr>
        <w:t xml:space="preserve"> que</w:t>
      </w:r>
      <w:r w:rsidR="00690F78" w:rsidRPr="00063B82">
        <w:rPr>
          <w:rFonts w:ascii="Gadugi" w:eastAsia="Times New Roman" w:hAnsi="Gadugi" w:cs="Century Gothic"/>
          <w:sz w:val="24"/>
          <w:szCs w:val="24"/>
          <w:lang w:val="es-419" w:eastAsia="es-ES"/>
        </w:rPr>
        <w:t xml:space="preserve"> </w:t>
      </w:r>
      <w:r w:rsidR="00C43FC2">
        <w:rPr>
          <w:rFonts w:ascii="Gadugi" w:eastAsia="Times New Roman" w:hAnsi="Gadugi" w:cs="Century Gothic"/>
          <w:sz w:val="24"/>
          <w:szCs w:val="24"/>
          <w:lang w:eastAsia="es-ES"/>
        </w:rPr>
        <w:t xml:space="preserve">en </w:t>
      </w:r>
      <w:r w:rsidR="00C43FC2" w:rsidRPr="00863C6F">
        <w:rPr>
          <w:rFonts w:ascii="Gadugi" w:eastAsia="Times New Roman" w:hAnsi="Gadugi" w:cs="Century Gothic"/>
          <w:i/>
          <w:sz w:val="24"/>
          <w:szCs w:val="24"/>
          <w:lang w:eastAsia="es-ES"/>
        </w:rPr>
        <w:t>“sentencia de unificación”</w:t>
      </w:r>
      <w:r w:rsidR="00C43FC2">
        <w:rPr>
          <w:rFonts w:ascii="Gadugi" w:eastAsia="Times New Roman" w:hAnsi="Gadugi" w:cs="Century Gothic"/>
          <w:sz w:val="24"/>
          <w:szCs w:val="24"/>
          <w:lang w:eastAsia="es-ES"/>
        </w:rPr>
        <w:t xml:space="preserve"> se </w:t>
      </w:r>
      <w:r w:rsidR="00C43FC2" w:rsidRPr="00063B82">
        <w:rPr>
          <w:rFonts w:ascii="Gadugi" w:eastAsia="Times New Roman" w:hAnsi="Gadugi" w:cs="Century Gothic"/>
          <w:sz w:val="24"/>
          <w:szCs w:val="24"/>
          <w:lang w:eastAsia="es-ES"/>
        </w:rPr>
        <w:t>ordene</w:t>
      </w:r>
      <w:r w:rsidR="00C43FC2">
        <w:rPr>
          <w:rFonts w:ascii="Gadugi" w:eastAsia="Times New Roman" w:hAnsi="Gadugi" w:cs="Century Gothic"/>
          <w:sz w:val="24"/>
          <w:szCs w:val="24"/>
          <w:lang w:eastAsia="es-ES"/>
        </w:rPr>
        <w:t xml:space="preserve"> </w:t>
      </w:r>
      <w:r w:rsidR="00B57B7F" w:rsidRPr="00063B82">
        <w:rPr>
          <w:rFonts w:ascii="Gadugi" w:eastAsia="Times New Roman" w:hAnsi="Gadugi" w:cs="Century Gothic"/>
          <w:sz w:val="24"/>
          <w:szCs w:val="24"/>
          <w:lang w:eastAsia="es-ES"/>
        </w:rPr>
        <w:t>al Juzgado</w:t>
      </w:r>
      <w:r w:rsidR="0069654B">
        <w:rPr>
          <w:rFonts w:ascii="Gadugi" w:eastAsia="Times New Roman" w:hAnsi="Gadugi" w:cs="Century Gothic"/>
          <w:sz w:val="24"/>
          <w:szCs w:val="24"/>
          <w:lang w:val="es-419" w:eastAsia="es-ES"/>
        </w:rPr>
        <w:t xml:space="preserve"> </w:t>
      </w:r>
      <w:r>
        <w:rPr>
          <w:rFonts w:ascii="Gadugi" w:eastAsia="Times New Roman" w:hAnsi="Gadugi" w:cs="Century Gothic"/>
          <w:sz w:val="24"/>
          <w:szCs w:val="24"/>
          <w:lang w:val="es-419" w:eastAsia="es-ES"/>
        </w:rPr>
        <w:t xml:space="preserve">accionado </w:t>
      </w:r>
      <w:r w:rsidR="00C43FC2">
        <w:rPr>
          <w:rFonts w:ascii="Gadugi" w:eastAsia="Times New Roman" w:hAnsi="Gadugi" w:cs="Century Gothic"/>
          <w:sz w:val="24"/>
          <w:szCs w:val="24"/>
          <w:lang w:val="es-419" w:eastAsia="es-ES"/>
        </w:rPr>
        <w:t xml:space="preserve">declarar la nulidad de del auto que negó la aplicación del artículo 121 del CGP y al personero de Santa Rosa de Cabal </w:t>
      </w:r>
      <w:r w:rsidR="007D700E">
        <w:rPr>
          <w:rFonts w:ascii="Gadugi" w:eastAsia="Times New Roman" w:hAnsi="Gadugi" w:cs="Century Gothic"/>
          <w:sz w:val="24"/>
          <w:szCs w:val="24"/>
          <w:lang w:val="es-419" w:eastAsia="es-ES"/>
        </w:rPr>
        <w:t>cumplir</w:t>
      </w:r>
      <w:r w:rsidR="00C43FC2">
        <w:rPr>
          <w:rFonts w:ascii="Gadugi" w:eastAsia="Times New Roman" w:hAnsi="Gadugi" w:cs="Century Gothic"/>
          <w:sz w:val="24"/>
          <w:szCs w:val="24"/>
          <w:lang w:val="es-419" w:eastAsia="es-ES"/>
        </w:rPr>
        <w:t xml:space="preserve"> lo consagrado en la ley 734 de 2002. </w:t>
      </w:r>
      <w:r w:rsidR="00004C19">
        <w:rPr>
          <w:rFonts w:ascii="Gadugi" w:eastAsia="Times New Roman" w:hAnsi="Gadugi" w:cs="Century Gothic"/>
          <w:sz w:val="24"/>
          <w:szCs w:val="24"/>
          <w:lang w:val="es-419" w:eastAsia="es-ES"/>
        </w:rPr>
        <w:t xml:space="preserve">Adicionalmente, que se establezca si esa norma rige para las acciones populares y que en el mismo sentido se le ordene conceptuar al Ministerio Público. </w:t>
      </w:r>
    </w:p>
    <w:p w:rsidR="00647A6B" w:rsidRDefault="00647A6B" w:rsidP="00004C19">
      <w:pPr>
        <w:spacing w:after="0" w:line="26" w:lineRule="atLeast"/>
        <w:ind w:firstLine="2835"/>
        <w:jc w:val="both"/>
        <w:rPr>
          <w:rFonts w:ascii="Gadugi" w:eastAsia="Times New Roman" w:hAnsi="Gadugi" w:cs="Century Gothic"/>
          <w:sz w:val="24"/>
          <w:szCs w:val="24"/>
          <w:lang w:val="es-419" w:eastAsia="es-ES"/>
        </w:rPr>
      </w:pPr>
    </w:p>
    <w:p w:rsidR="00232502" w:rsidRPr="00B07FDB" w:rsidRDefault="006B48AE" w:rsidP="00004C19">
      <w:pPr>
        <w:spacing w:after="0" w:line="26" w:lineRule="atLeast"/>
        <w:ind w:firstLine="2835"/>
        <w:jc w:val="both"/>
        <w:rPr>
          <w:rFonts w:ascii="Gadugi" w:eastAsia="Times New Roman" w:hAnsi="Gadugi" w:cs="Century Gothic"/>
          <w:sz w:val="24"/>
          <w:szCs w:val="24"/>
          <w:lang w:eastAsia="es-ES"/>
        </w:rPr>
      </w:pPr>
      <w:r>
        <w:rPr>
          <w:rFonts w:ascii="Gadugi" w:eastAsia="Times New Roman" w:hAnsi="Gadugi" w:cs="Century Gothic"/>
          <w:sz w:val="24"/>
          <w:szCs w:val="24"/>
          <w:lang w:val="es-419" w:eastAsia="es-ES"/>
        </w:rPr>
        <w:t>Expuso</w:t>
      </w:r>
      <w:r w:rsidR="00C703EA">
        <w:rPr>
          <w:rFonts w:ascii="Gadugi" w:eastAsia="Times New Roman" w:hAnsi="Gadugi" w:cs="Century Gothic"/>
          <w:sz w:val="24"/>
          <w:szCs w:val="24"/>
          <w:lang w:val="es-419" w:eastAsia="es-ES"/>
        </w:rPr>
        <w:t xml:space="preserve"> como fundamento </w:t>
      </w:r>
      <w:r w:rsidR="00B46A62">
        <w:rPr>
          <w:rFonts w:ascii="Gadugi" w:eastAsia="Times New Roman" w:hAnsi="Gadugi" w:cs="Century Gothic"/>
          <w:sz w:val="24"/>
          <w:szCs w:val="24"/>
          <w:lang w:val="es-419" w:eastAsia="es-ES"/>
        </w:rPr>
        <w:t>de</w:t>
      </w:r>
      <w:r w:rsidR="00C703EA">
        <w:rPr>
          <w:rFonts w:ascii="Gadugi" w:eastAsia="Times New Roman" w:hAnsi="Gadugi" w:cs="Century Gothic"/>
          <w:sz w:val="24"/>
          <w:szCs w:val="24"/>
          <w:lang w:val="es-419" w:eastAsia="es-ES"/>
        </w:rPr>
        <w:t xml:space="preserve"> ello, que actúa en la </w:t>
      </w:r>
      <w:r>
        <w:rPr>
          <w:rFonts w:ascii="Gadugi" w:eastAsia="Times New Roman" w:hAnsi="Gadugi" w:cs="Century Gothic"/>
          <w:sz w:val="24"/>
          <w:szCs w:val="24"/>
          <w:lang w:val="es-419" w:eastAsia="es-ES"/>
        </w:rPr>
        <w:t xml:space="preserve">acción popular </w:t>
      </w:r>
      <w:r w:rsidR="00647A6B">
        <w:rPr>
          <w:rFonts w:ascii="Gadugi" w:eastAsia="Times New Roman" w:hAnsi="Gadugi" w:cs="Century Gothic"/>
          <w:i/>
          <w:sz w:val="24"/>
          <w:szCs w:val="24"/>
          <w:lang w:val="es-419" w:eastAsia="es-ES"/>
        </w:rPr>
        <w:t>“201</w:t>
      </w:r>
      <w:r w:rsidR="00C43FC2">
        <w:rPr>
          <w:rFonts w:ascii="Gadugi" w:eastAsia="Times New Roman" w:hAnsi="Gadugi" w:cs="Century Gothic"/>
          <w:i/>
          <w:sz w:val="24"/>
          <w:szCs w:val="24"/>
          <w:lang w:val="es-419" w:eastAsia="es-ES"/>
        </w:rPr>
        <w:t>6-715</w:t>
      </w:r>
      <w:r w:rsidR="00647A6B">
        <w:rPr>
          <w:rFonts w:ascii="Gadugi" w:eastAsia="Times New Roman" w:hAnsi="Gadugi" w:cs="Century Gothic"/>
          <w:i/>
          <w:sz w:val="24"/>
          <w:szCs w:val="24"/>
          <w:lang w:val="es-419" w:eastAsia="es-ES"/>
        </w:rPr>
        <w:t>”</w:t>
      </w:r>
      <w:r w:rsidR="00647A6B">
        <w:rPr>
          <w:rFonts w:ascii="Gadugi" w:eastAsia="Times New Roman" w:hAnsi="Gadugi" w:cs="Century Gothic"/>
          <w:sz w:val="24"/>
          <w:szCs w:val="24"/>
          <w:lang w:val="es-419" w:eastAsia="es-ES"/>
        </w:rPr>
        <w:t xml:space="preserve">, </w:t>
      </w:r>
      <w:r w:rsidR="00B07FDB">
        <w:rPr>
          <w:rFonts w:ascii="Gadugi" w:eastAsia="Times New Roman" w:hAnsi="Gadugi" w:cs="Century Gothic"/>
          <w:sz w:val="24"/>
          <w:szCs w:val="24"/>
          <w:lang w:val="es-419" w:eastAsia="es-ES"/>
        </w:rPr>
        <w:t xml:space="preserve">en la que </w:t>
      </w:r>
      <w:r w:rsidR="00BD6EAD">
        <w:rPr>
          <w:rFonts w:ascii="Gadugi" w:eastAsia="Times New Roman" w:hAnsi="Gadugi" w:cs="Century Gothic"/>
          <w:sz w:val="24"/>
          <w:szCs w:val="24"/>
          <w:lang w:val="es-419" w:eastAsia="es-ES"/>
        </w:rPr>
        <w:t xml:space="preserve">la accionada </w:t>
      </w:r>
      <w:r w:rsidR="0031271A">
        <w:rPr>
          <w:rFonts w:ascii="Gadugi" w:eastAsia="Times New Roman" w:hAnsi="Gadugi" w:cs="Century Gothic"/>
          <w:sz w:val="24"/>
          <w:szCs w:val="24"/>
          <w:lang w:val="es-419" w:eastAsia="es-ES"/>
        </w:rPr>
        <w:t>desconoce</w:t>
      </w:r>
      <w:r w:rsidR="00DF1510" w:rsidRPr="00DF1510">
        <w:rPr>
          <w:rFonts w:ascii="Gadugi" w:eastAsia="Times New Roman" w:hAnsi="Gadugi" w:cs="Century Gothic"/>
          <w:sz w:val="24"/>
          <w:szCs w:val="24"/>
          <w:lang w:val="es-419" w:eastAsia="es-ES"/>
        </w:rPr>
        <w:t xml:space="preserve"> los a</w:t>
      </w:r>
      <w:r w:rsidR="007D700E">
        <w:rPr>
          <w:rFonts w:ascii="Gadugi" w:eastAsia="Times New Roman" w:hAnsi="Gadugi" w:cs="Century Gothic"/>
          <w:sz w:val="24"/>
          <w:szCs w:val="24"/>
          <w:lang w:val="es-419" w:eastAsia="es-ES"/>
        </w:rPr>
        <w:t>rtículo</w:t>
      </w:r>
      <w:r w:rsidR="0031271A">
        <w:rPr>
          <w:rFonts w:ascii="Gadugi" w:eastAsia="Times New Roman" w:hAnsi="Gadugi" w:cs="Century Gothic"/>
          <w:sz w:val="24"/>
          <w:szCs w:val="24"/>
          <w:lang w:val="es-419" w:eastAsia="es-ES"/>
        </w:rPr>
        <w:t>s</w:t>
      </w:r>
      <w:r w:rsidR="007D700E">
        <w:rPr>
          <w:rFonts w:ascii="Gadugi" w:eastAsia="Times New Roman" w:hAnsi="Gadugi" w:cs="Century Gothic"/>
          <w:sz w:val="24"/>
          <w:szCs w:val="24"/>
          <w:lang w:val="es-419" w:eastAsia="es-ES"/>
        </w:rPr>
        <w:t xml:space="preserve"> 5 de la Ley 472 de 1998 </w:t>
      </w:r>
      <w:r w:rsidR="00F62B27">
        <w:rPr>
          <w:rFonts w:ascii="Gadugi" w:eastAsia="Times New Roman" w:hAnsi="Gadugi" w:cs="Century Gothic"/>
          <w:sz w:val="24"/>
          <w:szCs w:val="24"/>
          <w:lang w:val="es-419" w:eastAsia="es-ES"/>
        </w:rPr>
        <w:t xml:space="preserve">y </w:t>
      </w:r>
      <w:r w:rsidR="00DF1510" w:rsidRPr="00DF1510">
        <w:rPr>
          <w:rFonts w:ascii="Gadugi" w:eastAsia="Times New Roman" w:hAnsi="Gadugi" w:cs="Century Gothic"/>
          <w:sz w:val="24"/>
          <w:szCs w:val="24"/>
          <w:lang w:val="es-419" w:eastAsia="es-ES"/>
        </w:rPr>
        <w:t xml:space="preserve">8 del CGP, </w:t>
      </w:r>
      <w:r w:rsidR="0031271A">
        <w:rPr>
          <w:rFonts w:ascii="Gadugi" w:eastAsia="Times New Roman" w:hAnsi="Gadugi" w:cs="Century Gothic"/>
          <w:sz w:val="24"/>
          <w:szCs w:val="24"/>
          <w:lang w:val="es-419" w:eastAsia="es-ES"/>
        </w:rPr>
        <w:t xml:space="preserve">y se niega a aplicar el artículo 121 del estatuto procesal; </w:t>
      </w:r>
      <w:r w:rsidR="007D700E">
        <w:rPr>
          <w:rFonts w:ascii="Gadugi" w:eastAsia="Times New Roman" w:hAnsi="Gadugi" w:cs="Century Gothic"/>
          <w:sz w:val="24"/>
          <w:szCs w:val="24"/>
          <w:lang w:val="es-419" w:eastAsia="es-ES"/>
        </w:rPr>
        <w:t xml:space="preserve">también denuncia que la Personería Municipal no cumple con su deber legal en esta acción. </w:t>
      </w:r>
    </w:p>
    <w:p w:rsidR="00232502" w:rsidRPr="00BD6EAD" w:rsidRDefault="00232502" w:rsidP="00004C19">
      <w:pPr>
        <w:spacing w:after="0" w:line="26" w:lineRule="atLeast"/>
        <w:ind w:firstLine="2835"/>
        <w:jc w:val="both"/>
        <w:rPr>
          <w:rFonts w:ascii="Gadugi" w:eastAsia="Times New Roman" w:hAnsi="Gadugi" w:cs="Century Gothic"/>
          <w:sz w:val="24"/>
          <w:szCs w:val="24"/>
          <w:lang w:eastAsia="es-ES"/>
        </w:rPr>
      </w:pPr>
    </w:p>
    <w:p w:rsidR="00662114" w:rsidRPr="00B04FFD" w:rsidRDefault="00B04FFD" w:rsidP="00004C19">
      <w:pPr>
        <w:spacing w:after="0" w:line="26" w:lineRule="atLeast"/>
        <w:jc w:val="both"/>
        <w:rPr>
          <w:rFonts w:ascii="Gadugi" w:hAnsi="Gadugi"/>
          <w:sz w:val="24"/>
          <w:szCs w:val="24"/>
          <w:lang w:val="es-MX"/>
        </w:rPr>
      </w:pPr>
      <w:r>
        <w:rPr>
          <w:rFonts w:ascii="Gadugi" w:eastAsia="Times New Roman" w:hAnsi="Gadugi" w:cs="Century Gothic"/>
          <w:sz w:val="24"/>
          <w:szCs w:val="24"/>
          <w:lang w:eastAsia="es-ES"/>
        </w:rPr>
        <w:t xml:space="preserve">  </w:t>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sidR="00662114">
        <w:rPr>
          <w:rFonts w:ascii="Gadugi" w:eastAsia="Times New Roman" w:hAnsi="Gadugi" w:cs="Century Gothic"/>
          <w:sz w:val="24"/>
          <w:szCs w:val="24"/>
          <w:lang w:eastAsia="es-ES"/>
        </w:rPr>
        <w:t xml:space="preserve">Con auto del </w:t>
      </w:r>
      <w:r w:rsidR="00B746A4">
        <w:rPr>
          <w:rFonts w:ascii="Gadugi" w:eastAsia="Times New Roman" w:hAnsi="Gadugi" w:cs="Century Gothic"/>
          <w:sz w:val="24"/>
          <w:szCs w:val="24"/>
          <w:lang w:eastAsia="es-ES"/>
        </w:rPr>
        <w:t>8</w:t>
      </w:r>
      <w:r w:rsidR="00C703EA" w:rsidRPr="00B04FFD">
        <w:rPr>
          <w:rFonts w:ascii="Gadugi" w:eastAsia="Times New Roman" w:hAnsi="Gadugi" w:cs="Century Gothic"/>
          <w:sz w:val="24"/>
          <w:szCs w:val="24"/>
          <w:lang w:eastAsia="es-ES"/>
        </w:rPr>
        <w:t xml:space="preserve"> </w:t>
      </w:r>
      <w:r w:rsidR="00E75491" w:rsidRPr="00B04FFD">
        <w:rPr>
          <w:rFonts w:ascii="Gadugi" w:eastAsia="Times New Roman" w:hAnsi="Gadugi" w:cs="Century Gothic"/>
          <w:sz w:val="24"/>
          <w:szCs w:val="24"/>
          <w:lang w:eastAsia="es-ES"/>
        </w:rPr>
        <w:t xml:space="preserve">de </w:t>
      </w:r>
      <w:r w:rsidR="00B746A4">
        <w:rPr>
          <w:rFonts w:ascii="Gadugi" w:eastAsia="Times New Roman" w:hAnsi="Gadugi" w:cs="Century Gothic"/>
          <w:sz w:val="24"/>
          <w:szCs w:val="24"/>
          <w:lang w:eastAsia="es-ES"/>
        </w:rPr>
        <w:t>marzo</w:t>
      </w:r>
      <w:r w:rsidR="00E75491" w:rsidRPr="00B04FFD">
        <w:rPr>
          <w:rFonts w:ascii="Gadugi" w:eastAsia="Times New Roman" w:hAnsi="Gadugi" w:cs="Century Gothic"/>
          <w:sz w:val="24"/>
          <w:szCs w:val="24"/>
          <w:lang w:eastAsia="es-ES"/>
        </w:rPr>
        <w:t xml:space="preserve">, </w:t>
      </w:r>
      <w:r w:rsidR="009F3AE9" w:rsidRPr="00B04FFD">
        <w:rPr>
          <w:rFonts w:ascii="Gadugi" w:eastAsia="Times New Roman" w:hAnsi="Gadugi" w:cs="Century Gothic"/>
          <w:sz w:val="24"/>
          <w:szCs w:val="24"/>
          <w:lang w:eastAsia="es-ES"/>
        </w:rPr>
        <w:t>se l</w:t>
      </w:r>
      <w:r w:rsidR="009F3AE9" w:rsidRPr="00B04FFD">
        <w:rPr>
          <w:rFonts w:ascii="Gadugi" w:eastAsia="Times New Roman" w:hAnsi="Gadugi" w:cs="Century Gothic"/>
          <w:sz w:val="24"/>
          <w:szCs w:val="24"/>
          <w:lang w:val="es-419" w:eastAsia="es-ES"/>
        </w:rPr>
        <w:t xml:space="preserve">e dio impulso a la acción en la que </w:t>
      </w:r>
      <w:r w:rsidR="00662114">
        <w:rPr>
          <w:rFonts w:ascii="Gadugi" w:eastAsia="Times New Roman" w:hAnsi="Gadugi" w:cs="Century Gothic"/>
          <w:sz w:val="24"/>
          <w:szCs w:val="24"/>
          <w:lang w:val="es-419" w:eastAsia="es-ES"/>
        </w:rPr>
        <w:t>se ordenaron las citadas vinculaciones</w:t>
      </w:r>
      <w:r w:rsidR="002438B6">
        <w:rPr>
          <w:rFonts w:ascii="Gadugi" w:hAnsi="Gadugi"/>
          <w:sz w:val="24"/>
          <w:szCs w:val="24"/>
          <w:lang w:val="es-MX"/>
        </w:rPr>
        <w:t>; a su vez, se ordenó la recolección de pruebas.</w:t>
      </w:r>
    </w:p>
    <w:p w:rsidR="00662114" w:rsidRDefault="00662114" w:rsidP="00004C19">
      <w:pPr>
        <w:spacing w:after="0" w:line="26" w:lineRule="atLeast"/>
        <w:ind w:firstLine="2835"/>
        <w:jc w:val="both"/>
        <w:rPr>
          <w:rFonts w:ascii="Gadugi" w:hAnsi="Gadugi" w:cs="Century Gothic"/>
          <w:sz w:val="24"/>
          <w:szCs w:val="24"/>
          <w:lang w:val="es-CO"/>
        </w:rPr>
      </w:pPr>
    </w:p>
    <w:p w:rsidR="00C703EA" w:rsidRDefault="00C703EA" w:rsidP="00004C19">
      <w:pPr>
        <w:spacing w:after="0" w:line="26" w:lineRule="atLeast"/>
        <w:ind w:firstLine="2835"/>
        <w:jc w:val="both"/>
        <w:rPr>
          <w:rFonts w:ascii="Gadugi" w:eastAsia="Times New Roman" w:hAnsi="Gadugi" w:cs="Century Gothic"/>
          <w:bCs/>
          <w:sz w:val="24"/>
          <w:szCs w:val="24"/>
          <w:lang w:val="es-419" w:eastAsia="es-ES"/>
        </w:rPr>
      </w:pPr>
      <w:r>
        <w:rPr>
          <w:rFonts w:ascii="Gadugi" w:hAnsi="Gadugi" w:cs="Century Gothic"/>
          <w:sz w:val="24"/>
          <w:szCs w:val="24"/>
          <w:lang w:val="es-CO"/>
        </w:rPr>
        <w:t>E</w:t>
      </w:r>
      <w:r>
        <w:rPr>
          <w:rFonts w:ascii="Gadugi" w:eastAsia="Times New Roman" w:hAnsi="Gadugi" w:cs="Century Gothic"/>
          <w:bCs/>
          <w:sz w:val="24"/>
          <w:szCs w:val="24"/>
          <w:lang w:val="es-419" w:eastAsia="es-ES"/>
        </w:rPr>
        <w:t>l</w:t>
      </w:r>
      <w:r w:rsidRPr="00063B82">
        <w:rPr>
          <w:rFonts w:ascii="Gadugi" w:eastAsia="Times New Roman" w:hAnsi="Gadugi" w:cs="Century Gothic"/>
          <w:bCs/>
          <w:sz w:val="24"/>
          <w:szCs w:val="24"/>
          <w:lang w:val="es-419" w:eastAsia="es-ES"/>
        </w:rPr>
        <w:t xml:space="preserve"> Procurador Regional </w:t>
      </w:r>
      <w:r>
        <w:rPr>
          <w:rFonts w:ascii="Gadugi" w:eastAsia="Times New Roman" w:hAnsi="Gadugi" w:cs="Century Gothic"/>
          <w:bCs/>
          <w:sz w:val="24"/>
          <w:szCs w:val="24"/>
          <w:lang w:val="es-419" w:eastAsia="es-ES"/>
        </w:rPr>
        <w:t xml:space="preserve">de </w:t>
      </w:r>
      <w:r w:rsidRPr="00063B82">
        <w:rPr>
          <w:rFonts w:ascii="Gadugi" w:eastAsia="Times New Roman" w:hAnsi="Gadugi" w:cs="Century Gothic"/>
          <w:bCs/>
          <w:sz w:val="24"/>
          <w:szCs w:val="24"/>
          <w:lang w:val="es-419" w:eastAsia="es-ES"/>
        </w:rPr>
        <w:t xml:space="preserve">Risaralda, </w:t>
      </w:r>
      <w:r>
        <w:rPr>
          <w:rFonts w:ascii="Gadugi" w:eastAsia="Times New Roman" w:hAnsi="Gadugi" w:cs="Century Gothic"/>
          <w:bCs/>
          <w:sz w:val="24"/>
          <w:szCs w:val="24"/>
          <w:lang w:val="es-419" w:eastAsia="es-ES"/>
        </w:rPr>
        <w:t xml:space="preserve">mencionó </w:t>
      </w:r>
      <w:r w:rsidRPr="00063B82">
        <w:rPr>
          <w:rFonts w:ascii="Gadugi" w:eastAsia="Times New Roman" w:hAnsi="Gadugi" w:cs="Century Gothic"/>
          <w:bCs/>
          <w:sz w:val="24"/>
          <w:szCs w:val="24"/>
          <w:lang w:val="es-419" w:eastAsia="es-ES"/>
        </w:rPr>
        <w:t>que su intervención se limita a la protección de los derechos</w:t>
      </w:r>
      <w:r>
        <w:rPr>
          <w:rFonts w:ascii="Gadugi" w:eastAsia="Times New Roman" w:hAnsi="Gadugi" w:cs="Century Gothic"/>
          <w:bCs/>
          <w:sz w:val="24"/>
          <w:szCs w:val="24"/>
          <w:lang w:val="es-419" w:eastAsia="es-ES"/>
        </w:rPr>
        <w:t xml:space="preserve"> e intereses</w:t>
      </w:r>
      <w:r w:rsidRPr="00063B82">
        <w:rPr>
          <w:rFonts w:ascii="Gadugi" w:eastAsia="Times New Roman" w:hAnsi="Gadugi" w:cs="Century Gothic"/>
          <w:bCs/>
          <w:sz w:val="24"/>
          <w:szCs w:val="24"/>
          <w:lang w:val="es-419" w:eastAsia="es-ES"/>
        </w:rPr>
        <w:t xml:space="preserve"> colectivos</w:t>
      </w:r>
      <w:r w:rsidRPr="00063B82">
        <w:rPr>
          <w:rFonts w:ascii="Gadugi" w:eastAsia="Times New Roman" w:hAnsi="Gadugi" w:cs="Century Gothic"/>
          <w:sz w:val="24"/>
          <w:szCs w:val="24"/>
          <w:lang w:val="es-419" w:eastAsia="es-ES"/>
        </w:rPr>
        <w:t xml:space="preserve">. </w:t>
      </w:r>
      <w:r w:rsidRPr="00063B82">
        <w:rPr>
          <w:rFonts w:ascii="Gadugi" w:eastAsia="Times New Roman" w:hAnsi="Gadugi" w:cs="Century Gothic"/>
          <w:bCs/>
          <w:sz w:val="24"/>
          <w:szCs w:val="24"/>
          <w:lang w:val="es-419" w:eastAsia="es-ES"/>
        </w:rPr>
        <w:t xml:space="preserve"> </w:t>
      </w:r>
    </w:p>
    <w:p w:rsidR="00C703EA" w:rsidRDefault="00C703EA" w:rsidP="00004C19">
      <w:pPr>
        <w:spacing w:after="0" w:line="26" w:lineRule="atLeast"/>
        <w:ind w:firstLine="2835"/>
        <w:jc w:val="both"/>
        <w:rPr>
          <w:rFonts w:ascii="Gadugi" w:eastAsia="Times New Roman" w:hAnsi="Gadugi" w:cs="Century Gothic"/>
          <w:bCs/>
          <w:sz w:val="24"/>
          <w:szCs w:val="24"/>
          <w:lang w:val="es-419" w:eastAsia="es-ES"/>
        </w:rPr>
      </w:pPr>
    </w:p>
    <w:p w:rsidR="001B0876" w:rsidRDefault="00C703EA" w:rsidP="00004C19">
      <w:pPr>
        <w:spacing w:after="0" w:line="26" w:lineRule="atLeast"/>
        <w:jc w:val="both"/>
        <w:rPr>
          <w:rFonts w:ascii="Gadugi" w:eastAsia="Times New Roman" w:hAnsi="Gadugi" w:cs="Century Gothic"/>
          <w:bCs/>
          <w:sz w:val="24"/>
          <w:szCs w:val="24"/>
          <w:lang w:val="es-419" w:eastAsia="es-ES"/>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Por su parte, e</w:t>
      </w:r>
      <w:r w:rsidR="00E75491">
        <w:rPr>
          <w:rFonts w:ascii="Gadugi" w:hAnsi="Gadugi" w:cs="Century Gothic"/>
          <w:sz w:val="24"/>
          <w:szCs w:val="24"/>
          <w:lang w:val="es-CO"/>
        </w:rPr>
        <w:t>l Juzgado remitió las copias solicitad</w:t>
      </w:r>
      <w:r w:rsidR="00551EB7">
        <w:rPr>
          <w:rFonts w:ascii="Gadugi" w:hAnsi="Gadugi" w:cs="Century Gothic"/>
          <w:sz w:val="24"/>
          <w:szCs w:val="24"/>
          <w:lang w:val="es-CO"/>
        </w:rPr>
        <w:t>as</w:t>
      </w:r>
      <w:r w:rsidR="00662114">
        <w:rPr>
          <w:rFonts w:ascii="Gadugi" w:hAnsi="Gadugi" w:cs="Century Gothic"/>
          <w:sz w:val="24"/>
          <w:szCs w:val="24"/>
          <w:lang w:val="es-CO"/>
        </w:rPr>
        <w:t xml:space="preserve"> en medio magnético (f. 1</w:t>
      </w:r>
      <w:r w:rsidR="00B746A4">
        <w:rPr>
          <w:rFonts w:ascii="Gadugi" w:hAnsi="Gadugi" w:cs="Century Gothic"/>
          <w:sz w:val="24"/>
          <w:szCs w:val="24"/>
          <w:lang w:val="es-CO"/>
        </w:rPr>
        <w:t>2</w:t>
      </w:r>
      <w:r w:rsidR="00662114">
        <w:rPr>
          <w:rFonts w:ascii="Gadugi" w:hAnsi="Gadugi" w:cs="Century Gothic"/>
          <w:sz w:val="24"/>
          <w:szCs w:val="24"/>
          <w:lang w:val="es-CO"/>
        </w:rPr>
        <w:t>) y dio cuenta del desarrollo del proceso.</w:t>
      </w:r>
    </w:p>
    <w:p w:rsidR="00004C19" w:rsidRDefault="00004C19" w:rsidP="00004C19">
      <w:pPr>
        <w:spacing w:after="0" w:line="26" w:lineRule="atLeast"/>
        <w:ind w:firstLine="2835"/>
        <w:jc w:val="both"/>
        <w:rPr>
          <w:rFonts w:ascii="Gadugi" w:hAnsi="Gadugi" w:cs="Arial"/>
          <w:b/>
          <w:sz w:val="24"/>
          <w:szCs w:val="24"/>
          <w:lang w:val="es-419"/>
        </w:rPr>
      </w:pPr>
    </w:p>
    <w:p w:rsidR="00004C19" w:rsidRDefault="00004C19" w:rsidP="00004C19">
      <w:pPr>
        <w:spacing w:after="0" w:line="26" w:lineRule="atLeast"/>
        <w:ind w:firstLine="2835"/>
        <w:jc w:val="both"/>
        <w:rPr>
          <w:rFonts w:ascii="Gadugi" w:hAnsi="Gadugi" w:cs="Arial"/>
          <w:b/>
          <w:sz w:val="24"/>
          <w:szCs w:val="24"/>
          <w:lang w:val="es-419"/>
        </w:rPr>
      </w:pPr>
    </w:p>
    <w:p w:rsidR="00DE54A4" w:rsidRPr="00063B82" w:rsidRDefault="00F62B27" w:rsidP="00004C19">
      <w:pPr>
        <w:spacing w:after="0" w:line="26" w:lineRule="atLeast"/>
        <w:ind w:firstLine="2835"/>
        <w:jc w:val="both"/>
        <w:rPr>
          <w:rFonts w:ascii="Gadugi" w:hAnsi="Gadugi" w:cs="Arial"/>
          <w:b/>
          <w:sz w:val="24"/>
          <w:szCs w:val="24"/>
        </w:rPr>
      </w:pPr>
      <w:r>
        <w:rPr>
          <w:rFonts w:ascii="Gadugi" w:hAnsi="Gadugi" w:cs="Arial"/>
          <w:b/>
          <w:sz w:val="24"/>
          <w:szCs w:val="24"/>
          <w:lang w:val="es-419"/>
        </w:rPr>
        <w:t>C</w:t>
      </w:r>
      <w:r w:rsidR="00DE54A4" w:rsidRPr="00063B82">
        <w:rPr>
          <w:rFonts w:ascii="Gadugi" w:hAnsi="Gadugi" w:cs="Arial"/>
          <w:b/>
          <w:sz w:val="24"/>
          <w:szCs w:val="24"/>
        </w:rPr>
        <w:t>ONSIDERACIONES</w:t>
      </w:r>
    </w:p>
    <w:p w:rsidR="00DE54A4" w:rsidRPr="00063B82" w:rsidRDefault="00DE54A4" w:rsidP="00004C19">
      <w:pPr>
        <w:spacing w:after="0" w:line="26" w:lineRule="atLeast"/>
        <w:ind w:firstLine="2835"/>
        <w:jc w:val="both"/>
        <w:rPr>
          <w:rFonts w:ascii="Gadugi" w:hAnsi="Gadugi"/>
          <w:sz w:val="24"/>
          <w:szCs w:val="24"/>
        </w:rPr>
      </w:pPr>
    </w:p>
    <w:p w:rsidR="00DE54A4" w:rsidRPr="00063B82" w:rsidRDefault="00DE54A4" w:rsidP="00004C19">
      <w:pPr>
        <w:spacing w:after="0" w:line="26" w:lineRule="atLeast"/>
        <w:ind w:firstLine="2835"/>
        <w:jc w:val="both"/>
        <w:rPr>
          <w:rFonts w:ascii="Gadugi" w:hAnsi="Gadugi"/>
          <w:sz w:val="24"/>
          <w:szCs w:val="24"/>
        </w:rPr>
      </w:pPr>
    </w:p>
    <w:p w:rsidR="001712AB" w:rsidRPr="000C5D21" w:rsidRDefault="001712AB" w:rsidP="00004C19">
      <w:pPr>
        <w:spacing w:after="0" w:line="276" w:lineRule="auto"/>
        <w:ind w:firstLine="2835"/>
        <w:jc w:val="both"/>
        <w:rPr>
          <w:rFonts w:ascii="Gadugi" w:eastAsia="Times New Roman" w:hAnsi="Gadugi"/>
          <w:sz w:val="24"/>
          <w:szCs w:val="24"/>
          <w:lang w:eastAsia="es-ES"/>
        </w:rPr>
      </w:pPr>
      <w:r w:rsidRPr="000C5D21">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1712AB" w:rsidRPr="000C5D21" w:rsidRDefault="001712AB" w:rsidP="00004C19">
      <w:pPr>
        <w:spacing w:after="0" w:line="276" w:lineRule="auto"/>
        <w:ind w:firstLine="2835"/>
        <w:jc w:val="both"/>
        <w:rPr>
          <w:rFonts w:ascii="Gadugi" w:eastAsia="Times New Roman" w:hAnsi="Gadugi"/>
          <w:sz w:val="24"/>
          <w:szCs w:val="24"/>
          <w:lang w:eastAsia="es-ES"/>
        </w:rPr>
      </w:pPr>
    </w:p>
    <w:p w:rsidR="001712AB"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0C5D21">
        <w:rPr>
          <w:rFonts w:ascii="Gadugi" w:eastAsia="Times New Roman" w:hAnsi="Gadugi"/>
          <w:sz w:val="24"/>
          <w:szCs w:val="24"/>
          <w:lang w:eastAsia="es-ES"/>
        </w:rPr>
        <w:t xml:space="preserve">Se acude en esta oportunidad </w:t>
      </w:r>
      <w:r w:rsidRPr="000C5D21">
        <w:rPr>
          <w:rFonts w:ascii="Gadugi" w:eastAsia="Times New Roman" w:hAnsi="Gadugi" w:cs="Arial"/>
          <w:sz w:val="24"/>
          <w:szCs w:val="24"/>
          <w:lang w:eastAsia="es-ES"/>
        </w:rPr>
        <w:t>en procura de</w:t>
      </w:r>
      <w:r>
        <w:rPr>
          <w:rFonts w:ascii="Gadugi" w:eastAsia="Times New Roman" w:hAnsi="Gadugi" w:cs="Arial"/>
          <w:sz w:val="24"/>
          <w:szCs w:val="24"/>
          <w:lang w:val="es-419" w:eastAsia="es-ES"/>
        </w:rPr>
        <w:t xml:space="preserve"> la protección de </w:t>
      </w:r>
      <w:r w:rsidRPr="000C5D21">
        <w:rPr>
          <w:rFonts w:ascii="Gadugi" w:eastAsia="Times New Roman" w:hAnsi="Gadugi" w:cs="Arial"/>
          <w:sz w:val="24"/>
          <w:szCs w:val="24"/>
          <w:lang w:eastAsia="es-ES"/>
        </w:rPr>
        <w:t xml:space="preserve">los derechos arriba señalados, bajo la premisa de que el Juzgado accionado </w:t>
      </w:r>
      <w:r>
        <w:rPr>
          <w:rFonts w:ascii="Gadugi" w:eastAsia="Times New Roman" w:hAnsi="Gadugi" w:cs="Arial"/>
          <w:sz w:val="24"/>
          <w:szCs w:val="24"/>
          <w:lang w:val="es-419" w:eastAsia="es-ES"/>
        </w:rPr>
        <w:t xml:space="preserve">le niega al accionante su </w:t>
      </w:r>
      <w:r w:rsidRPr="000C5D21">
        <w:rPr>
          <w:rFonts w:ascii="Gadugi" w:eastAsia="Times New Roman" w:hAnsi="Gadugi" w:cs="Arial"/>
          <w:sz w:val="24"/>
          <w:szCs w:val="24"/>
          <w:lang w:eastAsia="es-ES"/>
        </w:rPr>
        <w:t xml:space="preserve">solicitud </w:t>
      </w:r>
      <w:r w:rsidR="00927E44">
        <w:rPr>
          <w:rFonts w:ascii="Gadugi" w:eastAsia="Times New Roman" w:hAnsi="Gadugi" w:cs="Arial"/>
          <w:sz w:val="24"/>
          <w:szCs w:val="24"/>
          <w:lang w:eastAsia="es-ES"/>
        </w:rPr>
        <w:t>relacionada con la aplicación de lo consagrado en el artículo 121 del Código General del Proceso</w:t>
      </w:r>
      <w:r>
        <w:rPr>
          <w:rFonts w:ascii="Gadugi" w:eastAsia="Times New Roman" w:hAnsi="Gadugi" w:cs="Arial"/>
          <w:sz w:val="24"/>
          <w:szCs w:val="24"/>
          <w:lang w:eastAsia="es-ES"/>
        </w:rPr>
        <w:t>.</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1712AB" w:rsidRPr="000C5D21" w:rsidRDefault="001712AB" w:rsidP="00004C19">
      <w:pPr>
        <w:shd w:val="clear" w:color="auto" w:fill="FFFFFF"/>
        <w:spacing w:after="0" w:line="276" w:lineRule="auto"/>
        <w:jc w:val="both"/>
        <w:rPr>
          <w:rFonts w:ascii="Gadugi" w:hAnsi="Gadugi"/>
          <w:sz w:val="24"/>
          <w:szCs w:val="24"/>
        </w:rPr>
      </w:pPr>
      <w:r w:rsidRPr="000C5D21">
        <w:rPr>
          <w:rFonts w:ascii="Gadugi" w:hAnsi="Gadugi" w:cs="Arial"/>
          <w:sz w:val="24"/>
          <w:szCs w:val="24"/>
        </w:rPr>
        <w:t xml:space="preserve">  </w:t>
      </w:r>
      <w:r w:rsidRPr="000C5D21">
        <w:rPr>
          <w:rFonts w:ascii="Gadugi" w:hAnsi="Gadugi" w:cs="Arial"/>
          <w:sz w:val="24"/>
          <w:szCs w:val="24"/>
        </w:rPr>
        <w:tab/>
      </w:r>
      <w:r w:rsidRPr="000C5D21">
        <w:rPr>
          <w:rFonts w:ascii="Gadugi" w:hAnsi="Gadugi" w:cs="Arial"/>
          <w:sz w:val="24"/>
          <w:szCs w:val="24"/>
        </w:rPr>
        <w:tab/>
      </w:r>
      <w:r w:rsidRPr="000C5D21">
        <w:rPr>
          <w:rFonts w:ascii="Gadugi" w:hAnsi="Gadugi" w:cs="Arial"/>
          <w:sz w:val="24"/>
          <w:szCs w:val="24"/>
        </w:rPr>
        <w:tab/>
      </w:r>
      <w:r w:rsidRPr="000C5D21">
        <w:rPr>
          <w:rFonts w:ascii="Gadugi" w:hAnsi="Gadugi" w:cs="Arial"/>
          <w:sz w:val="24"/>
          <w:szCs w:val="24"/>
        </w:rPr>
        <w:tab/>
        <w:t xml:space="preserve">Reiteradamente se ha expuesto que </w:t>
      </w:r>
      <w:r w:rsidRPr="000C5D21">
        <w:rPr>
          <w:rFonts w:ascii="Gadugi" w:hAnsi="Gadugi"/>
          <w:sz w:val="24"/>
          <w:szCs w:val="24"/>
        </w:rPr>
        <w:t>a pesar de la inexequibilidad de las normas que en el Decreto 2591 de 1991 preveían la acción de tutela contra providencias judiciales</w:t>
      </w:r>
      <w:r w:rsidRPr="000C5D21">
        <w:rPr>
          <w:rStyle w:val="Refdenotaalpie"/>
          <w:rFonts w:ascii="Gadugi" w:hAnsi="Gadugi"/>
          <w:sz w:val="24"/>
          <w:szCs w:val="24"/>
        </w:rPr>
        <w:footnoteReference w:id="1"/>
      </w:r>
      <w:r w:rsidRPr="000C5D21">
        <w:rPr>
          <w:rFonts w:ascii="Gadugi" w:hAnsi="Gadugi"/>
          <w:sz w:val="24"/>
          <w:szCs w:val="24"/>
        </w:rPr>
        <w:t xml:space="preserve">, tal mecanismo se abre paso en aquellos eventos en los que se incurra en una vía de hecho, o como se denominan ahora, </w:t>
      </w:r>
      <w:r w:rsidRPr="000C5D21">
        <w:rPr>
          <w:rFonts w:ascii="Gadugi" w:hAnsi="Gadugi"/>
          <w:sz w:val="24"/>
          <w:szCs w:val="24"/>
        </w:rPr>
        <w:lastRenderedPageBreak/>
        <w:t>criterios de procedibilidad de la acción de tutela contra decisiones de los jueces, en que solo cabe un amparo de esta naturaleza en la medida en que concurra alguna de las causales generales o específicas, delineadas por la Corte Constitucional</w:t>
      </w:r>
      <w:r w:rsidRPr="000C5D21">
        <w:rPr>
          <w:rFonts w:ascii="Gadugi" w:hAnsi="Gadugi" w:cs="Arial"/>
          <w:sz w:val="24"/>
          <w:szCs w:val="24"/>
        </w:rPr>
        <w:t xml:space="preserve"> en múltiples ocasiones. Sobre ellas, recientemente, en la sentencia SU-222 de 2016, aludiendo a la C-590 de 2005, recordó que las primeras obedecen a </w:t>
      </w:r>
      <w:r w:rsidRPr="000C5D21">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w:t>
      </w:r>
      <w:r>
        <w:rPr>
          <w:rFonts w:ascii="Gadugi" w:hAnsi="Gadugi"/>
          <w:sz w:val="24"/>
          <w:szCs w:val="24"/>
          <w:bdr w:val="none" w:sz="0" w:space="0" w:color="auto" w:frame="1"/>
          <w:lang w:val="es-CO"/>
        </w:rPr>
        <w:t>de una irregularidad procesal, e</w:t>
      </w:r>
      <w:r w:rsidRPr="000C5D21">
        <w:rPr>
          <w:rFonts w:ascii="Gadugi" w:hAnsi="Gadugi"/>
          <w:sz w:val="24"/>
          <w:szCs w:val="24"/>
          <w:bdr w:val="none" w:sz="0" w:space="0" w:color="auto" w:frame="1"/>
          <w:lang w:val="es-CO"/>
        </w:rPr>
        <w:t>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0C5D21">
        <w:rPr>
          <w:rFonts w:ascii="Gadugi" w:hAnsi="Gadugi"/>
          <w:sz w:val="24"/>
          <w:szCs w:val="24"/>
        </w:rPr>
        <w:t xml:space="preserve"> </w:t>
      </w:r>
      <w:r w:rsidRPr="000C5D21">
        <w:rPr>
          <w:rFonts w:ascii="Gadugi" w:hAnsi="Gadugi" w:cs="Arial"/>
          <w:sz w:val="24"/>
          <w:szCs w:val="24"/>
        </w:rPr>
        <w:t>.</w:t>
      </w:r>
      <w:r w:rsidRPr="000C5D21">
        <w:rPr>
          <w:rFonts w:ascii="Gadugi" w:hAnsi="Gadugi" w:cs="Arial"/>
          <w:sz w:val="24"/>
          <w:szCs w:val="24"/>
          <w:lang w:val="es-419"/>
        </w:rPr>
        <w:t xml:space="preserve"> </w:t>
      </w:r>
      <w:r w:rsidRPr="000C5D21">
        <w:rPr>
          <w:rFonts w:ascii="Gadugi" w:hAnsi="Gadugi" w:cs="Arial"/>
          <w:sz w:val="24"/>
          <w:szCs w:val="24"/>
        </w:rPr>
        <w:t>Y en cuanto a las segundas, es decir, las causales específicas, se compendian en los defectos</w:t>
      </w:r>
      <w:r w:rsidRPr="000C5D21">
        <w:rPr>
          <w:rFonts w:ascii="Gadugi" w:hAnsi="Gadugi"/>
          <w:sz w:val="24"/>
          <w:szCs w:val="24"/>
          <w:bdr w:val="none" w:sz="0" w:space="0" w:color="auto" w:frame="1"/>
          <w:lang w:val="es-CO"/>
        </w:rPr>
        <w:t xml:space="preserve"> (i) orgánico, (ii) sustantivo, (iii) procedimental</w:t>
      </w:r>
      <w:bookmarkStart w:id="1" w:name="_ftnref82"/>
      <w:r w:rsidRPr="000C5D21">
        <w:rPr>
          <w:rFonts w:ascii="Gadugi" w:hAnsi="Gadugi"/>
          <w:sz w:val="24"/>
          <w:szCs w:val="24"/>
          <w:bdr w:val="none" w:sz="0" w:space="0" w:color="auto" w:frame="1"/>
          <w:lang w:val="es-CO"/>
        </w:rPr>
        <w:fldChar w:fldCharType="begin"/>
      </w:r>
      <w:r w:rsidRPr="000C5D21">
        <w:rPr>
          <w:rFonts w:ascii="Gadugi" w:hAnsi="Gadugi"/>
          <w:sz w:val="24"/>
          <w:szCs w:val="24"/>
          <w:bdr w:val="none" w:sz="0" w:space="0" w:color="auto" w:frame="1"/>
          <w:lang w:val="es-CO"/>
        </w:rPr>
        <w:instrText xml:space="preserve"> HYPERLINK "http://www.corteconstitucional.gov.co/relatoria/2016/SU222-16.htm" \l "_ftn82" \o "" </w:instrText>
      </w:r>
      <w:r w:rsidRPr="000C5D21">
        <w:rPr>
          <w:rFonts w:ascii="Gadugi" w:hAnsi="Gadugi"/>
          <w:sz w:val="24"/>
          <w:szCs w:val="24"/>
          <w:bdr w:val="none" w:sz="0" w:space="0" w:color="auto" w:frame="1"/>
          <w:lang w:val="es-CO"/>
        </w:rPr>
        <w:fldChar w:fldCharType="end"/>
      </w:r>
      <w:bookmarkEnd w:id="1"/>
      <w:r w:rsidRPr="000C5D21">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r w:rsidRPr="000C5D21">
        <w:rPr>
          <w:rFonts w:ascii="Gadugi" w:hAnsi="Gadugi"/>
          <w:sz w:val="24"/>
          <w:szCs w:val="24"/>
          <w:bdr w:val="none" w:sz="0" w:space="0" w:color="auto" w:frame="1"/>
          <w:lang w:val="es-CO"/>
        </w:rPr>
        <w:fldChar w:fldCharType="begin"/>
      </w:r>
      <w:r w:rsidRPr="000C5D21">
        <w:rPr>
          <w:rFonts w:ascii="Gadugi" w:hAnsi="Gadugi"/>
          <w:sz w:val="24"/>
          <w:szCs w:val="24"/>
          <w:bdr w:val="none" w:sz="0" w:space="0" w:color="auto" w:frame="1"/>
          <w:lang w:val="es-CO"/>
        </w:rPr>
        <w:instrText xml:space="preserve"> HYPERLINK "http://www.corteconstitucional.gov.co/relatoria/2016/SU222-16.htm" \l "_ftn86" \o "" </w:instrText>
      </w:r>
      <w:r w:rsidRPr="000C5D21">
        <w:rPr>
          <w:rFonts w:ascii="Gadugi" w:hAnsi="Gadugi"/>
          <w:sz w:val="24"/>
          <w:szCs w:val="24"/>
          <w:bdr w:val="none" w:sz="0" w:space="0" w:color="auto" w:frame="1"/>
          <w:lang w:val="es-CO"/>
        </w:rPr>
        <w:fldChar w:fldCharType="end"/>
      </w:r>
      <w:bookmarkEnd w:id="2"/>
      <w:r w:rsidRPr="000C5D21">
        <w:rPr>
          <w:rFonts w:ascii="Gadugi" w:hAnsi="Gadugi"/>
          <w:sz w:val="24"/>
          <w:szCs w:val="24"/>
          <w:bdr w:val="none" w:sz="0" w:space="0" w:color="auto" w:frame="1"/>
          <w:lang w:val="es-CO"/>
        </w:rPr>
        <w:t> y (vii) violación directa a la constitución.</w:t>
      </w:r>
      <w:r w:rsidRPr="000C5D21">
        <w:rPr>
          <w:rFonts w:ascii="Gadugi" w:hAnsi="Gadugi"/>
          <w:sz w:val="24"/>
          <w:szCs w:val="24"/>
        </w:rPr>
        <w:t xml:space="preserve"> </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r w:rsidRPr="000C5D21">
        <w:rPr>
          <w:rFonts w:ascii="Gadugi" w:eastAsia="Times New Roman" w:hAnsi="Gadugi" w:cs="Verdana"/>
          <w:sz w:val="24"/>
          <w:szCs w:val="24"/>
          <w:lang w:val="es-419" w:eastAsia="es-ES"/>
        </w:rPr>
        <w:t>Pues bien, para la Sala</w:t>
      </w:r>
      <w:r w:rsidRPr="000C5D21">
        <w:rPr>
          <w:rFonts w:ascii="Gadugi" w:eastAsia="Times New Roman" w:hAnsi="Gadugi" w:cs="Verdana"/>
          <w:sz w:val="24"/>
          <w:szCs w:val="24"/>
          <w:lang w:val="es-CO" w:eastAsia="es-ES"/>
        </w:rPr>
        <w:t xml:space="preserve">, pueden darse por satisfechos los requisitos generales </w:t>
      </w:r>
      <w:r>
        <w:rPr>
          <w:rFonts w:ascii="Gadugi" w:eastAsia="Times New Roman" w:hAnsi="Gadugi" w:cs="Verdana"/>
          <w:sz w:val="24"/>
          <w:szCs w:val="24"/>
          <w:lang w:val="es-CO" w:eastAsia="es-ES"/>
        </w:rPr>
        <w:t>enlistados</w:t>
      </w:r>
      <w:r w:rsidRPr="000C5D21">
        <w:rPr>
          <w:rFonts w:ascii="Gadugi" w:eastAsia="Times New Roman" w:hAnsi="Gadugi" w:cs="Verdana"/>
          <w:sz w:val="24"/>
          <w:szCs w:val="24"/>
          <w:lang w:val="es-CO" w:eastAsia="es-ES"/>
        </w:rPr>
        <w:t xml:space="preserve">, en cuanto se </w:t>
      </w:r>
      <w:r w:rsidRPr="000C5D21">
        <w:rPr>
          <w:rFonts w:ascii="Gadugi" w:eastAsia="Times New Roman" w:hAnsi="Gadugi" w:cs="Verdana"/>
          <w:sz w:val="24"/>
          <w:szCs w:val="24"/>
          <w:lang w:val="es-419" w:eastAsia="es-ES"/>
        </w:rPr>
        <w:t>busca</w:t>
      </w:r>
      <w:r w:rsidRPr="000C5D21">
        <w:rPr>
          <w:rFonts w:ascii="Gadugi" w:eastAsia="Times New Roman" w:hAnsi="Gadugi" w:cs="Verdana"/>
          <w:sz w:val="24"/>
          <w:szCs w:val="24"/>
          <w:lang w:val="es-CO" w:eastAsia="es-ES"/>
        </w:rPr>
        <w:t xml:space="preserve"> la protección constitucional anunciada, se interpuso el recurso pertinente, la</w:t>
      </w:r>
      <w:r w:rsidR="00927E44">
        <w:rPr>
          <w:rFonts w:ascii="Gadugi" w:eastAsia="Times New Roman" w:hAnsi="Gadugi" w:cs="Verdana"/>
          <w:sz w:val="24"/>
          <w:szCs w:val="24"/>
          <w:lang w:val="es-CO" w:eastAsia="es-ES"/>
        </w:rPr>
        <w:t>s</w:t>
      </w:r>
      <w:r w:rsidRPr="000C5D21">
        <w:rPr>
          <w:rFonts w:ascii="Gadugi" w:eastAsia="Times New Roman" w:hAnsi="Gadugi" w:cs="Verdana"/>
          <w:sz w:val="24"/>
          <w:szCs w:val="24"/>
          <w:lang w:val="es-CO" w:eastAsia="es-ES"/>
        </w:rPr>
        <w:t xml:space="preserve"> providencia</w:t>
      </w:r>
      <w:r w:rsidR="00927E44">
        <w:rPr>
          <w:rFonts w:ascii="Gadugi" w:eastAsia="Times New Roman" w:hAnsi="Gadugi" w:cs="Verdana"/>
          <w:sz w:val="24"/>
          <w:szCs w:val="24"/>
          <w:lang w:val="es-CO" w:eastAsia="es-ES"/>
        </w:rPr>
        <w:t>s</w:t>
      </w:r>
      <w:r w:rsidRPr="000C5D21">
        <w:rPr>
          <w:rFonts w:ascii="Gadugi" w:eastAsia="Times New Roman" w:hAnsi="Gadugi" w:cs="Verdana"/>
          <w:sz w:val="24"/>
          <w:szCs w:val="24"/>
          <w:lang w:val="es-CO" w:eastAsia="es-ES"/>
        </w:rPr>
        <w:t xml:space="preserve"> que se ataca</w:t>
      </w:r>
      <w:r w:rsidR="00927E44">
        <w:rPr>
          <w:rFonts w:ascii="Gadugi" w:eastAsia="Times New Roman" w:hAnsi="Gadugi" w:cs="Verdana"/>
          <w:sz w:val="24"/>
          <w:szCs w:val="24"/>
          <w:lang w:val="es-CO" w:eastAsia="es-ES"/>
        </w:rPr>
        <w:t xml:space="preserve">n </w:t>
      </w:r>
      <w:r>
        <w:rPr>
          <w:rFonts w:ascii="Gadugi" w:eastAsia="Times New Roman" w:hAnsi="Gadugi" w:cs="Verdana"/>
          <w:sz w:val="24"/>
          <w:szCs w:val="24"/>
          <w:lang w:val="es-CO" w:eastAsia="es-ES"/>
        </w:rPr>
        <w:t xml:space="preserve">(pág. </w:t>
      </w:r>
      <w:r w:rsidR="00927E44">
        <w:rPr>
          <w:rFonts w:ascii="Gadugi" w:eastAsia="Times New Roman" w:hAnsi="Gadugi" w:cs="Verdana"/>
          <w:sz w:val="24"/>
          <w:szCs w:val="24"/>
          <w:lang w:val="es-CO" w:eastAsia="es-ES"/>
        </w:rPr>
        <w:t xml:space="preserve">42 y </w:t>
      </w:r>
      <w:r>
        <w:rPr>
          <w:rFonts w:ascii="Gadugi" w:eastAsia="Times New Roman" w:hAnsi="Gadugi" w:cs="Verdana"/>
          <w:sz w:val="24"/>
          <w:szCs w:val="24"/>
          <w:lang w:val="es-CO" w:eastAsia="es-ES"/>
        </w:rPr>
        <w:t>46 del cd</w:t>
      </w:r>
      <w:r>
        <w:rPr>
          <w:rFonts w:ascii="Gadugi" w:eastAsia="Times New Roman" w:hAnsi="Gadugi" w:cs="Verdana"/>
          <w:sz w:val="24"/>
          <w:szCs w:val="24"/>
          <w:lang w:val="es-419" w:eastAsia="es-ES"/>
        </w:rPr>
        <w:t>,</w:t>
      </w:r>
      <w:r>
        <w:rPr>
          <w:rFonts w:ascii="Gadugi" w:eastAsia="Times New Roman" w:hAnsi="Gadugi" w:cs="Verdana"/>
          <w:sz w:val="24"/>
          <w:szCs w:val="24"/>
          <w:lang w:val="es-CO" w:eastAsia="es-ES"/>
        </w:rPr>
        <w:t xml:space="preserve"> f. 12) </w:t>
      </w:r>
      <w:r w:rsidRPr="000C5D21">
        <w:rPr>
          <w:rFonts w:ascii="Gadugi" w:eastAsia="Times New Roman" w:hAnsi="Gadugi" w:cs="Verdana"/>
          <w:sz w:val="24"/>
          <w:szCs w:val="24"/>
          <w:lang w:val="es-CO" w:eastAsia="es-ES"/>
        </w:rPr>
        <w:t>data</w:t>
      </w:r>
      <w:r w:rsidR="00927E44">
        <w:rPr>
          <w:rFonts w:ascii="Gadugi" w:eastAsia="Times New Roman" w:hAnsi="Gadugi" w:cs="Verdana"/>
          <w:sz w:val="24"/>
          <w:szCs w:val="24"/>
          <w:lang w:val="es-CO" w:eastAsia="es-ES"/>
        </w:rPr>
        <w:t>n</w:t>
      </w:r>
      <w:r w:rsidRPr="000C5D21">
        <w:rPr>
          <w:rFonts w:ascii="Gadugi" w:eastAsia="Times New Roman" w:hAnsi="Gadugi" w:cs="Verdana"/>
          <w:sz w:val="24"/>
          <w:szCs w:val="24"/>
          <w:lang w:val="es-CO" w:eastAsia="es-ES"/>
        </w:rPr>
        <w:t xml:space="preserve"> de menos de seis meses; la situación fue ventilada dentro del mismo proceso, y no se trata de otra acción de tutela. </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p>
    <w:p w:rsidR="001712AB" w:rsidRPr="000C5D21" w:rsidRDefault="001712AB" w:rsidP="00004C19">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eastAsia="es-ES"/>
        </w:rPr>
      </w:pPr>
      <w:r w:rsidRPr="000C5D21">
        <w:rPr>
          <w:rFonts w:ascii="Century Gothic" w:eastAsia="Times New Roman" w:hAnsi="Century Gothic"/>
          <w:sz w:val="24"/>
          <w:szCs w:val="24"/>
          <w:lang w:eastAsia="es-ES"/>
        </w:rPr>
        <w:t xml:space="preserve">  </w:t>
      </w:r>
      <w:r w:rsidRPr="000C5D21">
        <w:rPr>
          <w:rFonts w:ascii="Century Gothic" w:eastAsia="Times New Roman" w:hAnsi="Century Gothic"/>
          <w:sz w:val="24"/>
          <w:szCs w:val="24"/>
          <w:lang w:eastAsia="es-ES"/>
        </w:rPr>
        <w:tab/>
      </w:r>
      <w:r w:rsidRPr="000C5D21">
        <w:rPr>
          <w:rFonts w:ascii="Century Gothic" w:eastAsia="Times New Roman" w:hAnsi="Century Gothic"/>
          <w:sz w:val="24"/>
          <w:szCs w:val="24"/>
          <w:lang w:eastAsia="es-ES"/>
        </w:rPr>
        <w:tab/>
      </w:r>
      <w:r w:rsidRPr="000C5D21">
        <w:rPr>
          <w:rFonts w:ascii="Century Gothic" w:eastAsia="Times New Roman" w:hAnsi="Century Gothic"/>
          <w:sz w:val="24"/>
          <w:szCs w:val="24"/>
          <w:lang w:eastAsia="es-ES"/>
        </w:rPr>
        <w:tab/>
      </w:r>
      <w:r w:rsidRPr="000C5D21">
        <w:rPr>
          <w:rFonts w:ascii="Century Gothic" w:eastAsia="Times New Roman" w:hAnsi="Century Gothic"/>
          <w:sz w:val="24"/>
          <w:szCs w:val="24"/>
          <w:lang w:eastAsia="es-ES"/>
        </w:rPr>
        <w:tab/>
      </w:r>
      <w:r w:rsidRPr="000C5D21">
        <w:rPr>
          <w:rFonts w:ascii="Gadugi" w:eastAsia="Times New Roman" w:hAnsi="Gadugi"/>
          <w:sz w:val="24"/>
          <w:szCs w:val="24"/>
          <w:lang w:eastAsia="es-ES"/>
        </w:rPr>
        <w:t>Ahora, si se acude a los requisitos específicos, la cuestión se apuntala en el defecto material o sustantivo, como quiera que se pone en entredicho la posición del funcionario al no acced</w:t>
      </w:r>
      <w:r>
        <w:rPr>
          <w:rFonts w:ascii="Gadugi" w:eastAsia="Times New Roman" w:hAnsi="Gadugi"/>
          <w:sz w:val="24"/>
          <w:szCs w:val="24"/>
          <w:lang w:eastAsia="es-ES"/>
        </w:rPr>
        <w:t>er a</w:t>
      </w:r>
      <w:r w:rsidR="00004C19">
        <w:rPr>
          <w:rFonts w:ascii="Gadugi" w:eastAsia="Times New Roman" w:hAnsi="Gadugi"/>
          <w:sz w:val="24"/>
          <w:szCs w:val="24"/>
          <w:lang w:val="es-419" w:eastAsia="es-ES"/>
        </w:rPr>
        <w:t xml:space="preserve"> la nulidad derivada del vencimiento de términos de que trata el artículo 121 del CGP. </w:t>
      </w:r>
      <w:r>
        <w:rPr>
          <w:rFonts w:ascii="Gadugi" w:eastAsia="Times New Roman" w:hAnsi="Gadugi"/>
          <w:sz w:val="24"/>
          <w:szCs w:val="24"/>
          <w:lang w:eastAsia="es-ES"/>
        </w:rPr>
        <w:t xml:space="preserve">De ese defecto se ha dicho: </w:t>
      </w:r>
    </w:p>
    <w:p w:rsidR="001712AB" w:rsidRDefault="001712AB" w:rsidP="00004C19">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1712AB" w:rsidRPr="00C63453" w:rsidRDefault="001712AB" w:rsidP="00004C19">
      <w:pPr>
        <w:shd w:val="clear" w:color="auto" w:fill="FFFFFF"/>
        <w:overflowPunct w:val="0"/>
        <w:autoSpaceDE w:val="0"/>
        <w:autoSpaceDN w:val="0"/>
        <w:adjustRightInd w:val="0"/>
        <w:spacing w:after="0" w:line="240" w:lineRule="auto"/>
        <w:ind w:left="851" w:right="902"/>
        <w:jc w:val="both"/>
        <w:textAlignment w:val="baseline"/>
        <w:rPr>
          <w:rFonts w:ascii="Arial Narrow" w:eastAsia="Times New Roman" w:hAnsi="Arial Narrow"/>
          <w:sz w:val="24"/>
          <w:szCs w:val="24"/>
          <w:lang w:val="es-419" w:eastAsia="es-ES"/>
        </w:rPr>
      </w:pPr>
      <w:r>
        <w:rPr>
          <w:rFonts w:ascii="Arial Narrow" w:hAnsi="Arial Narrow" w:cs="Calibri Light"/>
          <w:iCs/>
          <w:color w:val="2D2D2D"/>
          <w:sz w:val="24"/>
          <w:szCs w:val="24"/>
          <w:bdr w:val="none" w:sz="0" w:space="0" w:color="auto" w:frame="1"/>
          <w:lang w:val="es-419"/>
        </w:rPr>
        <w:t xml:space="preserve">  </w:t>
      </w:r>
      <w:r>
        <w:rPr>
          <w:rFonts w:ascii="Arial Narrow" w:hAnsi="Arial Narrow" w:cs="Calibri Light"/>
          <w:iCs/>
          <w:color w:val="2D2D2D"/>
          <w:sz w:val="24"/>
          <w:szCs w:val="24"/>
          <w:bdr w:val="none" w:sz="0" w:space="0" w:color="auto" w:frame="1"/>
          <w:lang w:val="es-419"/>
        </w:rPr>
        <w:tab/>
      </w:r>
      <w:r>
        <w:rPr>
          <w:rFonts w:ascii="Arial Narrow" w:hAnsi="Arial Narrow" w:cs="Calibri Light"/>
          <w:iCs/>
          <w:color w:val="2D2D2D"/>
          <w:sz w:val="24"/>
          <w:szCs w:val="24"/>
          <w:bdr w:val="none" w:sz="0" w:space="0" w:color="auto" w:frame="1"/>
          <w:lang w:val="es-419"/>
        </w:rPr>
        <w:tab/>
      </w:r>
      <w:r>
        <w:rPr>
          <w:rFonts w:ascii="Arial Narrow" w:hAnsi="Arial Narrow" w:cs="Calibri Light"/>
          <w:iCs/>
          <w:color w:val="2D2D2D"/>
          <w:sz w:val="24"/>
          <w:szCs w:val="24"/>
          <w:bdr w:val="none" w:sz="0" w:space="0" w:color="auto" w:frame="1"/>
          <w:lang w:val="es-419"/>
        </w:rPr>
        <w:tab/>
      </w:r>
      <w:r w:rsidRPr="00C63453">
        <w:rPr>
          <w:rFonts w:ascii="Arial Narrow" w:hAnsi="Arial Narrow" w:cs="Calibri Light"/>
          <w:iCs/>
          <w:color w:val="2D2D2D"/>
          <w:sz w:val="24"/>
          <w:szCs w:val="24"/>
          <w:bdr w:val="none" w:sz="0" w:space="0" w:color="auto" w:frame="1"/>
          <w:lang w:val="es-ES_tradnl"/>
        </w:rPr>
        <w:t xml:space="preserve">Como ha sido perfilado por la jurisprudencia constitucional, se podría configurar un defecto sustantivo siempre que: (i) la decisión cuestionada se funda en una norma indiscutiblemente inaplicable al caso concreto, por ejemplo, ora porque la norma empleada no se ajusta al caso, no se encuentra vigente por haber sido derogada, o ha sido declarada inconstitucional; (ii) a pesar del amplio margen interpretativo que la Constitución le reconoce a las autoridades judiciales, la interpretación o aplicación que se hace de la norma en el caso concreto, desconoce sentencias con efectos erga omnes que han definido su alcance; (iii) cuando se fija el alcance de una norma desatendiendo otras disposiciones aplicables al caso y que son necesarias para efectuar una interpretación sistemática; (iv) cuando la norma pertinente es inobservada y, por </w:t>
      </w:r>
      <w:r w:rsidRPr="00C63453">
        <w:rPr>
          <w:rFonts w:ascii="Arial Narrow" w:hAnsi="Arial Narrow" w:cs="Calibri Light"/>
          <w:iCs/>
          <w:color w:val="2D2D2D"/>
          <w:sz w:val="24"/>
          <w:szCs w:val="24"/>
          <w:bdr w:val="none" w:sz="0" w:space="0" w:color="auto" w:frame="1"/>
          <w:lang w:val="es-ES_tradnl"/>
        </w:rPr>
        <w:lastRenderedPageBreak/>
        <w:t>ende, inaplicada; o finalmente, (v) en el evento en que, no obstante la norma en cuestión está vigente y es constitucional, no se adecúa a la situación fáctica a la cual se aplicó, porque a ésta, por ejemplo, se le reconocen efectos distintos a los expresame</w:t>
      </w:r>
      <w:r>
        <w:rPr>
          <w:rFonts w:ascii="Arial Narrow" w:hAnsi="Arial Narrow" w:cs="Calibri Light"/>
          <w:iCs/>
          <w:color w:val="2D2D2D"/>
          <w:sz w:val="24"/>
          <w:szCs w:val="24"/>
          <w:bdr w:val="none" w:sz="0" w:space="0" w:color="auto" w:frame="1"/>
          <w:lang w:val="es-ES_tradnl"/>
        </w:rPr>
        <w:t>nte señalados por el legislador</w:t>
      </w:r>
      <w:r w:rsidRPr="00C63453">
        <w:rPr>
          <w:rFonts w:ascii="Arial Narrow" w:eastAsia="Times New Roman" w:hAnsi="Arial Narrow" w:cs="Calibri Light"/>
          <w:sz w:val="24"/>
          <w:szCs w:val="24"/>
          <w:bdr w:val="none" w:sz="0" w:space="0" w:color="auto" w:frame="1"/>
          <w:vertAlign w:val="superscript"/>
          <w:lang w:eastAsia="es-ES"/>
        </w:rPr>
        <w:footnoteReference w:id="2"/>
      </w:r>
      <w:r>
        <w:rPr>
          <w:rFonts w:ascii="Arial Narrow" w:hAnsi="Arial Narrow" w:cs="Calibri Light"/>
          <w:iCs/>
          <w:color w:val="2D2D2D"/>
          <w:sz w:val="24"/>
          <w:szCs w:val="24"/>
          <w:bdr w:val="none" w:sz="0" w:space="0" w:color="auto" w:frame="1"/>
          <w:lang w:val="es-419"/>
        </w:rPr>
        <w:t>.</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p>
    <w:p w:rsidR="001712AB" w:rsidRPr="000C5D21" w:rsidRDefault="00D04132" w:rsidP="00004C1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Pr>
          <w:rFonts w:ascii="Gadugi" w:eastAsia="Times New Roman" w:hAnsi="Gadugi"/>
          <w:sz w:val="24"/>
          <w:szCs w:val="24"/>
          <w:lang w:val="es-419" w:eastAsia="es-ES"/>
        </w:rPr>
        <w:t>A</w:t>
      </w:r>
      <w:r w:rsidR="001712AB" w:rsidRPr="000C5D21">
        <w:rPr>
          <w:rFonts w:ascii="Gadugi" w:eastAsia="Times New Roman" w:hAnsi="Gadugi"/>
          <w:sz w:val="24"/>
          <w:szCs w:val="24"/>
          <w:lang w:val="es-MX" w:eastAsia="es-ES"/>
        </w:rPr>
        <w:t xml:space="preserve"> pesar de las explicaciones que blande</w:t>
      </w:r>
      <w:r w:rsidR="001712AB" w:rsidRPr="000C5D21">
        <w:rPr>
          <w:rFonts w:ascii="Gadugi" w:eastAsia="Times New Roman" w:hAnsi="Gadugi"/>
          <w:sz w:val="24"/>
          <w:szCs w:val="24"/>
          <w:lang w:val="es-419" w:eastAsia="es-ES"/>
        </w:rPr>
        <w:t xml:space="preserve"> </w:t>
      </w:r>
      <w:r w:rsidR="001712AB" w:rsidRPr="000C5D21">
        <w:rPr>
          <w:rFonts w:ascii="Gadugi" w:eastAsia="Times New Roman" w:hAnsi="Gadugi"/>
          <w:sz w:val="24"/>
          <w:szCs w:val="24"/>
          <w:lang w:val="es-MX" w:eastAsia="es-ES"/>
        </w:rPr>
        <w:t>el accionante, no hay</w:t>
      </w:r>
      <w:r w:rsidR="001712AB" w:rsidRPr="000C5D21">
        <w:rPr>
          <w:rFonts w:ascii="Gadugi" w:eastAsia="Times New Roman" w:hAnsi="Gadugi"/>
          <w:sz w:val="24"/>
          <w:szCs w:val="24"/>
          <w:lang w:val="es-419" w:eastAsia="es-ES"/>
        </w:rPr>
        <w:t xml:space="preserve"> </w:t>
      </w:r>
      <w:r w:rsidR="001712AB" w:rsidRPr="000C5D21">
        <w:rPr>
          <w:rFonts w:ascii="Gadugi" w:eastAsia="Times New Roman" w:hAnsi="Gadugi"/>
          <w:sz w:val="24"/>
          <w:szCs w:val="24"/>
          <w:lang w:val="es-MX" w:eastAsia="es-ES"/>
        </w:rPr>
        <w:t>criterios constitucionales que permitan deducir el resquebrajamiento de los derechos fundamentales invocados. En efecto, como se observa, la queja del actor deviene</w:t>
      </w:r>
      <w:r w:rsidR="001712AB">
        <w:rPr>
          <w:rFonts w:ascii="Gadugi" w:eastAsia="Times New Roman" w:hAnsi="Gadugi"/>
          <w:sz w:val="24"/>
          <w:szCs w:val="24"/>
          <w:lang w:val="es-419" w:eastAsia="es-ES"/>
        </w:rPr>
        <w:t xml:space="preserve"> de </w:t>
      </w:r>
      <w:r w:rsidR="001712AB" w:rsidRPr="000C5D21">
        <w:rPr>
          <w:rFonts w:ascii="Gadugi" w:eastAsia="Times New Roman" w:hAnsi="Gadugi"/>
          <w:sz w:val="24"/>
          <w:szCs w:val="24"/>
          <w:lang w:val="es-MX" w:eastAsia="es-ES"/>
        </w:rPr>
        <w:t xml:space="preserve">la intelección </w:t>
      </w:r>
      <w:r w:rsidR="001712AB">
        <w:rPr>
          <w:rFonts w:ascii="Gadugi" w:eastAsia="Times New Roman" w:hAnsi="Gadugi"/>
          <w:sz w:val="24"/>
          <w:szCs w:val="24"/>
          <w:lang w:val="es-419" w:eastAsia="es-ES"/>
        </w:rPr>
        <w:t>que</w:t>
      </w:r>
      <w:r w:rsidR="001712AB" w:rsidRPr="000C5D21">
        <w:rPr>
          <w:rFonts w:ascii="Gadugi" w:eastAsia="Times New Roman" w:hAnsi="Gadugi"/>
          <w:sz w:val="24"/>
          <w:szCs w:val="24"/>
          <w:lang w:val="es-MX" w:eastAsia="es-ES"/>
        </w:rPr>
        <w:t xml:space="preserve"> la funci</w:t>
      </w:r>
      <w:r w:rsidR="001712AB">
        <w:rPr>
          <w:rFonts w:ascii="Gadugi" w:eastAsia="Times New Roman" w:hAnsi="Gadugi"/>
          <w:sz w:val="24"/>
          <w:szCs w:val="24"/>
          <w:lang w:val="es-MX" w:eastAsia="es-ES"/>
        </w:rPr>
        <w:t xml:space="preserve">onaria ofreció en torno a sus solicitudes relacionadas con la aplicación </w:t>
      </w:r>
      <w:r w:rsidR="003A2826">
        <w:rPr>
          <w:rFonts w:ascii="Gadugi" w:eastAsia="Times New Roman" w:hAnsi="Gadugi"/>
          <w:sz w:val="24"/>
          <w:szCs w:val="24"/>
          <w:lang w:val="es-MX" w:eastAsia="es-ES"/>
        </w:rPr>
        <w:t xml:space="preserve">del artículo 121 el Código General del Proceso </w:t>
      </w:r>
      <w:r w:rsidR="001712AB">
        <w:rPr>
          <w:rFonts w:ascii="Gadugi" w:eastAsia="Times New Roman" w:hAnsi="Gadugi"/>
          <w:sz w:val="24"/>
          <w:szCs w:val="24"/>
          <w:lang w:val="es-MX" w:eastAsia="es-ES"/>
        </w:rPr>
        <w:t xml:space="preserve"> (pág</w:t>
      </w:r>
      <w:r w:rsidR="003A2826">
        <w:rPr>
          <w:rFonts w:ascii="Gadugi" w:eastAsia="Times New Roman" w:hAnsi="Gadugi"/>
          <w:sz w:val="24"/>
          <w:szCs w:val="24"/>
          <w:lang w:val="es-MX" w:eastAsia="es-ES"/>
        </w:rPr>
        <w:t>s</w:t>
      </w:r>
      <w:r w:rsidR="001712AB">
        <w:rPr>
          <w:rFonts w:ascii="Gadugi" w:eastAsia="Times New Roman" w:hAnsi="Gadugi"/>
          <w:sz w:val="24"/>
          <w:szCs w:val="24"/>
          <w:lang w:val="es-MX" w:eastAsia="es-ES"/>
        </w:rPr>
        <w:t xml:space="preserve">. </w:t>
      </w:r>
      <w:r w:rsidR="003A2826">
        <w:rPr>
          <w:rFonts w:ascii="Gadugi" w:eastAsia="Times New Roman" w:hAnsi="Gadugi"/>
          <w:sz w:val="24"/>
          <w:szCs w:val="24"/>
          <w:lang w:val="es-MX" w:eastAsia="es-ES"/>
        </w:rPr>
        <w:t xml:space="preserve">42 y </w:t>
      </w:r>
      <w:r w:rsidR="00927E44">
        <w:rPr>
          <w:rFonts w:ascii="Gadugi" w:eastAsia="Times New Roman" w:hAnsi="Gadugi"/>
          <w:sz w:val="24"/>
          <w:szCs w:val="24"/>
          <w:lang w:val="es-MX" w:eastAsia="es-ES"/>
        </w:rPr>
        <w:t>46</w:t>
      </w:r>
      <w:r w:rsidR="001712AB">
        <w:rPr>
          <w:rFonts w:ascii="Gadugi" w:eastAsia="Times New Roman" w:hAnsi="Gadugi"/>
          <w:sz w:val="24"/>
          <w:szCs w:val="24"/>
          <w:lang w:val="es-MX" w:eastAsia="es-ES"/>
        </w:rPr>
        <w:t xml:space="preserve"> del cd – f. 1</w:t>
      </w:r>
      <w:r w:rsidR="003A2826">
        <w:rPr>
          <w:rFonts w:ascii="Gadugi" w:eastAsia="Times New Roman" w:hAnsi="Gadugi"/>
          <w:sz w:val="24"/>
          <w:szCs w:val="24"/>
          <w:lang w:val="es-MX" w:eastAsia="es-ES"/>
        </w:rPr>
        <w:t>2</w:t>
      </w:r>
      <w:r w:rsidR="001712AB">
        <w:rPr>
          <w:rFonts w:ascii="Gadugi" w:eastAsia="Times New Roman" w:hAnsi="Gadugi"/>
          <w:sz w:val="24"/>
          <w:szCs w:val="24"/>
          <w:lang w:val="es-MX" w:eastAsia="es-ES"/>
        </w:rPr>
        <w:t xml:space="preserve">), </w:t>
      </w:r>
      <w:r w:rsidR="003A2826">
        <w:rPr>
          <w:rFonts w:ascii="Gadugi" w:eastAsia="Times New Roman" w:hAnsi="Gadugi"/>
          <w:sz w:val="24"/>
          <w:szCs w:val="24"/>
          <w:lang w:val="es-MX" w:eastAsia="es-ES"/>
        </w:rPr>
        <w:t>en las que</w:t>
      </w:r>
      <w:r w:rsidR="001712AB">
        <w:rPr>
          <w:rFonts w:ascii="Gadugi" w:eastAsia="Times New Roman" w:hAnsi="Gadugi"/>
          <w:sz w:val="24"/>
          <w:szCs w:val="24"/>
          <w:lang w:val="es-MX" w:eastAsia="es-ES"/>
        </w:rPr>
        <w:t xml:space="preserve"> </w:t>
      </w:r>
      <w:r>
        <w:rPr>
          <w:rFonts w:ascii="Gadugi" w:eastAsia="Times New Roman" w:hAnsi="Gadugi"/>
          <w:sz w:val="24"/>
          <w:szCs w:val="24"/>
          <w:lang w:val="es-419" w:eastAsia="es-ES"/>
        </w:rPr>
        <w:t>sustentó</w:t>
      </w:r>
      <w:r w:rsidR="003A2826">
        <w:rPr>
          <w:rFonts w:ascii="Gadugi" w:eastAsia="Times New Roman" w:hAnsi="Gadugi"/>
          <w:sz w:val="24"/>
          <w:szCs w:val="24"/>
          <w:lang w:val="es-MX" w:eastAsia="es-ES"/>
        </w:rPr>
        <w:t xml:space="preserve"> con claridad </w:t>
      </w:r>
      <w:r w:rsidR="00171AEC">
        <w:rPr>
          <w:rFonts w:ascii="Gadugi" w:eastAsia="Times New Roman" w:hAnsi="Gadugi"/>
          <w:sz w:val="24"/>
          <w:szCs w:val="24"/>
          <w:lang w:val="es-419" w:eastAsia="es-ES"/>
        </w:rPr>
        <w:t xml:space="preserve">su </w:t>
      </w:r>
      <w:r w:rsidR="003A2826">
        <w:rPr>
          <w:rFonts w:ascii="Gadugi" w:eastAsia="Times New Roman" w:hAnsi="Gadugi"/>
          <w:sz w:val="24"/>
          <w:szCs w:val="24"/>
          <w:lang w:val="es-MX" w:eastAsia="es-ES"/>
        </w:rPr>
        <w:t xml:space="preserve">impertinencia </w:t>
      </w:r>
      <w:r w:rsidR="00171AEC">
        <w:rPr>
          <w:rFonts w:ascii="Gadugi" w:eastAsia="Times New Roman" w:hAnsi="Gadugi"/>
          <w:sz w:val="24"/>
          <w:szCs w:val="24"/>
          <w:lang w:val="es-419" w:eastAsia="es-ES"/>
        </w:rPr>
        <w:t xml:space="preserve">en una acción de esta estirpe, además de haber considerado </w:t>
      </w:r>
      <w:r w:rsidR="003A2826">
        <w:rPr>
          <w:rFonts w:ascii="Gadugi" w:eastAsia="Times New Roman" w:hAnsi="Gadugi"/>
          <w:sz w:val="24"/>
          <w:szCs w:val="24"/>
          <w:lang w:val="es-MX" w:eastAsia="es-ES"/>
        </w:rPr>
        <w:t>que “</w:t>
      </w:r>
      <w:r w:rsidR="003A2826" w:rsidRPr="00171AEC">
        <w:rPr>
          <w:rFonts w:ascii="Gadugi" w:eastAsia="Times New Roman" w:hAnsi="Gadugi"/>
          <w:i/>
          <w:sz w:val="24"/>
          <w:szCs w:val="24"/>
          <w:lang w:val="es-MX" w:eastAsia="es-ES"/>
        </w:rPr>
        <w:t>no han vencido los términos de los que habla el artículo 121 del Código General del Proceso</w:t>
      </w:r>
      <w:r w:rsidR="003A2826">
        <w:rPr>
          <w:rFonts w:ascii="Gadugi" w:eastAsia="Times New Roman" w:hAnsi="Gadugi"/>
          <w:sz w:val="24"/>
          <w:szCs w:val="24"/>
          <w:lang w:val="es-MX" w:eastAsia="es-ES"/>
        </w:rPr>
        <w:t xml:space="preserve">” lo que </w:t>
      </w:r>
      <w:r w:rsidR="00171AEC">
        <w:rPr>
          <w:rFonts w:ascii="Gadugi" w:eastAsia="Times New Roman" w:hAnsi="Gadugi"/>
          <w:sz w:val="24"/>
          <w:szCs w:val="24"/>
          <w:lang w:val="es-419" w:eastAsia="es-ES"/>
        </w:rPr>
        <w:t>resulta</w:t>
      </w:r>
      <w:r w:rsidR="003A2826">
        <w:rPr>
          <w:rFonts w:ascii="Gadugi" w:eastAsia="Times New Roman" w:hAnsi="Gadugi"/>
          <w:sz w:val="24"/>
          <w:szCs w:val="24"/>
          <w:lang w:val="es-MX" w:eastAsia="es-ES"/>
        </w:rPr>
        <w:t xml:space="preserve"> coherente con lo sucedido en aquel proceso en el que, a causa de la nulidad </w:t>
      </w:r>
      <w:r w:rsidR="00863C6F">
        <w:rPr>
          <w:rFonts w:ascii="Gadugi" w:eastAsia="Times New Roman" w:hAnsi="Gadugi"/>
          <w:sz w:val="24"/>
          <w:szCs w:val="24"/>
          <w:lang w:val="es-MX" w:eastAsia="es-ES"/>
        </w:rPr>
        <w:t>decretada por esta colegiatura el 30 de noviembre de 2017, se inició de nuevo</w:t>
      </w:r>
      <w:r w:rsidR="00927E44">
        <w:rPr>
          <w:rFonts w:ascii="Gadugi" w:eastAsia="Times New Roman" w:hAnsi="Gadugi"/>
          <w:sz w:val="24"/>
          <w:szCs w:val="24"/>
          <w:lang w:val="es-MX" w:eastAsia="es-ES"/>
        </w:rPr>
        <w:t>,</w:t>
      </w:r>
      <w:r w:rsidR="00863C6F">
        <w:rPr>
          <w:rFonts w:ascii="Gadugi" w:eastAsia="Times New Roman" w:hAnsi="Gadugi"/>
          <w:sz w:val="24"/>
          <w:szCs w:val="24"/>
          <w:lang w:val="es-MX" w:eastAsia="es-ES"/>
        </w:rPr>
        <w:t xml:space="preserve"> parte del trámite de </w:t>
      </w:r>
      <w:r w:rsidR="001F615D">
        <w:rPr>
          <w:rFonts w:ascii="Gadugi" w:eastAsia="Times New Roman" w:hAnsi="Gadugi"/>
          <w:sz w:val="24"/>
          <w:szCs w:val="24"/>
          <w:lang w:val="es-419" w:eastAsia="es-ES"/>
        </w:rPr>
        <w:t xml:space="preserve">la </w:t>
      </w:r>
      <w:r w:rsidR="00863C6F">
        <w:rPr>
          <w:rFonts w:ascii="Gadugi" w:eastAsia="Times New Roman" w:hAnsi="Gadugi"/>
          <w:sz w:val="24"/>
          <w:szCs w:val="24"/>
          <w:lang w:val="es-MX" w:eastAsia="es-ES"/>
        </w:rPr>
        <w:t>notificación.</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p>
    <w:p w:rsidR="001712AB" w:rsidRPr="000C5D21" w:rsidRDefault="001F615D" w:rsidP="00004C1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Pr>
          <w:rFonts w:ascii="Gadugi" w:eastAsia="Times New Roman" w:hAnsi="Gadugi"/>
          <w:sz w:val="24"/>
          <w:szCs w:val="24"/>
          <w:lang w:val="es-419" w:eastAsia="es-ES"/>
        </w:rPr>
        <w:t>Esas</w:t>
      </w:r>
      <w:r w:rsidR="00863C6F">
        <w:rPr>
          <w:rFonts w:ascii="Gadugi" w:eastAsia="Times New Roman" w:hAnsi="Gadugi"/>
          <w:sz w:val="24"/>
          <w:szCs w:val="24"/>
          <w:lang w:val="es-MX" w:eastAsia="es-ES"/>
        </w:rPr>
        <w:t xml:space="preserve"> resoluciones</w:t>
      </w:r>
      <w:r>
        <w:rPr>
          <w:rFonts w:ascii="Gadugi" w:eastAsia="Times New Roman" w:hAnsi="Gadugi"/>
          <w:sz w:val="24"/>
          <w:szCs w:val="24"/>
          <w:lang w:val="es-419" w:eastAsia="es-ES"/>
        </w:rPr>
        <w:t xml:space="preserve"> del Juzgado,</w:t>
      </w:r>
      <w:r w:rsidR="001712AB" w:rsidRPr="000C5D21">
        <w:rPr>
          <w:rFonts w:ascii="Gadugi" w:eastAsia="Times New Roman" w:hAnsi="Gadugi"/>
          <w:sz w:val="24"/>
          <w:szCs w:val="24"/>
          <w:lang w:val="es-MX" w:eastAsia="es-ES"/>
        </w:rPr>
        <w:t xml:space="preserve"> por sí solas, </w:t>
      </w:r>
      <w:r w:rsidR="001712AB">
        <w:rPr>
          <w:rFonts w:ascii="Gadugi" w:eastAsia="Times New Roman" w:hAnsi="Gadugi"/>
          <w:sz w:val="24"/>
          <w:szCs w:val="24"/>
          <w:lang w:val="es-419" w:eastAsia="es-ES"/>
        </w:rPr>
        <w:t xml:space="preserve">son insuficientes para </w:t>
      </w:r>
      <w:r w:rsidR="001712AB" w:rsidRPr="000C5D21">
        <w:rPr>
          <w:rFonts w:ascii="Gadugi" w:eastAsia="Times New Roman" w:hAnsi="Gadugi"/>
          <w:sz w:val="24"/>
          <w:szCs w:val="24"/>
          <w:lang w:val="es-MX" w:eastAsia="es-ES"/>
        </w:rPr>
        <w:t xml:space="preserve">trasgredir los derechos </w:t>
      </w:r>
      <w:r w:rsidR="001712AB">
        <w:rPr>
          <w:rFonts w:ascii="Gadugi" w:eastAsia="Times New Roman" w:hAnsi="Gadugi"/>
          <w:sz w:val="24"/>
          <w:szCs w:val="24"/>
          <w:lang w:val="es-419" w:eastAsia="es-ES"/>
        </w:rPr>
        <w:t>del demandante</w:t>
      </w:r>
      <w:r w:rsidR="001712AB" w:rsidRPr="000C5D21">
        <w:rPr>
          <w:rFonts w:ascii="Gadugi" w:eastAsia="Times New Roman" w:hAnsi="Gadugi"/>
          <w:sz w:val="24"/>
          <w:szCs w:val="24"/>
          <w:lang w:val="es-MX" w:eastAsia="es-ES"/>
        </w:rPr>
        <w:t xml:space="preserve">, porque </w:t>
      </w:r>
      <w:r>
        <w:rPr>
          <w:rFonts w:ascii="Gadugi" w:eastAsia="Times New Roman" w:hAnsi="Gadugi"/>
          <w:sz w:val="24"/>
          <w:szCs w:val="24"/>
          <w:lang w:val="es-419" w:eastAsia="es-ES"/>
        </w:rPr>
        <w:t xml:space="preserve">el </w:t>
      </w:r>
      <w:r w:rsidR="001712AB" w:rsidRPr="000C5D21">
        <w:rPr>
          <w:rFonts w:ascii="Gadugi" w:eastAsia="Times New Roman" w:hAnsi="Gadugi"/>
          <w:sz w:val="24"/>
          <w:szCs w:val="24"/>
          <w:lang w:val="es-MX" w:eastAsia="es-ES"/>
        </w:rPr>
        <w:t xml:space="preserve">razonamiento </w:t>
      </w:r>
      <w:r>
        <w:rPr>
          <w:rFonts w:ascii="Gadugi" w:eastAsia="Times New Roman" w:hAnsi="Gadugi"/>
          <w:sz w:val="24"/>
          <w:szCs w:val="24"/>
          <w:lang w:val="es-419" w:eastAsia="es-ES"/>
        </w:rPr>
        <w:t xml:space="preserve">de </w:t>
      </w:r>
      <w:r w:rsidR="001712AB" w:rsidRPr="000C5D21">
        <w:rPr>
          <w:rFonts w:ascii="Gadugi" w:eastAsia="Times New Roman" w:hAnsi="Gadugi"/>
          <w:sz w:val="24"/>
          <w:szCs w:val="24"/>
          <w:lang w:val="es-MX" w:eastAsia="es-ES"/>
        </w:rPr>
        <w:t xml:space="preserve">la funcionaria de la causa, por más discutible que le parezca, y aun si pudiera admitir otras posiciones, no lleva inserta </w:t>
      </w:r>
      <w:r w:rsidR="001712AB" w:rsidRPr="000C5D21">
        <w:rPr>
          <w:rFonts w:ascii="Gadugi" w:eastAsia="Times New Roman" w:hAnsi="Gadugi"/>
          <w:sz w:val="24"/>
          <w:szCs w:val="24"/>
          <w:lang w:val="es-419" w:eastAsia="es-ES"/>
        </w:rPr>
        <w:t xml:space="preserve">tal </w:t>
      </w:r>
      <w:r w:rsidR="001712AB" w:rsidRPr="000C5D21">
        <w:rPr>
          <w:rFonts w:ascii="Gadugi" w:eastAsia="Times New Roman" w:hAnsi="Gadugi"/>
          <w:sz w:val="24"/>
          <w:szCs w:val="24"/>
          <w:lang w:val="es-MX" w:eastAsia="es-ES"/>
        </w:rPr>
        <w:t xml:space="preserve">vulneración, que es lo que por esta vía se puede proteger. Apoyada en </w:t>
      </w:r>
      <w:r>
        <w:rPr>
          <w:rFonts w:ascii="Gadugi" w:eastAsia="Times New Roman" w:hAnsi="Gadugi"/>
          <w:sz w:val="24"/>
          <w:szCs w:val="24"/>
          <w:lang w:val="es-419" w:eastAsia="es-ES"/>
        </w:rPr>
        <w:t>criterio</w:t>
      </w:r>
      <w:r w:rsidR="001712AB" w:rsidRPr="000C5D21">
        <w:rPr>
          <w:rFonts w:ascii="Gadugi" w:eastAsia="Times New Roman" w:hAnsi="Gadugi"/>
          <w:sz w:val="24"/>
          <w:szCs w:val="24"/>
          <w:lang w:val="es-MX" w:eastAsia="es-ES"/>
        </w:rPr>
        <w:t xml:space="preserve"> jurisprudencial sobre la materia y precedida de argumentos en torno a la naturaleza  de</w:t>
      </w:r>
      <w:r>
        <w:rPr>
          <w:rFonts w:ascii="Gadugi" w:eastAsia="Times New Roman" w:hAnsi="Gadugi"/>
          <w:sz w:val="24"/>
          <w:szCs w:val="24"/>
          <w:lang w:val="es-419" w:eastAsia="es-ES"/>
        </w:rPr>
        <w:t xml:space="preserve"> la acción popular</w:t>
      </w:r>
      <w:r w:rsidR="001712AB" w:rsidRPr="000C5D21">
        <w:rPr>
          <w:rFonts w:ascii="Gadugi" w:eastAsia="Times New Roman" w:hAnsi="Gadugi"/>
          <w:sz w:val="24"/>
          <w:szCs w:val="24"/>
          <w:lang w:val="es-MX" w:eastAsia="es-ES"/>
        </w:rPr>
        <w:t xml:space="preserve">, nada de arbitrario o antojadizo se advierte en </w:t>
      </w:r>
      <w:r>
        <w:rPr>
          <w:rFonts w:ascii="Gadugi" w:eastAsia="Times New Roman" w:hAnsi="Gadugi"/>
          <w:sz w:val="24"/>
          <w:szCs w:val="24"/>
          <w:lang w:val="es-419" w:eastAsia="es-ES"/>
        </w:rPr>
        <w:t xml:space="preserve">sus decisiones, </w:t>
      </w:r>
      <w:r w:rsidR="001712AB" w:rsidRPr="000C5D21">
        <w:rPr>
          <w:rFonts w:ascii="Gadugi" w:eastAsia="Times New Roman" w:hAnsi="Gadugi"/>
          <w:sz w:val="24"/>
          <w:szCs w:val="24"/>
          <w:lang w:val="es-MX" w:eastAsia="es-ES"/>
        </w:rPr>
        <w:t>con lo que al juez de tutela le está vedado intervenir, pues tiene dicho sobre el particular la jurisprudencia</w:t>
      </w:r>
      <w:r w:rsidR="001712AB" w:rsidRPr="000C5D21">
        <w:rPr>
          <w:rFonts w:ascii="Gadugi" w:eastAsia="Times New Roman" w:hAnsi="Gadugi"/>
          <w:sz w:val="24"/>
          <w:szCs w:val="24"/>
          <w:vertAlign w:val="superscript"/>
          <w:lang w:val="es-MX" w:eastAsia="es-ES"/>
        </w:rPr>
        <w:footnoteReference w:id="3"/>
      </w:r>
      <w:r w:rsidR="001712AB" w:rsidRPr="000C5D21">
        <w:rPr>
          <w:rFonts w:ascii="Gadugi" w:eastAsia="Times New Roman" w:hAnsi="Gadugi"/>
          <w:sz w:val="24"/>
          <w:szCs w:val="24"/>
          <w:lang w:val="es-MX" w:eastAsia="es-ES"/>
        </w:rPr>
        <w:t xml:space="preserve"> que:</w:t>
      </w:r>
    </w:p>
    <w:p w:rsidR="001712AB" w:rsidRPr="000C5D21" w:rsidRDefault="001712AB" w:rsidP="00004C19">
      <w:pPr>
        <w:overflowPunct w:val="0"/>
        <w:autoSpaceDE w:val="0"/>
        <w:autoSpaceDN w:val="0"/>
        <w:adjustRightInd w:val="0"/>
        <w:spacing w:after="0" w:line="276" w:lineRule="auto"/>
        <w:ind w:left="851" w:right="475" w:firstLine="1984"/>
        <w:jc w:val="both"/>
        <w:textAlignment w:val="baseline"/>
        <w:rPr>
          <w:rFonts w:ascii="Century Gothic" w:eastAsia="Times New Roman" w:hAnsi="Century Gothic"/>
          <w:b/>
          <w:sz w:val="24"/>
          <w:szCs w:val="24"/>
          <w:lang w:val="es-CO" w:eastAsia="es-ES"/>
        </w:rPr>
      </w:pPr>
    </w:p>
    <w:p w:rsidR="001712AB" w:rsidRPr="000C5D21" w:rsidRDefault="001712AB" w:rsidP="00004C19">
      <w:pPr>
        <w:overflowPunct w:val="0"/>
        <w:autoSpaceDE w:val="0"/>
        <w:autoSpaceDN w:val="0"/>
        <w:adjustRightInd w:val="0"/>
        <w:spacing w:after="0" w:line="240" w:lineRule="auto"/>
        <w:ind w:left="851" w:right="475" w:firstLine="1984"/>
        <w:jc w:val="both"/>
        <w:textAlignment w:val="baseline"/>
        <w:rPr>
          <w:rFonts w:ascii="Arial Narrow" w:eastAsia="Times New Roman" w:hAnsi="Arial Narrow"/>
          <w:iCs/>
          <w:sz w:val="24"/>
          <w:szCs w:val="24"/>
          <w:lang w:eastAsia="es-ES"/>
        </w:rPr>
      </w:pPr>
      <w:r w:rsidRPr="000C5D21">
        <w:rPr>
          <w:rFonts w:ascii="Arial Narrow" w:eastAsia="Times New Roman" w:hAnsi="Arial Narrow"/>
          <w:iCs/>
          <w:sz w:val="24"/>
          <w:szCs w:val="24"/>
          <w:lang w:eastAsia="es-ES"/>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1712AB" w:rsidRPr="000C5D21" w:rsidRDefault="001712AB" w:rsidP="00004C19">
      <w:pPr>
        <w:overflowPunct w:val="0"/>
        <w:autoSpaceDE w:val="0"/>
        <w:autoSpaceDN w:val="0"/>
        <w:adjustRightInd w:val="0"/>
        <w:spacing w:after="0" w:line="240" w:lineRule="auto"/>
        <w:ind w:left="851" w:right="475" w:firstLine="1984"/>
        <w:jc w:val="both"/>
        <w:textAlignment w:val="baseline"/>
        <w:rPr>
          <w:rFonts w:ascii="Arial Narrow" w:eastAsia="Times New Roman" w:hAnsi="Arial Narrow"/>
          <w:iCs/>
          <w:sz w:val="24"/>
          <w:szCs w:val="24"/>
          <w:lang w:eastAsia="es-ES"/>
        </w:rPr>
      </w:pPr>
    </w:p>
    <w:p w:rsidR="001712AB" w:rsidRPr="000C5D21" w:rsidRDefault="001712AB" w:rsidP="00004C19">
      <w:pPr>
        <w:overflowPunct w:val="0"/>
        <w:autoSpaceDE w:val="0"/>
        <w:autoSpaceDN w:val="0"/>
        <w:adjustRightInd w:val="0"/>
        <w:spacing w:after="0" w:line="240" w:lineRule="auto"/>
        <w:ind w:left="851" w:right="475" w:firstLine="1984"/>
        <w:jc w:val="both"/>
        <w:textAlignment w:val="baseline"/>
        <w:rPr>
          <w:rFonts w:ascii="Arial Narrow" w:eastAsia="Times New Roman" w:hAnsi="Arial Narrow"/>
          <w:iCs/>
          <w:sz w:val="24"/>
          <w:szCs w:val="24"/>
          <w:lang w:eastAsia="es-ES"/>
        </w:rPr>
      </w:pPr>
      <w:r w:rsidRPr="000C5D21">
        <w:rPr>
          <w:rFonts w:ascii="Arial Narrow" w:eastAsia="Times New Roman" w:hAnsi="Arial Narrow"/>
          <w:iCs/>
          <w:sz w:val="24"/>
          <w:szCs w:val="24"/>
          <w:lang w:eastAsia="es-ES"/>
        </w:rPr>
        <w:t xml:space="preserve">[...]La vía de hecho -excepcional, como se ha dicho- no puede configurarse sino a partir de una ruptura flagrante, ostensible y grave de la normatividad constitucional o legal que rige en la materia a la que se refiere el fallo. Por tanto, </w:t>
      </w:r>
      <w:r w:rsidRPr="000C5D21">
        <w:rPr>
          <w:rFonts w:ascii="Arial Narrow" w:eastAsia="Times New Roman" w:hAnsi="Arial Narrow"/>
          <w:iCs/>
          <w:sz w:val="24"/>
          <w:szCs w:val="24"/>
          <w:lang w:eastAsia="es-ES"/>
        </w:rPr>
        <w:lastRenderedPageBreak/>
        <w:t>mientras se apliquen las disposiciones pertinentes, independientemente de si otros jueces comparten o no la interpretación acogida por el fallador, no existe la vía de hecho...</w:t>
      </w:r>
    </w:p>
    <w:p w:rsidR="001712AB" w:rsidRPr="000C5D21" w:rsidRDefault="001712AB" w:rsidP="00004C19">
      <w:pPr>
        <w:overflowPunct w:val="0"/>
        <w:autoSpaceDE w:val="0"/>
        <w:autoSpaceDN w:val="0"/>
        <w:adjustRightInd w:val="0"/>
        <w:spacing w:after="0" w:line="276" w:lineRule="auto"/>
        <w:jc w:val="both"/>
        <w:textAlignment w:val="baseline"/>
        <w:rPr>
          <w:rFonts w:ascii="Arial Narrow" w:eastAsia="Times New Roman" w:hAnsi="Arial Narrow"/>
          <w:b/>
          <w:sz w:val="24"/>
          <w:szCs w:val="24"/>
          <w:lang w:val="es-MX" w:eastAsia="es-ES"/>
        </w:rPr>
      </w:pPr>
      <w:r>
        <w:rPr>
          <w:rFonts w:ascii="Arial Narrow" w:eastAsia="Times New Roman" w:hAnsi="Arial Narrow"/>
          <w:b/>
          <w:sz w:val="24"/>
          <w:szCs w:val="24"/>
          <w:lang w:val="es-MX" w:eastAsia="es-ES"/>
        </w:rPr>
        <w:tab/>
      </w:r>
      <w:r>
        <w:rPr>
          <w:rFonts w:ascii="Arial Narrow" w:eastAsia="Times New Roman" w:hAnsi="Arial Narrow"/>
          <w:b/>
          <w:sz w:val="24"/>
          <w:szCs w:val="24"/>
          <w:lang w:val="es-MX" w:eastAsia="es-ES"/>
        </w:rPr>
        <w:tab/>
      </w:r>
      <w:r>
        <w:rPr>
          <w:rFonts w:ascii="Arial Narrow" w:eastAsia="Times New Roman" w:hAnsi="Arial Narrow"/>
          <w:b/>
          <w:sz w:val="24"/>
          <w:szCs w:val="24"/>
          <w:lang w:val="es-MX" w:eastAsia="es-ES"/>
        </w:rPr>
        <w:tab/>
      </w:r>
      <w:r>
        <w:rPr>
          <w:rFonts w:ascii="Arial Narrow" w:eastAsia="Times New Roman" w:hAnsi="Arial Narrow"/>
          <w:b/>
          <w:sz w:val="24"/>
          <w:szCs w:val="24"/>
          <w:lang w:val="es-MX" w:eastAsia="es-ES"/>
        </w:rPr>
        <w:tab/>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Pr>
          <w:rFonts w:ascii="Gadugi" w:eastAsia="Times New Roman" w:hAnsi="Gadugi"/>
          <w:sz w:val="24"/>
          <w:szCs w:val="24"/>
          <w:lang w:val="es-419" w:eastAsia="es-ES"/>
        </w:rPr>
        <w:t xml:space="preserve">Además, </w:t>
      </w:r>
      <w:r w:rsidRPr="000C5D21">
        <w:rPr>
          <w:rFonts w:ascii="Gadugi" w:eastAsia="Times New Roman" w:hAnsi="Gadugi"/>
          <w:sz w:val="24"/>
          <w:szCs w:val="24"/>
          <w:lang w:eastAsia="es-ES"/>
        </w:rPr>
        <w:t xml:space="preserve">la acción de tutela no ha sido erigida como una instancia adicional con la que se pueda controvertir una decisión judicial; al contrario, su alcance es restringido y, por ello, se insiste, </w:t>
      </w:r>
      <w:r>
        <w:rPr>
          <w:rFonts w:ascii="Gadugi" w:eastAsia="Times New Roman" w:hAnsi="Gadugi"/>
          <w:sz w:val="24"/>
          <w:szCs w:val="24"/>
          <w:lang w:val="es-419" w:eastAsia="es-ES"/>
        </w:rPr>
        <w:t>impide</w:t>
      </w:r>
      <w:r w:rsidRPr="000C5D21">
        <w:rPr>
          <w:rFonts w:ascii="Gadugi" w:eastAsia="Times New Roman" w:hAnsi="Gadugi"/>
          <w:sz w:val="24"/>
          <w:szCs w:val="24"/>
          <w:lang w:eastAsia="es-ES"/>
        </w:rPr>
        <w:t xml:space="preserve"> cuestionar la interpretación que un juez realiza de un determinado asunto, a menos que ella sea tan absurda o antojadiza, que desborde la lógica, o cercene una evidente oportunidad procesal, situaciones </w:t>
      </w:r>
      <w:r>
        <w:rPr>
          <w:rFonts w:ascii="Gadugi" w:eastAsia="Times New Roman" w:hAnsi="Gadugi"/>
          <w:sz w:val="24"/>
          <w:szCs w:val="24"/>
          <w:lang w:val="es-419" w:eastAsia="es-ES"/>
        </w:rPr>
        <w:t>inexistentes</w:t>
      </w:r>
      <w:r w:rsidRPr="000C5D21">
        <w:rPr>
          <w:rFonts w:ascii="Gadugi" w:eastAsia="Times New Roman" w:hAnsi="Gadugi"/>
          <w:sz w:val="24"/>
          <w:szCs w:val="24"/>
          <w:lang w:eastAsia="es-ES"/>
        </w:rPr>
        <w:t xml:space="preserve">, según viene de verse, en el presente asunto. </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1712AB" w:rsidRPr="009F470F" w:rsidRDefault="001F615D" w:rsidP="00004C19">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eastAsia="es-ES"/>
        </w:rPr>
      </w:pPr>
      <w:r>
        <w:rPr>
          <w:rFonts w:ascii="Gadugi" w:eastAsia="Times New Roman" w:hAnsi="Gadugi"/>
          <w:sz w:val="24"/>
          <w:szCs w:val="24"/>
          <w:lang w:val="es-419" w:eastAsia="es-ES"/>
        </w:rPr>
        <w:t xml:space="preserve">Lo dicho conlleva la negativa del amparo, incluyendo la infundada </w:t>
      </w:r>
      <w:r w:rsidR="009F470F" w:rsidRPr="009F470F">
        <w:rPr>
          <w:rFonts w:ascii="Gadugi" w:eastAsia="Times New Roman" w:hAnsi="Gadugi" w:cs="Century Gothic"/>
          <w:sz w:val="24"/>
          <w:szCs w:val="24"/>
          <w:lang w:eastAsia="es-ES"/>
        </w:rPr>
        <w:t xml:space="preserve">solicitud de </w:t>
      </w:r>
      <w:r>
        <w:rPr>
          <w:rFonts w:ascii="Gadugi" w:eastAsia="Times New Roman" w:hAnsi="Gadugi" w:cs="Century Gothic"/>
          <w:sz w:val="24"/>
          <w:szCs w:val="24"/>
          <w:lang w:val="es-419" w:eastAsia="es-ES"/>
        </w:rPr>
        <w:t xml:space="preserve">que se dicte una </w:t>
      </w:r>
      <w:r w:rsidR="009F470F" w:rsidRPr="009F470F">
        <w:rPr>
          <w:rFonts w:ascii="Gadugi" w:eastAsia="Times New Roman" w:hAnsi="Gadugi" w:cs="Century Gothic"/>
          <w:sz w:val="24"/>
          <w:szCs w:val="24"/>
          <w:lang w:eastAsia="es-ES"/>
        </w:rPr>
        <w:t xml:space="preserve">sentencia de unificación, </w:t>
      </w:r>
      <w:r>
        <w:rPr>
          <w:rFonts w:ascii="Gadugi" w:eastAsia="Times New Roman" w:hAnsi="Gadugi" w:cs="Century Gothic"/>
          <w:sz w:val="24"/>
          <w:szCs w:val="24"/>
          <w:lang w:val="es-419" w:eastAsia="es-ES"/>
        </w:rPr>
        <w:t xml:space="preserve">que no es propia de las competencias de esta </w:t>
      </w:r>
      <w:r w:rsidR="009F470F" w:rsidRPr="009F470F">
        <w:rPr>
          <w:rFonts w:ascii="Gadugi" w:eastAsia="Times New Roman" w:hAnsi="Gadugi" w:cs="Century Gothic"/>
          <w:sz w:val="24"/>
          <w:szCs w:val="24"/>
          <w:lang w:eastAsia="es-ES"/>
        </w:rPr>
        <w:t>esta Corporación</w:t>
      </w:r>
      <w:r>
        <w:rPr>
          <w:rFonts w:ascii="Gadugi" w:eastAsia="Times New Roman" w:hAnsi="Gadugi" w:cs="Century Gothic"/>
          <w:sz w:val="24"/>
          <w:szCs w:val="24"/>
          <w:lang w:val="es-419" w:eastAsia="es-ES"/>
        </w:rPr>
        <w:t xml:space="preserve">. </w:t>
      </w:r>
    </w:p>
    <w:p w:rsidR="001712AB" w:rsidRDefault="009F470F" w:rsidP="00004C19">
      <w:pPr>
        <w:overflowPunct w:val="0"/>
        <w:autoSpaceDE w:val="0"/>
        <w:autoSpaceDN w:val="0"/>
        <w:adjustRightInd w:val="0"/>
        <w:spacing w:after="0" w:line="276" w:lineRule="auto"/>
        <w:ind w:right="51"/>
        <w:jc w:val="both"/>
        <w:textAlignment w:val="baseline"/>
        <w:rPr>
          <w:rFonts w:ascii="Gadugi" w:eastAsia="Times New Roman" w:hAnsi="Gadugi"/>
          <w:sz w:val="24"/>
          <w:szCs w:val="24"/>
          <w:lang w:eastAsia="es-ES"/>
        </w:rPr>
      </w:pP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r>
      <w:r>
        <w:rPr>
          <w:rFonts w:ascii="Gadugi" w:eastAsia="Times New Roman" w:hAnsi="Gadugi"/>
          <w:sz w:val="24"/>
          <w:szCs w:val="24"/>
          <w:lang w:eastAsia="es-ES"/>
        </w:rPr>
        <w:tab/>
      </w:r>
    </w:p>
    <w:p w:rsidR="001712AB" w:rsidRPr="000C5D21" w:rsidRDefault="001712AB" w:rsidP="00004C19">
      <w:pPr>
        <w:overflowPunct w:val="0"/>
        <w:autoSpaceDE w:val="0"/>
        <w:autoSpaceDN w:val="0"/>
        <w:adjustRightInd w:val="0"/>
        <w:spacing w:after="0" w:line="276" w:lineRule="auto"/>
        <w:ind w:right="51"/>
        <w:jc w:val="both"/>
        <w:textAlignment w:val="baseline"/>
        <w:rPr>
          <w:rFonts w:ascii="Gadugi" w:eastAsia="Times New Roman" w:hAnsi="Gadugi"/>
          <w:sz w:val="24"/>
          <w:szCs w:val="24"/>
          <w:lang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 xml:space="preserve">En lo que se refiere a la </w:t>
      </w:r>
      <w:r w:rsidR="00863C6F">
        <w:rPr>
          <w:rFonts w:ascii="Gadugi" w:eastAsia="Times New Roman" w:hAnsi="Gadugi"/>
          <w:sz w:val="24"/>
          <w:szCs w:val="24"/>
          <w:lang w:val="es-419" w:eastAsia="es-ES"/>
        </w:rPr>
        <w:t>Personería de Santa Rosa de Cabal</w:t>
      </w:r>
      <w:r>
        <w:rPr>
          <w:rFonts w:ascii="Gadugi" w:eastAsia="Times New Roman" w:hAnsi="Gadugi"/>
          <w:sz w:val="24"/>
          <w:szCs w:val="24"/>
          <w:lang w:val="es-419" w:eastAsia="es-ES"/>
        </w:rPr>
        <w:t xml:space="preserve">, </w:t>
      </w:r>
      <w:r w:rsidR="001F615D">
        <w:rPr>
          <w:rFonts w:ascii="Gadugi" w:eastAsia="Times New Roman" w:hAnsi="Gadugi"/>
          <w:sz w:val="24"/>
          <w:szCs w:val="24"/>
          <w:lang w:val="es-419" w:eastAsia="es-ES"/>
        </w:rPr>
        <w:t xml:space="preserve">nada indica que </w:t>
      </w:r>
      <w:r>
        <w:rPr>
          <w:rFonts w:ascii="Gadugi" w:eastAsia="Times New Roman" w:hAnsi="Gadugi"/>
          <w:sz w:val="24"/>
          <w:szCs w:val="24"/>
          <w:lang w:val="es-419" w:eastAsia="es-ES"/>
        </w:rPr>
        <w:t>el demandante</w:t>
      </w:r>
      <w:r w:rsidR="00863C6F">
        <w:rPr>
          <w:rFonts w:ascii="Gadugi" w:eastAsia="Times New Roman" w:hAnsi="Gadugi"/>
          <w:sz w:val="24"/>
          <w:szCs w:val="24"/>
          <w:lang w:val="es-419" w:eastAsia="es-ES"/>
        </w:rPr>
        <w:t xml:space="preserve"> le haya elevado</w:t>
      </w:r>
      <w:r>
        <w:rPr>
          <w:rFonts w:ascii="Gadugi" w:eastAsia="Times New Roman" w:hAnsi="Gadugi"/>
          <w:sz w:val="24"/>
          <w:szCs w:val="24"/>
          <w:lang w:val="es-419" w:eastAsia="es-ES"/>
        </w:rPr>
        <w:t xml:space="preserve"> </w:t>
      </w:r>
      <w:r w:rsidR="00863C6F">
        <w:rPr>
          <w:rFonts w:ascii="Gadugi" w:eastAsia="Times New Roman" w:hAnsi="Gadugi"/>
          <w:sz w:val="24"/>
          <w:szCs w:val="24"/>
          <w:lang w:val="es-419" w:eastAsia="es-ES"/>
        </w:rPr>
        <w:t>alguna</w:t>
      </w:r>
      <w:r>
        <w:rPr>
          <w:rFonts w:ascii="Gadugi" w:eastAsia="Times New Roman" w:hAnsi="Gadugi"/>
          <w:sz w:val="24"/>
          <w:szCs w:val="24"/>
          <w:lang w:val="es-419" w:eastAsia="es-ES"/>
        </w:rPr>
        <w:t xml:space="preserve"> solicitud explícita en relación con la carga que aquí quiere que se le imponga. Por ello, se le absolverá, junto </w:t>
      </w:r>
      <w:r w:rsidRPr="000C5D21">
        <w:rPr>
          <w:rFonts w:ascii="Gadugi" w:eastAsia="Times New Roman" w:hAnsi="Gadugi"/>
          <w:sz w:val="24"/>
          <w:szCs w:val="24"/>
          <w:lang w:eastAsia="es-ES"/>
        </w:rPr>
        <w:t>a los demás vinculados, por no hallarse de su parte vulneración a</w:t>
      </w:r>
      <w:r>
        <w:rPr>
          <w:rFonts w:ascii="Gadugi" w:eastAsia="Times New Roman" w:hAnsi="Gadugi"/>
          <w:sz w:val="24"/>
          <w:szCs w:val="24"/>
          <w:lang w:eastAsia="es-ES"/>
        </w:rPr>
        <w:t>lguna de los derechos invocados</w:t>
      </w:r>
      <w:r>
        <w:rPr>
          <w:rFonts w:ascii="Gadugi" w:eastAsia="Times New Roman" w:hAnsi="Gadugi"/>
          <w:sz w:val="24"/>
          <w:szCs w:val="24"/>
          <w:lang w:val="es-419" w:eastAsia="es-ES"/>
        </w:rPr>
        <w:t xml:space="preserve">. </w:t>
      </w:r>
    </w:p>
    <w:p w:rsidR="001712AB" w:rsidRPr="000C5D21" w:rsidRDefault="00863C6F" w:rsidP="00004C19">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r>
        <w:rPr>
          <w:rFonts w:ascii="Gadugi" w:eastAsia="Times New Roman" w:hAnsi="Gadugi" w:cs="Arial"/>
          <w:b/>
          <w:sz w:val="24"/>
          <w:szCs w:val="24"/>
          <w:lang w:eastAsia="es-ES"/>
        </w:rPr>
        <w:tab/>
      </w:r>
      <w:r>
        <w:rPr>
          <w:rFonts w:ascii="Gadugi" w:eastAsia="Times New Roman" w:hAnsi="Gadugi" w:cs="Arial"/>
          <w:b/>
          <w:sz w:val="24"/>
          <w:szCs w:val="24"/>
          <w:lang w:eastAsia="es-ES"/>
        </w:rPr>
        <w:tab/>
      </w:r>
      <w:r>
        <w:rPr>
          <w:rFonts w:ascii="Gadugi" w:eastAsia="Times New Roman" w:hAnsi="Gadugi" w:cs="Arial"/>
          <w:b/>
          <w:sz w:val="24"/>
          <w:szCs w:val="24"/>
          <w:lang w:eastAsia="es-ES"/>
        </w:rPr>
        <w:tab/>
      </w:r>
      <w:r>
        <w:rPr>
          <w:rFonts w:ascii="Gadugi" w:eastAsia="Times New Roman" w:hAnsi="Gadugi" w:cs="Arial"/>
          <w:b/>
          <w:sz w:val="24"/>
          <w:szCs w:val="24"/>
          <w:lang w:eastAsia="es-ES"/>
        </w:rPr>
        <w:tab/>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0C5D21">
        <w:rPr>
          <w:rFonts w:ascii="Gadugi" w:eastAsia="Times New Roman" w:hAnsi="Gadugi" w:cs="Arial"/>
          <w:b/>
          <w:sz w:val="24"/>
          <w:szCs w:val="24"/>
          <w:lang w:eastAsia="es-ES"/>
        </w:rPr>
        <w:t>DECISIÓN</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r w:rsidRPr="000C5D21">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sidRPr="000C5D21">
        <w:rPr>
          <w:rFonts w:ascii="Gadugi" w:eastAsia="Times New Roman" w:hAnsi="Gadugi" w:cs="Arial"/>
          <w:sz w:val="24"/>
          <w:szCs w:val="24"/>
          <w:lang w:val="es-419" w:eastAsia="es-ES"/>
        </w:rPr>
        <w:t xml:space="preserve"> </w:t>
      </w:r>
      <w:r w:rsidRPr="000C5D21">
        <w:rPr>
          <w:rFonts w:ascii="Gadugi" w:eastAsia="Times New Roman" w:hAnsi="Gadugi" w:cs="Arial"/>
          <w:b/>
          <w:sz w:val="24"/>
          <w:szCs w:val="24"/>
          <w:lang w:val="es-419" w:eastAsia="es-ES"/>
        </w:rPr>
        <w:t>NIEGA</w:t>
      </w:r>
      <w:r w:rsidRPr="000C5D21">
        <w:rPr>
          <w:rFonts w:ascii="Gadugi" w:eastAsia="Times New Roman" w:hAnsi="Gadugi" w:cs="Arial"/>
          <w:sz w:val="24"/>
          <w:szCs w:val="24"/>
          <w:lang w:val="es-419" w:eastAsia="es-ES"/>
        </w:rPr>
        <w:t xml:space="preserve"> el</w:t>
      </w:r>
      <w:r w:rsidRPr="000C5D21">
        <w:rPr>
          <w:rFonts w:ascii="Gadugi" w:eastAsia="Times New Roman" w:hAnsi="Gadugi" w:cs="Arial"/>
          <w:sz w:val="24"/>
          <w:szCs w:val="24"/>
          <w:lang w:eastAsia="es-ES"/>
        </w:rPr>
        <w:t xml:space="preserve"> amparo impetrado por</w:t>
      </w:r>
      <w:r w:rsidRPr="000C5D21">
        <w:rPr>
          <w:rFonts w:ascii="Gadugi" w:eastAsia="Times New Roman" w:hAnsi="Gadugi" w:cs="Century Gothic"/>
          <w:b/>
          <w:sz w:val="24"/>
          <w:szCs w:val="24"/>
          <w:lang w:eastAsia="es-ES"/>
        </w:rPr>
        <w:t xml:space="preserve"> Javier Elías Arias Idárraga </w:t>
      </w:r>
      <w:r w:rsidRPr="000C5D21">
        <w:rPr>
          <w:rFonts w:ascii="Gadugi" w:eastAsia="Times New Roman" w:hAnsi="Gadugi" w:cs="Century Gothic"/>
          <w:bCs/>
          <w:sz w:val="24"/>
          <w:szCs w:val="24"/>
          <w:lang w:eastAsia="es-ES"/>
        </w:rPr>
        <w:t>contra</w:t>
      </w:r>
      <w:r w:rsidRPr="000C5D21">
        <w:rPr>
          <w:rFonts w:ascii="Gadugi" w:eastAsia="Times New Roman" w:hAnsi="Gadugi" w:cs="Century Gothic"/>
          <w:sz w:val="24"/>
          <w:szCs w:val="24"/>
          <w:lang w:eastAsia="es-ES"/>
        </w:rPr>
        <w:t xml:space="preserve"> el </w:t>
      </w:r>
      <w:r w:rsidRPr="000C5D21">
        <w:rPr>
          <w:rFonts w:ascii="Gadugi" w:eastAsia="Times New Roman" w:hAnsi="Gadugi" w:cs="Century Gothic"/>
          <w:b/>
          <w:sz w:val="24"/>
          <w:szCs w:val="24"/>
          <w:lang w:eastAsia="es-ES"/>
        </w:rPr>
        <w:t xml:space="preserve">Juzgado </w:t>
      </w:r>
      <w:r w:rsidR="00863C6F">
        <w:rPr>
          <w:rFonts w:ascii="Gadugi" w:eastAsia="Times New Roman" w:hAnsi="Gadugi" w:cs="Century Gothic"/>
          <w:b/>
          <w:sz w:val="24"/>
          <w:szCs w:val="24"/>
          <w:lang w:val="es-419" w:eastAsia="es-ES"/>
        </w:rPr>
        <w:t>Civil del Circuito de Santa Rosa de Cabal</w:t>
      </w:r>
      <w:r>
        <w:rPr>
          <w:rFonts w:ascii="Gadugi" w:eastAsia="Times New Roman" w:hAnsi="Gadugi" w:cs="Century Gothic"/>
          <w:b/>
          <w:sz w:val="24"/>
          <w:szCs w:val="24"/>
          <w:lang w:val="es-419" w:eastAsia="es-ES"/>
        </w:rPr>
        <w:t>.</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p>
    <w:p w:rsidR="001712AB"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0C5D21">
        <w:rPr>
          <w:rFonts w:ascii="Gadugi" w:eastAsia="Times New Roman" w:hAnsi="Gadugi" w:cs="Arial"/>
          <w:sz w:val="24"/>
          <w:szCs w:val="24"/>
          <w:lang w:eastAsia="es-ES"/>
        </w:rPr>
        <w:t xml:space="preserve">Se </w:t>
      </w:r>
      <w:r w:rsidRPr="007D7330">
        <w:rPr>
          <w:rFonts w:ascii="Gadugi" w:eastAsia="Times New Roman" w:hAnsi="Gadugi" w:cs="Arial"/>
          <w:b/>
          <w:sz w:val="24"/>
          <w:szCs w:val="24"/>
          <w:lang w:eastAsia="es-ES"/>
        </w:rPr>
        <w:t>absuelve</w:t>
      </w:r>
      <w:r w:rsidRPr="000C5D21">
        <w:rPr>
          <w:rFonts w:ascii="Gadugi" w:eastAsia="Times New Roman" w:hAnsi="Gadugi" w:cs="Arial"/>
          <w:sz w:val="24"/>
          <w:szCs w:val="24"/>
          <w:lang w:eastAsia="es-ES"/>
        </w:rPr>
        <w:t xml:space="preserve"> a las demás entidades involucradas dentro de la presente acción de tutela.</w:t>
      </w:r>
    </w:p>
    <w:p w:rsidR="001712AB"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9F470F" w:rsidRDefault="009F470F"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Pr>
          <w:rFonts w:ascii="Gadugi" w:hAnsi="Gadugi" w:cs="Arial"/>
          <w:sz w:val="24"/>
          <w:szCs w:val="24"/>
        </w:rPr>
        <w:t>Por infundadas se rechazan las demás solicitudes.</w:t>
      </w:r>
    </w:p>
    <w:p w:rsidR="009F470F" w:rsidRDefault="009F470F"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863C6F" w:rsidRDefault="001712AB" w:rsidP="00004C19">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sidR="00863C6F">
        <w:rPr>
          <w:rFonts w:ascii="Gadugi" w:eastAsia="Times New Roman" w:hAnsi="Gadugi" w:cs="Arial"/>
          <w:sz w:val="24"/>
          <w:szCs w:val="24"/>
          <w:lang w:eastAsia="es-ES"/>
        </w:rPr>
        <w:t>A costa del interesado expídanse las copias solicitadas.</w:t>
      </w:r>
    </w:p>
    <w:p w:rsidR="00863C6F" w:rsidRPr="000C5D21" w:rsidRDefault="00863C6F" w:rsidP="00004C19">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0C5D21">
        <w:rPr>
          <w:rFonts w:ascii="Gadugi" w:eastAsia="Times New Roman" w:hAnsi="Gadugi" w:cs="Arial"/>
          <w:sz w:val="24"/>
          <w:szCs w:val="24"/>
          <w:lang w:eastAsia="es-ES"/>
        </w:rPr>
        <w:t xml:space="preserve">Notifíquese la decisión a las partes en la forma prevista en el artículo 5º del Decreto 306 de 1992 y si no es impugnada remítase a la Corte Constitucional para su eventual revisión. </w:t>
      </w: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0C5D21">
        <w:rPr>
          <w:rFonts w:ascii="Gadugi" w:eastAsia="Times New Roman" w:hAnsi="Gadugi" w:cs="Arial"/>
          <w:sz w:val="24"/>
          <w:szCs w:val="24"/>
          <w:lang w:eastAsia="es-ES"/>
        </w:rPr>
        <w:t>A su regreso, archívese.</w:t>
      </w:r>
    </w:p>
    <w:p w:rsidR="001712AB"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0C5D21">
        <w:rPr>
          <w:rFonts w:ascii="Gadugi" w:eastAsia="Times New Roman" w:hAnsi="Gadugi" w:cs="Arial"/>
          <w:bCs/>
          <w:sz w:val="24"/>
          <w:szCs w:val="24"/>
          <w:lang w:eastAsia="es-ES"/>
        </w:rPr>
        <w:t>Los Magistrados,</w:t>
      </w:r>
    </w:p>
    <w:p w:rsidR="001712AB" w:rsidRPr="000C5D21" w:rsidRDefault="001712AB" w:rsidP="00004C19">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1712AB"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1712AB" w:rsidRPr="000C5D21" w:rsidRDefault="001712AB" w:rsidP="00004C19">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0C5D21">
        <w:rPr>
          <w:rFonts w:ascii="Gadugi" w:eastAsia="Times New Roman" w:hAnsi="Gadugi" w:cs="Arial"/>
          <w:b/>
          <w:sz w:val="24"/>
          <w:szCs w:val="24"/>
          <w:lang w:eastAsia="es-ES"/>
        </w:rPr>
        <w:t>JAIME ALBERTO SARAZA NARANJO</w:t>
      </w:r>
    </w:p>
    <w:p w:rsidR="001712AB" w:rsidRPr="000C5D21" w:rsidRDefault="001712AB" w:rsidP="00004C19">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1712AB" w:rsidRDefault="001712AB" w:rsidP="00004C19">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1712AB" w:rsidRPr="000C5D21" w:rsidRDefault="001712AB" w:rsidP="00004C19">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1712AB" w:rsidRPr="000C5D21" w:rsidRDefault="001712AB" w:rsidP="00D04132">
      <w:pPr>
        <w:overflowPunct w:val="0"/>
        <w:autoSpaceDE w:val="0"/>
        <w:autoSpaceDN w:val="0"/>
        <w:adjustRightInd w:val="0"/>
        <w:spacing w:after="0" w:line="276" w:lineRule="auto"/>
        <w:jc w:val="both"/>
        <w:textAlignment w:val="baseline"/>
        <w:rPr>
          <w:sz w:val="24"/>
          <w:szCs w:val="24"/>
        </w:rPr>
      </w:pPr>
      <w:r w:rsidRPr="000C5D21">
        <w:rPr>
          <w:rFonts w:ascii="Gadugi" w:eastAsia="Times New Roman" w:hAnsi="Gadugi" w:cs="Arial"/>
          <w:b/>
          <w:sz w:val="24"/>
          <w:szCs w:val="24"/>
          <w:lang w:val="es-ES_tradnl" w:eastAsia="es-ES"/>
        </w:rPr>
        <w:t xml:space="preserve">CLAUDIA MARÍA ARCILA RÍOS  </w:t>
      </w:r>
      <w:r w:rsidRPr="000C5D21">
        <w:rPr>
          <w:rFonts w:ascii="Gadugi" w:eastAsia="Times New Roman" w:hAnsi="Gadugi" w:cs="Arial"/>
          <w:b/>
          <w:sz w:val="24"/>
          <w:szCs w:val="24"/>
          <w:lang w:val="es-ES_tradnl" w:eastAsia="es-ES"/>
        </w:rPr>
        <w:tab/>
      </w:r>
      <w:r w:rsidRPr="000C5D21">
        <w:rPr>
          <w:rFonts w:ascii="Gadugi" w:eastAsia="Times New Roman" w:hAnsi="Gadugi" w:cs="Arial"/>
          <w:b/>
          <w:sz w:val="24"/>
          <w:szCs w:val="24"/>
          <w:lang w:val="es-ES_tradnl" w:eastAsia="es-ES"/>
        </w:rPr>
        <w:tab/>
        <w:t xml:space="preserve">DUBERNEY GRISALES HERRERA     </w:t>
      </w:r>
    </w:p>
    <w:p w:rsidR="001712AB" w:rsidRPr="000C5D21" w:rsidRDefault="001712AB" w:rsidP="00004C19">
      <w:pPr>
        <w:spacing w:after="0" w:line="276" w:lineRule="auto"/>
        <w:rPr>
          <w:sz w:val="24"/>
          <w:szCs w:val="24"/>
        </w:rPr>
      </w:pPr>
    </w:p>
    <w:p w:rsidR="00B865E2" w:rsidRPr="00063B82" w:rsidRDefault="00B865E2" w:rsidP="00004C19">
      <w:pPr>
        <w:spacing w:after="0" w:line="26" w:lineRule="atLeast"/>
        <w:jc w:val="both"/>
        <w:rPr>
          <w:rFonts w:ascii="Gadugi" w:hAnsi="Gadugi"/>
          <w:sz w:val="24"/>
          <w:szCs w:val="24"/>
        </w:rPr>
      </w:pPr>
    </w:p>
    <w:sectPr w:rsidR="00B865E2" w:rsidRPr="00063B82"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38" w:rsidRDefault="00CE1938" w:rsidP="00B865E2">
      <w:pPr>
        <w:spacing w:after="0" w:line="240" w:lineRule="auto"/>
      </w:pPr>
      <w:r>
        <w:separator/>
      </w:r>
    </w:p>
  </w:endnote>
  <w:endnote w:type="continuationSeparator" w:id="0">
    <w:p w:rsidR="00CE1938" w:rsidRDefault="00CE1938" w:rsidP="00B8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26410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0E4">
      <w:rPr>
        <w:rStyle w:val="Nmerodepgina"/>
        <w:noProof/>
      </w:rPr>
      <w:t>6</w:t>
    </w:r>
    <w:r>
      <w:rPr>
        <w:rStyle w:val="Nmerodepgina"/>
      </w:rPr>
      <w:fldChar w:fldCharType="end"/>
    </w:r>
  </w:p>
  <w:p w:rsidR="0026410E" w:rsidRDefault="002641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38" w:rsidRDefault="00CE1938" w:rsidP="00B865E2">
      <w:pPr>
        <w:spacing w:after="0" w:line="240" w:lineRule="auto"/>
      </w:pPr>
      <w:r>
        <w:separator/>
      </w:r>
    </w:p>
  </w:footnote>
  <w:footnote w:type="continuationSeparator" w:id="0">
    <w:p w:rsidR="00CE1938" w:rsidRDefault="00CE1938" w:rsidP="00B865E2">
      <w:pPr>
        <w:spacing w:after="0" w:line="240" w:lineRule="auto"/>
      </w:pPr>
      <w:r>
        <w:continuationSeparator/>
      </w:r>
    </w:p>
  </w:footnote>
  <w:footnote w:id="1">
    <w:p w:rsidR="001712AB" w:rsidRPr="005D29EA" w:rsidRDefault="001712AB" w:rsidP="001712AB">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1712AB" w:rsidRPr="00C63453" w:rsidRDefault="001712AB" w:rsidP="001712AB">
      <w:pPr>
        <w:pStyle w:val="Textonotapie"/>
        <w:rPr>
          <w:rFonts w:ascii="Agency FB" w:hAnsi="Agency FB"/>
          <w:sz w:val="24"/>
          <w:szCs w:val="24"/>
          <w:lang w:val="es-419"/>
        </w:rPr>
      </w:pPr>
      <w:r w:rsidRPr="00F67DA6">
        <w:rPr>
          <w:rStyle w:val="Refdenotaalpie"/>
          <w:rFonts w:ascii="Agency FB" w:hAnsi="Agency FB"/>
          <w:sz w:val="24"/>
          <w:szCs w:val="24"/>
        </w:rPr>
        <w:footnoteRef/>
      </w:r>
      <w:r w:rsidRPr="00F67DA6">
        <w:rPr>
          <w:rFonts w:ascii="Agency FB" w:hAnsi="Agency FB"/>
          <w:sz w:val="24"/>
          <w:szCs w:val="24"/>
        </w:rPr>
        <w:t xml:space="preserve"> </w:t>
      </w:r>
      <w:r w:rsidRPr="00F67DA6">
        <w:rPr>
          <w:rFonts w:ascii="Agency FB" w:hAnsi="Agency FB"/>
          <w:sz w:val="24"/>
          <w:szCs w:val="24"/>
          <w:lang w:val="es-CO"/>
        </w:rPr>
        <w:t>Sentencia T-781/2011</w:t>
      </w:r>
      <w:r>
        <w:rPr>
          <w:rFonts w:ascii="Agency FB" w:hAnsi="Agency FB"/>
          <w:sz w:val="24"/>
          <w:szCs w:val="24"/>
          <w:lang w:val="es-419"/>
        </w:rPr>
        <w:t>; se reitera en la s</w:t>
      </w:r>
      <w:r w:rsidRPr="00F67DA6">
        <w:rPr>
          <w:rFonts w:ascii="Agency FB" w:hAnsi="Agency FB"/>
          <w:sz w:val="24"/>
          <w:szCs w:val="24"/>
          <w:lang w:val="es-419"/>
        </w:rPr>
        <w:t xml:space="preserve">entencia </w:t>
      </w:r>
      <w:r>
        <w:rPr>
          <w:rFonts w:ascii="Agency FB" w:hAnsi="Agency FB"/>
          <w:sz w:val="24"/>
          <w:szCs w:val="24"/>
          <w:lang w:val="es-419"/>
        </w:rPr>
        <w:t>T-</w:t>
      </w:r>
      <w:r w:rsidRPr="00F67DA6">
        <w:rPr>
          <w:rFonts w:ascii="Agency FB" w:hAnsi="Agency FB"/>
          <w:sz w:val="24"/>
          <w:szCs w:val="24"/>
          <w:lang w:val="es-419"/>
        </w:rPr>
        <w:t>528 de 2016</w:t>
      </w:r>
    </w:p>
  </w:footnote>
  <w:footnote w:id="3">
    <w:p w:rsidR="001712AB" w:rsidRPr="00BA4F6E" w:rsidRDefault="001712AB" w:rsidP="001712AB">
      <w:pPr>
        <w:ind w:right="475"/>
        <w:jc w:val="both"/>
        <w:rPr>
          <w:rFonts w:ascii="Agency FB" w:hAnsi="Agency FB"/>
          <w:sz w:val="24"/>
          <w:szCs w:val="24"/>
        </w:rPr>
      </w:pPr>
      <w:r w:rsidRPr="00F67DA6">
        <w:rPr>
          <w:rStyle w:val="Refdenotaalpie"/>
          <w:rFonts w:ascii="Agency FB" w:hAnsi="Agency FB"/>
          <w:sz w:val="24"/>
          <w:szCs w:val="24"/>
        </w:rPr>
        <w:footnoteRef/>
      </w:r>
      <w:r w:rsidRPr="00F67DA6">
        <w:rPr>
          <w:rFonts w:ascii="Agency FB" w:hAnsi="Agency FB"/>
          <w:sz w:val="24"/>
          <w:szCs w:val="24"/>
        </w:rPr>
        <w:t xml:space="preserve"> Sentencia T-388/06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26410E"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E2"/>
    <w:rsid w:val="00004C19"/>
    <w:rsid w:val="000246B9"/>
    <w:rsid w:val="00024EC2"/>
    <w:rsid w:val="00034E0F"/>
    <w:rsid w:val="00040539"/>
    <w:rsid w:val="000639CF"/>
    <w:rsid w:val="00063B82"/>
    <w:rsid w:val="000B015F"/>
    <w:rsid w:val="000B5DBD"/>
    <w:rsid w:val="000D25A2"/>
    <w:rsid w:val="000D269B"/>
    <w:rsid w:val="0012147D"/>
    <w:rsid w:val="001315A4"/>
    <w:rsid w:val="00141FE8"/>
    <w:rsid w:val="0016127F"/>
    <w:rsid w:val="00161353"/>
    <w:rsid w:val="001712AB"/>
    <w:rsid w:val="00171AEC"/>
    <w:rsid w:val="001820BB"/>
    <w:rsid w:val="001A7325"/>
    <w:rsid w:val="001B0876"/>
    <w:rsid w:val="001B774B"/>
    <w:rsid w:val="001E3161"/>
    <w:rsid w:val="001E3971"/>
    <w:rsid w:val="001F615D"/>
    <w:rsid w:val="00232502"/>
    <w:rsid w:val="00233380"/>
    <w:rsid w:val="002438B6"/>
    <w:rsid w:val="0026410E"/>
    <w:rsid w:val="002D3054"/>
    <w:rsid w:val="002D343D"/>
    <w:rsid w:val="002D7EE3"/>
    <w:rsid w:val="002E134E"/>
    <w:rsid w:val="002E154B"/>
    <w:rsid w:val="0031271A"/>
    <w:rsid w:val="003319F7"/>
    <w:rsid w:val="003373F4"/>
    <w:rsid w:val="00344E44"/>
    <w:rsid w:val="003521CD"/>
    <w:rsid w:val="00355F19"/>
    <w:rsid w:val="003708A4"/>
    <w:rsid w:val="003A2826"/>
    <w:rsid w:val="003A64ED"/>
    <w:rsid w:val="003B35E1"/>
    <w:rsid w:val="003B40E4"/>
    <w:rsid w:val="003B6452"/>
    <w:rsid w:val="003F1B54"/>
    <w:rsid w:val="00433888"/>
    <w:rsid w:val="00443EE3"/>
    <w:rsid w:val="004818D6"/>
    <w:rsid w:val="0049599D"/>
    <w:rsid w:val="00511003"/>
    <w:rsid w:val="0055109F"/>
    <w:rsid w:val="00551EB7"/>
    <w:rsid w:val="00574111"/>
    <w:rsid w:val="0058740C"/>
    <w:rsid w:val="005A415B"/>
    <w:rsid w:val="005C09A4"/>
    <w:rsid w:val="005C14D5"/>
    <w:rsid w:val="005D4C5F"/>
    <w:rsid w:val="0060147F"/>
    <w:rsid w:val="00602689"/>
    <w:rsid w:val="00610F7E"/>
    <w:rsid w:val="00621996"/>
    <w:rsid w:val="00647A6B"/>
    <w:rsid w:val="00651EB3"/>
    <w:rsid w:val="00662114"/>
    <w:rsid w:val="00666E19"/>
    <w:rsid w:val="00677820"/>
    <w:rsid w:val="00690F78"/>
    <w:rsid w:val="0069654B"/>
    <w:rsid w:val="006B48AE"/>
    <w:rsid w:val="006C34AC"/>
    <w:rsid w:val="006D09C8"/>
    <w:rsid w:val="006D5415"/>
    <w:rsid w:val="006E2600"/>
    <w:rsid w:val="006E3B11"/>
    <w:rsid w:val="006E6DE3"/>
    <w:rsid w:val="007168CD"/>
    <w:rsid w:val="007224E7"/>
    <w:rsid w:val="00722CB1"/>
    <w:rsid w:val="007357F1"/>
    <w:rsid w:val="007360AE"/>
    <w:rsid w:val="007407DE"/>
    <w:rsid w:val="00752DCA"/>
    <w:rsid w:val="00797078"/>
    <w:rsid w:val="007D700E"/>
    <w:rsid w:val="007F3225"/>
    <w:rsid w:val="008009E6"/>
    <w:rsid w:val="0080486E"/>
    <w:rsid w:val="008213F4"/>
    <w:rsid w:val="00862DFC"/>
    <w:rsid w:val="00863C6F"/>
    <w:rsid w:val="00867C8F"/>
    <w:rsid w:val="008742E2"/>
    <w:rsid w:val="00896107"/>
    <w:rsid w:val="008C020F"/>
    <w:rsid w:val="008E63E3"/>
    <w:rsid w:val="008F108B"/>
    <w:rsid w:val="0091170A"/>
    <w:rsid w:val="00927E44"/>
    <w:rsid w:val="009744EC"/>
    <w:rsid w:val="0099141F"/>
    <w:rsid w:val="00993977"/>
    <w:rsid w:val="009E2123"/>
    <w:rsid w:val="009F13CF"/>
    <w:rsid w:val="009F3AE9"/>
    <w:rsid w:val="009F470F"/>
    <w:rsid w:val="00A2541A"/>
    <w:rsid w:val="00A623C2"/>
    <w:rsid w:val="00A7746F"/>
    <w:rsid w:val="00A80D16"/>
    <w:rsid w:val="00A8161B"/>
    <w:rsid w:val="00AA2380"/>
    <w:rsid w:val="00AB4813"/>
    <w:rsid w:val="00AC0F6E"/>
    <w:rsid w:val="00AE2027"/>
    <w:rsid w:val="00AE7BB9"/>
    <w:rsid w:val="00AF0864"/>
    <w:rsid w:val="00B011BD"/>
    <w:rsid w:val="00B04FFD"/>
    <w:rsid w:val="00B07FDB"/>
    <w:rsid w:val="00B17FBD"/>
    <w:rsid w:val="00B26C13"/>
    <w:rsid w:val="00B41A49"/>
    <w:rsid w:val="00B46A62"/>
    <w:rsid w:val="00B57B7F"/>
    <w:rsid w:val="00B746A4"/>
    <w:rsid w:val="00B85EDF"/>
    <w:rsid w:val="00B865E2"/>
    <w:rsid w:val="00BA4242"/>
    <w:rsid w:val="00BD6EAD"/>
    <w:rsid w:val="00C04293"/>
    <w:rsid w:val="00C0476A"/>
    <w:rsid w:val="00C37A61"/>
    <w:rsid w:val="00C43FC2"/>
    <w:rsid w:val="00C633FB"/>
    <w:rsid w:val="00C63E5B"/>
    <w:rsid w:val="00C703EA"/>
    <w:rsid w:val="00C80374"/>
    <w:rsid w:val="00C96BED"/>
    <w:rsid w:val="00CA6701"/>
    <w:rsid w:val="00CC241F"/>
    <w:rsid w:val="00CC3A9C"/>
    <w:rsid w:val="00CE1938"/>
    <w:rsid w:val="00CF7BD4"/>
    <w:rsid w:val="00D04132"/>
    <w:rsid w:val="00D16575"/>
    <w:rsid w:val="00D3577A"/>
    <w:rsid w:val="00D6057C"/>
    <w:rsid w:val="00D64C4D"/>
    <w:rsid w:val="00D665FE"/>
    <w:rsid w:val="00D67043"/>
    <w:rsid w:val="00DA3D21"/>
    <w:rsid w:val="00DE2BCC"/>
    <w:rsid w:val="00DE54A4"/>
    <w:rsid w:val="00DF1510"/>
    <w:rsid w:val="00E03ED2"/>
    <w:rsid w:val="00E11FCA"/>
    <w:rsid w:val="00E1399B"/>
    <w:rsid w:val="00E32ACC"/>
    <w:rsid w:val="00E4162C"/>
    <w:rsid w:val="00E46622"/>
    <w:rsid w:val="00E565E7"/>
    <w:rsid w:val="00E70710"/>
    <w:rsid w:val="00E72059"/>
    <w:rsid w:val="00E75491"/>
    <w:rsid w:val="00E846FB"/>
    <w:rsid w:val="00EB39CF"/>
    <w:rsid w:val="00EC286F"/>
    <w:rsid w:val="00ED2006"/>
    <w:rsid w:val="00EF6ED8"/>
    <w:rsid w:val="00F36126"/>
    <w:rsid w:val="00F62B27"/>
    <w:rsid w:val="00F75880"/>
    <w:rsid w:val="00FA2965"/>
    <w:rsid w:val="00FB062E"/>
    <w:rsid w:val="00FC483B"/>
    <w:rsid w:val="00FE1268"/>
    <w:rsid w:val="00FE7F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F8C89-F89A-4B6C-936A-192BCD2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B865E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uiPriority w:val="99"/>
    <w:rsid w:val="00B865E2"/>
    <w:rPr>
      <w:rFonts w:ascii="Calibri" w:eastAsia="Calibri" w:hAnsi="Calibri" w:cs="Times New Roman"/>
      <w:sz w:val="20"/>
      <w:szCs w:val="20"/>
    </w:rPr>
  </w:style>
  <w:style w:type="paragraph" w:styleId="Piedepgina">
    <w:name w:val="footer"/>
    <w:basedOn w:val="Normal"/>
    <w:link w:val="PiedepginaCar"/>
    <w:uiPriority w:val="99"/>
    <w:unhideWhenUsed/>
    <w:rsid w:val="00B865E2"/>
    <w:pPr>
      <w:tabs>
        <w:tab w:val="center" w:pos="4252"/>
        <w:tab w:val="right" w:pos="8504"/>
      </w:tabs>
      <w:spacing w:after="0" w:line="240" w:lineRule="auto"/>
    </w:pPr>
  </w:style>
  <w:style w:type="character" w:customStyle="1" w:styleId="PiedepginaCar">
    <w:name w:val="Pie de página Car"/>
    <w:link w:val="Piedepgina"/>
    <w:uiPriority w:val="99"/>
    <w:rsid w:val="00B865E2"/>
    <w:rPr>
      <w:rFonts w:ascii="Calibri" w:eastAsia="Calibri" w:hAnsi="Calibri" w:cs="Times New Roman"/>
    </w:rPr>
  </w:style>
  <w:style w:type="character" w:styleId="Nmerodepgina">
    <w:name w:val="page number"/>
    <w:rsid w:val="00B865E2"/>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B865E2"/>
    <w:rPr>
      <w:rFonts w:cs="Times New Roman"/>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A80D16"/>
  </w:style>
  <w:style w:type="paragraph" w:styleId="Textodeglobo">
    <w:name w:val="Balloon Text"/>
    <w:basedOn w:val="Normal"/>
    <w:link w:val="TextodegloboCar"/>
    <w:uiPriority w:val="99"/>
    <w:semiHidden/>
    <w:unhideWhenUsed/>
    <w:rsid w:val="003521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521CD"/>
    <w:rPr>
      <w:rFonts w:ascii="Segoe UI" w:hAnsi="Segoe UI" w:cs="Segoe UI"/>
      <w:sz w:val="18"/>
      <w:szCs w:val="18"/>
      <w:lang w:eastAsia="en-US"/>
    </w:rPr>
  </w:style>
  <w:style w:type="paragraph" w:styleId="Textoindependiente2">
    <w:name w:val="Body Text 2"/>
    <w:basedOn w:val="Normal"/>
    <w:link w:val="Textoindependiente2Car"/>
    <w:rsid w:val="00DE54A4"/>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es-ES"/>
    </w:rPr>
  </w:style>
  <w:style w:type="character" w:customStyle="1" w:styleId="Textoindependiente2Car">
    <w:name w:val="Texto independiente 2 Car"/>
    <w:link w:val="Textoindependiente2"/>
    <w:rsid w:val="00DE54A4"/>
    <w:rPr>
      <w:rFonts w:ascii="Times New Roman" w:eastAsia="Times New Roman" w:hAnsi="Times New Roman"/>
      <w:lang w:val="es-ES" w:eastAsia="es-ES"/>
    </w:rPr>
  </w:style>
  <w:style w:type="paragraph" w:styleId="Sangradetextonormal">
    <w:name w:val="Body Text Indent"/>
    <w:basedOn w:val="Normal"/>
    <w:link w:val="SangradetextonormalCar"/>
    <w:rsid w:val="00DE54A4"/>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rsid w:val="00DE54A4"/>
    <w:rPr>
      <w:rFonts w:ascii="Times New Roman" w:eastAsia="Times New Roman" w:hAnsi="Times New Roman"/>
      <w:lang w:val="es-ES" w:eastAsia="es-ES"/>
    </w:rPr>
  </w:style>
  <w:style w:type="paragraph" w:customStyle="1" w:styleId="Textoindependiente21">
    <w:name w:val="Texto independiente 21"/>
    <w:basedOn w:val="Normal"/>
    <w:rsid w:val="00DE54A4"/>
    <w:pPr>
      <w:spacing w:after="0" w:line="336" w:lineRule="auto"/>
      <w:ind w:firstLine="2835"/>
      <w:jc w:val="both"/>
    </w:pPr>
    <w:rPr>
      <w:rFonts w:ascii="Verdana" w:eastAsia="Times New Roman" w:hAnsi="Verdana"/>
      <w:sz w:val="24"/>
      <w:szCs w:val="20"/>
      <w:lang w:eastAsia="es-ES"/>
    </w:rPr>
  </w:style>
  <w:style w:type="paragraph" w:customStyle="1" w:styleId="Sinespaciado1">
    <w:name w:val="Sin espaciado1"/>
    <w:rsid w:val="00DE54A4"/>
    <w:rPr>
      <w:rFonts w:ascii="Times New Roman" w:eastAsia="Times New Roman" w:hAnsi="Times New Roman"/>
      <w:sz w:val="24"/>
      <w:szCs w:val="24"/>
      <w:lang w:val="es-ES" w:eastAsia="es-ES"/>
    </w:rPr>
  </w:style>
  <w:style w:type="paragraph" w:customStyle="1" w:styleId="Textoindependiente210">
    <w:name w:val="Texto independiente 21"/>
    <w:basedOn w:val="Normal"/>
    <w:rsid w:val="00DE54A4"/>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customStyle="1" w:styleId="BodyText25">
    <w:name w:val="Body Text 25"/>
    <w:basedOn w:val="Normal"/>
    <w:rsid w:val="00DE54A4"/>
    <w:pPr>
      <w:spacing w:after="0" w:line="240" w:lineRule="auto"/>
      <w:ind w:right="51"/>
      <w:jc w:val="both"/>
    </w:pPr>
    <w:rPr>
      <w:rFonts w:ascii="Arial" w:eastAsia="Times New Roman" w:hAnsi="Arial"/>
      <w:sz w:val="28"/>
      <w:szCs w:val="20"/>
      <w:lang w:eastAsia="es-ES"/>
    </w:rPr>
  </w:style>
  <w:style w:type="paragraph" w:styleId="Encabezado">
    <w:name w:val="header"/>
    <w:basedOn w:val="Normal"/>
    <w:link w:val="EncabezadoCar"/>
    <w:uiPriority w:val="99"/>
    <w:unhideWhenUsed/>
    <w:rsid w:val="005C0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9A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C4F9-25DA-4859-93A2-31032187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2012</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Henry Lora Rodriguez</cp:lastModifiedBy>
  <cp:revision>6</cp:revision>
  <cp:lastPrinted>2017-10-20T20:48:00Z</cp:lastPrinted>
  <dcterms:created xsi:type="dcterms:W3CDTF">2018-03-21T12:45:00Z</dcterms:created>
  <dcterms:modified xsi:type="dcterms:W3CDTF">2018-04-09T13:47:00Z</dcterms:modified>
</cp:coreProperties>
</file>