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A6" w:rsidRPr="000340A6" w:rsidRDefault="000340A6" w:rsidP="000340A6">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Arial" w:hAnsi="Arial" w:cs="Arial"/>
          <w:color w:val="FF0000"/>
          <w:sz w:val="18"/>
          <w:szCs w:val="16"/>
          <w:lang w:val="es-CO" w:eastAsia="fr-FR"/>
        </w:rPr>
      </w:pPr>
      <w:r w:rsidRPr="000340A6">
        <w:rPr>
          <w:rFonts w:ascii="Arial" w:hAnsi="Arial" w:cs="Arial"/>
          <w:color w:val="FF0000"/>
          <w:spacing w:val="-6"/>
          <w:sz w:val="18"/>
          <w:szCs w:val="16"/>
          <w:lang w:val="es-CO" w:eastAsia="fr-FR"/>
        </w:rPr>
        <w:t>El siguiente es el documento presentado por el Magistrado Ponente que sirvió de base para proferir la providencia dentro del presente proceso.</w:t>
      </w:r>
      <w:r w:rsidRPr="000340A6">
        <w:rPr>
          <w:rFonts w:ascii="Arial" w:hAnsi="Arial" w:cs="Arial"/>
          <w:color w:val="FF0000"/>
          <w:sz w:val="18"/>
          <w:szCs w:val="16"/>
          <w:lang w:val="es-CO" w:eastAsia="fr-FR"/>
        </w:rPr>
        <w:t xml:space="preserve"> </w:t>
      </w:r>
    </w:p>
    <w:p w:rsidR="000340A6" w:rsidRPr="000340A6" w:rsidRDefault="000340A6" w:rsidP="000340A6">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Arial" w:hAnsi="Arial" w:cs="Arial"/>
          <w:color w:val="FF0000"/>
          <w:sz w:val="18"/>
          <w:szCs w:val="16"/>
          <w:lang w:val="es-CO" w:eastAsia="fr-FR"/>
        </w:rPr>
      </w:pPr>
      <w:r w:rsidRPr="000340A6">
        <w:rPr>
          <w:rFonts w:ascii="Arial" w:hAnsi="Arial" w:cs="Arial"/>
          <w:color w:val="FF0000"/>
          <w:sz w:val="18"/>
          <w:szCs w:val="16"/>
          <w:lang w:val="es-CO" w:eastAsia="fr-FR"/>
        </w:rPr>
        <w:t>El contenido total y fiel de la decisión debe ser verificado en el audio que reposa en la Secretaría de esta Sala. </w:t>
      </w:r>
    </w:p>
    <w:p w:rsidR="000340A6" w:rsidRPr="000340A6" w:rsidRDefault="000340A6" w:rsidP="000340A6">
      <w:pPr>
        <w:shd w:val="clear" w:color="auto" w:fill="FFFFFF"/>
        <w:overflowPunct/>
        <w:autoSpaceDE/>
        <w:autoSpaceDN/>
        <w:adjustRightInd/>
        <w:ind w:left="2124" w:hanging="2124"/>
        <w:jc w:val="both"/>
        <w:textAlignment w:val="auto"/>
        <w:rPr>
          <w:rFonts w:ascii="Arial" w:hAnsi="Arial" w:cs="Arial"/>
          <w:sz w:val="18"/>
          <w:szCs w:val="18"/>
          <w:lang w:val="es-CO" w:eastAsia="fr-FR"/>
        </w:rPr>
      </w:pPr>
      <w:r w:rsidRPr="000340A6">
        <w:rPr>
          <w:rFonts w:ascii="Arial" w:hAnsi="Arial" w:cs="Arial"/>
          <w:sz w:val="18"/>
          <w:szCs w:val="18"/>
          <w:lang w:val="es-CO" w:eastAsia="fr-FR"/>
        </w:rPr>
        <w:t>Providencia:</w:t>
      </w:r>
      <w:r w:rsidRPr="000340A6">
        <w:rPr>
          <w:rFonts w:ascii="Arial" w:hAnsi="Arial" w:cs="Arial"/>
          <w:b/>
          <w:sz w:val="18"/>
          <w:szCs w:val="18"/>
          <w:lang w:val="es-CO" w:eastAsia="fr-FR"/>
        </w:rPr>
        <w:tab/>
      </w:r>
      <w:r w:rsidRPr="000340A6">
        <w:rPr>
          <w:rFonts w:ascii="Arial" w:hAnsi="Arial" w:cs="Arial"/>
          <w:sz w:val="18"/>
          <w:szCs w:val="18"/>
          <w:lang w:val="es-CO" w:eastAsia="fr-FR"/>
        </w:rPr>
        <w:t>Sentencia – 2ª instancia –20 de junio de 2018</w:t>
      </w:r>
    </w:p>
    <w:p w:rsidR="000340A6" w:rsidRPr="000340A6" w:rsidRDefault="000340A6" w:rsidP="000340A6">
      <w:pPr>
        <w:shd w:val="clear" w:color="auto" w:fill="FFFFFF"/>
        <w:tabs>
          <w:tab w:val="left" w:pos="1418"/>
          <w:tab w:val="left" w:pos="2078"/>
          <w:tab w:val="left" w:pos="2127"/>
          <w:tab w:val="center" w:pos="3898"/>
        </w:tabs>
        <w:overflowPunct/>
        <w:autoSpaceDE/>
        <w:autoSpaceDN/>
        <w:adjustRightInd/>
        <w:ind w:left="2078" w:hanging="2078"/>
        <w:jc w:val="both"/>
        <w:textAlignment w:val="auto"/>
        <w:rPr>
          <w:rFonts w:ascii="Arial" w:eastAsia="Calibri" w:hAnsi="Arial" w:cs="Arial"/>
          <w:sz w:val="18"/>
          <w:szCs w:val="18"/>
          <w:lang w:val="es-CO" w:eastAsia="fr-FR"/>
        </w:rPr>
      </w:pPr>
      <w:r w:rsidRPr="000340A6">
        <w:rPr>
          <w:rFonts w:ascii="Arial" w:eastAsia="Calibri" w:hAnsi="Arial" w:cs="Arial"/>
          <w:sz w:val="18"/>
          <w:szCs w:val="18"/>
          <w:lang w:val="es-CO" w:eastAsia="fr-FR"/>
        </w:rPr>
        <w:t xml:space="preserve">Proceso: </w:t>
      </w:r>
      <w:r w:rsidRPr="000340A6">
        <w:rPr>
          <w:rFonts w:ascii="Arial" w:eastAsia="Calibri" w:hAnsi="Arial" w:cs="Arial"/>
          <w:sz w:val="18"/>
          <w:szCs w:val="18"/>
          <w:lang w:val="es-CO" w:eastAsia="fr-FR"/>
        </w:rPr>
        <w:tab/>
      </w:r>
      <w:r w:rsidRPr="000340A6">
        <w:rPr>
          <w:rFonts w:ascii="Arial" w:eastAsia="Calibri" w:hAnsi="Arial" w:cs="Arial"/>
          <w:sz w:val="18"/>
          <w:szCs w:val="18"/>
          <w:lang w:val="es-CO" w:eastAsia="fr-FR"/>
        </w:rPr>
        <w:tab/>
      </w:r>
      <w:r w:rsidRPr="000340A6">
        <w:rPr>
          <w:rFonts w:ascii="Arial" w:eastAsia="Calibri" w:hAnsi="Arial" w:cs="Arial"/>
          <w:sz w:val="18"/>
          <w:szCs w:val="18"/>
          <w:lang w:val="es-CO" w:eastAsia="fr-FR"/>
        </w:rPr>
        <w:tab/>
      </w:r>
      <w:r w:rsidR="00EC6EC3" w:rsidRPr="002D5BFC">
        <w:rPr>
          <w:rFonts w:ascii="Arial" w:eastAsia="Calibri" w:hAnsi="Arial" w:cs="Arial"/>
          <w:sz w:val="18"/>
          <w:szCs w:val="18"/>
          <w:lang w:val="es-CO" w:eastAsia="fr-FR"/>
        </w:rPr>
        <w:t>Ordinario- Reivindicatorio</w:t>
      </w:r>
    </w:p>
    <w:p w:rsidR="000340A6" w:rsidRPr="000340A6" w:rsidRDefault="000340A6" w:rsidP="000340A6">
      <w:pPr>
        <w:shd w:val="clear" w:color="auto" w:fill="FFFFFF"/>
        <w:tabs>
          <w:tab w:val="left" w:pos="1418"/>
          <w:tab w:val="left" w:pos="2078"/>
          <w:tab w:val="left" w:pos="2127"/>
          <w:tab w:val="center" w:pos="3898"/>
        </w:tabs>
        <w:overflowPunct/>
        <w:autoSpaceDE/>
        <w:autoSpaceDN/>
        <w:adjustRightInd/>
        <w:jc w:val="both"/>
        <w:textAlignment w:val="auto"/>
        <w:rPr>
          <w:rFonts w:ascii="Arial" w:eastAsia="Calibri" w:hAnsi="Arial" w:cs="Arial"/>
          <w:bCs/>
          <w:sz w:val="18"/>
          <w:szCs w:val="18"/>
          <w:lang w:eastAsia="fr-FR"/>
        </w:rPr>
      </w:pPr>
      <w:r w:rsidRPr="000340A6">
        <w:rPr>
          <w:rFonts w:ascii="Arial" w:eastAsia="Calibri" w:hAnsi="Arial" w:cs="Arial"/>
          <w:sz w:val="18"/>
          <w:szCs w:val="18"/>
          <w:lang w:val="es-CO" w:eastAsia="fr-FR"/>
        </w:rPr>
        <w:t>Radicación Nro. :</w:t>
      </w:r>
      <w:r w:rsidRPr="000340A6">
        <w:rPr>
          <w:rFonts w:ascii="Arial" w:eastAsia="Calibri" w:hAnsi="Arial" w:cs="Arial"/>
          <w:sz w:val="18"/>
          <w:szCs w:val="18"/>
          <w:lang w:val="es-CO" w:eastAsia="fr-FR"/>
        </w:rPr>
        <w:tab/>
        <w:t xml:space="preserve">  </w:t>
      </w:r>
      <w:r w:rsidRPr="000340A6">
        <w:rPr>
          <w:rFonts w:ascii="Arial" w:eastAsia="Calibri" w:hAnsi="Arial" w:cs="Arial"/>
          <w:sz w:val="18"/>
          <w:szCs w:val="18"/>
          <w:lang w:val="es-CO" w:eastAsia="fr-FR"/>
        </w:rPr>
        <w:tab/>
        <w:t xml:space="preserve"> </w:t>
      </w:r>
      <w:r w:rsidR="00FF46DD" w:rsidRPr="00FF46DD">
        <w:rPr>
          <w:rFonts w:ascii="Arial" w:eastAsia="Calibri" w:hAnsi="Arial" w:cs="Arial"/>
          <w:sz w:val="18"/>
          <w:szCs w:val="18"/>
          <w:lang w:val="es-CO" w:eastAsia="fr-FR"/>
        </w:rPr>
        <w:t>66001-31-10-002-2012-00138-01</w:t>
      </w:r>
    </w:p>
    <w:p w:rsidR="000340A6" w:rsidRPr="000340A6" w:rsidRDefault="000340A6" w:rsidP="000340A6">
      <w:pPr>
        <w:shd w:val="clear" w:color="auto" w:fill="FFFFFF"/>
        <w:tabs>
          <w:tab w:val="left" w:pos="1418"/>
          <w:tab w:val="left" w:pos="2078"/>
          <w:tab w:val="left" w:pos="2127"/>
          <w:tab w:val="center" w:pos="3898"/>
        </w:tabs>
        <w:overflowPunct/>
        <w:autoSpaceDE/>
        <w:autoSpaceDN/>
        <w:adjustRightInd/>
        <w:jc w:val="both"/>
        <w:textAlignment w:val="auto"/>
        <w:rPr>
          <w:rFonts w:ascii="Arial" w:eastAsia="Calibri" w:hAnsi="Arial" w:cs="Arial"/>
          <w:bCs/>
          <w:sz w:val="18"/>
          <w:szCs w:val="18"/>
          <w:lang w:eastAsia="fr-FR"/>
        </w:rPr>
      </w:pPr>
      <w:r w:rsidRPr="000340A6">
        <w:rPr>
          <w:rFonts w:ascii="Arial" w:eastAsia="Calibri" w:hAnsi="Arial" w:cs="Arial"/>
          <w:bCs/>
          <w:sz w:val="18"/>
          <w:szCs w:val="18"/>
          <w:lang w:val="es-ES_tradnl" w:eastAsia="fr-FR"/>
        </w:rPr>
        <w:t xml:space="preserve">Demandante: </w:t>
      </w:r>
      <w:r w:rsidRPr="000340A6">
        <w:rPr>
          <w:rFonts w:ascii="Arial" w:eastAsia="Calibri" w:hAnsi="Arial" w:cs="Arial"/>
          <w:bCs/>
          <w:sz w:val="18"/>
          <w:szCs w:val="18"/>
          <w:lang w:val="es-ES_tradnl" w:eastAsia="fr-FR"/>
        </w:rPr>
        <w:tab/>
      </w:r>
      <w:r w:rsidRPr="000340A6">
        <w:rPr>
          <w:rFonts w:ascii="Arial" w:eastAsia="Calibri" w:hAnsi="Arial" w:cs="Arial"/>
          <w:bCs/>
          <w:sz w:val="18"/>
          <w:szCs w:val="18"/>
          <w:lang w:val="es-ES_tradnl" w:eastAsia="fr-FR"/>
        </w:rPr>
        <w:tab/>
        <w:t xml:space="preserve"> </w:t>
      </w:r>
      <w:r w:rsidR="008B0CAA" w:rsidRPr="008B0CAA">
        <w:rPr>
          <w:rFonts w:ascii="Arial" w:eastAsia="Calibri" w:hAnsi="Arial" w:cs="Arial"/>
          <w:bCs/>
          <w:sz w:val="18"/>
          <w:szCs w:val="18"/>
          <w:lang w:eastAsia="fr-FR"/>
        </w:rPr>
        <w:t>MARÍA OLGA DURANGO</w:t>
      </w:r>
    </w:p>
    <w:p w:rsidR="000340A6" w:rsidRPr="000340A6" w:rsidRDefault="000340A6" w:rsidP="000340A6">
      <w:pPr>
        <w:shd w:val="clear" w:color="auto" w:fill="FFFFFF"/>
        <w:tabs>
          <w:tab w:val="left" w:pos="1418"/>
          <w:tab w:val="left" w:pos="2127"/>
        </w:tabs>
        <w:overflowPunct/>
        <w:autoSpaceDE/>
        <w:autoSpaceDN/>
        <w:adjustRightInd/>
        <w:jc w:val="both"/>
        <w:textAlignment w:val="auto"/>
        <w:rPr>
          <w:rFonts w:ascii="Arial" w:eastAsia="Calibri" w:hAnsi="Arial" w:cs="Arial"/>
          <w:bCs/>
          <w:sz w:val="18"/>
          <w:szCs w:val="18"/>
          <w:lang w:eastAsia="fr-FR"/>
        </w:rPr>
      </w:pPr>
      <w:r w:rsidRPr="000340A6">
        <w:rPr>
          <w:rFonts w:ascii="Arial" w:eastAsia="Calibri" w:hAnsi="Arial" w:cs="Arial"/>
          <w:bCs/>
          <w:sz w:val="18"/>
          <w:szCs w:val="18"/>
          <w:lang w:val="es-ES_tradnl" w:eastAsia="fr-FR"/>
        </w:rPr>
        <w:t>Demandado:</w:t>
      </w:r>
      <w:r w:rsidRPr="000340A6">
        <w:rPr>
          <w:rFonts w:ascii="Arial" w:eastAsia="Calibri" w:hAnsi="Arial" w:cs="Arial"/>
          <w:bCs/>
          <w:sz w:val="18"/>
          <w:szCs w:val="18"/>
          <w:lang w:val="es-ES_tradnl" w:eastAsia="fr-FR"/>
        </w:rPr>
        <w:tab/>
      </w:r>
      <w:r w:rsidRPr="000340A6">
        <w:rPr>
          <w:rFonts w:ascii="Arial" w:eastAsia="Calibri" w:hAnsi="Arial" w:cs="Arial"/>
          <w:bCs/>
          <w:sz w:val="18"/>
          <w:szCs w:val="18"/>
          <w:lang w:val="es-ES_tradnl" w:eastAsia="fr-FR"/>
        </w:rPr>
        <w:tab/>
      </w:r>
      <w:r w:rsidR="008B0CAA" w:rsidRPr="008B0CAA">
        <w:rPr>
          <w:rFonts w:ascii="Arial" w:eastAsia="Calibri" w:hAnsi="Arial" w:cs="Arial"/>
          <w:bCs/>
          <w:sz w:val="18"/>
          <w:szCs w:val="18"/>
          <w:lang w:eastAsia="fr-FR"/>
        </w:rPr>
        <w:t>GLORIA STELLA MARÍN BEDOYA</w:t>
      </w:r>
      <w:r w:rsidR="008B0CAA" w:rsidRPr="000340A6">
        <w:rPr>
          <w:rFonts w:ascii="Arial" w:eastAsia="Calibri" w:hAnsi="Arial" w:cs="Arial"/>
          <w:bCs/>
          <w:sz w:val="18"/>
          <w:szCs w:val="18"/>
          <w:lang w:eastAsia="fr-FR"/>
        </w:rPr>
        <w:t xml:space="preserve"> </w:t>
      </w:r>
      <w:r w:rsidRPr="000340A6">
        <w:rPr>
          <w:rFonts w:ascii="Arial" w:eastAsia="Calibri" w:hAnsi="Arial" w:cs="Arial"/>
          <w:bCs/>
          <w:sz w:val="18"/>
          <w:szCs w:val="18"/>
          <w:lang w:eastAsia="fr-FR"/>
        </w:rPr>
        <w:t>Y OTROS</w:t>
      </w:r>
    </w:p>
    <w:p w:rsidR="000340A6" w:rsidRPr="000340A6" w:rsidRDefault="000340A6" w:rsidP="000340A6">
      <w:pPr>
        <w:shd w:val="clear" w:color="auto" w:fill="FFFFFF"/>
        <w:tabs>
          <w:tab w:val="left" w:pos="1418"/>
          <w:tab w:val="left" w:pos="2127"/>
        </w:tabs>
        <w:overflowPunct/>
        <w:autoSpaceDE/>
        <w:autoSpaceDN/>
        <w:adjustRightInd/>
        <w:spacing w:after="200"/>
        <w:jc w:val="both"/>
        <w:textAlignment w:val="auto"/>
        <w:rPr>
          <w:rFonts w:ascii="Arial" w:eastAsia="Calibri" w:hAnsi="Arial" w:cs="Arial"/>
          <w:bCs/>
          <w:iCs/>
          <w:sz w:val="18"/>
          <w:szCs w:val="18"/>
          <w:lang w:val="es-CO" w:eastAsia="fr-FR"/>
        </w:rPr>
      </w:pPr>
      <w:r w:rsidRPr="000340A6">
        <w:rPr>
          <w:rFonts w:ascii="Arial" w:eastAsia="Calibri" w:hAnsi="Arial" w:cs="Arial"/>
          <w:sz w:val="18"/>
          <w:szCs w:val="18"/>
          <w:lang w:val="es-MX" w:eastAsia="fr-FR"/>
        </w:rPr>
        <w:t xml:space="preserve">Magistrado Ponente: </w:t>
      </w:r>
      <w:r w:rsidRPr="000340A6">
        <w:rPr>
          <w:rFonts w:ascii="Arial" w:eastAsia="Calibri" w:hAnsi="Arial" w:cs="Arial"/>
          <w:sz w:val="18"/>
          <w:szCs w:val="18"/>
          <w:lang w:val="es-MX" w:eastAsia="fr-FR"/>
        </w:rPr>
        <w:tab/>
      </w:r>
      <w:r w:rsidRPr="000340A6">
        <w:rPr>
          <w:rFonts w:ascii="Arial" w:eastAsia="Calibri" w:hAnsi="Arial" w:cs="Arial"/>
          <w:bCs/>
          <w:iCs/>
          <w:sz w:val="18"/>
          <w:szCs w:val="18"/>
          <w:lang w:eastAsia="fr-FR"/>
        </w:rPr>
        <w:t>JAIME ALBERTO SARAZA NARANJO</w:t>
      </w:r>
    </w:p>
    <w:p w:rsidR="000340A6" w:rsidRPr="000340A6" w:rsidRDefault="000340A6" w:rsidP="000340A6">
      <w:pPr>
        <w:overflowPunct/>
        <w:autoSpaceDE/>
        <w:autoSpaceDN/>
        <w:adjustRightInd/>
        <w:jc w:val="both"/>
        <w:textAlignment w:val="auto"/>
        <w:rPr>
          <w:rFonts w:ascii="Arial" w:eastAsia="Calibri" w:hAnsi="Arial" w:cs="Arial"/>
          <w:b/>
          <w:sz w:val="18"/>
          <w:szCs w:val="22"/>
          <w:lang w:val="es-MX" w:eastAsia="fr-FR"/>
        </w:rPr>
      </w:pPr>
    </w:p>
    <w:p w:rsidR="00980F45" w:rsidRPr="002D5BFC" w:rsidRDefault="000340A6" w:rsidP="00980F45">
      <w:pPr>
        <w:overflowPunct/>
        <w:autoSpaceDE/>
        <w:autoSpaceDN/>
        <w:adjustRightInd/>
        <w:jc w:val="both"/>
        <w:textAlignment w:val="auto"/>
        <w:rPr>
          <w:rFonts w:ascii="Arial" w:eastAsia="Calibri" w:hAnsi="Arial" w:cs="Arial"/>
          <w:sz w:val="18"/>
          <w:szCs w:val="22"/>
          <w:lang w:eastAsia="fr-FR"/>
        </w:rPr>
      </w:pPr>
      <w:r w:rsidRPr="000340A6">
        <w:rPr>
          <w:rFonts w:ascii="Arial" w:eastAsia="Calibri" w:hAnsi="Arial" w:cs="Arial"/>
          <w:b/>
          <w:sz w:val="18"/>
          <w:szCs w:val="22"/>
          <w:lang w:val="es-MX" w:eastAsia="fr-FR"/>
        </w:rPr>
        <w:t>Temas:</w:t>
      </w:r>
      <w:r w:rsidRPr="000340A6">
        <w:rPr>
          <w:rFonts w:ascii="Arial" w:eastAsia="Calibri" w:hAnsi="Arial" w:cs="Arial"/>
          <w:b/>
          <w:sz w:val="18"/>
          <w:szCs w:val="22"/>
          <w:lang w:val="es-MX" w:eastAsia="fr-FR"/>
        </w:rPr>
        <w:tab/>
      </w:r>
      <w:r w:rsidRPr="000340A6">
        <w:rPr>
          <w:rFonts w:ascii="Arial" w:eastAsia="Calibri" w:hAnsi="Arial" w:cs="Arial"/>
          <w:b/>
          <w:sz w:val="18"/>
          <w:szCs w:val="22"/>
          <w:lang w:val="es-MX" w:eastAsia="fr-FR"/>
        </w:rPr>
        <w:tab/>
      </w:r>
      <w:r w:rsidRPr="000340A6">
        <w:rPr>
          <w:rFonts w:ascii="Arial" w:eastAsia="Calibri" w:hAnsi="Arial" w:cs="Arial"/>
          <w:b/>
          <w:sz w:val="18"/>
          <w:szCs w:val="22"/>
          <w:lang w:val="es-MX" w:eastAsia="fr-FR"/>
        </w:rPr>
        <w:tab/>
      </w:r>
      <w:r w:rsidR="00980F45" w:rsidRPr="002D5BFC">
        <w:rPr>
          <w:rFonts w:ascii="Arial" w:eastAsia="Calibri" w:hAnsi="Arial" w:cs="Arial"/>
          <w:b/>
          <w:sz w:val="18"/>
          <w:szCs w:val="22"/>
          <w:lang w:val="es-MX" w:eastAsia="fr-FR"/>
        </w:rPr>
        <w:t>ACCIÓN REIVINDICATORIA</w:t>
      </w:r>
      <w:r w:rsidRPr="000340A6">
        <w:rPr>
          <w:rFonts w:ascii="Arial" w:eastAsia="Calibri" w:hAnsi="Arial" w:cs="Arial"/>
          <w:b/>
          <w:sz w:val="18"/>
          <w:szCs w:val="22"/>
          <w:lang w:val="es-MX" w:eastAsia="fr-FR"/>
        </w:rPr>
        <w:t xml:space="preserve"> / </w:t>
      </w:r>
      <w:r w:rsidR="009A53E1" w:rsidRPr="002D5BFC">
        <w:rPr>
          <w:rFonts w:ascii="Arial" w:eastAsia="Calibri" w:hAnsi="Arial" w:cs="Arial"/>
          <w:b/>
          <w:sz w:val="18"/>
          <w:szCs w:val="22"/>
          <w:lang w:val="es-MX" w:eastAsia="fr-FR"/>
        </w:rPr>
        <w:t>BIENES HEREDITARIOS</w:t>
      </w:r>
      <w:r w:rsidRPr="000340A6">
        <w:rPr>
          <w:rFonts w:ascii="Arial" w:eastAsia="Calibri" w:hAnsi="Arial" w:cs="Arial"/>
          <w:b/>
          <w:sz w:val="18"/>
          <w:szCs w:val="22"/>
          <w:lang w:val="es-MX" w:eastAsia="fr-FR"/>
        </w:rPr>
        <w:t xml:space="preserve"> / </w:t>
      </w:r>
      <w:r w:rsidR="009A53E1" w:rsidRPr="002D5BFC">
        <w:rPr>
          <w:rFonts w:ascii="Arial" w:eastAsia="Calibri" w:hAnsi="Arial" w:cs="Arial"/>
          <w:b/>
          <w:sz w:val="18"/>
          <w:szCs w:val="22"/>
          <w:lang w:val="es-MX" w:eastAsia="fr-FR"/>
        </w:rPr>
        <w:t>ACCIÓN FRENTE A TERCEROS / NO SE DEMOSTRÓ QUE CONOCÍAN DEL PROCESO DE FILIACION AL MOMENTO DE LA COMPRA DE LOS BIENES / MALA FE DEBE SER PROBADA</w:t>
      </w:r>
      <w:r w:rsidRPr="000340A6">
        <w:rPr>
          <w:rFonts w:ascii="Arial" w:eastAsia="Calibri" w:hAnsi="Arial" w:cs="Arial"/>
          <w:b/>
          <w:sz w:val="18"/>
          <w:szCs w:val="22"/>
          <w:lang w:eastAsia="fr-FR"/>
        </w:rPr>
        <w:t xml:space="preserve"> / CONFIRMA / NIEGA / </w:t>
      </w:r>
      <w:r w:rsidR="00980F45" w:rsidRPr="002D5BFC">
        <w:rPr>
          <w:rFonts w:ascii="Arial" w:eastAsia="Calibri" w:hAnsi="Arial" w:cs="Arial"/>
          <w:sz w:val="18"/>
          <w:szCs w:val="22"/>
          <w:lang w:eastAsia="fr-FR"/>
        </w:rPr>
        <w:t xml:space="preserve">Recuérdese que el recurso viene anclado en que, de acuerdo con sus propias versiones, los demandados conocían de la existencia de María Olga Durango y de cómo ella alegaba su calidad de hija y posible heredera de Antonio María Bedoya. Pero, por una parte, Martha Luz Marín Bedoya, no declaró en el proceso de filiación, y aquí afirmó que no sabía de la existencia de la demandante. Ninguna otra prueba la involucra, de la que pueda deducirse que, efectivamente, para cuando compró, tenía conocimiento de una posible reclamación por parte de aquella, y la sola suposición de la demandante de que así era, se torna insuficiente para destruir aquel principio (el de la buena fe). Es cierto que María Adela fue notificada por conducta concluyente el 2 de marzo de la demanda de filiación, y que a pocos meses, en septiembre de ese año, le vendió a su hija Martha Luz y su consorte Miguel Antonio Velásquez Mesa el inmueble de matrícula 290-14043, pero de esa situación no se sigue, necesariamente, y sin que exista ningún medio para acreditarlo, que compró a sabiendas del perjuicio que posteriormente podría irrogársele a la ahora demandante, o con el ánimo de perturbar sus derechos herenciales. </w:t>
      </w:r>
    </w:p>
    <w:p w:rsidR="00980F45" w:rsidRPr="002D5BFC" w:rsidRDefault="00980F45" w:rsidP="00980F45">
      <w:pPr>
        <w:overflowPunct/>
        <w:autoSpaceDE/>
        <w:autoSpaceDN/>
        <w:adjustRightInd/>
        <w:jc w:val="both"/>
        <w:textAlignment w:val="auto"/>
        <w:rPr>
          <w:rFonts w:ascii="Arial" w:eastAsia="Calibri" w:hAnsi="Arial" w:cs="Arial"/>
          <w:sz w:val="18"/>
          <w:szCs w:val="22"/>
          <w:lang w:eastAsia="fr-FR"/>
        </w:rPr>
      </w:pPr>
    </w:p>
    <w:p w:rsidR="000340A6" w:rsidRPr="000340A6" w:rsidRDefault="00980F45" w:rsidP="00980F45">
      <w:pPr>
        <w:overflowPunct/>
        <w:autoSpaceDE/>
        <w:autoSpaceDN/>
        <w:adjustRightInd/>
        <w:jc w:val="both"/>
        <w:textAlignment w:val="auto"/>
        <w:rPr>
          <w:rFonts w:ascii="Arial" w:eastAsia="Calibri" w:hAnsi="Arial" w:cs="Arial"/>
          <w:sz w:val="18"/>
          <w:szCs w:val="18"/>
          <w:lang w:eastAsia="fr-FR"/>
        </w:rPr>
      </w:pPr>
      <w:r w:rsidRPr="002D5BFC">
        <w:rPr>
          <w:rFonts w:ascii="Arial" w:eastAsia="Calibri" w:hAnsi="Arial" w:cs="Arial"/>
          <w:sz w:val="18"/>
          <w:szCs w:val="22"/>
          <w:lang w:eastAsia="fr-FR"/>
        </w:rPr>
        <w:t>Y por la otra, las declaraciones que rindieron Gloria Stella y Miguel Antonio, que es lo único que serviría de pilar para desvirtuar su buena fe, solo dan cuenta de que en Apía existían rumores de que María Olga podía ser hija de Antonio María Bedoya; incluso, que un notario estuvo en su casa procurando que la reconociera como tal. Pero, obsérvese que no se concretó cuándo ocurrieron esos hechos, como para pensar que ya la demandante pretendía iniciar alguna acción judicial, o que, por ese solo rumor, se limitaba su posibilidad de adquirir algún bien, incluidos los que fueron adjudicados a María Adela. Es decir, que tampoco se tiene noticia de que para cuando cada uno compró, en marzo de 2004 la primera, y en septiembre del mismo año el segundo, tuvieran conocimiento exacto de que se ventilaba la demanda de investigación de la paternidad.</w:t>
      </w:r>
    </w:p>
    <w:p w:rsidR="000340A6" w:rsidRPr="002D5BFC" w:rsidRDefault="000340A6" w:rsidP="000340A6">
      <w:pPr>
        <w:overflowPunct/>
        <w:autoSpaceDE/>
        <w:autoSpaceDN/>
        <w:adjustRightInd/>
        <w:jc w:val="both"/>
        <w:textAlignment w:val="auto"/>
        <w:rPr>
          <w:rFonts w:ascii="Arial" w:eastAsia="Calibri" w:hAnsi="Arial" w:cs="Arial"/>
          <w:sz w:val="18"/>
          <w:szCs w:val="18"/>
          <w:lang w:eastAsia="fr-FR"/>
        </w:rPr>
      </w:pPr>
      <w:r w:rsidRPr="000340A6">
        <w:rPr>
          <w:rFonts w:ascii="Arial" w:eastAsia="Calibri" w:hAnsi="Arial" w:cs="Arial"/>
          <w:sz w:val="18"/>
          <w:szCs w:val="18"/>
          <w:lang w:eastAsia="fr-FR"/>
        </w:rPr>
        <w:t>(…)</w:t>
      </w:r>
    </w:p>
    <w:p w:rsidR="00980F45" w:rsidRPr="002D5BFC" w:rsidRDefault="00980F45" w:rsidP="000340A6">
      <w:pPr>
        <w:overflowPunct/>
        <w:autoSpaceDE/>
        <w:autoSpaceDN/>
        <w:adjustRightInd/>
        <w:jc w:val="both"/>
        <w:textAlignment w:val="auto"/>
        <w:rPr>
          <w:rFonts w:ascii="Arial" w:eastAsia="Calibri" w:hAnsi="Arial" w:cs="Arial"/>
          <w:sz w:val="18"/>
          <w:szCs w:val="18"/>
          <w:lang w:eastAsia="fr-FR"/>
        </w:rPr>
      </w:pPr>
      <w:r w:rsidRPr="002D5BFC">
        <w:rPr>
          <w:rFonts w:ascii="Arial" w:eastAsia="Calibri" w:hAnsi="Arial" w:cs="Arial"/>
          <w:sz w:val="18"/>
          <w:szCs w:val="18"/>
          <w:lang w:eastAsia="fr-FR"/>
        </w:rPr>
        <w:t>Lo que se quiere significar, entonces, es que, si el principio de la buena fe implica, entre otras cosas, como lo señala la jurisprudencia, que se actúa con la convicción de que las cosas se hacen bien, o de que se procede con rectitud y lealtad, no bastaba que la demandante afirmara que los compradores, por más familiares que fueran de María Adela Bedoya, se comportaron irregularmente en esas negociaciones en detrimento de la demandante. El ejercicio probatorio tenía que ir más allá, hasta demostrar cabalmente que tenían conocimiento del proceso que, para cuando adquirieron los bienes, se insiste, adelantaba Olga María, tendiente a que se declarara que era hija de Antonio María, lo que no ocurrió.</w:t>
      </w:r>
    </w:p>
    <w:p w:rsidR="009A53E1" w:rsidRPr="002D5BFC" w:rsidRDefault="009A53E1" w:rsidP="000340A6">
      <w:pPr>
        <w:overflowPunct/>
        <w:autoSpaceDE/>
        <w:autoSpaceDN/>
        <w:adjustRightInd/>
        <w:jc w:val="both"/>
        <w:textAlignment w:val="auto"/>
        <w:rPr>
          <w:rFonts w:ascii="Arial" w:eastAsia="Calibri" w:hAnsi="Arial" w:cs="Arial"/>
          <w:sz w:val="18"/>
          <w:szCs w:val="18"/>
          <w:lang w:eastAsia="fr-FR"/>
        </w:rPr>
      </w:pPr>
      <w:r w:rsidRPr="002D5BFC">
        <w:rPr>
          <w:rFonts w:ascii="Arial" w:eastAsia="Calibri" w:hAnsi="Arial" w:cs="Arial"/>
          <w:sz w:val="18"/>
          <w:szCs w:val="18"/>
          <w:lang w:eastAsia="fr-FR"/>
        </w:rPr>
        <w:t>(…)</w:t>
      </w:r>
    </w:p>
    <w:p w:rsidR="009A53E1" w:rsidRPr="002D5BFC" w:rsidRDefault="009A53E1" w:rsidP="000340A6">
      <w:pPr>
        <w:overflowPunct/>
        <w:autoSpaceDE/>
        <w:autoSpaceDN/>
        <w:adjustRightInd/>
        <w:jc w:val="both"/>
        <w:textAlignment w:val="auto"/>
        <w:rPr>
          <w:rFonts w:ascii="Arial" w:eastAsia="Calibri" w:hAnsi="Arial" w:cs="Arial"/>
          <w:sz w:val="18"/>
          <w:szCs w:val="18"/>
          <w:lang w:eastAsia="fr-FR"/>
        </w:rPr>
      </w:pPr>
      <w:r w:rsidRPr="002D5BFC">
        <w:rPr>
          <w:rFonts w:ascii="Arial" w:eastAsia="Calibri" w:hAnsi="Arial" w:cs="Arial"/>
          <w:sz w:val="18"/>
          <w:szCs w:val="18"/>
          <w:lang w:eastAsia="fr-FR"/>
        </w:rPr>
        <w:t>De otro lado, puede ser llamativo que María Adela vendiera algunas de sus propiedades a sus propias hijas, cuando eran ellas sus herederas. Sin embargo, negocios de ese tipo son perfectamente viables en el tráfico jurídico y, por tanto, aunque de allí pudiera emerger un indicio, en el estado de este proceso lo sería para la vendedora, más que para los compradores, dado que, a vuelta de insistir, ninguna otra prueba apunta a señalar que al momento de adquirir los bienes lo hacían con un propósito torcido frente a quien llegara luego a ser reconocida como heredera de Antonio María.</w:t>
      </w:r>
    </w:p>
    <w:p w:rsidR="00980F45" w:rsidRPr="000340A6" w:rsidRDefault="00980F45" w:rsidP="000340A6">
      <w:pPr>
        <w:overflowPunct/>
        <w:autoSpaceDE/>
        <w:autoSpaceDN/>
        <w:adjustRightInd/>
        <w:jc w:val="both"/>
        <w:textAlignment w:val="auto"/>
        <w:rPr>
          <w:rFonts w:ascii="Arial" w:eastAsia="Calibri" w:hAnsi="Arial" w:cs="Arial"/>
          <w:sz w:val="18"/>
          <w:szCs w:val="18"/>
          <w:lang w:eastAsia="fr-FR"/>
        </w:rPr>
      </w:pPr>
    </w:p>
    <w:p w:rsidR="000340A6" w:rsidRPr="002D5BFC" w:rsidRDefault="000340A6" w:rsidP="004211B9">
      <w:pPr>
        <w:spacing w:line="276" w:lineRule="auto"/>
        <w:ind w:firstLine="2880"/>
        <w:jc w:val="both"/>
        <w:rPr>
          <w:rFonts w:ascii="Gadugi" w:eastAsia="Malgun Gothic" w:hAnsi="Gadugi" w:cs="Estrangelo Edessa"/>
          <w:b/>
          <w:bCs/>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A7DA4" w:rsidRPr="002D5BFC" w:rsidRDefault="007A7DA4" w:rsidP="004211B9">
      <w:pPr>
        <w:spacing w:line="276" w:lineRule="auto"/>
        <w:ind w:firstLine="2880"/>
        <w:jc w:val="both"/>
        <w:rPr>
          <w:rFonts w:ascii="Gadugi" w:eastAsia="Malgun Gothic" w:hAnsi="Gadugi" w:cs="Estrangelo Edessa"/>
          <w:b/>
          <w:bCs/>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D5BFC">
        <w:rPr>
          <w:rFonts w:ascii="Gadugi" w:eastAsia="Malgun Gothic" w:hAnsi="Gadugi" w:cs="Estrangelo Edessa"/>
          <w:b/>
          <w:bCs/>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TRIBUNAL SUPERIOR DEL DISTRITO JUDICIAL</w:t>
      </w:r>
    </w:p>
    <w:p w:rsidR="007A7DA4" w:rsidRPr="002D5BFC" w:rsidRDefault="007A7DA4" w:rsidP="004211B9">
      <w:pPr>
        <w:spacing w:line="276" w:lineRule="auto"/>
        <w:ind w:firstLine="2880"/>
        <w:jc w:val="both"/>
        <w:rPr>
          <w:rFonts w:ascii="Gadugi" w:eastAsia="Malgun Gothic" w:hAnsi="Gadugi" w:cs="Estrangelo Edessa"/>
          <w:b/>
          <w:bCs/>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D5BFC">
        <w:rPr>
          <w:rFonts w:ascii="Gadugi" w:eastAsia="Malgun Gothic" w:hAnsi="Gadugi" w:cs="Estrangelo Edessa"/>
          <w:b/>
          <w:bCs/>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3E357C" w:rsidRPr="002D5BFC">
        <w:rPr>
          <w:rFonts w:ascii="Gadugi" w:eastAsia="Malgun Gothic" w:hAnsi="Gadugi" w:cs="Estrangelo Edessa"/>
          <w:b/>
          <w:bCs/>
          <w:sz w:val="26"/>
          <w:szCs w:val="26"/>
          <w:lang w:val="es-41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D5BFC">
        <w:rPr>
          <w:rFonts w:ascii="Gadugi" w:eastAsia="Malgun Gothic" w:hAnsi="Gadugi" w:cs="Estrangelo Edessa"/>
          <w:b/>
          <w:bCs/>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SALA DE DECISIÓN CIVIL-FAMILIA</w:t>
      </w:r>
    </w:p>
    <w:p w:rsidR="007A7DA4" w:rsidRPr="002D5BFC" w:rsidRDefault="007A7DA4" w:rsidP="004211B9">
      <w:pPr>
        <w:spacing w:line="480" w:lineRule="auto"/>
        <w:jc w:val="both"/>
        <w:rPr>
          <w:rFonts w:ascii="Gadugi" w:eastAsia="Malgun Gothic" w:hAnsi="Gadugi" w:cs="Estrangelo Edessa"/>
          <w:sz w:val="24"/>
          <w:szCs w:val="24"/>
        </w:rPr>
      </w:pPr>
    </w:p>
    <w:p w:rsidR="007A7DA4" w:rsidRPr="002D5BFC" w:rsidRDefault="007A7DA4" w:rsidP="004211B9">
      <w:pPr>
        <w:spacing w:line="276" w:lineRule="auto"/>
        <w:ind w:firstLine="2880"/>
        <w:jc w:val="both"/>
        <w:rPr>
          <w:rFonts w:ascii="Gadugi" w:eastAsia="Malgun Gothic" w:hAnsi="Gadugi" w:cs="Estrangelo Edessa"/>
          <w:sz w:val="24"/>
          <w:szCs w:val="24"/>
        </w:rPr>
      </w:pPr>
      <w:r w:rsidRPr="002D5BFC">
        <w:rPr>
          <w:rFonts w:ascii="Gadugi" w:eastAsia="Malgun Gothic" w:hAnsi="Gadugi" w:cs="Estrangelo Edessa"/>
          <w:sz w:val="24"/>
          <w:szCs w:val="24"/>
        </w:rPr>
        <w:t>Magistrado:  Jaime Alberto Saraza Naranjo</w:t>
      </w:r>
    </w:p>
    <w:p w:rsidR="00F71F17" w:rsidRPr="002D5BFC" w:rsidRDefault="007A7DA4" w:rsidP="004211B9">
      <w:pPr>
        <w:spacing w:line="276" w:lineRule="auto"/>
        <w:ind w:firstLine="2880"/>
        <w:jc w:val="both"/>
        <w:rPr>
          <w:rFonts w:ascii="Gadugi" w:eastAsia="Malgun Gothic" w:hAnsi="Gadugi" w:cs="Estrangelo Edessa"/>
          <w:sz w:val="24"/>
          <w:szCs w:val="24"/>
          <w:lang w:val="es-419"/>
        </w:rPr>
      </w:pPr>
      <w:r w:rsidRPr="002D5BFC">
        <w:rPr>
          <w:rFonts w:ascii="Gadugi" w:eastAsia="Malgun Gothic" w:hAnsi="Gadugi" w:cs="Estrangelo Edessa"/>
          <w:sz w:val="24"/>
          <w:szCs w:val="24"/>
        </w:rPr>
        <w:t xml:space="preserve">Pereira, </w:t>
      </w:r>
      <w:r w:rsidR="00F71F17" w:rsidRPr="002D5BFC">
        <w:rPr>
          <w:rFonts w:ascii="Gadugi" w:eastAsia="Malgun Gothic" w:hAnsi="Gadugi" w:cs="Estrangelo Edessa"/>
          <w:sz w:val="24"/>
          <w:szCs w:val="24"/>
          <w:lang w:val="es-419"/>
        </w:rPr>
        <w:t>junio veinte de dos mil die</w:t>
      </w:r>
      <w:r w:rsidR="003E357C" w:rsidRPr="002D5BFC">
        <w:rPr>
          <w:rFonts w:ascii="Gadugi" w:eastAsia="Malgun Gothic" w:hAnsi="Gadugi" w:cs="Estrangelo Edessa"/>
          <w:sz w:val="24"/>
          <w:szCs w:val="24"/>
          <w:lang w:val="es-419"/>
        </w:rPr>
        <w:t>ci</w:t>
      </w:r>
      <w:r w:rsidR="00F71F17" w:rsidRPr="002D5BFC">
        <w:rPr>
          <w:rFonts w:ascii="Gadugi" w:eastAsia="Malgun Gothic" w:hAnsi="Gadugi" w:cs="Estrangelo Edessa"/>
          <w:sz w:val="24"/>
          <w:szCs w:val="24"/>
          <w:lang w:val="es-419"/>
        </w:rPr>
        <w:t>ocho</w:t>
      </w:r>
    </w:p>
    <w:p w:rsidR="007A7DA4" w:rsidRPr="002D5BFC" w:rsidRDefault="007A7DA4" w:rsidP="004211B9">
      <w:pPr>
        <w:spacing w:line="276" w:lineRule="auto"/>
        <w:ind w:firstLine="2880"/>
        <w:jc w:val="both"/>
        <w:rPr>
          <w:rFonts w:ascii="Gadugi" w:eastAsia="Malgun Gothic" w:hAnsi="Gadugi" w:cs="Estrangelo Edessa"/>
          <w:sz w:val="24"/>
          <w:szCs w:val="24"/>
        </w:rPr>
      </w:pPr>
      <w:r w:rsidRPr="002D5BFC">
        <w:rPr>
          <w:rFonts w:ascii="Gadugi" w:eastAsia="Malgun Gothic" w:hAnsi="Gadugi" w:cs="Estrangelo Edessa"/>
          <w:sz w:val="24"/>
          <w:szCs w:val="24"/>
        </w:rPr>
        <w:t>Expediente:  66001-31-10-00</w:t>
      </w:r>
      <w:r w:rsidRPr="002D5BFC">
        <w:rPr>
          <w:rFonts w:ascii="Gadugi" w:eastAsia="Malgun Gothic" w:hAnsi="Gadugi" w:cs="Estrangelo Edessa"/>
          <w:sz w:val="24"/>
          <w:szCs w:val="24"/>
          <w:lang w:val="es-419"/>
        </w:rPr>
        <w:t>2</w:t>
      </w:r>
      <w:r w:rsidRPr="002D5BFC">
        <w:rPr>
          <w:rFonts w:ascii="Gadugi" w:eastAsia="Malgun Gothic" w:hAnsi="Gadugi" w:cs="Estrangelo Edessa"/>
          <w:sz w:val="24"/>
          <w:szCs w:val="24"/>
        </w:rPr>
        <w:t>-201</w:t>
      </w:r>
      <w:r w:rsidRPr="002D5BFC">
        <w:rPr>
          <w:rFonts w:ascii="Gadugi" w:eastAsia="Malgun Gothic" w:hAnsi="Gadugi" w:cs="Estrangelo Edessa"/>
          <w:sz w:val="24"/>
          <w:szCs w:val="24"/>
          <w:lang w:val="es-419"/>
        </w:rPr>
        <w:t>2</w:t>
      </w:r>
      <w:r w:rsidRPr="002D5BFC">
        <w:rPr>
          <w:rFonts w:ascii="Gadugi" w:eastAsia="Malgun Gothic" w:hAnsi="Gadugi" w:cs="Estrangelo Edessa"/>
          <w:sz w:val="24"/>
          <w:szCs w:val="24"/>
        </w:rPr>
        <w:t>-00</w:t>
      </w:r>
      <w:r w:rsidRPr="002D5BFC">
        <w:rPr>
          <w:rFonts w:ascii="Gadugi" w:eastAsia="Malgun Gothic" w:hAnsi="Gadugi" w:cs="Estrangelo Edessa"/>
          <w:sz w:val="24"/>
          <w:szCs w:val="24"/>
          <w:lang w:val="es-419"/>
        </w:rPr>
        <w:t>138</w:t>
      </w:r>
      <w:r w:rsidRPr="002D5BFC">
        <w:rPr>
          <w:rFonts w:ascii="Gadugi" w:eastAsia="Malgun Gothic" w:hAnsi="Gadugi" w:cs="Estrangelo Edessa"/>
          <w:sz w:val="24"/>
          <w:szCs w:val="24"/>
        </w:rPr>
        <w:t>-01</w:t>
      </w:r>
    </w:p>
    <w:p w:rsidR="007A7DA4" w:rsidRPr="002D5BFC" w:rsidRDefault="007A7DA4" w:rsidP="004211B9">
      <w:pPr>
        <w:spacing w:line="276" w:lineRule="auto"/>
        <w:ind w:firstLine="2880"/>
        <w:jc w:val="both"/>
        <w:rPr>
          <w:rFonts w:ascii="Gadugi" w:eastAsia="Malgun Gothic" w:hAnsi="Gadugi" w:cs="Estrangelo Edessa"/>
          <w:sz w:val="24"/>
          <w:szCs w:val="24"/>
          <w:lang w:val="es-419"/>
        </w:rPr>
      </w:pPr>
      <w:r w:rsidRPr="002D5BFC">
        <w:rPr>
          <w:rFonts w:ascii="Gadugi" w:eastAsia="Malgun Gothic" w:hAnsi="Gadugi" w:cs="Estrangelo Edessa"/>
          <w:sz w:val="24"/>
          <w:szCs w:val="24"/>
        </w:rPr>
        <w:t xml:space="preserve">Acta Nº </w:t>
      </w:r>
      <w:r w:rsidR="003E357C" w:rsidRPr="002D5BFC">
        <w:rPr>
          <w:rFonts w:ascii="Gadugi" w:eastAsia="Malgun Gothic" w:hAnsi="Gadugi" w:cs="Estrangelo Edessa"/>
          <w:sz w:val="24"/>
          <w:szCs w:val="24"/>
          <w:lang w:val="es-419"/>
        </w:rPr>
        <w:t>214 de junio 20 de 2018</w:t>
      </w:r>
    </w:p>
    <w:p w:rsidR="007A7DA4" w:rsidRPr="002D5BFC" w:rsidRDefault="007A7DA4" w:rsidP="004211B9">
      <w:pPr>
        <w:spacing w:line="480" w:lineRule="auto"/>
        <w:ind w:firstLine="2880"/>
        <w:jc w:val="both"/>
        <w:rPr>
          <w:rFonts w:ascii="Gadugi" w:eastAsia="Malgun Gothic" w:hAnsi="Gadugi" w:cs="Estrangelo Edessa"/>
          <w:sz w:val="24"/>
          <w:szCs w:val="24"/>
        </w:rPr>
      </w:pPr>
    </w:p>
    <w:p w:rsidR="007A7DA4" w:rsidRPr="002D5BFC" w:rsidRDefault="007A7DA4" w:rsidP="004211B9">
      <w:pPr>
        <w:spacing w:line="276" w:lineRule="auto"/>
        <w:ind w:firstLine="2880"/>
        <w:jc w:val="both"/>
        <w:rPr>
          <w:rFonts w:ascii="Gadugi" w:eastAsia="Malgun Gothic" w:hAnsi="Gadugi" w:cs="Estrangelo Edessa"/>
          <w:b/>
          <w:sz w:val="24"/>
          <w:szCs w:val="24"/>
          <w:lang w:val="es-419"/>
        </w:rPr>
      </w:pPr>
      <w:r w:rsidRPr="002D5BFC">
        <w:rPr>
          <w:rFonts w:ascii="Gadugi" w:eastAsia="Malgun Gothic" w:hAnsi="Gadugi" w:cs="Estrangelo Edessa"/>
          <w:sz w:val="24"/>
          <w:szCs w:val="24"/>
        </w:rPr>
        <w:lastRenderedPageBreak/>
        <w:t xml:space="preserve">Decide la Sala el recurso de apelación interpuesto por la </w:t>
      </w:r>
      <w:r w:rsidRPr="002D5BFC">
        <w:rPr>
          <w:rFonts w:ascii="Gadugi" w:eastAsia="Malgun Gothic" w:hAnsi="Gadugi" w:cs="Estrangelo Edessa"/>
          <w:sz w:val="24"/>
          <w:szCs w:val="24"/>
          <w:lang w:val="es-419"/>
        </w:rPr>
        <w:t xml:space="preserve">parte demandante </w:t>
      </w:r>
      <w:r w:rsidRPr="002D5BFC">
        <w:rPr>
          <w:rFonts w:ascii="Gadugi" w:eastAsia="Malgun Gothic" w:hAnsi="Gadugi" w:cs="Estrangelo Edessa"/>
          <w:sz w:val="24"/>
          <w:szCs w:val="24"/>
        </w:rPr>
        <w:t>contra la sentencia dictada el</w:t>
      </w:r>
      <w:r w:rsidR="008200E2" w:rsidRPr="002D5BFC">
        <w:rPr>
          <w:rFonts w:ascii="Gadugi" w:eastAsia="Malgun Gothic" w:hAnsi="Gadugi" w:cs="Estrangelo Edessa"/>
          <w:sz w:val="24"/>
          <w:szCs w:val="24"/>
        </w:rPr>
        <w:t xml:space="preserve"> 26</w:t>
      </w:r>
      <w:r w:rsidR="008200E2" w:rsidRPr="002D5BFC">
        <w:rPr>
          <w:rFonts w:ascii="Gadugi" w:eastAsia="Malgun Gothic" w:hAnsi="Gadugi" w:cs="Estrangelo Edessa"/>
          <w:sz w:val="24"/>
          <w:szCs w:val="24"/>
          <w:lang w:val="es-419"/>
        </w:rPr>
        <w:t xml:space="preserve"> de noviembre de 2015</w:t>
      </w:r>
      <w:r w:rsidRPr="002D5BFC">
        <w:rPr>
          <w:rFonts w:ascii="Gadugi" w:eastAsia="Malgun Gothic" w:hAnsi="Gadugi" w:cs="Estrangelo Edessa"/>
          <w:sz w:val="24"/>
          <w:szCs w:val="24"/>
          <w:lang w:val="es-419"/>
        </w:rPr>
        <w:t xml:space="preserve">, </w:t>
      </w:r>
      <w:r w:rsidRPr="002D5BFC">
        <w:rPr>
          <w:rFonts w:ascii="Gadugi" w:eastAsia="Malgun Gothic" w:hAnsi="Gadugi" w:cs="Estrangelo Edessa"/>
          <w:sz w:val="24"/>
          <w:szCs w:val="24"/>
        </w:rPr>
        <w:t xml:space="preserve">por el Juzgado </w:t>
      </w:r>
      <w:r w:rsidR="008200E2" w:rsidRPr="002D5BFC">
        <w:rPr>
          <w:rFonts w:ascii="Gadugi" w:eastAsia="Malgun Gothic" w:hAnsi="Gadugi" w:cs="Estrangelo Edessa"/>
          <w:sz w:val="24"/>
          <w:szCs w:val="24"/>
          <w:lang w:val="es-419"/>
        </w:rPr>
        <w:t xml:space="preserve">Segundo de Familia </w:t>
      </w:r>
      <w:r w:rsidRPr="002D5BFC">
        <w:rPr>
          <w:rFonts w:ascii="Gadugi" w:eastAsia="Malgun Gothic" w:hAnsi="Gadugi" w:cs="Estrangelo Edessa"/>
          <w:sz w:val="24"/>
          <w:szCs w:val="24"/>
        </w:rPr>
        <w:t xml:space="preserve">local, en este proceso </w:t>
      </w:r>
      <w:r w:rsidRPr="002D5BFC">
        <w:rPr>
          <w:rFonts w:ascii="Gadugi" w:eastAsia="Malgun Gothic" w:hAnsi="Gadugi" w:cs="Estrangelo Edessa"/>
          <w:sz w:val="24"/>
          <w:szCs w:val="24"/>
          <w:lang w:val="es-419"/>
        </w:rPr>
        <w:t>ordinario</w:t>
      </w:r>
      <w:r w:rsidRPr="002D5BFC">
        <w:rPr>
          <w:rFonts w:ascii="Gadugi" w:eastAsia="Malgun Gothic" w:hAnsi="Gadugi" w:cs="Estrangelo Edessa"/>
          <w:sz w:val="24"/>
          <w:szCs w:val="24"/>
          <w:lang w:val="es-CO"/>
        </w:rPr>
        <w:t xml:space="preserve"> </w:t>
      </w:r>
      <w:r w:rsidRPr="002D5BFC">
        <w:rPr>
          <w:rFonts w:ascii="Gadugi" w:eastAsia="Malgun Gothic" w:hAnsi="Gadugi" w:cs="Estrangelo Edessa"/>
          <w:sz w:val="24"/>
          <w:szCs w:val="24"/>
        </w:rPr>
        <w:t xml:space="preserve">iniciado por </w:t>
      </w:r>
      <w:r w:rsidRPr="002D5BFC">
        <w:rPr>
          <w:rFonts w:ascii="Gadugi" w:eastAsia="Malgun Gothic" w:hAnsi="Gadugi" w:cs="Estrangelo Edessa"/>
          <w:sz w:val="24"/>
          <w:szCs w:val="24"/>
          <w:lang w:val="es-419"/>
        </w:rPr>
        <w:t>la s</w:t>
      </w:r>
      <w:r w:rsidR="008200E2" w:rsidRPr="002D5BFC">
        <w:rPr>
          <w:rFonts w:ascii="Gadugi" w:eastAsia="Malgun Gothic" w:hAnsi="Gadugi" w:cs="Estrangelo Edessa"/>
          <w:sz w:val="24"/>
          <w:szCs w:val="24"/>
          <w:lang w:val="es-419"/>
        </w:rPr>
        <w:t xml:space="preserve">eñora </w:t>
      </w:r>
      <w:r w:rsidR="008200E2" w:rsidRPr="002D5BFC">
        <w:rPr>
          <w:rFonts w:ascii="Gadugi" w:eastAsia="Malgun Gothic" w:hAnsi="Gadugi" w:cs="Estrangelo Edessa"/>
          <w:b/>
          <w:sz w:val="24"/>
          <w:szCs w:val="24"/>
          <w:lang w:val="es-419"/>
        </w:rPr>
        <w:t>María Olga Durango</w:t>
      </w:r>
      <w:r w:rsidRPr="002D5BFC">
        <w:rPr>
          <w:rFonts w:ascii="Gadugi" w:eastAsia="Malgun Gothic" w:hAnsi="Gadugi" w:cs="Estrangelo Edessa"/>
          <w:b/>
          <w:sz w:val="24"/>
          <w:szCs w:val="24"/>
          <w:lang w:val="es-419"/>
        </w:rPr>
        <w:t xml:space="preserve"> </w:t>
      </w:r>
      <w:r w:rsidR="002D67D3" w:rsidRPr="002D5BFC">
        <w:rPr>
          <w:rFonts w:ascii="Gadugi" w:eastAsia="Malgun Gothic" w:hAnsi="Gadugi" w:cs="Estrangelo Edessa"/>
          <w:sz w:val="24"/>
          <w:szCs w:val="24"/>
          <w:lang w:val="es-419"/>
        </w:rPr>
        <w:t>contra</w:t>
      </w:r>
      <w:r w:rsidRPr="002D5BFC">
        <w:rPr>
          <w:rFonts w:ascii="Gadugi" w:eastAsia="Malgun Gothic" w:hAnsi="Gadugi" w:cs="Estrangelo Edessa"/>
          <w:sz w:val="24"/>
          <w:szCs w:val="24"/>
          <w:lang w:val="es-419"/>
        </w:rPr>
        <w:t xml:space="preserve"> </w:t>
      </w:r>
      <w:r w:rsidR="008200E2" w:rsidRPr="002D5BFC">
        <w:rPr>
          <w:rFonts w:ascii="Gadugi" w:eastAsia="Malgun Gothic" w:hAnsi="Gadugi" w:cs="Estrangelo Edessa"/>
          <w:b/>
          <w:sz w:val="24"/>
          <w:szCs w:val="24"/>
          <w:lang w:val="es-419"/>
        </w:rPr>
        <w:t xml:space="preserve">Gloria Stella Marín Bedoya, Martha Luz Marín Bedoya, Miguel Antonio Velásquez Mesa </w:t>
      </w:r>
      <w:r w:rsidR="008200E2" w:rsidRPr="002D5BFC">
        <w:rPr>
          <w:rFonts w:ascii="Gadugi" w:eastAsia="Malgun Gothic" w:hAnsi="Gadugi" w:cs="Estrangelo Edessa"/>
          <w:sz w:val="24"/>
          <w:szCs w:val="24"/>
          <w:lang w:val="es-419"/>
        </w:rPr>
        <w:t xml:space="preserve">y </w:t>
      </w:r>
      <w:r w:rsidR="008200E2" w:rsidRPr="002D5BFC">
        <w:rPr>
          <w:rFonts w:ascii="Gadugi" w:eastAsia="Malgun Gothic" w:hAnsi="Gadugi" w:cs="Estrangelo Edessa"/>
          <w:b/>
          <w:sz w:val="24"/>
          <w:szCs w:val="24"/>
          <w:lang w:val="es-419"/>
        </w:rPr>
        <w:t>Edelmira Sáenz de García.</w:t>
      </w:r>
    </w:p>
    <w:p w:rsidR="007A7DA4" w:rsidRPr="002D5BFC" w:rsidRDefault="007A7DA4" w:rsidP="004211B9">
      <w:pPr>
        <w:spacing w:line="276" w:lineRule="auto"/>
        <w:ind w:firstLine="2880"/>
        <w:jc w:val="both"/>
        <w:rPr>
          <w:rFonts w:ascii="Gadugi" w:eastAsia="Malgun Gothic" w:hAnsi="Gadugi" w:cs="Estrangelo Edessa"/>
          <w:sz w:val="24"/>
          <w:szCs w:val="24"/>
          <w:lang w:val="es-419"/>
        </w:rPr>
      </w:pPr>
    </w:p>
    <w:p w:rsidR="000B0E31" w:rsidRPr="002D5BFC" w:rsidRDefault="000B0E31" w:rsidP="004211B9">
      <w:pPr>
        <w:spacing w:line="276" w:lineRule="auto"/>
        <w:ind w:firstLine="2880"/>
        <w:jc w:val="both"/>
        <w:rPr>
          <w:rFonts w:ascii="Gadugi" w:eastAsia="Malgun Gothic" w:hAnsi="Gadugi" w:cs="Estrangelo Edessa"/>
          <w:sz w:val="24"/>
          <w:szCs w:val="24"/>
          <w:lang w:val="es-419"/>
        </w:rPr>
      </w:pPr>
    </w:p>
    <w:p w:rsidR="007A7DA4" w:rsidRPr="002D5BFC" w:rsidRDefault="007A7DA4" w:rsidP="004211B9">
      <w:pPr>
        <w:numPr>
          <w:ilvl w:val="0"/>
          <w:numId w:val="1"/>
        </w:numPr>
        <w:spacing w:line="276" w:lineRule="auto"/>
        <w:jc w:val="both"/>
        <w:rPr>
          <w:rFonts w:ascii="Gadugi" w:eastAsia="Malgun Gothic" w:hAnsi="Gadugi" w:cs="Estrangelo Edessa"/>
          <w:b/>
          <w:sz w:val="24"/>
          <w:szCs w:val="24"/>
        </w:rPr>
      </w:pPr>
      <w:r w:rsidRPr="002D5BFC">
        <w:rPr>
          <w:rFonts w:ascii="Gadugi" w:eastAsia="Malgun Gothic" w:hAnsi="Gadugi" w:cs="Estrangelo Edessa"/>
          <w:b/>
          <w:sz w:val="24"/>
          <w:szCs w:val="24"/>
        </w:rPr>
        <w:t xml:space="preserve">ANTECEDENTES  </w:t>
      </w:r>
    </w:p>
    <w:p w:rsidR="007A7DA4" w:rsidRPr="002D5BFC" w:rsidRDefault="007A7DA4" w:rsidP="004211B9">
      <w:pPr>
        <w:spacing w:line="276" w:lineRule="auto"/>
        <w:ind w:firstLine="2880"/>
        <w:jc w:val="both"/>
        <w:rPr>
          <w:rFonts w:ascii="Gadugi" w:eastAsia="Malgun Gothic" w:hAnsi="Gadugi" w:cs="Estrangelo Edessa"/>
          <w:b/>
          <w:sz w:val="24"/>
          <w:szCs w:val="24"/>
        </w:rPr>
      </w:pPr>
    </w:p>
    <w:p w:rsidR="000B0E31" w:rsidRPr="002D5BFC" w:rsidRDefault="000B0E31" w:rsidP="004211B9">
      <w:pPr>
        <w:spacing w:line="276" w:lineRule="auto"/>
        <w:ind w:firstLine="2880"/>
        <w:jc w:val="both"/>
        <w:rPr>
          <w:rFonts w:ascii="Gadugi" w:eastAsia="Malgun Gothic" w:hAnsi="Gadugi" w:cs="Estrangelo Edessa"/>
          <w:b/>
          <w:sz w:val="24"/>
          <w:szCs w:val="24"/>
        </w:rPr>
      </w:pPr>
      <w:bookmarkStart w:id="0" w:name="_GoBack"/>
      <w:bookmarkEnd w:id="0"/>
    </w:p>
    <w:p w:rsidR="0054752E" w:rsidRPr="002D5BFC" w:rsidRDefault="00B531B3"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 xml:space="preserve">Pide </w:t>
      </w:r>
      <w:r w:rsidR="00E14D95" w:rsidRPr="002D5BFC">
        <w:rPr>
          <w:rFonts w:ascii="Gadugi" w:eastAsia="Malgun Gothic" w:hAnsi="Gadugi" w:cs="Estrangelo Edessa"/>
          <w:sz w:val="24"/>
          <w:szCs w:val="24"/>
          <w:lang w:val="es-419"/>
        </w:rPr>
        <w:t xml:space="preserve">la demandante </w:t>
      </w:r>
      <w:r w:rsidR="00DB1887" w:rsidRPr="002D5BFC">
        <w:rPr>
          <w:rFonts w:ascii="Gadugi" w:eastAsia="Malgun Gothic" w:hAnsi="Gadugi" w:cs="Estrangelo Edessa"/>
          <w:sz w:val="24"/>
          <w:szCs w:val="24"/>
          <w:lang w:val="es-419"/>
        </w:rPr>
        <w:t xml:space="preserve">que </w:t>
      </w:r>
      <w:r w:rsidR="00E14D95" w:rsidRPr="002D5BFC">
        <w:rPr>
          <w:rFonts w:ascii="Gadugi" w:eastAsia="Malgun Gothic" w:hAnsi="Gadugi" w:cs="Estrangelo Edessa"/>
          <w:sz w:val="24"/>
          <w:szCs w:val="24"/>
          <w:lang w:val="es-419"/>
        </w:rPr>
        <w:t>se declare</w:t>
      </w:r>
      <w:r w:rsidR="002A3922" w:rsidRPr="002D5BFC">
        <w:rPr>
          <w:rFonts w:ascii="Gadugi" w:eastAsia="Malgun Gothic" w:hAnsi="Gadugi" w:cs="Estrangelo Edessa"/>
          <w:sz w:val="24"/>
          <w:szCs w:val="24"/>
          <w:lang w:val="es-419"/>
        </w:rPr>
        <w:t xml:space="preserve"> que le pertenec</w:t>
      </w:r>
      <w:r w:rsidR="000B0E31" w:rsidRPr="002D5BFC">
        <w:rPr>
          <w:rFonts w:ascii="Gadugi" w:eastAsia="Malgun Gothic" w:hAnsi="Gadugi" w:cs="Estrangelo Edessa"/>
          <w:sz w:val="24"/>
          <w:szCs w:val="24"/>
          <w:lang w:val="es-419"/>
        </w:rPr>
        <w:t>ía</w:t>
      </w:r>
      <w:r w:rsidR="002A3922" w:rsidRPr="002D5BFC">
        <w:rPr>
          <w:rFonts w:ascii="Gadugi" w:eastAsia="Malgun Gothic" w:hAnsi="Gadugi" w:cs="Estrangelo Edessa"/>
          <w:sz w:val="24"/>
          <w:szCs w:val="24"/>
          <w:lang w:val="es-419"/>
        </w:rPr>
        <w:t xml:space="preserve"> el pleno y </w:t>
      </w:r>
      <w:r w:rsidR="006E65B1" w:rsidRPr="002D5BFC">
        <w:rPr>
          <w:rFonts w:ascii="Gadugi" w:eastAsia="Malgun Gothic" w:hAnsi="Gadugi" w:cs="Estrangelo Edessa"/>
          <w:sz w:val="24"/>
          <w:szCs w:val="24"/>
          <w:lang w:val="es-419"/>
        </w:rPr>
        <w:t>absoluto</w:t>
      </w:r>
      <w:r w:rsidR="002A3922" w:rsidRPr="002D5BFC">
        <w:rPr>
          <w:rFonts w:ascii="Gadugi" w:eastAsia="Malgun Gothic" w:hAnsi="Gadugi" w:cs="Estrangelo Edessa"/>
          <w:sz w:val="24"/>
          <w:szCs w:val="24"/>
          <w:lang w:val="es-419"/>
        </w:rPr>
        <w:t xml:space="preserve"> dominio</w:t>
      </w:r>
      <w:r w:rsidR="006E65B1" w:rsidRPr="002D5BFC">
        <w:rPr>
          <w:rFonts w:ascii="Gadugi" w:eastAsia="Malgun Gothic" w:hAnsi="Gadugi" w:cs="Estrangelo Edessa"/>
          <w:sz w:val="24"/>
          <w:szCs w:val="24"/>
          <w:lang w:val="es-419"/>
        </w:rPr>
        <w:t xml:space="preserve"> al señor Antonio María Bedoya Mejía sobre los siguientes </w:t>
      </w:r>
      <w:r w:rsidR="000B0E31" w:rsidRPr="002D5BFC">
        <w:rPr>
          <w:rFonts w:ascii="Gadugi" w:eastAsia="Malgun Gothic" w:hAnsi="Gadugi" w:cs="Estrangelo Edessa"/>
          <w:sz w:val="24"/>
          <w:szCs w:val="24"/>
          <w:lang w:val="es-419"/>
        </w:rPr>
        <w:t>b</w:t>
      </w:r>
      <w:r w:rsidR="006E65B1" w:rsidRPr="002D5BFC">
        <w:rPr>
          <w:rFonts w:ascii="Gadugi" w:eastAsia="Malgun Gothic" w:hAnsi="Gadugi" w:cs="Estrangelo Edessa"/>
          <w:sz w:val="24"/>
          <w:szCs w:val="24"/>
          <w:lang w:val="es-419"/>
        </w:rPr>
        <w:t>ienes</w:t>
      </w:r>
      <w:r w:rsidR="0054752E" w:rsidRPr="002D5BFC">
        <w:rPr>
          <w:rFonts w:ascii="Gadugi" w:eastAsia="Malgun Gothic" w:hAnsi="Gadugi" w:cs="Estrangelo Edessa"/>
          <w:sz w:val="24"/>
          <w:szCs w:val="24"/>
          <w:lang w:val="es-419"/>
        </w:rPr>
        <w:t>,</w:t>
      </w:r>
      <w:r w:rsidR="005B1E58" w:rsidRPr="002D5BFC">
        <w:rPr>
          <w:rFonts w:ascii="Gadugi" w:eastAsia="Malgun Gothic" w:hAnsi="Gadugi" w:cs="Estrangelo Edessa"/>
          <w:sz w:val="24"/>
          <w:szCs w:val="24"/>
          <w:lang w:val="es-419"/>
        </w:rPr>
        <w:t xml:space="preserve"> para </w:t>
      </w:r>
      <w:r w:rsidR="000B0E31" w:rsidRPr="002D5BFC">
        <w:rPr>
          <w:rFonts w:ascii="Gadugi" w:eastAsia="Malgun Gothic" w:hAnsi="Gadugi" w:cs="Estrangelo Edessa"/>
          <w:sz w:val="24"/>
          <w:szCs w:val="24"/>
          <w:lang w:val="es-419"/>
        </w:rPr>
        <w:t>ser</w:t>
      </w:r>
      <w:r w:rsidR="005B1E58" w:rsidRPr="002D5BFC">
        <w:rPr>
          <w:rFonts w:ascii="Gadugi" w:eastAsia="Malgun Gothic" w:hAnsi="Gadugi" w:cs="Estrangelo Edessa"/>
          <w:sz w:val="24"/>
          <w:szCs w:val="24"/>
          <w:lang w:val="es-419"/>
        </w:rPr>
        <w:t xml:space="preserve"> inc</w:t>
      </w:r>
      <w:r w:rsidR="00334864" w:rsidRPr="002D5BFC">
        <w:rPr>
          <w:rFonts w:ascii="Gadugi" w:eastAsia="Malgun Gothic" w:hAnsi="Gadugi" w:cs="Estrangelo Edessa"/>
          <w:sz w:val="24"/>
          <w:szCs w:val="24"/>
          <w:lang w:val="es-419"/>
        </w:rPr>
        <w:t>luidos en el acervo hereditario</w:t>
      </w:r>
      <w:r w:rsidR="006E65B1" w:rsidRPr="002D5BFC">
        <w:rPr>
          <w:rFonts w:ascii="Gadugi" w:eastAsia="Malgun Gothic" w:hAnsi="Gadugi" w:cs="Estrangelo Edessa"/>
          <w:sz w:val="24"/>
          <w:szCs w:val="24"/>
          <w:lang w:val="es-419"/>
        </w:rPr>
        <w:t xml:space="preserve">: i) El inmueble distinguido con matrícula inmobiliaria No. 290-14043, ubicado en la Carrera 6 y 7, con Calle 26 No. 6-34 de la ciudad; ii) El 50% del inmueble </w:t>
      </w:r>
      <w:r w:rsidR="000B0E31" w:rsidRPr="002D5BFC">
        <w:rPr>
          <w:rFonts w:ascii="Gadugi" w:eastAsia="Malgun Gothic" w:hAnsi="Gadugi" w:cs="Estrangelo Edessa"/>
          <w:sz w:val="24"/>
          <w:szCs w:val="24"/>
          <w:lang w:val="es-419"/>
        </w:rPr>
        <w:t xml:space="preserve">descrito como </w:t>
      </w:r>
      <w:r w:rsidR="006E65B1" w:rsidRPr="002D5BFC">
        <w:rPr>
          <w:rFonts w:ascii="Gadugi" w:eastAsia="Malgun Gothic" w:hAnsi="Gadugi" w:cs="Estrangelo Edessa"/>
          <w:sz w:val="24"/>
          <w:szCs w:val="24"/>
          <w:lang w:val="es-419"/>
        </w:rPr>
        <w:t>ap</w:t>
      </w:r>
      <w:r w:rsidR="000B0E31" w:rsidRPr="002D5BFC">
        <w:rPr>
          <w:rFonts w:ascii="Gadugi" w:eastAsia="Malgun Gothic" w:hAnsi="Gadugi" w:cs="Estrangelo Edessa"/>
          <w:sz w:val="24"/>
          <w:szCs w:val="24"/>
          <w:lang w:val="es-419"/>
        </w:rPr>
        <w:t>artamento</w:t>
      </w:r>
      <w:r w:rsidR="006E65B1" w:rsidRPr="002D5BFC">
        <w:rPr>
          <w:rFonts w:ascii="Gadugi" w:eastAsia="Malgun Gothic" w:hAnsi="Gadugi" w:cs="Estrangelo Edessa"/>
          <w:sz w:val="24"/>
          <w:szCs w:val="24"/>
          <w:lang w:val="es-419"/>
        </w:rPr>
        <w:t xml:space="preserve"> No. 302 del Edificio Mirador del Parque, situado en </w:t>
      </w:r>
      <w:r w:rsidR="00334864" w:rsidRPr="002D5BFC">
        <w:rPr>
          <w:rFonts w:ascii="Gadugi" w:eastAsia="Malgun Gothic" w:hAnsi="Gadugi" w:cs="Estrangelo Edessa"/>
          <w:sz w:val="24"/>
          <w:szCs w:val="24"/>
          <w:lang w:val="es-419"/>
        </w:rPr>
        <w:t xml:space="preserve">la Carrera 12 y 12 </w:t>
      </w:r>
      <w:r w:rsidR="000B0E31" w:rsidRPr="002D5BFC">
        <w:rPr>
          <w:rFonts w:ascii="Gadugi" w:eastAsia="Malgun Gothic" w:hAnsi="Gadugi" w:cs="Estrangelo Edessa"/>
          <w:sz w:val="24"/>
          <w:szCs w:val="24"/>
          <w:lang w:val="es-419"/>
        </w:rPr>
        <w:t>bis, ca</w:t>
      </w:r>
      <w:r w:rsidR="00334864" w:rsidRPr="002D5BFC">
        <w:rPr>
          <w:rFonts w:ascii="Gadugi" w:eastAsia="Malgun Gothic" w:hAnsi="Gadugi" w:cs="Estrangelo Edessa"/>
          <w:sz w:val="24"/>
          <w:szCs w:val="24"/>
          <w:lang w:val="es-419"/>
        </w:rPr>
        <w:t>lle 3 O</w:t>
      </w:r>
      <w:r w:rsidR="006E65B1" w:rsidRPr="002D5BFC">
        <w:rPr>
          <w:rFonts w:ascii="Gadugi" w:eastAsia="Malgun Gothic" w:hAnsi="Gadugi" w:cs="Estrangelo Edessa"/>
          <w:sz w:val="24"/>
          <w:szCs w:val="24"/>
          <w:lang w:val="es-419"/>
        </w:rPr>
        <w:t xml:space="preserve"> auxiliar de Pereira, inscrito con </w:t>
      </w:r>
      <w:r w:rsidR="0054752E" w:rsidRPr="002D5BFC">
        <w:rPr>
          <w:rFonts w:ascii="Gadugi" w:eastAsia="Malgun Gothic" w:hAnsi="Gadugi" w:cs="Estrangelo Edessa"/>
          <w:sz w:val="24"/>
          <w:szCs w:val="24"/>
          <w:lang w:val="es-419"/>
        </w:rPr>
        <w:t>matrícula</w:t>
      </w:r>
      <w:r w:rsidR="006E65B1" w:rsidRPr="002D5BFC">
        <w:rPr>
          <w:rFonts w:ascii="Gadugi" w:eastAsia="Malgun Gothic" w:hAnsi="Gadugi" w:cs="Estrangelo Edessa"/>
          <w:sz w:val="24"/>
          <w:szCs w:val="24"/>
          <w:lang w:val="es-419"/>
        </w:rPr>
        <w:t xml:space="preserve"> inmobiliaria No. 290-110</w:t>
      </w:r>
      <w:r w:rsidR="0054752E" w:rsidRPr="002D5BFC">
        <w:rPr>
          <w:rFonts w:ascii="Gadugi" w:eastAsia="Malgun Gothic" w:hAnsi="Gadugi" w:cs="Estrangelo Edessa"/>
          <w:sz w:val="24"/>
          <w:szCs w:val="24"/>
          <w:lang w:val="es-419"/>
        </w:rPr>
        <w:t xml:space="preserve">453; iii) El 50% del parqueadero  No. 45 del Edificio Mirador del Parque, con matrícula inmobiliaria No. 290-110362; y iv) El apartamento A-4, ubicado en la Calle 24 entre carreras 6 y 7, segundo piso </w:t>
      </w:r>
      <w:r w:rsidR="00A64B5D" w:rsidRPr="002D5BFC">
        <w:rPr>
          <w:rFonts w:ascii="Gadugi" w:eastAsia="Malgun Gothic" w:hAnsi="Gadugi" w:cs="Estrangelo Edessa"/>
          <w:sz w:val="24"/>
          <w:szCs w:val="24"/>
          <w:lang w:val="es-419"/>
        </w:rPr>
        <w:t xml:space="preserve">del Edificio Leonel Buriticá &amp; </w:t>
      </w:r>
      <w:r w:rsidR="0054752E" w:rsidRPr="002D5BFC">
        <w:rPr>
          <w:rFonts w:ascii="Gadugi" w:eastAsia="Malgun Gothic" w:hAnsi="Gadugi" w:cs="Estrangelo Edessa"/>
          <w:sz w:val="24"/>
          <w:szCs w:val="24"/>
          <w:lang w:val="es-419"/>
        </w:rPr>
        <w:t>C</w:t>
      </w:r>
      <w:r w:rsidR="00A64B5D" w:rsidRPr="002D5BFC">
        <w:rPr>
          <w:rFonts w:ascii="Gadugi" w:eastAsia="Malgun Gothic" w:hAnsi="Gadugi" w:cs="Estrangelo Edessa"/>
          <w:sz w:val="24"/>
          <w:szCs w:val="24"/>
          <w:lang w:val="es-419"/>
        </w:rPr>
        <w:t>í</w:t>
      </w:r>
      <w:r w:rsidR="0054752E" w:rsidRPr="002D5BFC">
        <w:rPr>
          <w:rFonts w:ascii="Gadugi" w:eastAsia="Malgun Gothic" w:hAnsi="Gadugi" w:cs="Estrangelo Edessa"/>
          <w:sz w:val="24"/>
          <w:szCs w:val="24"/>
          <w:lang w:val="es-419"/>
        </w:rPr>
        <w:t>a</w:t>
      </w:r>
      <w:r w:rsidR="00A64B5D" w:rsidRPr="002D5BFC">
        <w:rPr>
          <w:rFonts w:ascii="Gadugi" w:eastAsia="Malgun Gothic" w:hAnsi="Gadugi" w:cs="Estrangelo Edessa"/>
          <w:sz w:val="24"/>
          <w:szCs w:val="24"/>
          <w:lang w:val="es-419"/>
        </w:rPr>
        <w:t>.</w:t>
      </w:r>
      <w:r w:rsidR="0054752E" w:rsidRPr="002D5BFC">
        <w:rPr>
          <w:rFonts w:ascii="Gadugi" w:eastAsia="Malgun Gothic" w:hAnsi="Gadugi" w:cs="Estrangelo Edessa"/>
          <w:sz w:val="24"/>
          <w:szCs w:val="24"/>
          <w:lang w:val="es-419"/>
        </w:rPr>
        <w:t>, distinguido con matrícula inmobiliaria No. 290-37049.</w:t>
      </w:r>
    </w:p>
    <w:p w:rsidR="0054752E" w:rsidRPr="002D5BFC" w:rsidRDefault="0054752E" w:rsidP="004211B9">
      <w:pPr>
        <w:spacing w:line="276" w:lineRule="auto"/>
        <w:ind w:firstLine="2835"/>
        <w:jc w:val="both"/>
        <w:rPr>
          <w:rFonts w:ascii="Gadugi" w:eastAsia="Malgun Gothic" w:hAnsi="Gadugi" w:cs="Estrangelo Edessa"/>
          <w:sz w:val="24"/>
          <w:szCs w:val="24"/>
          <w:lang w:val="es-419"/>
        </w:rPr>
      </w:pPr>
    </w:p>
    <w:p w:rsidR="00A2435E" w:rsidRPr="002D5BFC" w:rsidRDefault="00B531B3"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 xml:space="preserve">Pretende, </w:t>
      </w:r>
      <w:r w:rsidR="00A64B5D" w:rsidRPr="002D5BFC">
        <w:rPr>
          <w:rFonts w:ascii="Gadugi" w:eastAsia="Malgun Gothic" w:hAnsi="Gadugi" w:cs="Estrangelo Edessa"/>
          <w:sz w:val="24"/>
          <w:szCs w:val="24"/>
          <w:lang w:val="es-419"/>
        </w:rPr>
        <w:t>además</w:t>
      </w:r>
      <w:r w:rsidRPr="002D5BFC">
        <w:rPr>
          <w:rFonts w:ascii="Gadugi" w:eastAsia="Malgun Gothic" w:hAnsi="Gadugi" w:cs="Estrangelo Edessa"/>
          <w:sz w:val="24"/>
          <w:szCs w:val="24"/>
          <w:lang w:val="es-419"/>
        </w:rPr>
        <w:t>,</w:t>
      </w:r>
      <w:r w:rsidR="00A64B5D" w:rsidRPr="002D5BFC">
        <w:rPr>
          <w:rFonts w:ascii="Gadugi" w:eastAsia="Malgun Gothic" w:hAnsi="Gadugi" w:cs="Estrangelo Edessa"/>
          <w:sz w:val="24"/>
          <w:szCs w:val="24"/>
          <w:lang w:val="es-419"/>
        </w:rPr>
        <w:t xml:space="preserve"> q</w:t>
      </w:r>
      <w:r w:rsidR="005B1E58" w:rsidRPr="002D5BFC">
        <w:rPr>
          <w:rFonts w:ascii="Gadugi" w:eastAsia="Malgun Gothic" w:hAnsi="Gadugi" w:cs="Estrangelo Edessa"/>
          <w:sz w:val="24"/>
          <w:szCs w:val="24"/>
          <w:lang w:val="es-419"/>
        </w:rPr>
        <w:t xml:space="preserve">ue </w:t>
      </w:r>
      <w:r w:rsidR="00A64B5D" w:rsidRPr="002D5BFC">
        <w:rPr>
          <w:rFonts w:ascii="Gadugi" w:eastAsia="Malgun Gothic" w:hAnsi="Gadugi" w:cs="Estrangelo Edessa"/>
          <w:sz w:val="24"/>
          <w:szCs w:val="24"/>
          <w:lang w:val="es-419"/>
        </w:rPr>
        <w:t xml:space="preserve">como </w:t>
      </w:r>
      <w:r w:rsidR="005B1E58" w:rsidRPr="002D5BFC">
        <w:rPr>
          <w:rFonts w:ascii="Gadugi" w:eastAsia="Malgun Gothic" w:hAnsi="Gadugi" w:cs="Estrangelo Edessa"/>
          <w:sz w:val="24"/>
          <w:szCs w:val="24"/>
          <w:lang w:val="es-419"/>
        </w:rPr>
        <w:t>consecuencia de las anteriores declaraciones</w:t>
      </w:r>
      <w:r w:rsidR="000B0E31" w:rsidRPr="002D5BFC">
        <w:rPr>
          <w:rFonts w:ascii="Gadugi" w:eastAsia="Malgun Gothic" w:hAnsi="Gadugi" w:cs="Estrangelo Edessa"/>
          <w:sz w:val="24"/>
          <w:szCs w:val="24"/>
          <w:lang w:val="es-419"/>
        </w:rPr>
        <w:t>,</w:t>
      </w:r>
      <w:r w:rsidR="005B1E58" w:rsidRPr="002D5BFC">
        <w:rPr>
          <w:rFonts w:ascii="Gadugi" w:eastAsia="Malgun Gothic" w:hAnsi="Gadugi" w:cs="Estrangelo Edessa"/>
          <w:sz w:val="24"/>
          <w:szCs w:val="24"/>
          <w:lang w:val="es-419"/>
        </w:rPr>
        <w:t xml:space="preserve"> se ordene a los señores Martha Luz Marín Bedoya, Miguel Antonio Velázquez Mesa, Gloria Stella Marín Bedoya y Edelmira Sáenz de García, restitu</w:t>
      </w:r>
      <w:r w:rsidR="00DB1887" w:rsidRPr="002D5BFC">
        <w:rPr>
          <w:rFonts w:ascii="Gadugi" w:eastAsia="Malgun Gothic" w:hAnsi="Gadugi" w:cs="Estrangelo Edessa"/>
          <w:sz w:val="24"/>
          <w:szCs w:val="24"/>
          <w:lang w:val="es-419"/>
        </w:rPr>
        <w:t>ir</w:t>
      </w:r>
      <w:r w:rsidR="005B1E58" w:rsidRPr="002D5BFC">
        <w:rPr>
          <w:rFonts w:ascii="Gadugi" w:eastAsia="Malgun Gothic" w:hAnsi="Gadugi" w:cs="Estrangelo Edessa"/>
          <w:sz w:val="24"/>
          <w:szCs w:val="24"/>
          <w:lang w:val="es-419"/>
        </w:rPr>
        <w:t xml:space="preserve"> los inmuebles enunciados</w:t>
      </w:r>
      <w:r w:rsidR="00DB1887" w:rsidRPr="002D5BFC">
        <w:rPr>
          <w:rFonts w:ascii="Gadugi" w:eastAsia="Malgun Gothic" w:hAnsi="Gadugi" w:cs="Estrangelo Edessa"/>
          <w:sz w:val="24"/>
          <w:szCs w:val="24"/>
          <w:lang w:val="es-419"/>
        </w:rPr>
        <w:t xml:space="preserve"> </w:t>
      </w:r>
      <w:r w:rsidR="005B1E58" w:rsidRPr="002D5BFC">
        <w:rPr>
          <w:rFonts w:ascii="Gadugi" w:eastAsia="Malgun Gothic" w:hAnsi="Gadugi" w:cs="Estrangelo Edessa"/>
          <w:sz w:val="24"/>
          <w:szCs w:val="24"/>
          <w:lang w:val="es-419"/>
        </w:rPr>
        <w:t>a la sucesión del señor Antonio María Bedoya Marín</w:t>
      </w:r>
      <w:r w:rsidR="005833FA" w:rsidRPr="002D5BFC">
        <w:rPr>
          <w:rFonts w:ascii="Gadugi" w:eastAsia="Malgun Gothic" w:hAnsi="Gadugi" w:cs="Estrangelo Edessa"/>
          <w:sz w:val="24"/>
          <w:szCs w:val="24"/>
          <w:lang w:val="es-419"/>
        </w:rPr>
        <w:t xml:space="preserve">, </w:t>
      </w:r>
      <w:r w:rsidR="005B1E58" w:rsidRPr="002D5BFC">
        <w:rPr>
          <w:rFonts w:ascii="Gadugi" w:eastAsia="Malgun Gothic" w:hAnsi="Gadugi" w:cs="Estrangelo Edessa"/>
          <w:sz w:val="24"/>
          <w:szCs w:val="24"/>
          <w:lang w:val="es-419"/>
        </w:rPr>
        <w:t>así como los frutos civiles causados desde el momento en que les fue</w:t>
      </w:r>
      <w:r w:rsidR="005833FA" w:rsidRPr="002D5BFC">
        <w:rPr>
          <w:rFonts w:ascii="Gadugi" w:eastAsia="Malgun Gothic" w:hAnsi="Gadugi" w:cs="Estrangelo Edessa"/>
          <w:sz w:val="24"/>
          <w:szCs w:val="24"/>
          <w:lang w:val="es-419"/>
        </w:rPr>
        <w:t>ron</w:t>
      </w:r>
      <w:r w:rsidR="005B1E58" w:rsidRPr="002D5BFC">
        <w:rPr>
          <w:rFonts w:ascii="Gadugi" w:eastAsia="Malgun Gothic" w:hAnsi="Gadugi" w:cs="Estrangelo Edessa"/>
          <w:sz w:val="24"/>
          <w:szCs w:val="24"/>
          <w:lang w:val="es-419"/>
        </w:rPr>
        <w:t xml:space="preserve"> entregado</w:t>
      </w:r>
      <w:r w:rsidR="00DB1887" w:rsidRPr="002D5BFC">
        <w:rPr>
          <w:rFonts w:ascii="Gadugi" w:eastAsia="Malgun Gothic" w:hAnsi="Gadugi" w:cs="Estrangelo Edessa"/>
          <w:sz w:val="24"/>
          <w:szCs w:val="24"/>
          <w:lang w:val="es-419"/>
        </w:rPr>
        <w:t>s</w:t>
      </w:r>
      <w:r w:rsidR="005B1E58" w:rsidRPr="002D5BFC">
        <w:rPr>
          <w:rFonts w:ascii="Gadugi" w:eastAsia="Malgun Gothic" w:hAnsi="Gadugi" w:cs="Estrangelo Edessa"/>
          <w:sz w:val="24"/>
          <w:szCs w:val="24"/>
          <w:lang w:val="es-419"/>
        </w:rPr>
        <w:t xml:space="preserve"> y hasta su restitución efectiva.</w:t>
      </w:r>
      <w:r w:rsidR="002F26F7" w:rsidRPr="002D5BFC">
        <w:rPr>
          <w:rFonts w:ascii="Gadugi" w:eastAsia="Malgun Gothic" w:hAnsi="Gadugi" w:cs="Estrangelo Edessa"/>
          <w:sz w:val="24"/>
          <w:szCs w:val="24"/>
          <w:lang w:val="es-419"/>
        </w:rPr>
        <w:t xml:space="preserve"> </w:t>
      </w:r>
      <w:r w:rsidRPr="002D5BFC">
        <w:rPr>
          <w:rFonts w:ascii="Gadugi" w:eastAsia="Malgun Gothic" w:hAnsi="Gadugi" w:cs="Estrangelo Edessa"/>
          <w:sz w:val="24"/>
          <w:szCs w:val="24"/>
          <w:lang w:val="es-419"/>
        </w:rPr>
        <w:t>Adicionalmente</w:t>
      </w:r>
      <w:r w:rsidR="000E2DA8" w:rsidRPr="002D5BFC">
        <w:rPr>
          <w:rFonts w:ascii="Gadugi" w:eastAsia="Malgun Gothic" w:hAnsi="Gadugi" w:cs="Estrangelo Edessa"/>
          <w:sz w:val="24"/>
          <w:szCs w:val="24"/>
          <w:lang w:val="es-419"/>
        </w:rPr>
        <w:t xml:space="preserve">, </w:t>
      </w:r>
      <w:r w:rsidR="00DB1887" w:rsidRPr="002D5BFC">
        <w:rPr>
          <w:rFonts w:ascii="Gadugi" w:eastAsia="Malgun Gothic" w:hAnsi="Gadugi" w:cs="Estrangelo Edessa"/>
          <w:sz w:val="24"/>
          <w:szCs w:val="24"/>
          <w:lang w:val="es-419"/>
        </w:rPr>
        <w:t xml:space="preserve">que </w:t>
      </w:r>
      <w:r w:rsidR="000E2DA8" w:rsidRPr="002D5BFC">
        <w:rPr>
          <w:rFonts w:ascii="Gadugi" w:eastAsia="Malgun Gothic" w:hAnsi="Gadugi" w:cs="Estrangelo Edessa"/>
          <w:sz w:val="24"/>
          <w:szCs w:val="24"/>
          <w:lang w:val="es-419"/>
        </w:rPr>
        <w:t xml:space="preserve">se disponga la cancelación de las anotaciones respectivas en los folios de las matriculas inmobiliarias de los inmuebles citados, correspondientes a las compraventas </w:t>
      </w:r>
      <w:r w:rsidR="00A2435E" w:rsidRPr="002D5BFC">
        <w:rPr>
          <w:rFonts w:ascii="Gadugi" w:eastAsia="Malgun Gothic" w:hAnsi="Gadugi" w:cs="Estrangelo Edessa"/>
          <w:sz w:val="24"/>
          <w:szCs w:val="24"/>
          <w:lang w:val="es-419"/>
        </w:rPr>
        <w:t xml:space="preserve">suscritas </w:t>
      </w:r>
      <w:r w:rsidR="000E2DA8" w:rsidRPr="002D5BFC">
        <w:rPr>
          <w:rFonts w:ascii="Gadugi" w:eastAsia="Malgun Gothic" w:hAnsi="Gadugi" w:cs="Estrangelo Edessa"/>
          <w:sz w:val="24"/>
          <w:szCs w:val="24"/>
          <w:lang w:val="es-419"/>
        </w:rPr>
        <w:t>entre la señora María Adela Bedoya de Marín como vendedora y los demandados como compradores</w:t>
      </w:r>
      <w:r w:rsidR="000B0E31" w:rsidRPr="002D5BFC">
        <w:rPr>
          <w:rFonts w:ascii="Gadugi" w:eastAsia="Malgun Gothic" w:hAnsi="Gadugi" w:cs="Estrangelo Edessa"/>
          <w:sz w:val="24"/>
          <w:szCs w:val="24"/>
          <w:lang w:val="es-419"/>
        </w:rPr>
        <w:t>;</w:t>
      </w:r>
      <w:r w:rsidR="00A2435E" w:rsidRPr="002D5BFC">
        <w:rPr>
          <w:rFonts w:ascii="Gadugi" w:eastAsia="Malgun Gothic" w:hAnsi="Gadugi" w:cs="Estrangelo Edessa"/>
          <w:sz w:val="24"/>
          <w:szCs w:val="24"/>
          <w:lang w:val="es-419"/>
        </w:rPr>
        <w:t xml:space="preserve"> además</w:t>
      </w:r>
      <w:r w:rsidR="000B0E31" w:rsidRPr="002D5BFC">
        <w:rPr>
          <w:rFonts w:ascii="Gadugi" w:eastAsia="Malgun Gothic" w:hAnsi="Gadugi" w:cs="Estrangelo Edessa"/>
          <w:sz w:val="24"/>
          <w:szCs w:val="24"/>
          <w:lang w:val="es-419"/>
        </w:rPr>
        <w:t>,</w:t>
      </w:r>
      <w:r w:rsidR="00A2435E" w:rsidRPr="002D5BFC">
        <w:rPr>
          <w:rFonts w:ascii="Gadugi" w:eastAsia="Malgun Gothic" w:hAnsi="Gadugi" w:cs="Estrangelo Edessa"/>
          <w:sz w:val="24"/>
          <w:szCs w:val="24"/>
          <w:lang w:val="es-419"/>
        </w:rPr>
        <w:t xml:space="preserve"> que se cancelen las escrituras públicas provenientes de la Notaría Primera del Circulo de Pereira, donde se protocolizaron</w:t>
      </w:r>
      <w:r w:rsidR="00205FD1" w:rsidRPr="002D5BFC">
        <w:rPr>
          <w:rFonts w:ascii="Gadugi" w:eastAsia="Malgun Gothic" w:hAnsi="Gadugi" w:cs="Estrangelo Edessa"/>
          <w:sz w:val="24"/>
          <w:szCs w:val="24"/>
          <w:lang w:val="es-419"/>
        </w:rPr>
        <w:t xml:space="preserve"> las respectivas compraventas</w:t>
      </w:r>
      <w:r w:rsidR="002F26F7" w:rsidRPr="002D5BFC">
        <w:rPr>
          <w:rFonts w:ascii="Gadugi" w:eastAsia="Malgun Gothic" w:hAnsi="Gadugi" w:cs="Estrangelo Edessa"/>
          <w:sz w:val="24"/>
          <w:szCs w:val="24"/>
          <w:lang w:val="es-419"/>
        </w:rPr>
        <w:t xml:space="preserve">. Por último, </w:t>
      </w:r>
      <w:r w:rsidR="00DB1887" w:rsidRPr="002D5BFC">
        <w:rPr>
          <w:rFonts w:ascii="Gadugi" w:eastAsia="Malgun Gothic" w:hAnsi="Gadugi" w:cs="Estrangelo Edessa"/>
          <w:sz w:val="24"/>
          <w:szCs w:val="24"/>
          <w:lang w:val="es-419"/>
        </w:rPr>
        <w:t xml:space="preserve">que </w:t>
      </w:r>
      <w:r w:rsidR="00A2435E" w:rsidRPr="002D5BFC">
        <w:rPr>
          <w:rFonts w:ascii="Gadugi" w:eastAsia="Malgun Gothic" w:hAnsi="Gadugi" w:cs="Estrangelo Edessa"/>
          <w:sz w:val="24"/>
          <w:szCs w:val="24"/>
          <w:lang w:val="es-419"/>
        </w:rPr>
        <w:t>se condene en costas</w:t>
      </w:r>
      <w:r w:rsidR="00205FD1" w:rsidRPr="002D5BFC">
        <w:rPr>
          <w:rFonts w:ascii="Gadugi" w:eastAsia="Malgun Gothic" w:hAnsi="Gadugi" w:cs="Estrangelo Edessa"/>
          <w:sz w:val="24"/>
          <w:szCs w:val="24"/>
          <w:lang w:val="es-419"/>
        </w:rPr>
        <w:t xml:space="preserve"> a los demandados</w:t>
      </w:r>
      <w:r w:rsidR="00A2435E" w:rsidRPr="002D5BFC">
        <w:rPr>
          <w:rFonts w:ascii="Gadugi" w:eastAsia="Malgun Gothic" w:hAnsi="Gadugi" w:cs="Estrangelo Edessa"/>
          <w:sz w:val="24"/>
          <w:szCs w:val="24"/>
          <w:lang w:val="es-419"/>
        </w:rPr>
        <w:t>.</w:t>
      </w:r>
    </w:p>
    <w:p w:rsidR="00CA4340" w:rsidRPr="002D5BFC" w:rsidRDefault="00CA4340" w:rsidP="004211B9">
      <w:pPr>
        <w:spacing w:line="276" w:lineRule="auto"/>
        <w:ind w:firstLine="2835"/>
        <w:jc w:val="both"/>
        <w:rPr>
          <w:rFonts w:ascii="Gadugi" w:eastAsia="Malgun Gothic" w:hAnsi="Gadugi" w:cs="Estrangelo Edessa"/>
          <w:sz w:val="24"/>
          <w:szCs w:val="24"/>
          <w:lang w:val="es-419"/>
        </w:rPr>
      </w:pPr>
    </w:p>
    <w:p w:rsidR="00BC4339" w:rsidRPr="002D5BFC" w:rsidRDefault="007A7DA4"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En sustento</w:t>
      </w:r>
      <w:r w:rsidR="00DB1887" w:rsidRPr="002D5BFC">
        <w:rPr>
          <w:rFonts w:ascii="Gadugi" w:eastAsia="Malgun Gothic" w:hAnsi="Gadugi" w:cs="Estrangelo Edessa"/>
          <w:sz w:val="24"/>
          <w:szCs w:val="24"/>
          <w:lang w:val="es-419"/>
        </w:rPr>
        <w:t>,</w:t>
      </w:r>
      <w:r w:rsidRPr="002D5BFC">
        <w:rPr>
          <w:rFonts w:ascii="Gadugi" w:eastAsia="Malgun Gothic" w:hAnsi="Gadugi" w:cs="Estrangelo Edessa"/>
          <w:sz w:val="24"/>
          <w:szCs w:val="24"/>
          <w:lang w:val="es-419"/>
        </w:rPr>
        <w:t xml:space="preserve"> dijo que </w:t>
      </w:r>
      <w:r w:rsidR="002D12E2" w:rsidRPr="002D5BFC">
        <w:rPr>
          <w:rFonts w:ascii="Gadugi" w:eastAsia="Malgun Gothic" w:hAnsi="Gadugi" w:cs="Estrangelo Edessa"/>
          <w:sz w:val="24"/>
          <w:szCs w:val="24"/>
          <w:lang w:val="es-419"/>
        </w:rPr>
        <w:t>mediante sentencia del 15 de abril de 2009 proferida por el Juzgado Tercero de Familia</w:t>
      </w:r>
      <w:r w:rsidR="00220EE1" w:rsidRPr="002D5BFC">
        <w:rPr>
          <w:rFonts w:ascii="Gadugi" w:eastAsia="Malgun Gothic" w:hAnsi="Gadugi" w:cs="Estrangelo Edessa"/>
          <w:sz w:val="24"/>
          <w:szCs w:val="24"/>
          <w:lang w:val="es-419"/>
        </w:rPr>
        <w:t xml:space="preserve"> de Pereira, confirmada por la Sala Civil-Familia del Tribunal Superior de este distrito </w:t>
      </w:r>
      <w:r w:rsidR="000B0E31" w:rsidRPr="002D5BFC">
        <w:rPr>
          <w:rFonts w:ascii="Gadugi" w:eastAsia="Malgun Gothic" w:hAnsi="Gadugi" w:cs="Estrangelo Edessa"/>
          <w:sz w:val="24"/>
          <w:szCs w:val="24"/>
          <w:lang w:val="es-419"/>
        </w:rPr>
        <w:t xml:space="preserve">en </w:t>
      </w:r>
      <w:r w:rsidR="00220EE1" w:rsidRPr="002D5BFC">
        <w:rPr>
          <w:rFonts w:ascii="Gadugi" w:eastAsia="Malgun Gothic" w:hAnsi="Gadugi" w:cs="Estrangelo Edessa"/>
          <w:sz w:val="24"/>
          <w:szCs w:val="24"/>
          <w:lang w:val="es-419"/>
        </w:rPr>
        <w:t xml:space="preserve">providencia del 28 de </w:t>
      </w:r>
      <w:r w:rsidR="00220EE1" w:rsidRPr="002D5BFC">
        <w:rPr>
          <w:rFonts w:ascii="Gadugi" w:eastAsia="Malgun Gothic" w:hAnsi="Gadugi" w:cs="Estrangelo Edessa"/>
          <w:sz w:val="24"/>
          <w:szCs w:val="24"/>
          <w:lang w:val="es-419"/>
        </w:rPr>
        <w:lastRenderedPageBreak/>
        <w:t>septiembre de 2010, se declaró que la señora María Olga Duran</w:t>
      </w:r>
      <w:r w:rsidR="002F26F7" w:rsidRPr="002D5BFC">
        <w:rPr>
          <w:rFonts w:ascii="Gadugi" w:eastAsia="Malgun Gothic" w:hAnsi="Gadugi" w:cs="Estrangelo Edessa"/>
          <w:sz w:val="24"/>
          <w:szCs w:val="24"/>
          <w:lang w:val="es-419"/>
        </w:rPr>
        <w:t>g</w:t>
      </w:r>
      <w:r w:rsidR="00220EE1" w:rsidRPr="002D5BFC">
        <w:rPr>
          <w:rFonts w:ascii="Gadugi" w:eastAsia="Malgun Gothic" w:hAnsi="Gadugi" w:cs="Estrangelo Edessa"/>
          <w:sz w:val="24"/>
          <w:szCs w:val="24"/>
          <w:lang w:val="es-419"/>
        </w:rPr>
        <w:t xml:space="preserve">o es hija extramatrimonial del señor </w:t>
      </w:r>
      <w:r w:rsidR="00205FD1" w:rsidRPr="002D5BFC">
        <w:rPr>
          <w:rFonts w:ascii="Gadugi" w:eastAsia="Malgun Gothic" w:hAnsi="Gadugi" w:cs="Estrangelo Edessa"/>
          <w:sz w:val="24"/>
          <w:szCs w:val="24"/>
          <w:lang w:val="es-419"/>
        </w:rPr>
        <w:t xml:space="preserve">Antonio María </w:t>
      </w:r>
      <w:r w:rsidR="00DB1887" w:rsidRPr="002D5BFC">
        <w:rPr>
          <w:rFonts w:ascii="Gadugi" w:eastAsia="Malgun Gothic" w:hAnsi="Gadugi" w:cs="Estrangelo Edessa"/>
          <w:sz w:val="24"/>
          <w:szCs w:val="24"/>
          <w:lang w:val="es-419"/>
        </w:rPr>
        <w:t>Bedoya Mejía</w:t>
      </w:r>
      <w:r w:rsidR="00220EE1" w:rsidRPr="002D5BFC">
        <w:rPr>
          <w:rFonts w:ascii="Gadugi" w:eastAsia="Malgun Gothic" w:hAnsi="Gadugi" w:cs="Estrangelo Edessa"/>
          <w:sz w:val="24"/>
          <w:szCs w:val="24"/>
          <w:lang w:val="es-419"/>
        </w:rPr>
        <w:t>, por lo que le asiste derecho a concurrir en la sucesión intestada conjuntamente con los demás herederos</w:t>
      </w:r>
      <w:r w:rsidR="002F26F7" w:rsidRPr="002D5BFC">
        <w:rPr>
          <w:rFonts w:ascii="Gadugi" w:eastAsia="Malgun Gothic" w:hAnsi="Gadugi" w:cs="Estrangelo Edessa"/>
          <w:sz w:val="24"/>
          <w:szCs w:val="24"/>
          <w:lang w:val="es-419"/>
        </w:rPr>
        <w:t xml:space="preserve">; </w:t>
      </w:r>
      <w:r w:rsidR="00220EE1" w:rsidRPr="002D5BFC">
        <w:rPr>
          <w:rFonts w:ascii="Gadugi" w:eastAsia="Malgun Gothic" w:hAnsi="Gadugi" w:cs="Estrangelo Edessa"/>
          <w:sz w:val="24"/>
          <w:szCs w:val="24"/>
          <w:lang w:val="es-419"/>
        </w:rPr>
        <w:t xml:space="preserve">que </w:t>
      </w:r>
      <w:r w:rsidR="00DB1887" w:rsidRPr="002D5BFC">
        <w:rPr>
          <w:rFonts w:ascii="Gadugi" w:eastAsia="Malgun Gothic" w:hAnsi="Gadugi" w:cs="Estrangelo Edessa"/>
          <w:sz w:val="24"/>
          <w:szCs w:val="24"/>
          <w:lang w:val="es-419"/>
        </w:rPr>
        <w:t xml:space="preserve">tal trámite se surtió </w:t>
      </w:r>
      <w:r w:rsidR="00220EE1" w:rsidRPr="002D5BFC">
        <w:rPr>
          <w:rFonts w:ascii="Gadugi" w:eastAsia="Malgun Gothic" w:hAnsi="Gadugi" w:cs="Estrangelo Edessa"/>
          <w:sz w:val="24"/>
          <w:szCs w:val="24"/>
          <w:lang w:val="es-419"/>
        </w:rPr>
        <w:t>ante el Notario Primero del Circulo de Pereira</w:t>
      </w:r>
      <w:r w:rsidR="00B45C7E" w:rsidRPr="002D5BFC">
        <w:rPr>
          <w:rFonts w:ascii="Gadugi" w:eastAsia="Malgun Gothic" w:hAnsi="Gadugi" w:cs="Estrangelo Edessa"/>
          <w:sz w:val="24"/>
          <w:szCs w:val="24"/>
          <w:lang w:val="es-419"/>
        </w:rPr>
        <w:t xml:space="preserve"> y se protocolizó</w:t>
      </w:r>
      <w:r w:rsidR="007C5E61" w:rsidRPr="002D5BFC">
        <w:rPr>
          <w:rFonts w:ascii="Gadugi" w:eastAsia="Malgun Gothic" w:hAnsi="Gadugi" w:cs="Estrangelo Edessa"/>
          <w:sz w:val="24"/>
          <w:szCs w:val="24"/>
          <w:lang w:val="es-419"/>
        </w:rPr>
        <w:t xml:space="preserve"> mediante</w:t>
      </w:r>
      <w:r w:rsidR="00B45C7E" w:rsidRPr="002D5BFC">
        <w:rPr>
          <w:rFonts w:ascii="Gadugi" w:eastAsia="Malgun Gothic" w:hAnsi="Gadugi" w:cs="Estrangelo Edessa"/>
          <w:sz w:val="24"/>
          <w:szCs w:val="24"/>
          <w:lang w:val="es-419"/>
        </w:rPr>
        <w:t xml:space="preserve"> la escritura pública No. </w:t>
      </w:r>
      <w:r w:rsidR="00DB1887" w:rsidRPr="002D5BFC">
        <w:rPr>
          <w:rFonts w:ascii="Gadugi" w:eastAsia="Malgun Gothic" w:hAnsi="Gadugi" w:cs="Estrangelo Edessa"/>
          <w:sz w:val="24"/>
          <w:szCs w:val="24"/>
          <w:lang w:val="es-419"/>
        </w:rPr>
        <w:t xml:space="preserve">5.025 del 27 de octubre de 2003 y allí </w:t>
      </w:r>
      <w:r w:rsidR="00B46A3E" w:rsidRPr="002D5BFC">
        <w:rPr>
          <w:rFonts w:ascii="Gadugi" w:eastAsia="Malgun Gothic" w:hAnsi="Gadugi" w:cs="Estrangelo Edessa"/>
          <w:sz w:val="24"/>
          <w:szCs w:val="24"/>
          <w:lang w:val="es-419"/>
        </w:rPr>
        <w:t xml:space="preserve">aparece como única interesada la señora María Adela Bedoya de </w:t>
      </w:r>
      <w:r w:rsidR="00B45C7E" w:rsidRPr="002D5BFC">
        <w:rPr>
          <w:rFonts w:ascii="Gadugi" w:eastAsia="Malgun Gothic" w:hAnsi="Gadugi" w:cs="Estrangelo Edessa"/>
          <w:sz w:val="24"/>
          <w:szCs w:val="24"/>
          <w:lang w:val="es-419"/>
        </w:rPr>
        <w:t>Marín</w:t>
      </w:r>
      <w:r w:rsidR="00DB1887" w:rsidRPr="002D5BFC">
        <w:rPr>
          <w:rFonts w:ascii="Gadugi" w:eastAsia="Malgun Gothic" w:hAnsi="Gadugi" w:cs="Estrangelo Edessa"/>
          <w:sz w:val="24"/>
          <w:szCs w:val="24"/>
          <w:lang w:val="es-419"/>
        </w:rPr>
        <w:t>,</w:t>
      </w:r>
      <w:r w:rsidR="00B45C7E" w:rsidRPr="002D5BFC">
        <w:rPr>
          <w:rFonts w:ascii="Gadugi" w:eastAsia="Malgun Gothic" w:hAnsi="Gadugi" w:cs="Estrangelo Edessa"/>
          <w:sz w:val="24"/>
          <w:szCs w:val="24"/>
          <w:lang w:val="es-419"/>
        </w:rPr>
        <w:t xml:space="preserve"> en</w:t>
      </w:r>
      <w:r w:rsidR="00B46A3E" w:rsidRPr="002D5BFC">
        <w:rPr>
          <w:rFonts w:ascii="Gadugi" w:eastAsia="Malgun Gothic" w:hAnsi="Gadugi" w:cs="Estrangelo Edessa"/>
          <w:sz w:val="24"/>
          <w:szCs w:val="24"/>
          <w:lang w:val="es-419"/>
        </w:rPr>
        <w:t xml:space="preserve"> su calidad de hija legitima, a quien se le adjudic</w:t>
      </w:r>
      <w:r w:rsidR="00DB1887" w:rsidRPr="002D5BFC">
        <w:rPr>
          <w:rFonts w:ascii="Gadugi" w:eastAsia="Malgun Gothic" w:hAnsi="Gadugi" w:cs="Estrangelo Edessa"/>
          <w:sz w:val="24"/>
          <w:szCs w:val="24"/>
          <w:lang w:val="es-419"/>
        </w:rPr>
        <w:t>ó</w:t>
      </w:r>
      <w:r w:rsidR="00B46A3E" w:rsidRPr="002D5BFC">
        <w:rPr>
          <w:rFonts w:ascii="Gadugi" w:eastAsia="Malgun Gothic" w:hAnsi="Gadugi" w:cs="Estrangelo Edessa"/>
          <w:sz w:val="24"/>
          <w:szCs w:val="24"/>
          <w:lang w:val="es-419"/>
        </w:rPr>
        <w:t xml:space="preserve"> </w:t>
      </w:r>
      <w:r w:rsidR="002F26F7" w:rsidRPr="002D5BFC">
        <w:rPr>
          <w:rFonts w:ascii="Gadugi" w:eastAsia="Malgun Gothic" w:hAnsi="Gadugi" w:cs="Estrangelo Edessa"/>
          <w:sz w:val="24"/>
          <w:szCs w:val="24"/>
          <w:lang w:val="es-419"/>
        </w:rPr>
        <w:t xml:space="preserve">la totalidad de </w:t>
      </w:r>
      <w:r w:rsidR="00B46A3E" w:rsidRPr="002D5BFC">
        <w:rPr>
          <w:rFonts w:ascii="Gadugi" w:eastAsia="Malgun Gothic" w:hAnsi="Gadugi" w:cs="Estrangelo Edessa"/>
          <w:sz w:val="24"/>
          <w:szCs w:val="24"/>
          <w:lang w:val="es-419"/>
        </w:rPr>
        <w:t xml:space="preserve">los bienes </w:t>
      </w:r>
      <w:r w:rsidR="002F26F7" w:rsidRPr="002D5BFC">
        <w:rPr>
          <w:rFonts w:ascii="Gadugi" w:eastAsia="Malgun Gothic" w:hAnsi="Gadugi" w:cs="Estrangelo Edessa"/>
          <w:sz w:val="24"/>
          <w:szCs w:val="24"/>
          <w:lang w:val="es-419"/>
        </w:rPr>
        <w:t xml:space="preserve">descritos anteriormente; que </w:t>
      </w:r>
      <w:r w:rsidR="00B45C7E" w:rsidRPr="002D5BFC">
        <w:rPr>
          <w:rFonts w:ascii="Gadugi" w:eastAsia="Malgun Gothic" w:hAnsi="Gadugi" w:cs="Estrangelo Edessa"/>
          <w:sz w:val="24"/>
          <w:szCs w:val="24"/>
          <w:lang w:val="es-419"/>
        </w:rPr>
        <w:t>la señora Bedoya de Marín contrajo matrimonio con el</w:t>
      </w:r>
      <w:r w:rsidR="006C7603" w:rsidRPr="002D5BFC">
        <w:rPr>
          <w:rFonts w:ascii="Gadugi" w:eastAsia="Malgun Gothic" w:hAnsi="Gadugi" w:cs="Estrangelo Edessa"/>
          <w:sz w:val="24"/>
          <w:szCs w:val="24"/>
          <w:lang w:val="es-419"/>
        </w:rPr>
        <w:t xml:space="preserve"> señor Libardo de Jesús Marín, </w:t>
      </w:r>
      <w:r w:rsidR="002F26F7" w:rsidRPr="002D5BFC">
        <w:rPr>
          <w:rFonts w:ascii="Gadugi" w:eastAsia="Malgun Gothic" w:hAnsi="Gadugi" w:cs="Estrangelo Edessa"/>
          <w:sz w:val="24"/>
          <w:szCs w:val="24"/>
          <w:lang w:val="es-419"/>
        </w:rPr>
        <w:t xml:space="preserve">del cual </w:t>
      </w:r>
      <w:r w:rsidR="00B45C7E" w:rsidRPr="002D5BFC">
        <w:rPr>
          <w:rFonts w:ascii="Gadugi" w:eastAsia="Malgun Gothic" w:hAnsi="Gadugi" w:cs="Estrangelo Edessa"/>
          <w:sz w:val="24"/>
          <w:szCs w:val="24"/>
          <w:lang w:val="es-419"/>
        </w:rPr>
        <w:t xml:space="preserve">procrearon dos (2) hijas, </w:t>
      </w:r>
      <w:r w:rsidR="006C7603" w:rsidRPr="002D5BFC">
        <w:rPr>
          <w:rFonts w:ascii="Gadugi" w:eastAsia="Malgun Gothic" w:hAnsi="Gadugi" w:cs="Estrangelo Edessa"/>
          <w:sz w:val="24"/>
          <w:szCs w:val="24"/>
          <w:lang w:val="es-419"/>
        </w:rPr>
        <w:t xml:space="preserve">llamadas </w:t>
      </w:r>
      <w:r w:rsidR="00B45C7E" w:rsidRPr="002D5BFC">
        <w:rPr>
          <w:rFonts w:ascii="Gadugi" w:eastAsia="Malgun Gothic" w:hAnsi="Gadugi" w:cs="Estrangelo Edessa"/>
          <w:sz w:val="24"/>
          <w:szCs w:val="24"/>
          <w:lang w:val="es-419"/>
        </w:rPr>
        <w:t>Martha Luz y Gloria Stella Marín Bedoya</w:t>
      </w:r>
      <w:r w:rsidR="002F26F7" w:rsidRPr="002D5BFC">
        <w:rPr>
          <w:rFonts w:ascii="Gadugi" w:eastAsia="Malgun Gothic" w:hAnsi="Gadugi" w:cs="Estrangelo Edessa"/>
          <w:sz w:val="24"/>
          <w:szCs w:val="24"/>
          <w:lang w:val="es-419"/>
        </w:rPr>
        <w:t xml:space="preserve">;  y, que </w:t>
      </w:r>
      <w:r w:rsidR="007C5E61" w:rsidRPr="002D5BFC">
        <w:rPr>
          <w:rFonts w:ascii="Gadugi" w:eastAsia="Malgun Gothic" w:hAnsi="Gadugi" w:cs="Estrangelo Edessa"/>
          <w:sz w:val="24"/>
          <w:szCs w:val="24"/>
          <w:lang w:val="es-419"/>
        </w:rPr>
        <w:t>l</w:t>
      </w:r>
      <w:r w:rsidR="00B45C7E" w:rsidRPr="002D5BFC">
        <w:rPr>
          <w:rFonts w:ascii="Gadugi" w:eastAsia="Malgun Gothic" w:hAnsi="Gadugi" w:cs="Estrangelo Edessa"/>
          <w:sz w:val="24"/>
          <w:szCs w:val="24"/>
          <w:lang w:val="es-419"/>
        </w:rPr>
        <w:t>a señora María Adela</w:t>
      </w:r>
      <w:r w:rsidR="00C2427E" w:rsidRPr="002D5BFC">
        <w:rPr>
          <w:rFonts w:ascii="Gadugi" w:eastAsia="Malgun Gothic" w:hAnsi="Gadugi" w:cs="Estrangelo Edessa"/>
          <w:sz w:val="24"/>
          <w:szCs w:val="24"/>
          <w:lang w:val="es-419"/>
        </w:rPr>
        <w:t xml:space="preserve"> Bedoya de Marín falleció</w:t>
      </w:r>
      <w:r w:rsidR="00B45C7E" w:rsidRPr="002D5BFC">
        <w:rPr>
          <w:rFonts w:ascii="Gadugi" w:eastAsia="Malgun Gothic" w:hAnsi="Gadugi" w:cs="Estrangelo Edessa"/>
          <w:sz w:val="24"/>
          <w:szCs w:val="24"/>
          <w:lang w:val="es-419"/>
        </w:rPr>
        <w:t xml:space="preserve"> el 23 de noviembre de 2006</w:t>
      </w:r>
      <w:r w:rsidR="00C2427E" w:rsidRPr="002D5BFC">
        <w:rPr>
          <w:rFonts w:ascii="Gadugi" w:eastAsia="Malgun Gothic" w:hAnsi="Gadugi" w:cs="Estrangelo Edessa"/>
          <w:sz w:val="24"/>
          <w:szCs w:val="24"/>
          <w:lang w:val="es-419"/>
        </w:rPr>
        <w:t>, pero antes de su muerte enajen</w:t>
      </w:r>
      <w:r w:rsidR="002F26F7" w:rsidRPr="002D5BFC">
        <w:rPr>
          <w:rFonts w:ascii="Gadugi" w:eastAsia="Malgun Gothic" w:hAnsi="Gadugi" w:cs="Estrangelo Edessa"/>
          <w:sz w:val="24"/>
          <w:szCs w:val="24"/>
          <w:lang w:val="es-419"/>
        </w:rPr>
        <w:t>ó</w:t>
      </w:r>
      <w:r w:rsidR="00C2427E" w:rsidRPr="002D5BFC">
        <w:rPr>
          <w:rFonts w:ascii="Gadugi" w:eastAsia="Malgun Gothic" w:hAnsi="Gadugi" w:cs="Estrangelo Edessa"/>
          <w:sz w:val="24"/>
          <w:szCs w:val="24"/>
          <w:lang w:val="es-419"/>
        </w:rPr>
        <w:t xml:space="preserve"> todos los bienes que le fueron adjudicados en la sucesión,</w:t>
      </w:r>
      <w:r w:rsidR="006C7603" w:rsidRPr="002D5BFC">
        <w:rPr>
          <w:rFonts w:ascii="Gadugi" w:eastAsia="Malgun Gothic" w:hAnsi="Gadugi" w:cs="Estrangelo Edessa"/>
          <w:sz w:val="24"/>
          <w:szCs w:val="24"/>
          <w:lang w:val="es-419"/>
        </w:rPr>
        <w:t xml:space="preserve"> tanto a </w:t>
      </w:r>
      <w:r w:rsidR="00C2427E" w:rsidRPr="002D5BFC">
        <w:rPr>
          <w:rFonts w:ascii="Gadugi" w:eastAsia="Malgun Gothic" w:hAnsi="Gadugi" w:cs="Estrangelo Edessa"/>
          <w:sz w:val="24"/>
          <w:szCs w:val="24"/>
          <w:lang w:val="es-419"/>
        </w:rPr>
        <w:t xml:space="preserve">sus hijas Martha Luz y Gloría Stella Marín Bedoya, </w:t>
      </w:r>
      <w:r w:rsidR="006C7603" w:rsidRPr="002D5BFC">
        <w:rPr>
          <w:rFonts w:ascii="Gadugi" w:eastAsia="Malgun Gothic" w:hAnsi="Gadugi" w:cs="Estrangelo Edessa"/>
          <w:sz w:val="24"/>
          <w:szCs w:val="24"/>
          <w:lang w:val="es-419"/>
        </w:rPr>
        <w:t xml:space="preserve">como </w:t>
      </w:r>
      <w:r w:rsidR="00C2427E" w:rsidRPr="002D5BFC">
        <w:rPr>
          <w:rFonts w:ascii="Gadugi" w:eastAsia="Malgun Gothic" w:hAnsi="Gadugi" w:cs="Estrangelo Edessa"/>
          <w:sz w:val="24"/>
          <w:szCs w:val="24"/>
          <w:lang w:val="es-419"/>
        </w:rPr>
        <w:t>a su yerno Miguel Antonio Velázquez Mesa y a la señora Edelmira Sáenz de García</w:t>
      </w:r>
      <w:r w:rsidR="002F26F7" w:rsidRPr="002D5BFC">
        <w:rPr>
          <w:rFonts w:ascii="Gadugi" w:eastAsia="Malgun Gothic" w:hAnsi="Gadugi" w:cs="Estrangelo Edessa"/>
          <w:sz w:val="24"/>
          <w:szCs w:val="24"/>
          <w:lang w:val="es-419"/>
        </w:rPr>
        <w:t xml:space="preserve">. Finaliza su relato </w:t>
      </w:r>
      <w:r w:rsidR="00C2427E" w:rsidRPr="002D5BFC">
        <w:rPr>
          <w:rFonts w:ascii="Gadugi" w:eastAsia="Malgun Gothic" w:hAnsi="Gadugi" w:cs="Estrangelo Edessa"/>
          <w:sz w:val="24"/>
          <w:szCs w:val="24"/>
          <w:lang w:val="es-419"/>
        </w:rPr>
        <w:t>manifesta</w:t>
      </w:r>
      <w:r w:rsidR="006C7603" w:rsidRPr="002D5BFC">
        <w:rPr>
          <w:rFonts w:ascii="Gadugi" w:eastAsia="Malgun Gothic" w:hAnsi="Gadugi" w:cs="Estrangelo Edessa"/>
          <w:sz w:val="24"/>
          <w:szCs w:val="24"/>
          <w:lang w:val="es-419"/>
        </w:rPr>
        <w:t>ndo</w:t>
      </w:r>
      <w:r w:rsidR="00C2427E" w:rsidRPr="002D5BFC">
        <w:rPr>
          <w:rFonts w:ascii="Gadugi" w:eastAsia="Malgun Gothic" w:hAnsi="Gadugi" w:cs="Estrangelo Edessa"/>
          <w:sz w:val="24"/>
          <w:szCs w:val="24"/>
          <w:lang w:val="es-419"/>
        </w:rPr>
        <w:t xml:space="preserve"> que las compraventas efectuadas por la señora María Adela Marín Bedoya le resultan inoponibles a la heredera e hija María Olga Durango</w:t>
      </w:r>
      <w:r w:rsidR="00BC4339" w:rsidRPr="002D5BFC">
        <w:rPr>
          <w:rFonts w:ascii="Gadugi" w:eastAsia="Malgun Gothic" w:hAnsi="Gadugi" w:cs="Estrangelo Edessa"/>
          <w:sz w:val="24"/>
          <w:szCs w:val="24"/>
          <w:lang w:val="es-419"/>
        </w:rPr>
        <w:t>.</w:t>
      </w:r>
    </w:p>
    <w:p w:rsidR="007A7DA4" w:rsidRPr="002D5BFC" w:rsidRDefault="007A7DA4" w:rsidP="004211B9">
      <w:pPr>
        <w:spacing w:line="276" w:lineRule="auto"/>
        <w:ind w:firstLine="2835"/>
        <w:jc w:val="both"/>
        <w:rPr>
          <w:rFonts w:ascii="Gadugi" w:eastAsia="Malgun Gothic" w:hAnsi="Gadugi" w:cs="Estrangelo Edessa"/>
          <w:sz w:val="24"/>
          <w:szCs w:val="24"/>
          <w:lang w:val="es-419"/>
        </w:rPr>
      </w:pPr>
    </w:p>
    <w:p w:rsidR="007C5E61" w:rsidRPr="002D5BFC" w:rsidRDefault="007A7DA4"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 xml:space="preserve">Admitida la demanda, se dio traslado </w:t>
      </w:r>
      <w:r w:rsidR="002F26F7" w:rsidRPr="002D5BFC">
        <w:rPr>
          <w:rFonts w:ascii="Gadugi" w:eastAsia="Malgun Gothic" w:hAnsi="Gadugi" w:cs="Estrangelo Edessa"/>
          <w:sz w:val="24"/>
          <w:szCs w:val="24"/>
          <w:lang w:val="es-419"/>
        </w:rPr>
        <w:t xml:space="preserve">de la misma </w:t>
      </w:r>
      <w:r w:rsidRPr="002D5BFC">
        <w:rPr>
          <w:rFonts w:ascii="Gadugi" w:eastAsia="Malgun Gothic" w:hAnsi="Gadugi" w:cs="Estrangelo Edessa"/>
          <w:sz w:val="24"/>
          <w:szCs w:val="24"/>
          <w:lang w:val="es-419"/>
        </w:rPr>
        <w:t>a</w:t>
      </w:r>
      <w:r w:rsidR="006B3814" w:rsidRPr="002D5BFC">
        <w:rPr>
          <w:rFonts w:ascii="Gadugi" w:eastAsia="Malgun Gothic" w:hAnsi="Gadugi" w:cs="Estrangelo Edessa"/>
          <w:sz w:val="24"/>
          <w:szCs w:val="24"/>
          <w:lang w:val="es-419"/>
        </w:rPr>
        <w:t xml:space="preserve"> </w:t>
      </w:r>
      <w:r w:rsidRPr="002D5BFC">
        <w:rPr>
          <w:rFonts w:ascii="Gadugi" w:eastAsia="Malgun Gothic" w:hAnsi="Gadugi" w:cs="Estrangelo Edessa"/>
          <w:sz w:val="24"/>
          <w:szCs w:val="24"/>
          <w:lang w:val="es-419"/>
        </w:rPr>
        <w:t>l</w:t>
      </w:r>
      <w:r w:rsidR="006B3814" w:rsidRPr="002D5BFC">
        <w:rPr>
          <w:rFonts w:ascii="Gadugi" w:eastAsia="Malgun Gothic" w:hAnsi="Gadugi" w:cs="Estrangelo Edessa"/>
          <w:sz w:val="24"/>
          <w:szCs w:val="24"/>
          <w:lang w:val="es-419"/>
        </w:rPr>
        <w:t>os</w:t>
      </w:r>
      <w:r w:rsidRPr="002D5BFC">
        <w:rPr>
          <w:rFonts w:ascii="Gadugi" w:eastAsia="Malgun Gothic" w:hAnsi="Gadugi" w:cs="Estrangelo Edessa"/>
          <w:sz w:val="24"/>
          <w:szCs w:val="24"/>
          <w:lang w:val="es-419"/>
        </w:rPr>
        <w:t xml:space="preserve"> demandado</w:t>
      </w:r>
      <w:r w:rsidR="006B3814" w:rsidRPr="002D5BFC">
        <w:rPr>
          <w:rFonts w:ascii="Gadugi" w:eastAsia="Malgun Gothic" w:hAnsi="Gadugi" w:cs="Estrangelo Edessa"/>
          <w:sz w:val="24"/>
          <w:szCs w:val="24"/>
          <w:lang w:val="es-419"/>
        </w:rPr>
        <w:t>s</w:t>
      </w:r>
      <w:r w:rsidR="00DB1887" w:rsidRPr="002D5BFC">
        <w:rPr>
          <w:rFonts w:ascii="Gadugi" w:eastAsia="Malgun Gothic" w:hAnsi="Gadugi" w:cs="Estrangelo Edessa"/>
          <w:sz w:val="24"/>
          <w:szCs w:val="24"/>
          <w:lang w:val="es-419"/>
        </w:rPr>
        <w:t xml:space="preserve">. </w:t>
      </w:r>
    </w:p>
    <w:p w:rsidR="00DB1887" w:rsidRPr="002D5BFC" w:rsidRDefault="00DB1887" w:rsidP="004211B9">
      <w:pPr>
        <w:spacing w:line="276" w:lineRule="auto"/>
        <w:ind w:firstLine="2835"/>
        <w:jc w:val="both"/>
        <w:rPr>
          <w:rFonts w:ascii="Gadugi" w:eastAsia="Malgun Gothic" w:hAnsi="Gadugi" w:cs="Estrangelo Edessa"/>
          <w:sz w:val="24"/>
          <w:szCs w:val="24"/>
          <w:lang w:val="es-419"/>
        </w:rPr>
      </w:pPr>
    </w:p>
    <w:p w:rsidR="00800A82" w:rsidRPr="002D5BFC" w:rsidRDefault="002F26F7"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L</w:t>
      </w:r>
      <w:r w:rsidR="00E8100C" w:rsidRPr="002D5BFC">
        <w:rPr>
          <w:rFonts w:ascii="Gadugi" w:eastAsia="Malgun Gothic" w:hAnsi="Gadugi" w:cs="Estrangelo Edessa"/>
          <w:sz w:val="24"/>
          <w:szCs w:val="24"/>
          <w:lang w:val="es-419"/>
        </w:rPr>
        <w:t>os señores Martha Luz Marín Bedoya y Miguel Antonio Velázquez Mejía</w:t>
      </w:r>
      <w:r w:rsidR="00534A2E" w:rsidRPr="002D5BFC">
        <w:rPr>
          <w:rFonts w:ascii="Gadugi" w:eastAsia="Malgun Gothic" w:hAnsi="Gadugi" w:cs="Estrangelo Edessa"/>
          <w:sz w:val="24"/>
          <w:szCs w:val="24"/>
          <w:lang w:val="es-419"/>
        </w:rPr>
        <w:t xml:space="preserve"> se opusieron a todas las pretensiones, y propusieron como excepciones de mérito las que denominaron “Buena Fe” y “El error común crea derecho”</w:t>
      </w:r>
      <w:r w:rsidRPr="002D5BFC">
        <w:rPr>
          <w:rFonts w:ascii="Gadugi" w:eastAsia="Malgun Gothic" w:hAnsi="Gadugi" w:cs="Estrangelo Edessa"/>
          <w:sz w:val="24"/>
          <w:szCs w:val="24"/>
          <w:lang w:val="es-419"/>
        </w:rPr>
        <w:t xml:space="preserve">; </w:t>
      </w:r>
      <w:r w:rsidR="00534A2E" w:rsidRPr="002D5BFC">
        <w:rPr>
          <w:rFonts w:ascii="Gadugi" w:eastAsia="Malgun Gothic" w:hAnsi="Gadugi" w:cs="Estrangelo Edessa"/>
          <w:sz w:val="24"/>
          <w:szCs w:val="24"/>
          <w:lang w:val="es-419"/>
        </w:rPr>
        <w:t xml:space="preserve">como soporte de </w:t>
      </w:r>
      <w:r w:rsidRPr="002D5BFC">
        <w:rPr>
          <w:rFonts w:ascii="Gadugi" w:eastAsia="Malgun Gothic" w:hAnsi="Gadugi" w:cs="Estrangelo Edessa"/>
          <w:sz w:val="24"/>
          <w:szCs w:val="24"/>
          <w:lang w:val="es-419"/>
        </w:rPr>
        <w:t xml:space="preserve">su defensa </w:t>
      </w:r>
      <w:r w:rsidR="00534A2E" w:rsidRPr="002D5BFC">
        <w:rPr>
          <w:rFonts w:ascii="Gadugi" w:eastAsia="Malgun Gothic" w:hAnsi="Gadugi" w:cs="Estrangelo Edessa"/>
          <w:sz w:val="24"/>
          <w:szCs w:val="24"/>
          <w:lang w:val="es-419"/>
        </w:rPr>
        <w:t>manifestaron que efectivamente compraron el inmueble ubicado en la Calle 26 No. 6-34 de la ciudad, identificado con matrícula inmobiliaria No. 290-</w:t>
      </w:r>
      <w:r w:rsidR="00FC4639" w:rsidRPr="002D5BFC">
        <w:rPr>
          <w:rFonts w:ascii="Gadugi" w:eastAsia="Malgun Gothic" w:hAnsi="Gadugi" w:cs="Estrangelo Edessa"/>
          <w:sz w:val="24"/>
          <w:szCs w:val="24"/>
          <w:lang w:val="es-419"/>
        </w:rPr>
        <w:t>14043, a</w:t>
      </w:r>
      <w:r w:rsidR="00AA3605" w:rsidRPr="002D5BFC">
        <w:rPr>
          <w:rFonts w:ascii="Gadugi" w:eastAsia="Malgun Gothic" w:hAnsi="Gadugi" w:cs="Estrangelo Edessa"/>
          <w:sz w:val="24"/>
          <w:szCs w:val="24"/>
          <w:lang w:val="es-419"/>
        </w:rPr>
        <w:t xml:space="preserve"> la señora María Adela Bedoya</w:t>
      </w:r>
      <w:r w:rsidRPr="002D5BFC">
        <w:rPr>
          <w:rFonts w:ascii="Gadugi" w:eastAsia="Malgun Gothic" w:hAnsi="Gadugi" w:cs="Estrangelo Edessa"/>
          <w:sz w:val="24"/>
          <w:szCs w:val="24"/>
          <w:lang w:val="es-419"/>
        </w:rPr>
        <w:t>;</w:t>
      </w:r>
      <w:r w:rsidR="00AA3605" w:rsidRPr="002D5BFC">
        <w:rPr>
          <w:rFonts w:ascii="Gadugi" w:eastAsia="Malgun Gothic" w:hAnsi="Gadugi" w:cs="Estrangelo Edessa"/>
          <w:sz w:val="24"/>
          <w:szCs w:val="24"/>
          <w:lang w:val="es-419"/>
        </w:rPr>
        <w:t xml:space="preserve"> </w:t>
      </w:r>
      <w:r w:rsidR="00534A2E" w:rsidRPr="002D5BFC">
        <w:rPr>
          <w:rFonts w:ascii="Gadugi" w:eastAsia="Malgun Gothic" w:hAnsi="Gadugi" w:cs="Estrangelo Edessa"/>
          <w:sz w:val="24"/>
          <w:szCs w:val="24"/>
          <w:lang w:val="es-419"/>
        </w:rPr>
        <w:t>que se reputan compradores de buena fe cualificada</w:t>
      </w:r>
      <w:r w:rsidR="00F124D6" w:rsidRPr="002D5BFC">
        <w:rPr>
          <w:rFonts w:ascii="Gadugi" w:eastAsia="Malgun Gothic" w:hAnsi="Gadugi" w:cs="Estrangelo Edessa"/>
          <w:sz w:val="24"/>
          <w:szCs w:val="24"/>
          <w:lang w:val="es-419"/>
        </w:rPr>
        <w:t xml:space="preserve">, por cuanto </w:t>
      </w:r>
      <w:r w:rsidR="00877A98" w:rsidRPr="002D5BFC">
        <w:rPr>
          <w:rFonts w:ascii="Gadugi" w:eastAsia="Malgun Gothic" w:hAnsi="Gadugi" w:cs="Estrangelo Edessa"/>
          <w:sz w:val="24"/>
          <w:szCs w:val="24"/>
          <w:lang w:val="es-419"/>
        </w:rPr>
        <w:t>pagaron el valor respectivo por el inmueble a quien figuraba como su propietaria y se perfeccionó la venta con la inscripción ante la Oficina de Registro de Instrumentos Públicos de la ciudad; que la compraventa se efectuó el 20 de septiembre de 2004, y el reconocimiento de hija extramatrimonial de la aquí d</w:t>
      </w:r>
      <w:r w:rsidR="00800A82" w:rsidRPr="002D5BFC">
        <w:rPr>
          <w:rFonts w:ascii="Gadugi" w:eastAsia="Malgun Gothic" w:hAnsi="Gadugi" w:cs="Estrangelo Edessa"/>
          <w:sz w:val="24"/>
          <w:szCs w:val="24"/>
          <w:lang w:val="es-419"/>
        </w:rPr>
        <w:t xml:space="preserve">emandante por vía judicial fue </w:t>
      </w:r>
      <w:r w:rsidR="00877A98" w:rsidRPr="002D5BFC">
        <w:rPr>
          <w:rFonts w:ascii="Gadugi" w:eastAsia="Malgun Gothic" w:hAnsi="Gadugi" w:cs="Estrangelo Edessa"/>
          <w:sz w:val="24"/>
          <w:szCs w:val="24"/>
          <w:lang w:val="es-419"/>
        </w:rPr>
        <w:t>declar</w:t>
      </w:r>
      <w:r w:rsidR="00800A82" w:rsidRPr="002D5BFC">
        <w:rPr>
          <w:rFonts w:ascii="Gadugi" w:eastAsia="Malgun Gothic" w:hAnsi="Gadugi" w:cs="Estrangelo Edessa"/>
          <w:sz w:val="24"/>
          <w:szCs w:val="24"/>
          <w:lang w:val="es-419"/>
        </w:rPr>
        <w:t>ada</w:t>
      </w:r>
      <w:r w:rsidR="00877A98" w:rsidRPr="002D5BFC">
        <w:rPr>
          <w:rFonts w:ascii="Gadugi" w:eastAsia="Malgun Gothic" w:hAnsi="Gadugi" w:cs="Estrangelo Edessa"/>
          <w:sz w:val="24"/>
          <w:szCs w:val="24"/>
          <w:lang w:val="es-419"/>
        </w:rPr>
        <w:t xml:space="preserve"> el 28 de septiembre de 2010</w:t>
      </w:r>
      <w:r w:rsidR="00800A82" w:rsidRPr="002D5BFC">
        <w:rPr>
          <w:rFonts w:ascii="Gadugi" w:eastAsia="Malgun Gothic" w:hAnsi="Gadugi" w:cs="Estrangelo Edessa"/>
          <w:sz w:val="24"/>
          <w:szCs w:val="24"/>
          <w:lang w:val="es-419"/>
        </w:rPr>
        <w:t xml:space="preserve">, </w:t>
      </w:r>
      <w:r w:rsidRPr="002D5BFC">
        <w:rPr>
          <w:rFonts w:ascii="Gadugi" w:eastAsia="Malgun Gothic" w:hAnsi="Gadugi" w:cs="Estrangelo Edessa"/>
          <w:sz w:val="24"/>
          <w:szCs w:val="24"/>
          <w:lang w:val="es-419"/>
        </w:rPr>
        <w:t xml:space="preserve">y </w:t>
      </w:r>
      <w:r w:rsidR="00800A82" w:rsidRPr="002D5BFC">
        <w:rPr>
          <w:rFonts w:ascii="Gadugi" w:eastAsia="Malgun Gothic" w:hAnsi="Gadugi" w:cs="Estrangelo Edessa"/>
          <w:sz w:val="24"/>
          <w:szCs w:val="24"/>
          <w:lang w:val="es-419"/>
        </w:rPr>
        <w:t>por tanto</w:t>
      </w:r>
      <w:r w:rsidRPr="002D5BFC">
        <w:rPr>
          <w:rFonts w:ascii="Gadugi" w:eastAsia="Malgun Gothic" w:hAnsi="Gadugi" w:cs="Estrangelo Edessa"/>
          <w:sz w:val="24"/>
          <w:szCs w:val="24"/>
          <w:lang w:val="es-419"/>
        </w:rPr>
        <w:t>,</w:t>
      </w:r>
      <w:r w:rsidR="00800A82" w:rsidRPr="002D5BFC">
        <w:rPr>
          <w:rFonts w:ascii="Gadugi" w:eastAsia="Malgun Gothic" w:hAnsi="Gadugi" w:cs="Estrangelo Edessa"/>
          <w:sz w:val="24"/>
          <w:szCs w:val="24"/>
          <w:lang w:val="es-419"/>
        </w:rPr>
        <w:t xml:space="preserve"> el error común se constituye en verdadera fuente de derecho.</w:t>
      </w:r>
    </w:p>
    <w:p w:rsidR="000B0E31" w:rsidRPr="002D5BFC" w:rsidRDefault="000B0E31" w:rsidP="004211B9">
      <w:pPr>
        <w:spacing w:line="276" w:lineRule="auto"/>
        <w:ind w:firstLine="2835"/>
        <w:jc w:val="both"/>
        <w:rPr>
          <w:rFonts w:ascii="Gadugi" w:eastAsia="Malgun Gothic" w:hAnsi="Gadugi" w:cs="Estrangelo Edessa"/>
          <w:sz w:val="24"/>
          <w:szCs w:val="24"/>
          <w:lang w:val="es-419"/>
        </w:rPr>
      </w:pPr>
    </w:p>
    <w:p w:rsidR="00D2424A" w:rsidRPr="002D5BFC" w:rsidRDefault="003B2FF7"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 xml:space="preserve">La </w:t>
      </w:r>
      <w:r w:rsidR="00AD0E43" w:rsidRPr="002D5BFC">
        <w:rPr>
          <w:rFonts w:ascii="Gadugi" w:eastAsia="Malgun Gothic" w:hAnsi="Gadugi" w:cs="Estrangelo Edessa"/>
          <w:sz w:val="24"/>
          <w:szCs w:val="24"/>
          <w:lang w:val="es-419"/>
        </w:rPr>
        <w:t xml:space="preserve"> codemandada</w:t>
      </w:r>
      <w:r w:rsidRPr="002D5BFC">
        <w:rPr>
          <w:rFonts w:ascii="Gadugi" w:eastAsia="Malgun Gothic" w:hAnsi="Gadugi" w:cs="Estrangelo Edessa"/>
          <w:sz w:val="24"/>
          <w:szCs w:val="24"/>
          <w:lang w:val="es-419"/>
        </w:rPr>
        <w:t xml:space="preserve"> Ed</w:t>
      </w:r>
      <w:r w:rsidR="008F3915" w:rsidRPr="002D5BFC">
        <w:rPr>
          <w:rFonts w:ascii="Gadugi" w:eastAsia="Malgun Gothic" w:hAnsi="Gadugi" w:cs="Estrangelo Edessa"/>
          <w:sz w:val="24"/>
          <w:szCs w:val="24"/>
          <w:lang w:val="es-419"/>
        </w:rPr>
        <w:t xml:space="preserve">elmira </w:t>
      </w:r>
      <w:r w:rsidR="00497086" w:rsidRPr="002D5BFC">
        <w:rPr>
          <w:rFonts w:ascii="Gadugi" w:eastAsia="Malgun Gothic" w:hAnsi="Gadugi" w:cs="Estrangelo Edessa"/>
          <w:sz w:val="24"/>
          <w:szCs w:val="24"/>
          <w:lang w:val="es-419"/>
        </w:rPr>
        <w:t>Sáenz</w:t>
      </w:r>
      <w:r w:rsidR="00D2424A" w:rsidRPr="002D5BFC">
        <w:rPr>
          <w:rFonts w:ascii="Gadugi" w:eastAsia="Malgun Gothic" w:hAnsi="Gadugi" w:cs="Estrangelo Edessa"/>
          <w:sz w:val="24"/>
          <w:szCs w:val="24"/>
          <w:lang w:val="es-419"/>
        </w:rPr>
        <w:t xml:space="preserve"> de García se opuso </w:t>
      </w:r>
      <w:r w:rsidR="008F3915" w:rsidRPr="002D5BFC">
        <w:rPr>
          <w:rFonts w:ascii="Gadugi" w:eastAsia="Malgun Gothic" w:hAnsi="Gadugi" w:cs="Estrangelo Edessa"/>
          <w:sz w:val="24"/>
          <w:szCs w:val="24"/>
          <w:lang w:val="es-419"/>
        </w:rPr>
        <w:t>a las pretensiones</w:t>
      </w:r>
      <w:r w:rsidR="00D2424A" w:rsidRPr="002D5BFC">
        <w:rPr>
          <w:rFonts w:ascii="Gadugi" w:eastAsia="Malgun Gothic" w:hAnsi="Gadugi" w:cs="Estrangelo Edessa"/>
          <w:sz w:val="24"/>
          <w:szCs w:val="24"/>
          <w:lang w:val="es-419"/>
        </w:rPr>
        <w:t xml:space="preserve"> y</w:t>
      </w:r>
      <w:r w:rsidR="008F3915" w:rsidRPr="002D5BFC">
        <w:rPr>
          <w:rFonts w:ascii="Gadugi" w:eastAsia="Malgun Gothic" w:hAnsi="Gadugi" w:cs="Estrangelo Edessa"/>
          <w:sz w:val="24"/>
          <w:szCs w:val="24"/>
          <w:lang w:val="es-419"/>
        </w:rPr>
        <w:t xml:space="preserve"> </w:t>
      </w:r>
      <w:r w:rsidR="00497086" w:rsidRPr="002D5BFC">
        <w:rPr>
          <w:rFonts w:ascii="Gadugi" w:eastAsia="Malgun Gothic" w:hAnsi="Gadugi" w:cs="Estrangelo Edessa"/>
          <w:sz w:val="24"/>
          <w:szCs w:val="24"/>
          <w:lang w:val="es-419"/>
        </w:rPr>
        <w:t>formul</w:t>
      </w:r>
      <w:r w:rsidR="00D2424A" w:rsidRPr="002D5BFC">
        <w:rPr>
          <w:rFonts w:ascii="Gadugi" w:eastAsia="Malgun Gothic" w:hAnsi="Gadugi" w:cs="Estrangelo Edessa"/>
          <w:sz w:val="24"/>
          <w:szCs w:val="24"/>
          <w:lang w:val="es-419"/>
        </w:rPr>
        <w:t>ó</w:t>
      </w:r>
      <w:r w:rsidR="00497086" w:rsidRPr="002D5BFC">
        <w:rPr>
          <w:rFonts w:ascii="Gadugi" w:eastAsia="Malgun Gothic" w:hAnsi="Gadugi" w:cs="Estrangelo Edessa"/>
          <w:sz w:val="24"/>
          <w:szCs w:val="24"/>
          <w:lang w:val="es-419"/>
        </w:rPr>
        <w:t xml:space="preserve"> </w:t>
      </w:r>
      <w:r w:rsidR="008F3915" w:rsidRPr="002D5BFC">
        <w:rPr>
          <w:rFonts w:ascii="Gadugi" w:eastAsia="Malgun Gothic" w:hAnsi="Gadugi" w:cs="Estrangelo Edessa"/>
          <w:sz w:val="24"/>
          <w:szCs w:val="24"/>
          <w:lang w:val="es-419"/>
        </w:rPr>
        <w:t>com</w:t>
      </w:r>
      <w:r w:rsidR="00497086" w:rsidRPr="002D5BFC">
        <w:rPr>
          <w:rFonts w:ascii="Gadugi" w:eastAsia="Malgun Gothic" w:hAnsi="Gadugi" w:cs="Estrangelo Edessa"/>
          <w:sz w:val="24"/>
          <w:szCs w:val="24"/>
          <w:lang w:val="es-419"/>
        </w:rPr>
        <w:t>o excepciones las que llamó</w:t>
      </w:r>
      <w:r w:rsidR="008F3915" w:rsidRPr="002D5BFC">
        <w:rPr>
          <w:rFonts w:ascii="Gadugi" w:eastAsia="Malgun Gothic" w:hAnsi="Gadugi" w:cs="Estrangelo Edessa"/>
          <w:sz w:val="24"/>
          <w:szCs w:val="24"/>
          <w:lang w:val="es-419"/>
        </w:rPr>
        <w:t xml:space="preserve"> </w:t>
      </w:r>
      <w:r w:rsidR="00497086" w:rsidRPr="002D5BFC">
        <w:rPr>
          <w:rFonts w:ascii="Gadugi" w:eastAsia="Malgun Gothic" w:hAnsi="Gadugi" w:cs="Estrangelo Edessa"/>
          <w:sz w:val="24"/>
          <w:szCs w:val="24"/>
          <w:lang w:val="es-419"/>
        </w:rPr>
        <w:t>“Buena</w:t>
      </w:r>
      <w:r w:rsidR="008F3915" w:rsidRPr="002D5BFC">
        <w:rPr>
          <w:rFonts w:ascii="Gadugi" w:eastAsia="Malgun Gothic" w:hAnsi="Gadugi" w:cs="Estrangelo Edessa"/>
          <w:sz w:val="24"/>
          <w:szCs w:val="24"/>
          <w:lang w:val="es-419"/>
        </w:rPr>
        <w:t xml:space="preserve"> </w:t>
      </w:r>
      <w:r w:rsidR="00497086" w:rsidRPr="002D5BFC">
        <w:rPr>
          <w:rFonts w:ascii="Gadugi" w:eastAsia="Malgun Gothic" w:hAnsi="Gadugi" w:cs="Estrangelo Edessa"/>
          <w:sz w:val="24"/>
          <w:szCs w:val="24"/>
          <w:lang w:val="es-419"/>
        </w:rPr>
        <w:t>Fe</w:t>
      </w:r>
      <w:r w:rsidR="008F3915" w:rsidRPr="002D5BFC">
        <w:rPr>
          <w:rFonts w:ascii="Gadugi" w:eastAsia="Malgun Gothic" w:hAnsi="Gadugi" w:cs="Estrangelo Edessa"/>
          <w:sz w:val="24"/>
          <w:szCs w:val="24"/>
          <w:lang w:val="es-419"/>
        </w:rPr>
        <w:t xml:space="preserve"> Exenta de Culpa”</w:t>
      </w:r>
      <w:r w:rsidR="00497086" w:rsidRPr="002D5BFC">
        <w:rPr>
          <w:rFonts w:ascii="Gadugi" w:eastAsia="Malgun Gothic" w:hAnsi="Gadugi" w:cs="Estrangelo Edessa"/>
          <w:sz w:val="24"/>
          <w:szCs w:val="24"/>
          <w:lang w:val="es-419"/>
        </w:rPr>
        <w:t xml:space="preserve"> y</w:t>
      </w:r>
      <w:r w:rsidR="008F3915" w:rsidRPr="002D5BFC">
        <w:rPr>
          <w:rFonts w:ascii="Gadugi" w:eastAsia="Malgun Gothic" w:hAnsi="Gadugi" w:cs="Estrangelo Edessa"/>
          <w:sz w:val="24"/>
          <w:szCs w:val="24"/>
          <w:lang w:val="es-419"/>
        </w:rPr>
        <w:t xml:space="preserve"> “Justo título”</w:t>
      </w:r>
      <w:r w:rsidR="002F26F7" w:rsidRPr="002D5BFC">
        <w:rPr>
          <w:rFonts w:ascii="Gadugi" w:eastAsia="Malgun Gothic" w:hAnsi="Gadugi" w:cs="Estrangelo Edessa"/>
          <w:sz w:val="24"/>
          <w:szCs w:val="24"/>
          <w:lang w:val="es-419"/>
        </w:rPr>
        <w:t xml:space="preserve">, </w:t>
      </w:r>
      <w:r w:rsidR="00D2424A" w:rsidRPr="002D5BFC">
        <w:rPr>
          <w:rFonts w:ascii="Gadugi" w:eastAsia="Malgun Gothic" w:hAnsi="Gadugi" w:cs="Estrangelo Edessa"/>
          <w:sz w:val="24"/>
          <w:szCs w:val="24"/>
          <w:lang w:val="es-419"/>
        </w:rPr>
        <w:t xml:space="preserve">con sustento en que </w:t>
      </w:r>
      <w:r w:rsidR="005165FF" w:rsidRPr="002D5BFC">
        <w:rPr>
          <w:rFonts w:ascii="Gadugi" w:eastAsia="Malgun Gothic" w:hAnsi="Gadugi" w:cs="Estrangelo Edessa"/>
          <w:sz w:val="24"/>
          <w:szCs w:val="24"/>
          <w:lang w:val="es-419"/>
        </w:rPr>
        <w:t xml:space="preserve">la compraventa celebrada </w:t>
      </w:r>
      <w:r w:rsidR="00497086" w:rsidRPr="002D5BFC">
        <w:rPr>
          <w:rFonts w:ascii="Gadugi" w:eastAsia="Malgun Gothic" w:hAnsi="Gadugi" w:cs="Estrangelo Edessa"/>
          <w:sz w:val="24"/>
          <w:szCs w:val="24"/>
          <w:lang w:val="es-419"/>
        </w:rPr>
        <w:t xml:space="preserve">entre </w:t>
      </w:r>
      <w:r w:rsidR="00D158DF" w:rsidRPr="002D5BFC">
        <w:rPr>
          <w:rFonts w:ascii="Gadugi" w:eastAsia="Malgun Gothic" w:hAnsi="Gadugi" w:cs="Estrangelo Edessa"/>
          <w:sz w:val="24"/>
          <w:szCs w:val="24"/>
          <w:lang w:val="es-419"/>
        </w:rPr>
        <w:t xml:space="preserve">ella y </w:t>
      </w:r>
      <w:r w:rsidR="00293E21" w:rsidRPr="002D5BFC">
        <w:rPr>
          <w:rFonts w:ascii="Gadugi" w:eastAsia="Malgun Gothic" w:hAnsi="Gadugi" w:cs="Estrangelo Edessa"/>
          <w:sz w:val="24"/>
          <w:szCs w:val="24"/>
          <w:lang w:val="es-419"/>
        </w:rPr>
        <w:t xml:space="preserve">María Adela Bedoya de Marín </w:t>
      </w:r>
      <w:r w:rsidR="00265E4C" w:rsidRPr="002D5BFC">
        <w:rPr>
          <w:rFonts w:ascii="Gadugi" w:eastAsia="Malgun Gothic" w:hAnsi="Gadugi" w:cs="Estrangelo Edessa"/>
          <w:sz w:val="24"/>
          <w:szCs w:val="24"/>
          <w:lang w:val="es-419"/>
        </w:rPr>
        <w:t xml:space="preserve">es perfectamente oponible a la demandante María </w:t>
      </w:r>
      <w:r w:rsidR="00265E4C" w:rsidRPr="002D5BFC">
        <w:rPr>
          <w:rFonts w:ascii="Gadugi" w:eastAsia="Malgun Gothic" w:hAnsi="Gadugi" w:cs="Estrangelo Edessa"/>
          <w:sz w:val="24"/>
          <w:szCs w:val="24"/>
          <w:lang w:val="es-419"/>
        </w:rPr>
        <w:lastRenderedPageBreak/>
        <w:t>Olga Durango, por cuanto el negocio jurídico efectuado cumplió con todos los requisitos exigidos para perfeccionarse</w:t>
      </w:r>
      <w:r w:rsidR="00D2424A" w:rsidRPr="002D5BFC">
        <w:rPr>
          <w:rFonts w:ascii="Gadugi" w:eastAsia="Malgun Gothic" w:hAnsi="Gadugi" w:cs="Estrangelo Edessa"/>
          <w:sz w:val="24"/>
          <w:szCs w:val="24"/>
          <w:lang w:val="es-419"/>
        </w:rPr>
        <w:t xml:space="preserve">. </w:t>
      </w:r>
    </w:p>
    <w:p w:rsidR="00D2424A" w:rsidRPr="002D5BFC" w:rsidRDefault="00D2424A" w:rsidP="004211B9">
      <w:pPr>
        <w:spacing w:line="276" w:lineRule="auto"/>
        <w:ind w:firstLine="2835"/>
        <w:jc w:val="both"/>
        <w:rPr>
          <w:rFonts w:ascii="Gadugi" w:eastAsia="Malgun Gothic" w:hAnsi="Gadugi" w:cs="Estrangelo Edessa"/>
          <w:sz w:val="24"/>
          <w:szCs w:val="24"/>
          <w:lang w:val="es-419"/>
        </w:rPr>
      </w:pPr>
    </w:p>
    <w:p w:rsidR="006479F3" w:rsidRPr="002D5BFC" w:rsidRDefault="006479F3"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La demandada Gloria Stella Marín</w:t>
      </w:r>
      <w:r w:rsidR="00D2424A" w:rsidRPr="002D5BFC">
        <w:rPr>
          <w:rFonts w:ascii="Gadugi" w:eastAsia="Malgun Gothic" w:hAnsi="Gadugi" w:cs="Estrangelo Edessa"/>
          <w:sz w:val="24"/>
          <w:szCs w:val="24"/>
          <w:lang w:val="es-419"/>
        </w:rPr>
        <w:t xml:space="preserve"> también se opuso y planteó </w:t>
      </w:r>
      <w:r w:rsidRPr="002D5BFC">
        <w:rPr>
          <w:rFonts w:ascii="Gadugi" w:eastAsia="Malgun Gothic" w:hAnsi="Gadugi" w:cs="Estrangelo Edessa"/>
          <w:sz w:val="24"/>
          <w:szCs w:val="24"/>
          <w:lang w:val="es-419"/>
        </w:rPr>
        <w:t xml:space="preserve">una excepción </w:t>
      </w:r>
      <w:r w:rsidR="00D2424A" w:rsidRPr="002D5BFC">
        <w:rPr>
          <w:rFonts w:ascii="Gadugi" w:eastAsia="Malgun Gothic" w:hAnsi="Gadugi" w:cs="Estrangelo Edessa"/>
          <w:sz w:val="24"/>
          <w:szCs w:val="24"/>
          <w:lang w:val="es-419"/>
        </w:rPr>
        <w:t xml:space="preserve">que denominó </w:t>
      </w:r>
      <w:r w:rsidR="00D158DF" w:rsidRPr="002D5BFC">
        <w:rPr>
          <w:rFonts w:ascii="Gadugi" w:eastAsia="Malgun Gothic" w:hAnsi="Gadugi" w:cs="Estrangelo Edessa"/>
          <w:sz w:val="24"/>
          <w:szCs w:val="24"/>
          <w:lang w:val="es-419"/>
        </w:rPr>
        <w:t>“</w:t>
      </w:r>
      <w:r w:rsidRPr="002D5BFC">
        <w:rPr>
          <w:rFonts w:ascii="Gadugi" w:eastAsia="Malgun Gothic" w:hAnsi="Gadugi" w:cs="Estrangelo Edessa"/>
          <w:sz w:val="24"/>
          <w:szCs w:val="24"/>
          <w:lang w:val="es-419"/>
        </w:rPr>
        <w:t xml:space="preserve">Por ser inoponible la presente acción al adquirente de Buena Fe”, dado que </w:t>
      </w:r>
      <w:r w:rsidR="00D158DF" w:rsidRPr="002D5BFC">
        <w:rPr>
          <w:rFonts w:ascii="Gadugi" w:eastAsia="Malgun Gothic" w:hAnsi="Gadugi" w:cs="Estrangelo Edessa"/>
          <w:sz w:val="24"/>
          <w:szCs w:val="24"/>
          <w:lang w:val="es-419"/>
        </w:rPr>
        <w:t xml:space="preserve">la compraventa </w:t>
      </w:r>
      <w:r w:rsidRPr="002D5BFC">
        <w:rPr>
          <w:rFonts w:ascii="Gadugi" w:eastAsia="Malgun Gothic" w:hAnsi="Gadugi" w:cs="Estrangelo Edessa"/>
          <w:sz w:val="24"/>
          <w:szCs w:val="24"/>
          <w:lang w:val="es-419"/>
        </w:rPr>
        <w:t>se efectuó por su parte con quien tenía la calidad de propietaria, por lo que se encontraba legitimada para venderlo</w:t>
      </w:r>
      <w:r w:rsidR="00D2424A" w:rsidRPr="002D5BFC">
        <w:rPr>
          <w:rFonts w:ascii="Gadugi" w:eastAsia="Malgun Gothic" w:hAnsi="Gadugi" w:cs="Estrangelo Edessa"/>
          <w:sz w:val="24"/>
          <w:szCs w:val="24"/>
          <w:lang w:val="es-419"/>
        </w:rPr>
        <w:t xml:space="preserve">; además, esa persona </w:t>
      </w:r>
      <w:r w:rsidRPr="002D5BFC">
        <w:rPr>
          <w:rFonts w:ascii="Gadugi" w:eastAsia="Malgun Gothic" w:hAnsi="Gadugi" w:cs="Estrangelo Edessa"/>
          <w:sz w:val="24"/>
          <w:szCs w:val="24"/>
          <w:lang w:val="es-419"/>
        </w:rPr>
        <w:t>recibió el precio por el derecho que le asistía sobre el bien</w:t>
      </w:r>
      <w:r w:rsidR="00D2424A" w:rsidRPr="002D5BFC">
        <w:rPr>
          <w:rFonts w:ascii="Gadugi" w:eastAsia="Malgun Gothic" w:hAnsi="Gadugi" w:cs="Estrangelo Edessa"/>
          <w:sz w:val="24"/>
          <w:szCs w:val="24"/>
          <w:lang w:val="es-419"/>
        </w:rPr>
        <w:t xml:space="preserve"> y el contrato </w:t>
      </w:r>
      <w:r w:rsidRPr="002D5BFC">
        <w:rPr>
          <w:rFonts w:ascii="Gadugi" w:eastAsia="Malgun Gothic" w:hAnsi="Gadugi" w:cs="Estrangelo Edessa"/>
          <w:sz w:val="24"/>
          <w:szCs w:val="24"/>
          <w:lang w:val="es-419"/>
        </w:rPr>
        <w:t>se  efectuó con el lleno de todos los requisitos para el efecto.</w:t>
      </w:r>
    </w:p>
    <w:p w:rsidR="006479F3" w:rsidRPr="002D5BFC" w:rsidRDefault="006479F3" w:rsidP="004211B9">
      <w:pPr>
        <w:spacing w:line="276" w:lineRule="auto"/>
        <w:ind w:firstLine="2835"/>
        <w:jc w:val="both"/>
        <w:rPr>
          <w:rFonts w:ascii="Gadugi" w:eastAsia="Malgun Gothic" w:hAnsi="Gadugi" w:cs="Estrangelo Edessa"/>
          <w:sz w:val="24"/>
          <w:szCs w:val="24"/>
          <w:lang w:val="es-419"/>
        </w:rPr>
      </w:pPr>
    </w:p>
    <w:p w:rsidR="006479F3" w:rsidRPr="002D5BFC" w:rsidRDefault="006479F3"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 xml:space="preserve">La curadora </w:t>
      </w:r>
      <w:r w:rsidR="00E95B6A" w:rsidRPr="002D5BFC">
        <w:rPr>
          <w:rFonts w:ascii="Gadugi" w:eastAsia="Malgun Gothic" w:hAnsi="Gadugi" w:cs="Estrangelo Edessa"/>
          <w:sz w:val="24"/>
          <w:szCs w:val="24"/>
          <w:lang w:val="es-419"/>
        </w:rPr>
        <w:t>a</w:t>
      </w:r>
      <w:r w:rsidRPr="002D5BFC">
        <w:rPr>
          <w:rFonts w:ascii="Gadugi" w:eastAsia="Malgun Gothic" w:hAnsi="Gadugi" w:cs="Estrangelo Edessa"/>
          <w:sz w:val="24"/>
          <w:szCs w:val="24"/>
          <w:lang w:val="es-419"/>
        </w:rPr>
        <w:t>d-</w:t>
      </w:r>
      <w:r w:rsidR="00E95B6A" w:rsidRPr="002D5BFC">
        <w:rPr>
          <w:rFonts w:ascii="Gadugi" w:eastAsia="Malgun Gothic" w:hAnsi="Gadugi" w:cs="Estrangelo Edessa"/>
          <w:sz w:val="24"/>
          <w:szCs w:val="24"/>
          <w:lang w:val="es-419"/>
        </w:rPr>
        <w:t>l</w:t>
      </w:r>
      <w:r w:rsidRPr="002D5BFC">
        <w:rPr>
          <w:rFonts w:ascii="Gadugi" w:eastAsia="Malgun Gothic" w:hAnsi="Gadugi" w:cs="Estrangelo Edessa"/>
          <w:sz w:val="24"/>
          <w:szCs w:val="24"/>
          <w:lang w:val="es-419"/>
        </w:rPr>
        <w:t xml:space="preserve">item de los herederos indeterminados se pronunció admitiendo la totalidad de hechos, salvo el contenido en el numeral décimo primero, por considerar que es un efecto jurídico que debe ser declarado por el </w:t>
      </w:r>
      <w:r w:rsidR="000B0E31" w:rsidRPr="002D5BFC">
        <w:rPr>
          <w:rFonts w:ascii="Gadugi" w:eastAsia="Malgun Gothic" w:hAnsi="Gadugi" w:cs="Estrangelo Edessa"/>
          <w:sz w:val="24"/>
          <w:szCs w:val="24"/>
          <w:lang w:val="es-419"/>
        </w:rPr>
        <w:t>j</w:t>
      </w:r>
      <w:r w:rsidRPr="002D5BFC">
        <w:rPr>
          <w:rFonts w:ascii="Gadugi" w:eastAsia="Malgun Gothic" w:hAnsi="Gadugi" w:cs="Estrangelo Edessa"/>
          <w:sz w:val="24"/>
          <w:szCs w:val="24"/>
          <w:lang w:val="es-419"/>
        </w:rPr>
        <w:t>uez de conocimiento, y señaló que se atiene a lo que resulte probado en el trámite del proceso.</w:t>
      </w:r>
    </w:p>
    <w:p w:rsidR="006479F3" w:rsidRPr="002D5BFC" w:rsidRDefault="006479F3" w:rsidP="004211B9">
      <w:pPr>
        <w:spacing w:line="276" w:lineRule="auto"/>
        <w:ind w:firstLine="2835"/>
        <w:jc w:val="both"/>
        <w:rPr>
          <w:rFonts w:ascii="Gadugi" w:eastAsia="Malgun Gothic" w:hAnsi="Gadugi" w:cs="Estrangelo Edessa"/>
          <w:sz w:val="24"/>
          <w:szCs w:val="24"/>
          <w:lang w:val="es-419"/>
        </w:rPr>
      </w:pPr>
    </w:p>
    <w:p w:rsidR="001A6204" w:rsidRPr="002D5BFC" w:rsidRDefault="00A364D7"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L</w:t>
      </w:r>
      <w:r w:rsidR="006479F3" w:rsidRPr="002D5BFC">
        <w:rPr>
          <w:rFonts w:ascii="Gadugi" w:eastAsia="Malgun Gothic" w:hAnsi="Gadugi" w:cs="Estrangelo Edessa"/>
          <w:sz w:val="24"/>
          <w:szCs w:val="24"/>
          <w:lang w:val="es-419"/>
        </w:rPr>
        <w:t>a codemandada Edelmira Sáenz de García</w:t>
      </w:r>
      <w:r w:rsidR="00701B78" w:rsidRPr="002D5BFC">
        <w:rPr>
          <w:rFonts w:ascii="Gadugi" w:eastAsia="Malgun Gothic" w:hAnsi="Gadugi" w:cs="Estrangelo Edessa"/>
          <w:sz w:val="24"/>
          <w:szCs w:val="24"/>
          <w:lang w:val="es-419"/>
        </w:rPr>
        <w:t>, a la par que contestó la demanda</w:t>
      </w:r>
      <w:r w:rsidR="00D2424A" w:rsidRPr="002D5BFC">
        <w:rPr>
          <w:rFonts w:ascii="Gadugi" w:eastAsia="Malgun Gothic" w:hAnsi="Gadugi" w:cs="Estrangelo Edessa"/>
          <w:sz w:val="24"/>
          <w:szCs w:val="24"/>
          <w:lang w:val="es-419"/>
        </w:rPr>
        <w:t>,</w:t>
      </w:r>
      <w:r w:rsidR="00701B78" w:rsidRPr="002D5BFC">
        <w:rPr>
          <w:rFonts w:ascii="Gadugi" w:eastAsia="Malgun Gothic" w:hAnsi="Gadugi" w:cs="Estrangelo Edessa"/>
          <w:sz w:val="24"/>
          <w:szCs w:val="24"/>
          <w:lang w:val="es-419"/>
        </w:rPr>
        <w:t xml:space="preserve"> </w:t>
      </w:r>
      <w:r w:rsidR="005D55B8" w:rsidRPr="002D5BFC">
        <w:rPr>
          <w:rFonts w:ascii="Gadugi" w:eastAsia="Malgun Gothic" w:hAnsi="Gadugi" w:cs="Estrangelo Edessa"/>
          <w:sz w:val="24"/>
          <w:szCs w:val="24"/>
          <w:lang w:val="es-419"/>
        </w:rPr>
        <w:t xml:space="preserve">denunció al pleito a las señoras Martha Luz Marín Bedoya y Gloria Stella Marín Bedoya en su calidad de herederas de la causante María Adela Bedoya de Marín, </w:t>
      </w:r>
      <w:r w:rsidR="00D2424A" w:rsidRPr="002D5BFC">
        <w:rPr>
          <w:rFonts w:ascii="Gadugi" w:eastAsia="Malgun Gothic" w:hAnsi="Gadugi" w:cs="Estrangelo Edessa"/>
          <w:sz w:val="24"/>
          <w:szCs w:val="24"/>
          <w:lang w:val="es-419"/>
        </w:rPr>
        <w:t xml:space="preserve">para que salgan al saneamiento, en caso de que la acción reivindicatoria llegare a prosperar. </w:t>
      </w:r>
    </w:p>
    <w:p w:rsidR="001A6204" w:rsidRPr="002D5BFC" w:rsidRDefault="001A6204" w:rsidP="004211B9">
      <w:pPr>
        <w:spacing w:line="276" w:lineRule="auto"/>
        <w:ind w:firstLine="2835"/>
        <w:jc w:val="both"/>
        <w:rPr>
          <w:rFonts w:ascii="Gadugi" w:eastAsia="Malgun Gothic" w:hAnsi="Gadugi" w:cs="Estrangelo Edessa"/>
          <w:sz w:val="24"/>
          <w:szCs w:val="24"/>
          <w:lang w:val="es-419"/>
        </w:rPr>
      </w:pPr>
    </w:p>
    <w:p w:rsidR="00B36187" w:rsidRPr="002D5BFC" w:rsidRDefault="00D2424A"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 xml:space="preserve">Estas, </w:t>
      </w:r>
      <w:r w:rsidR="00E168AD" w:rsidRPr="002D5BFC">
        <w:rPr>
          <w:rFonts w:ascii="Gadugi" w:eastAsia="Malgun Gothic" w:hAnsi="Gadugi" w:cs="Estrangelo Edessa"/>
          <w:sz w:val="24"/>
          <w:szCs w:val="24"/>
          <w:lang w:val="es-419"/>
        </w:rPr>
        <w:t xml:space="preserve">se opusieron </w:t>
      </w:r>
      <w:r w:rsidR="002140B9" w:rsidRPr="002D5BFC">
        <w:rPr>
          <w:rFonts w:ascii="Gadugi" w:eastAsia="Malgun Gothic" w:hAnsi="Gadugi" w:cs="Estrangelo Edessa"/>
          <w:sz w:val="24"/>
          <w:szCs w:val="24"/>
          <w:lang w:val="es-419"/>
        </w:rPr>
        <w:t>a las pretensiones</w:t>
      </w:r>
      <w:r w:rsidR="009D41B3" w:rsidRPr="002D5BFC">
        <w:rPr>
          <w:rFonts w:ascii="Gadugi" w:eastAsia="Malgun Gothic" w:hAnsi="Gadugi" w:cs="Estrangelo Edessa"/>
          <w:sz w:val="24"/>
          <w:szCs w:val="24"/>
          <w:lang w:val="es-419"/>
        </w:rPr>
        <w:t>; adujeron</w:t>
      </w:r>
      <w:r w:rsidR="0095555C" w:rsidRPr="002D5BFC">
        <w:rPr>
          <w:rFonts w:ascii="Gadugi" w:eastAsia="Malgun Gothic" w:hAnsi="Gadugi" w:cs="Estrangelo Edessa"/>
          <w:sz w:val="24"/>
          <w:szCs w:val="24"/>
          <w:lang w:val="es-419"/>
        </w:rPr>
        <w:t xml:space="preserve"> </w:t>
      </w:r>
      <w:r w:rsidR="002140B9" w:rsidRPr="002D5BFC">
        <w:rPr>
          <w:rFonts w:ascii="Gadugi" w:eastAsia="Malgun Gothic" w:hAnsi="Gadugi" w:cs="Estrangelo Edessa"/>
          <w:sz w:val="24"/>
          <w:szCs w:val="24"/>
          <w:lang w:val="es-419"/>
        </w:rPr>
        <w:t xml:space="preserve">que </w:t>
      </w:r>
      <w:r w:rsidR="009D41B3" w:rsidRPr="002D5BFC">
        <w:rPr>
          <w:rFonts w:ascii="Gadugi" w:eastAsia="Malgun Gothic" w:hAnsi="Gadugi" w:cs="Estrangelo Edessa"/>
          <w:sz w:val="24"/>
          <w:szCs w:val="24"/>
          <w:lang w:val="es-419"/>
        </w:rPr>
        <w:t xml:space="preserve">ningún compromiso </w:t>
      </w:r>
      <w:r w:rsidR="000B5651" w:rsidRPr="002D5BFC">
        <w:rPr>
          <w:rFonts w:ascii="Gadugi" w:eastAsia="Malgun Gothic" w:hAnsi="Gadugi" w:cs="Estrangelo Edessa"/>
          <w:sz w:val="24"/>
          <w:szCs w:val="24"/>
          <w:lang w:val="es-419"/>
        </w:rPr>
        <w:t>adquiri</w:t>
      </w:r>
      <w:r w:rsidR="009D41B3" w:rsidRPr="002D5BFC">
        <w:rPr>
          <w:rFonts w:ascii="Gadugi" w:eastAsia="Malgun Gothic" w:hAnsi="Gadugi" w:cs="Estrangelo Edessa"/>
          <w:sz w:val="24"/>
          <w:szCs w:val="24"/>
          <w:lang w:val="es-419"/>
        </w:rPr>
        <w:t>eron con la de</w:t>
      </w:r>
      <w:r w:rsidRPr="002D5BFC">
        <w:rPr>
          <w:rFonts w:ascii="Gadugi" w:eastAsia="Malgun Gothic" w:hAnsi="Gadugi" w:cs="Estrangelo Edessa"/>
          <w:sz w:val="24"/>
          <w:szCs w:val="24"/>
          <w:lang w:val="es-419"/>
        </w:rPr>
        <w:t>nunciante</w:t>
      </w:r>
      <w:r w:rsidR="009D41B3" w:rsidRPr="002D5BFC">
        <w:rPr>
          <w:rFonts w:ascii="Gadugi" w:eastAsia="Malgun Gothic" w:hAnsi="Gadugi" w:cs="Estrangelo Edessa"/>
          <w:sz w:val="24"/>
          <w:szCs w:val="24"/>
          <w:lang w:val="es-419"/>
        </w:rPr>
        <w:t xml:space="preserve">, </w:t>
      </w:r>
      <w:r w:rsidR="000B5651" w:rsidRPr="002D5BFC">
        <w:rPr>
          <w:rFonts w:ascii="Gadugi" w:eastAsia="Malgun Gothic" w:hAnsi="Gadugi" w:cs="Estrangelo Edessa"/>
          <w:sz w:val="24"/>
          <w:szCs w:val="24"/>
          <w:lang w:val="es-419"/>
        </w:rPr>
        <w:t>tal como consta en la escritura pública que contiene la compraventa celebrada entre las señoras María Adela Bedoya de Marín como vendedora y Edelmira Sáenz de García</w:t>
      </w:r>
      <w:r w:rsidR="007447D1" w:rsidRPr="002D5BFC">
        <w:rPr>
          <w:rFonts w:ascii="Gadugi" w:eastAsia="Malgun Gothic" w:hAnsi="Gadugi" w:cs="Estrangelo Edessa"/>
          <w:sz w:val="24"/>
          <w:szCs w:val="24"/>
          <w:lang w:val="es-419"/>
        </w:rPr>
        <w:t xml:space="preserve"> como compradora, por lo que no se encuentra</w:t>
      </w:r>
      <w:r w:rsidR="009D41B3" w:rsidRPr="002D5BFC">
        <w:rPr>
          <w:rFonts w:ascii="Gadugi" w:eastAsia="Malgun Gothic" w:hAnsi="Gadugi" w:cs="Estrangelo Edessa"/>
          <w:sz w:val="24"/>
          <w:szCs w:val="24"/>
          <w:lang w:val="es-419"/>
        </w:rPr>
        <w:t>n</w:t>
      </w:r>
      <w:r w:rsidR="007447D1" w:rsidRPr="002D5BFC">
        <w:rPr>
          <w:rFonts w:ascii="Gadugi" w:eastAsia="Malgun Gothic" w:hAnsi="Gadugi" w:cs="Estrangelo Edessa"/>
          <w:sz w:val="24"/>
          <w:szCs w:val="24"/>
          <w:lang w:val="es-419"/>
        </w:rPr>
        <w:t xml:space="preserve"> en el deber </w:t>
      </w:r>
      <w:r w:rsidR="00B36187" w:rsidRPr="002D5BFC">
        <w:rPr>
          <w:rFonts w:ascii="Gadugi" w:eastAsia="Malgun Gothic" w:hAnsi="Gadugi" w:cs="Estrangelo Edessa"/>
          <w:sz w:val="24"/>
          <w:szCs w:val="24"/>
          <w:lang w:val="es-419"/>
        </w:rPr>
        <w:t xml:space="preserve">de sanear el bien objeto de dicho negocio jurídico y menos </w:t>
      </w:r>
      <w:r w:rsidR="009D41B3" w:rsidRPr="002D5BFC">
        <w:rPr>
          <w:rFonts w:ascii="Gadugi" w:eastAsia="Malgun Gothic" w:hAnsi="Gadugi" w:cs="Estrangelo Edessa"/>
          <w:sz w:val="24"/>
          <w:szCs w:val="24"/>
          <w:lang w:val="es-419"/>
        </w:rPr>
        <w:t>de</w:t>
      </w:r>
      <w:r w:rsidR="00B36187" w:rsidRPr="002D5BFC">
        <w:rPr>
          <w:rFonts w:ascii="Gadugi" w:eastAsia="Malgun Gothic" w:hAnsi="Gadugi" w:cs="Estrangelo Edessa"/>
          <w:sz w:val="24"/>
          <w:szCs w:val="24"/>
          <w:lang w:val="es-419"/>
        </w:rPr>
        <w:t xml:space="preserve"> restituir el precio, </w:t>
      </w:r>
      <w:r w:rsidR="009D41B3" w:rsidRPr="002D5BFC">
        <w:rPr>
          <w:rFonts w:ascii="Gadugi" w:eastAsia="Malgun Gothic" w:hAnsi="Gadugi" w:cs="Estrangelo Edessa"/>
          <w:sz w:val="24"/>
          <w:szCs w:val="24"/>
          <w:lang w:val="es-419"/>
        </w:rPr>
        <w:t xml:space="preserve">ya que fueron ajenas a </w:t>
      </w:r>
      <w:r w:rsidR="00B36187" w:rsidRPr="002D5BFC">
        <w:rPr>
          <w:rFonts w:ascii="Gadugi" w:eastAsia="Malgun Gothic" w:hAnsi="Gadugi" w:cs="Estrangelo Edessa"/>
          <w:sz w:val="24"/>
          <w:szCs w:val="24"/>
          <w:lang w:val="es-419"/>
        </w:rPr>
        <w:t>la negociación</w:t>
      </w:r>
      <w:r w:rsidR="009D41B3" w:rsidRPr="002D5BFC">
        <w:rPr>
          <w:rFonts w:ascii="Gadugi" w:eastAsia="Malgun Gothic" w:hAnsi="Gadugi" w:cs="Estrangelo Edessa"/>
          <w:sz w:val="24"/>
          <w:szCs w:val="24"/>
          <w:lang w:val="es-419"/>
        </w:rPr>
        <w:t xml:space="preserve">. Y frente a la demanda inicial señalaron que carece de </w:t>
      </w:r>
      <w:r w:rsidR="00B36187" w:rsidRPr="002D5BFC">
        <w:rPr>
          <w:rFonts w:ascii="Gadugi" w:eastAsia="Malgun Gothic" w:hAnsi="Gadugi" w:cs="Estrangelo Edessa"/>
          <w:sz w:val="24"/>
          <w:szCs w:val="24"/>
          <w:lang w:val="es-419"/>
        </w:rPr>
        <w:t xml:space="preserve">sustento lo pedido, si se tiene en cuenta que la venta se celebró </w:t>
      </w:r>
      <w:r w:rsidR="00517286" w:rsidRPr="002D5BFC">
        <w:rPr>
          <w:rFonts w:ascii="Gadugi" w:eastAsia="Malgun Gothic" w:hAnsi="Gadugi" w:cs="Estrangelo Edessa"/>
          <w:sz w:val="24"/>
          <w:szCs w:val="24"/>
          <w:lang w:val="es-419"/>
        </w:rPr>
        <w:t>con</w:t>
      </w:r>
      <w:r w:rsidR="00B36187" w:rsidRPr="002D5BFC">
        <w:rPr>
          <w:rFonts w:ascii="Gadugi" w:eastAsia="Malgun Gothic" w:hAnsi="Gadugi" w:cs="Estrangelo Edessa"/>
          <w:sz w:val="24"/>
          <w:szCs w:val="24"/>
          <w:lang w:val="es-419"/>
        </w:rPr>
        <w:t xml:space="preserve"> </w:t>
      </w:r>
      <w:r w:rsidR="00517286" w:rsidRPr="002D5BFC">
        <w:rPr>
          <w:rFonts w:ascii="Gadugi" w:eastAsia="Malgun Gothic" w:hAnsi="Gadugi" w:cs="Estrangelo Edessa"/>
          <w:sz w:val="24"/>
          <w:szCs w:val="24"/>
          <w:lang w:val="es-419"/>
        </w:rPr>
        <w:t xml:space="preserve">todos </w:t>
      </w:r>
      <w:r w:rsidR="00B36187" w:rsidRPr="002D5BFC">
        <w:rPr>
          <w:rFonts w:ascii="Gadugi" w:eastAsia="Malgun Gothic" w:hAnsi="Gadugi" w:cs="Estrangelo Edessa"/>
          <w:sz w:val="24"/>
          <w:szCs w:val="24"/>
          <w:lang w:val="es-419"/>
        </w:rPr>
        <w:t xml:space="preserve">los </w:t>
      </w:r>
      <w:r w:rsidR="00517286" w:rsidRPr="002D5BFC">
        <w:rPr>
          <w:rFonts w:ascii="Gadugi" w:eastAsia="Malgun Gothic" w:hAnsi="Gadugi" w:cs="Estrangelo Edessa"/>
          <w:sz w:val="24"/>
          <w:szCs w:val="24"/>
          <w:lang w:val="es-419"/>
        </w:rPr>
        <w:t xml:space="preserve">requisitos </w:t>
      </w:r>
      <w:r w:rsidR="009D41B3" w:rsidRPr="002D5BFC">
        <w:rPr>
          <w:rFonts w:ascii="Gadugi" w:eastAsia="Malgun Gothic" w:hAnsi="Gadugi" w:cs="Estrangelo Edessa"/>
          <w:sz w:val="24"/>
          <w:szCs w:val="24"/>
          <w:lang w:val="es-419"/>
        </w:rPr>
        <w:t xml:space="preserve">legales, </w:t>
      </w:r>
      <w:r w:rsidR="00B36187" w:rsidRPr="002D5BFC">
        <w:rPr>
          <w:rFonts w:ascii="Gadugi" w:eastAsia="Malgun Gothic" w:hAnsi="Gadugi" w:cs="Estrangelo Edessa"/>
          <w:sz w:val="24"/>
          <w:szCs w:val="24"/>
          <w:lang w:val="es-419"/>
        </w:rPr>
        <w:t xml:space="preserve">que previo a dicho negocio jurídico la señora María Adela Bedoya adquirió el inmueble en la sucesión de su padre </w:t>
      </w:r>
      <w:r w:rsidR="00BD3971" w:rsidRPr="002D5BFC">
        <w:rPr>
          <w:rFonts w:ascii="Gadugi" w:eastAsia="Malgun Gothic" w:hAnsi="Gadugi" w:cs="Estrangelo Edessa"/>
          <w:sz w:val="24"/>
          <w:szCs w:val="24"/>
          <w:lang w:val="es-419"/>
        </w:rPr>
        <w:t xml:space="preserve">Antonio María Bedoya Mejía en calidad de única heredera, </w:t>
      </w:r>
      <w:r w:rsidR="009D41B3" w:rsidRPr="002D5BFC">
        <w:rPr>
          <w:rFonts w:ascii="Gadugi" w:eastAsia="Malgun Gothic" w:hAnsi="Gadugi" w:cs="Estrangelo Edessa"/>
          <w:sz w:val="24"/>
          <w:szCs w:val="24"/>
          <w:lang w:val="es-419"/>
        </w:rPr>
        <w:t xml:space="preserve">así que </w:t>
      </w:r>
      <w:r w:rsidR="00BD3971" w:rsidRPr="002D5BFC">
        <w:rPr>
          <w:rFonts w:ascii="Gadugi" w:eastAsia="Malgun Gothic" w:hAnsi="Gadugi" w:cs="Estrangelo Edessa"/>
          <w:sz w:val="24"/>
          <w:szCs w:val="24"/>
          <w:lang w:val="es-419"/>
        </w:rPr>
        <w:t>tenía ple</w:t>
      </w:r>
      <w:r w:rsidR="00DB1887" w:rsidRPr="002D5BFC">
        <w:rPr>
          <w:rFonts w:ascii="Gadugi" w:eastAsia="Malgun Gothic" w:hAnsi="Gadugi" w:cs="Estrangelo Edessa"/>
          <w:sz w:val="24"/>
          <w:szCs w:val="24"/>
          <w:lang w:val="es-419"/>
        </w:rPr>
        <w:t xml:space="preserve">no dominio, uso y goce del bien, en tanto que quien les denuncia el pleito fue </w:t>
      </w:r>
      <w:r w:rsidR="00BD3971" w:rsidRPr="002D5BFC">
        <w:rPr>
          <w:rFonts w:ascii="Gadugi" w:eastAsia="Malgun Gothic" w:hAnsi="Gadugi" w:cs="Estrangelo Edessa"/>
          <w:sz w:val="24"/>
          <w:szCs w:val="24"/>
          <w:lang w:val="es-419"/>
        </w:rPr>
        <w:t>compradora de buena fe.</w:t>
      </w:r>
    </w:p>
    <w:p w:rsidR="00B36187" w:rsidRPr="002D5BFC" w:rsidRDefault="00B36187" w:rsidP="004211B9">
      <w:pPr>
        <w:spacing w:line="276" w:lineRule="auto"/>
        <w:ind w:firstLine="2835"/>
        <w:jc w:val="both"/>
        <w:rPr>
          <w:rFonts w:ascii="Gadugi" w:eastAsia="Malgun Gothic" w:hAnsi="Gadugi" w:cs="Estrangelo Edessa"/>
          <w:sz w:val="24"/>
          <w:szCs w:val="24"/>
          <w:lang w:val="es-419"/>
        </w:rPr>
      </w:pPr>
    </w:p>
    <w:p w:rsidR="007A7DA4" w:rsidRPr="002D5BFC" w:rsidRDefault="007A7DA4"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Convocadas las partes a la audiencia de que trata el artículo 101</w:t>
      </w:r>
      <w:r w:rsidR="001072DC" w:rsidRPr="002D5BFC">
        <w:rPr>
          <w:rFonts w:ascii="Gadugi" w:eastAsia="Malgun Gothic" w:hAnsi="Gadugi" w:cs="Estrangelo Edessa"/>
          <w:sz w:val="24"/>
          <w:szCs w:val="24"/>
          <w:lang w:val="es-419"/>
        </w:rPr>
        <w:t xml:space="preserve"> del Código de Procedimiento Civil</w:t>
      </w:r>
      <w:r w:rsidRPr="002D5BFC">
        <w:rPr>
          <w:rFonts w:ascii="Gadugi" w:eastAsia="Malgun Gothic" w:hAnsi="Gadugi" w:cs="Estrangelo Edessa"/>
          <w:sz w:val="24"/>
          <w:szCs w:val="24"/>
          <w:lang w:val="es-419"/>
        </w:rPr>
        <w:t xml:space="preserve">, se llevó a cabo incluso hasta decretar las pruebas, lo que ocurrió con la </w:t>
      </w:r>
      <w:r w:rsidR="0095555C" w:rsidRPr="002D5BFC">
        <w:rPr>
          <w:rFonts w:ascii="Gadugi" w:eastAsia="Malgun Gothic" w:hAnsi="Gadugi" w:cs="Estrangelo Edessa"/>
          <w:sz w:val="24"/>
          <w:szCs w:val="24"/>
          <w:lang w:val="es-419"/>
        </w:rPr>
        <w:t xml:space="preserve">aquiescencia </w:t>
      </w:r>
      <w:r w:rsidRPr="002D5BFC">
        <w:rPr>
          <w:rFonts w:ascii="Gadugi" w:eastAsia="Malgun Gothic" w:hAnsi="Gadugi" w:cs="Estrangelo Edessa"/>
          <w:sz w:val="24"/>
          <w:szCs w:val="24"/>
          <w:lang w:val="es-419"/>
        </w:rPr>
        <w:t>de las partes que se hallaban presentes. Una vez practicadas, se</w:t>
      </w:r>
      <w:r w:rsidR="001072DC" w:rsidRPr="002D5BFC">
        <w:rPr>
          <w:rFonts w:ascii="Gadugi" w:eastAsia="Malgun Gothic" w:hAnsi="Gadugi" w:cs="Estrangelo Edessa"/>
          <w:sz w:val="24"/>
          <w:szCs w:val="24"/>
          <w:lang w:val="es-419"/>
        </w:rPr>
        <w:t xml:space="preserve"> corrió traslado para alegar y todos </w:t>
      </w:r>
      <w:r w:rsidRPr="002D5BFC">
        <w:rPr>
          <w:rFonts w:ascii="Gadugi" w:eastAsia="Malgun Gothic" w:hAnsi="Gadugi" w:cs="Estrangelo Edessa"/>
          <w:sz w:val="24"/>
          <w:szCs w:val="24"/>
          <w:lang w:val="es-419"/>
        </w:rPr>
        <w:t xml:space="preserve">litigantes lo </w:t>
      </w:r>
      <w:r w:rsidRPr="002D5BFC">
        <w:rPr>
          <w:rFonts w:ascii="Gadugi" w:eastAsia="Malgun Gothic" w:hAnsi="Gadugi" w:cs="Estrangelo Edessa"/>
          <w:sz w:val="24"/>
          <w:szCs w:val="24"/>
          <w:lang w:val="es-419"/>
        </w:rPr>
        <w:lastRenderedPageBreak/>
        <w:t>hicieron. La demandante</w:t>
      </w:r>
      <w:r w:rsidR="001072DC" w:rsidRPr="002D5BFC">
        <w:rPr>
          <w:rFonts w:ascii="Gadugi" w:eastAsia="Malgun Gothic" w:hAnsi="Gadugi" w:cs="Estrangelo Edessa"/>
          <w:sz w:val="24"/>
          <w:szCs w:val="24"/>
          <w:lang w:val="es-419"/>
        </w:rPr>
        <w:t xml:space="preserve"> </w:t>
      </w:r>
      <w:r w:rsidRPr="002D5BFC">
        <w:rPr>
          <w:rFonts w:ascii="Gadugi" w:eastAsia="Malgun Gothic" w:hAnsi="Gadugi" w:cs="Estrangelo Edessa"/>
          <w:sz w:val="24"/>
          <w:szCs w:val="24"/>
          <w:lang w:val="es-419"/>
        </w:rPr>
        <w:t>se</w:t>
      </w:r>
      <w:r w:rsidR="001072DC" w:rsidRPr="002D5BFC">
        <w:rPr>
          <w:rFonts w:ascii="Gadugi" w:eastAsia="Malgun Gothic" w:hAnsi="Gadugi" w:cs="Estrangelo Edessa"/>
          <w:sz w:val="24"/>
          <w:szCs w:val="24"/>
          <w:lang w:val="es-419"/>
        </w:rPr>
        <w:t xml:space="preserve"> ratificó en sus pretensiones, y lo mismo hicieron los demandados, quienes corroboran todo lo dicho en las respectivas contestaciones.</w:t>
      </w:r>
    </w:p>
    <w:p w:rsidR="007A7DA4" w:rsidRPr="002D5BFC" w:rsidRDefault="007A7DA4" w:rsidP="004211B9">
      <w:pPr>
        <w:spacing w:line="276" w:lineRule="auto"/>
        <w:ind w:firstLine="2835"/>
        <w:jc w:val="both"/>
        <w:rPr>
          <w:rFonts w:ascii="Gadugi" w:eastAsia="Malgun Gothic" w:hAnsi="Gadugi" w:cs="Estrangelo Edessa"/>
          <w:sz w:val="24"/>
          <w:szCs w:val="24"/>
          <w:lang w:val="es-419"/>
        </w:rPr>
      </w:pPr>
    </w:p>
    <w:p w:rsidR="00DD725E" w:rsidRPr="002D5BFC" w:rsidRDefault="007A7DA4" w:rsidP="004211B9">
      <w:pPr>
        <w:spacing w:line="276" w:lineRule="auto"/>
        <w:ind w:firstLine="2835"/>
        <w:jc w:val="both"/>
        <w:rPr>
          <w:rFonts w:ascii="Gadugi" w:eastAsia="Malgun Gothic" w:hAnsi="Gadugi" w:cs="Estrangelo Edessa"/>
          <w:i/>
          <w:sz w:val="24"/>
          <w:szCs w:val="24"/>
          <w:lang w:val="es-419"/>
        </w:rPr>
      </w:pPr>
      <w:r w:rsidRPr="002D5BFC">
        <w:rPr>
          <w:rFonts w:ascii="Gadugi" w:eastAsia="Malgun Gothic" w:hAnsi="Gadugi" w:cs="Estrangelo Edessa"/>
          <w:sz w:val="24"/>
          <w:szCs w:val="24"/>
          <w:lang w:val="es-419"/>
        </w:rPr>
        <w:t>El fal</w:t>
      </w:r>
      <w:r w:rsidR="004314B0" w:rsidRPr="002D5BFC">
        <w:rPr>
          <w:rFonts w:ascii="Gadugi" w:eastAsia="Malgun Gothic" w:hAnsi="Gadugi" w:cs="Estrangelo Edessa"/>
          <w:sz w:val="24"/>
          <w:szCs w:val="24"/>
          <w:lang w:val="es-419"/>
        </w:rPr>
        <w:t xml:space="preserve">lo </w:t>
      </w:r>
      <w:r w:rsidR="0095555C" w:rsidRPr="002D5BFC">
        <w:rPr>
          <w:rFonts w:ascii="Gadugi" w:eastAsia="Malgun Gothic" w:hAnsi="Gadugi" w:cs="Estrangelo Edessa"/>
          <w:sz w:val="24"/>
          <w:szCs w:val="24"/>
          <w:lang w:val="es-419"/>
        </w:rPr>
        <w:t xml:space="preserve">de primera instancia, </w:t>
      </w:r>
      <w:bookmarkStart w:id="1" w:name="_Hlk496566737"/>
      <w:r w:rsidR="0095555C" w:rsidRPr="002D5BFC">
        <w:rPr>
          <w:rFonts w:ascii="Gadugi" w:eastAsia="Malgun Gothic" w:hAnsi="Gadugi" w:cs="Estrangelo Edessa"/>
          <w:sz w:val="24"/>
          <w:szCs w:val="24"/>
          <w:lang w:val="es-419"/>
        </w:rPr>
        <w:t>proferido el 26 de noviembre de 2015</w:t>
      </w:r>
      <w:bookmarkEnd w:id="1"/>
      <w:r w:rsidR="0095555C" w:rsidRPr="002D5BFC">
        <w:rPr>
          <w:rFonts w:ascii="Gadugi" w:eastAsia="Malgun Gothic" w:hAnsi="Gadugi" w:cs="Estrangelo Edessa"/>
          <w:sz w:val="24"/>
          <w:szCs w:val="24"/>
          <w:lang w:val="es-419"/>
        </w:rPr>
        <w:t xml:space="preserve">, </w:t>
      </w:r>
      <w:r w:rsidR="004314B0" w:rsidRPr="002D5BFC">
        <w:rPr>
          <w:rFonts w:ascii="Gadugi" w:eastAsia="Malgun Gothic" w:hAnsi="Gadugi" w:cs="Estrangelo Edessa"/>
          <w:sz w:val="24"/>
          <w:szCs w:val="24"/>
          <w:lang w:val="es-419"/>
        </w:rPr>
        <w:t>negó las pretensiones al</w:t>
      </w:r>
      <w:r w:rsidRPr="002D5BFC">
        <w:rPr>
          <w:rFonts w:ascii="Gadugi" w:eastAsia="Malgun Gothic" w:hAnsi="Gadugi" w:cs="Estrangelo Edessa"/>
          <w:sz w:val="24"/>
          <w:szCs w:val="24"/>
          <w:lang w:val="es-419"/>
        </w:rPr>
        <w:t xml:space="preserve"> </w:t>
      </w:r>
      <w:r w:rsidR="004314B0" w:rsidRPr="002D5BFC">
        <w:rPr>
          <w:rFonts w:ascii="Gadugi" w:eastAsia="Malgun Gothic" w:hAnsi="Gadugi" w:cs="Estrangelo Edessa"/>
          <w:i/>
          <w:sz w:val="24"/>
          <w:szCs w:val="24"/>
          <w:lang w:val="es-419"/>
        </w:rPr>
        <w:t>“no haberse demo</w:t>
      </w:r>
      <w:r w:rsidR="00DD725E" w:rsidRPr="002D5BFC">
        <w:rPr>
          <w:rFonts w:ascii="Gadugi" w:eastAsia="Malgun Gothic" w:hAnsi="Gadugi" w:cs="Estrangelo Edessa"/>
          <w:i/>
          <w:sz w:val="24"/>
          <w:szCs w:val="24"/>
          <w:lang w:val="es-419"/>
        </w:rPr>
        <w:t xml:space="preserve">strado la mala fe en el actuar </w:t>
      </w:r>
      <w:r w:rsidR="004314B0" w:rsidRPr="002D5BFC">
        <w:rPr>
          <w:rFonts w:ascii="Gadugi" w:eastAsia="Malgun Gothic" w:hAnsi="Gadugi" w:cs="Estrangelo Edessa"/>
          <w:i/>
          <w:sz w:val="24"/>
          <w:szCs w:val="24"/>
          <w:lang w:val="es-419"/>
        </w:rPr>
        <w:t>de los codemandados</w:t>
      </w:r>
      <w:r w:rsidR="00D2424A" w:rsidRPr="002D5BFC">
        <w:rPr>
          <w:rFonts w:ascii="Gadugi" w:eastAsia="Malgun Gothic" w:hAnsi="Gadugi" w:cs="Estrangelo Edessa"/>
          <w:i/>
          <w:sz w:val="24"/>
          <w:szCs w:val="24"/>
          <w:lang w:val="es-419"/>
        </w:rPr>
        <w:t xml:space="preserve">”. </w:t>
      </w:r>
    </w:p>
    <w:p w:rsidR="007A7DA4" w:rsidRPr="002D5BFC" w:rsidRDefault="007A7DA4" w:rsidP="004211B9">
      <w:pPr>
        <w:spacing w:line="276" w:lineRule="auto"/>
        <w:ind w:firstLine="2835"/>
        <w:jc w:val="both"/>
        <w:rPr>
          <w:rFonts w:ascii="Gadugi" w:eastAsia="Malgun Gothic" w:hAnsi="Gadugi" w:cs="Estrangelo Edessa"/>
          <w:sz w:val="24"/>
          <w:szCs w:val="24"/>
          <w:lang w:val="es-419"/>
        </w:rPr>
      </w:pPr>
    </w:p>
    <w:p w:rsidR="00327ABC" w:rsidRPr="002D5BFC" w:rsidRDefault="007A7DA4"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 xml:space="preserve">Apeló la </w:t>
      </w:r>
      <w:r w:rsidR="00293E21" w:rsidRPr="002D5BFC">
        <w:rPr>
          <w:rFonts w:ascii="Gadugi" w:eastAsia="Malgun Gothic" w:hAnsi="Gadugi" w:cs="Estrangelo Edessa"/>
          <w:sz w:val="24"/>
          <w:szCs w:val="24"/>
          <w:lang w:val="es-419"/>
        </w:rPr>
        <w:t xml:space="preserve">demandante </w:t>
      </w:r>
      <w:r w:rsidRPr="002D5BFC">
        <w:rPr>
          <w:rFonts w:ascii="Gadugi" w:eastAsia="Malgun Gothic" w:hAnsi="Gadugi" w:cs="Estrangelo Edessa"/>
          <w:sz w:val="24"/>
          <w:szCs w:val="24"/>
          <w:lang w:val="es-419"/>
        </w:rPr>
        <w:t xml:space="preserve">y sustentó en esta sede con apoyo en </w:t>
      </w:r>
      <w:r w:rsidR="00D2424A" w:rsidRPr="002D5BFC">
        <w:rPr>
          <w:rFonts w:ascii="Gadugi" w:eastAsia="Malgun Gothic" w:hAnsi="Gadugi" w:cs="Estrangelo Edessa"/>
          <w:sz w:val="24"/>
          <w:szCs w:val="24"/>
          <w:lang w:val="es-419"/>
        </w:rPr>
        <w:t xml:space="preserve">estos </w:t>
      </w:r>
      <w:r w:rsidR="0040550C" w:rsidRPr="002D5BFC">
        <w:rPr>
          <w:rFonts w:ascii="Gadugi" w:eastAsia="Malgun Gothic" w:hAnsi="Gadugi" w:cs="Estrangelo Edessa"/>
          <w:sz w:val="24"/>
          <w:szCs w:val="24"/>
          <w:lang w:val="es-419"/>
        </w:rPr>
        <w:t>argumentos</w:t>
      </w:r>
      <w:r w:rsidR="00D2424A" w:rsidRPr="002D5BFC">
        <w:rPr>
          <w:rFonts w:ascii="Gadugi" w:eastAsia="Malgun Gothic" w:hAnsi="Gadugi" w:cs="Estrangelo Edessa"/>
          <w:sz w:val="24"/>
          <w:szCs w:val="24"/>
          <w:lang w:val="es-419"/>
        </w:rPr>
        <w:t>: (i)</w:t>
      </w:r>
      <w:r w:rsidR="00517286" w:rsidRPr="002D5BFC">
        <w:rPr>
          <w:rFonts w:ascii="Gadugi" w:eastAsia="Malgun Gothic" w:hAnsi="Gadugi" w:cs="Estrangelo Edessa"/>
          <w:sz w:val="24"/>
          <w:szCs w:val="24"/>
          <w:lang w:val="es-419"/>
        </w:rPr>
        <w:t xml:space="preserve"> contrario a lo que dedujo el a</w:t>
      </w:r>
      <w:r w:rsidR="00907B11" w:rsidRPr="002D5BFC">
        <w:rPr>
          <w:rFonts w:ascii="Gadugi" w:eastAsia="Malgun Gothic" w:hAnsi="Gadugi" w:cs="Estrangelo Edessa"/>
          <w:sz w:val="24"/>
          <w:szCs w:val="24"/>
          <w:lang w:val="es-419"/>
        </w:rPr>
        <w:t xml:space="preserve"> quo</w:t>
      </w:r>
      <w:r w:rsidR="0040550C" w:rsidRPr="002D5BFC">
        <w:rPr>
          <w:rFonts w:ascii="Gadugi" w:eastAsia="Malgun Gothic" w:hAnsi="Gadugi" w:cs="Estrangelo Edessa"/>
          <w:sz w:val="24"/>
          <w:szCs w:val="24"/>
          <w:lang w:val="es-419"/>
        </w:rPr>
        <w:t xml:space="preserve">, quedó demostrada la </w:t>
      </w:r>
      <w:r w:rsidR="004D1533" w:rsidRPr="002D5BFC">
        <w:rPr>
          <w:rFonts w:ascii="Gadugi" w:eastAsia="Malgun Gothic" w:hAnsi="Gadugi" w:cs="Estrangelo Edessa"/>
          <w:sz w:val="24"/>
          <w:szCs w:val="24"/>
          <w:lang w:val="es-419"/>
        </w:rPr>
        <w:t xml:space="preserve">mala fe </w:t>
      </w:r>
      <w:r w:rsidR="0040550C" w:rsidRPr="002D5BFC">
        <w:rPr>
          <w:rFonts w:ascii="Gadugi" w:eastAsia="Malgun Gothic" w:hAnsi="Gadugi" w:cs="Estrangelo Edessa"/>
          <w:sz w:val="24"/>
          <w:szCs w:val="24"/>
          <w:lang w:val="es-419"/>
        </w:rPr>
        <w:t xml:space="preserve">de los demandados, al punto que la buena fe </w:t>
      </w:r>
      <w:r w:rsidR="004D1533" w:rsidRPr="002D5BFC">
        <w:rPr>
          <w:rFonts w:ascii="Gadugi" w:eastAsia="Malgun Gothic" w:hAnsi="Gadugi" w:cs="Estrangelo Edessa"/>
          <w:sz w:val="24"/>
          <w:szCs w:val="24"/>
          <w:lang w:val="es-419"/>
        </w:rPr>
        <w:t xml:space="preserve">exenta de culpa y error común </w:t>
      </w:r>
      <w:r w:rsidR="0040550C" w:rsidRPr="002D5BFC">
        <w:rPr>
          <w:rFonts w:ascii="Gadugi" w:eastAsia="Malgun Gothic" w:hAnsi="Gadugi" w:cs="Estrangelo Edessa"/>
          <w:sz w:val="24"/>
          <w:szCs w:val="24"/>
          <w:lang w:val="es-419"/>
        </w:rPr>
        <w:t>aducid</w:t>
      </w:r>
      <w:r w:rsidR="00517286" w:rsidRPr="002D5BFC">
        <w:rPr>
          <w:rFonts w:ascii="Gadugi" w:eastAsia="Malgun Gothic" w:hAnsi="Gadugi" w:cs="Estrangelo Edessa"/>
          <w:sz w:val="24"/>
          <w:szCs w:val="24"/>
          <w:lang w:val="es-419"/>
        </w:rPr>
        <w:t>os</w:t>
      </w:r>
      <w:r w:rsidR="0040550C" w:rsidRPr="002D5BFC">
        <w:rPr>
          <w:rFonts w:ascii="Gadugi" w:eastAsia="Malgun Gothic" w:hAnsi="Gadugi" w:cs="Estrangelo Edessa"/>
          <w:sz w:val="24"/>
          <w:szCs w:val="24"/>
          <w:lang w:val="es-419"/>
        </w:rPr>
        <w:t xml:space="preserve"> en las defensas no es aplicable a los negocios celebrados con </w:t>
      </w:r>
      <w:r w:rsidR="004D1533" w:rsidRPr="002D5BFC">
        <w:rPr>
          <w:rFonts w:ascii="Gadugi" w:eastAsia="Malgun Gothic" w:hAnsi="Gadugi" w:cs="Estrangelo Edessa"/>
          <w:sz w:val="24"/>
          <w:szCs w:val="24"/>
          <w:lang w:val="es-419"/>
        </w:rPr>
        <w:t>Martha Luz Marín Bedoya, Miguel Antonio Velásquez Mesa y Gloria Stella Marí</w:t>
      </w:r>
      <w:r w:rsidR="0026101A" w:rsidRPr="002D5BFC">
        <w:rPr>
          <w:rFonts w:ascii="Gadugi" w:eastAsia="Malgun Gothic" w:hAnsi="Gadugi" w:cs="Estrangelo Edessa"/>
          <w:sz w:val="24"/>
          <w:szCs w:val="24"/>
          <w:lang w:val="es-419"/>
        </w:rPr>
        <w:t>n Bedoya</w:t>
      </w:r>
      <w:r w:rsidR="0040550C" w:rsidRPr="002D5BFC">
        <w:rPr>
          <w:rFonts w:ascii="Gadugi" w:eastAsia="Malgun Gothic" w:hAnsi="Gadugi" w:cs="Estrangelo Edessa"/>
          <w:sz w:val="24"/>
          <w:szCs w:val="24"/>
          <w:lang w:val="es-419"/>
        </w:rPr>
        <w:t>. Como fundamento de tal afirmación cita a</w:t>
      </w:r>
      <w:r w:rsidR="006D0B07" w:rsidRPr="002D5BFC">
        <w:rPr>
          <w:rFonts w:ascii="Gadugi" w:eastAsia="Malgun Gothic" w:hAnsi="Gadugi" w:cs="Estrangelo Edessa"/>
          <w:sz w:val="24"/>
          <w:szCs w:val="24"/>
          <w:lang w:val="es-419"/>
        </w:rPr>
        <w:t>partes de l</w:t>
      </w:r>
      <w:r w:rsidR="00F41F63" w:rsidRPr="002D5BFC">
        <w:rPr>
          <w:rFonts w:ascii="Gadugi" w:eastAsia="Malgun Gothic" w:hAnsi="Gadugi" w:cs="Estrangelo Edessa"/>
          <w:sz w:val="24"/>
          <w:szCs w:val="24"/>
          <w:lang w:val="es-419"/>
        </w:rPr>
        <w:t>os dichos contenidos en la</w:t>
      </w:r>
      <w:r w:rsidR="006D0B07" w:rsidRPr="002D5BFC">
        <w:rPr>
          <w:rFonts w:ascii="Gadugi" w:eastAsia="Malgun Gothic" w:hAnsi="Gadugi" w:cs="Estrangelo Edessa"/>
          <w:sz w:val="24"/>
          <w:szCs w:val="24"/>
          <w:lang w:val="es-419"/>
        </w:rPr>
        <w:t xml:space="preserve"> prueba trasladada</w:t>
      </w:r>
      <w:r w:rsidR="00FA03ED" w:rsidRPr="002D5BFC">
        <w:rPr>
          <w:rFonts w:ascii="Gadugi" w:eastAsia="Malgun Gothic" w:hAnsi="Gadugi" w:cs="Estrangelo Edessa"/>
          <w:sz w:val="24"/>
          <w:szCs w:val="24"/>
          <w:lang w:val="es-419"/>
        </w:rPr>
        <w:t xml:space="preserve"> </w:t>
      </w:r>
      <w:r w:rsidR="0040550C" w:rsidRPr="002D5BFC">
        <w:rPr>
          <w:rFonts w:ascii="Gadugi" w:eastAsia="Malgun Gothic" w:hAnsi="Gadugi" w:cs="Estrangelo Edessa"/>
          <w:sz w:val="24"/>
          <w:szCs w:val="24"/>
          <w:lang w:val="es-419"/>
        </w:rPr>
        <w:t xml:space="preserve">consistente en las declaraciones </w:t>
      </w:r>
      <w:r w:rsidR="006D0B07" w:rsidRPr="002D5BFC">
        <w:rPr>
          <w:rFonts w:ascii="Gadugi" w:eastAsia="Malgun Gothic" w:hAnsi="Gadugi" w:cs="Estrangelo Edessa"/>
          <w:sz w:val="24"/>
          <w:szCs w:val="24"/>
          <w:lang w:val="es-419"/>
        </w:rPr>
        <w:t xml:space="preserve">de Miguel Antonio Velásquez Mesa y Gloria Stella Marín Bedoya, </w:t>
      </w:r>
      <w:r w:rsidR="0040550C" w:rsidRPr="002D5BFC">
        <w:rPr>
          <w:rFonts w:ascii="Gadugi" w:eastAsia="Malgun Gothic" w:hAnsi="Gadugi" w:cs="Estrangelo Edessa"/>
          <w:sz w:val="24"/>
          <w:szCs w:val="24"/>
          <w:lang w:val="es-419"/>
        </w:rPr>
        <w:t xml:space="preserve">tomada </w:t>
      </w:r>
      <w:r w:rsidR="006D0B07" w:rsidRPr="002D5BFC">
        <w:rPr>
          <w:rFonts w:ascii="Gadugi" w:eastAsia="Malgun Gothic" w:hAnsi="Gadugi" w:cs="Estrangelo Edessa"/>
          <w:sz w:val="24"/>
          <w:szCs w:val="24"/>
          <w:lang w:val="es-419"/>
        </w:rPr>
        <w:t xml:space="preserve">del proceso de </w:t>
      </w:r>
      <w:r w:rsidR="00517286" w:rsidRPr="002D5BFC">
        <w:rPr>
          <w:rFonts w:ascii="Gadugi" w:eastAsia="Malgun Gothic" w:hAnsi="Gadugi" w:cs="Estrangelo Edessa"/>
          <w:sz w:val="24"/>
          <w:szCs w:val="24"/>
          <w:lang w:val="es-419"/>
        </w:rPr>
        <w:t>f</w:t>
      </w:r>
      <w:r w:rsidR="006D0B07" w:rsidRPr="002D5BFC">
        <w:rPr>
          <w:rFonts w:ascii="Gadugi" w:eastAsia="Malgun Gothic" w:hAnsi="Gadugi" w:cs="Estrangelo Edessa"/>
          <w:sz w:val="24"/>
          <w:szCs w:val="24"/>
          <w:lang w:val="es-419"/>
        </w:rPr>
        <w:t xml:space="preserve">iliación </w:t>
      </w:r>
      <w:r w:rsidR="00517286" w:rsidRPr="002D5BFC">
        <w:rPr>
          <w:rFonts w:ascii="Gadugi" w:eastAsia="Malgun Gothic" w:hAnsi="Gadugi" w:cs="Estrangelo Edessa"/>
          <w:sz w:val="24"/>
          <w:szCs w:val="24"/>
          <w:lang w:val="es-419"/>
        </w:rPr>
        <w:t>e</w:t>
      </w:r>
      <w:r w:rsidR="006D0B07" w:rsidRPr="002D5BFC">
        <w:rPr>
          <w:rFonts w:ascii="Gadugi" w:eastAsia="Malgun Gothic" w:hAnsi="Gadugi" w:cs="Estrangelo Edessa"/>
          <w:sz w:val="24"/>
          <w:szCs w:val="24"/>
          <w:lang w:val="es-419"/>
        </w:rPr>
        <w:t>xtramatrimonial que se tramitó ante el Juzga</w:t>
      </w:r>
      <w:r w:rsidR="0040550C" w:rsidRPr="002D5BFC">
        <w:rPr>
          <w:rFonts w:ascii="Gadugi" w:eastAsia="Malgun Gothic" w:hAnsi="Gadugi" w:cs="Estrangelo Edessa"/>
          <w:sz w:val="24"/>
          <w:szCs w:val="24"/>
          <w:lang w:val="es-419"/>
        </w:rPr>
        <w:t>do Tercero de Familia de Pereira, para concluir de allí que</w:t>
      </w:r>
      <w:r w:rsidR="00517286" w:rsidRPr="002D5BFC">
        <w:rPr>
          <w:rFonts w:ascii="Gadugi" w:eastAsia="Malgun Gothic" w:hAnsi="Gadugi" w:cs="Estrangelo Edessa"/>
          <w:sz w:val="24"/>
          <w:szCs w:val="24"/>
          <w:lang w:val="es-419"/>
        </w:rPr>
        <w:t>,</w:t>
      </w:r>
      <w:r w:rsidR="0040550C" w:rsidRPr="002D5BFC">
        <w:rPr>
          <w:rFonts w:ascii="Gadugi" w:eastAsia="Malgun Gothic" w:hAnsi="Gadugi" w:cs="Estrangelo Edessa"/>
          <w:sz w:val="24"/>
          <w:szCs w:val="24"/>
          <w:lang w:val="es-419"/>
        </w:rPr>
        <w:t xml:space="preserve"> </w:t>
      </w:r>
      <w:r w:rsidR="0026101A" w:rsidRPr="002D5BFC">
        <w:rPr>
          <w:rFonts w:ascii="Gadugi" w:eastAsia="Malgun Gothic" w:hAnsi="Gadugi" w:cs="Estrangelo Edessa"/>
          <w:sz w:val="24"/>
          <w:szCs w:val="24"/>
          <w:lang w:val="es-419"/>
        </w:rPr>
        <w:t>efectivamente</w:t>
      </w:r>
      <w:r w:rsidR="00517286" w:rsidRPr="002D5BFC">
        <w:rPr>
          <w:rFonts w:ascii="Gadugi" w:eastAsia="Malgun Gothic" w:hAnsi="Gadugi" w:cs="Estrangelo Edessa"/>
          <w:sz w:val="24"/>
          <w:szCs w:val="24"/>
          <w:lang w:val="es-419"/>
        </w:rPr>
        <w:t>,</w:t>
      </w:r>
      <w:r w:rsidR="0026101A" w:rsidRPr="002D5BFC">
        <w:rPr>
          <w:rFonts w:ascii="Gadugi" w:eastAsia="Malgun Gothic" w:hAnsi="Gadugi" w:cs="Estrangelo Edessa"/>
          <w:sz w:val="24"/>
          <w:szCs w:val="24"/>
          <w:lang w:val="es-419"/>
        </w:rPr>
        <w:t xml:space="preserve"> los demandados conocían la existencia de la demandante María Olga Durango, quien alegaba su calidad de hija y posible heredera del señor Antonio María Bedoya, </w:t>
      </w:r>
      <w:r w:rsidR="0040550C" w:rsidRPr="002D5BFC">
        <w:rPr>
          <w:rFonts w:ascii="Gadugi" w:eastAsia="Malgun Gothic" w:hAnsi="Gadugi" w:cs="Estrangelo Edessa"/>
          <w:sz w:val="24"/>
          <w:szCs w:val="24"/>
          <w:lang w:val="es-419"/>
        </w:rPr>
        <w:t xml:space="preserve">y que </w:t>
      </w:r>
      <w:r w:rsidR="001B689A" w:rsidRPr="002D5BFC">
        <w:rPr>
          <w:rFonts w:ascii="Gadugi" w:eastAsia="Malgun Gothic" w:hAnsi="Gadugi" w:cs="Estrangelo Edessa"/>
          <w:sz w:val="24"/>
          <w:szCs w:val="24"/>
          <w:lang w:val="es-419"/>
        </w:rPr>
        <w:t xml:space="preserve">inclusive la </w:t>
      </w:r>
      <w:r w:rsidR="00B8581C" w:rsidRPr="002D5BFC">
        <w:rPr>
          <w:rFonts w:ascii="Gadugi" w:eastAsia="Malgun Gothic" w:hAnsi="Gadugi" w:cs="Estrangelo Edessa"/>
          <w:sz w:val="24"/>
          <w:szCs w:val="24"/>
          <w:lang w:val="es-419"/>
        </w:rPr>
        <w:t xml:space="preserve">señora Marín Bedoya </w:t>
      </w:r>
      <w:r w:rsidR="001B689A" w:rsidRPr="002D5BFC">
        <w:rPr>
          <w:rFonts w:ascii="Gadugi" w:eastAsia="Malgun Gothic" w:hAnsi="Gadugi" w:cs="Estrangelo Edessa"/>
          <w:sz w:val="24"/>
          <w:szCs w:val="24"/>
          <w:lang w:val="es-419"/>
        </w:rPr>
        <w:t xml:space="preserve">conocía </w:t>
      </w:r>
      <w:r w:rsidR="00FA03ED" w:rsidRPr="002D5BFC">
        <w:rPr>
          <w:rFonts w:ascii="Gadugi" w:eastAsia="Malgun Gothic" w:hAnsi="Gadugi" w:cs="Estrangelo Edessa"/>
          <w:sz w:val="24"/>
          <w:szCs w:val="24"/>
          <w:lang w:val="es-419"/>
        </w:rPr>
        <w:t>mucho antes de su existencia, contrariando la ver</w:t>
      </w:r>
      <w:r w:rsidR="0040550C" w:rsidRPr="002D5BFC">
        <w:rPr>
          <w:rFonts w:ascii="Gadugi" w:eastAsia="Malgun Gothic" w:hAnsi="Gadugi" w:cs="Estrangelo Edessa"/>
          <w:sz w:val="24"/>
          <w:szCs w:val="24"/>
          <w:lang w:val="es-419"/>
        </w:rPr>
        <w:t>sión</w:t>
      </w:r>
      <w:r w:rsidR="00B8581C" w:rsidRPr="002D5BFC">
        <w:rPr>
          <w:rFonts w:ascii="Gadugi" w:eastAsia="Malgun Gothic" w:hAnsi="Gadugi" w:cs="Estrangelo Edessa"/>
          <w:sz w:val="24"/>
          <w:szCs w:val="24"/>
          <w:lang w:val="es-419"/>
        </w:rPr>
        <w:t xml:space="preserve"> rendida dentro de</w:t>
      </w:r>
      <w:r w:rsidR="0040550C" w:rsidRPr="002D5BFC">
        <w:rPr>
          <w:rFonts w:ascii="Gadugi" w:eastAsia="Malgun Gothic" w:hAnsi="Gadugi" w:cs="Estrangelo Edessa"/>
          <w:sz w:val="24"/>
          <w:szCs w:val="24"/>
          <w:lang w:val="es-419"/>
        </w:rPr>
        <w:t xml:space="preserve"> este </w:t>
      </w:r>
      <w:r w:rsidR="00B8581C" w:rsidRPr="002D5BFC">
        <w:rPr>
          <w:rFonts w:ascii="Gadugi" w:eastAsia="Malgun Gothic" w:hAnsi="Gadugi" w:cs="Estrangelo Edessa"/>
          <w:sz w:val="24"/>
          <w:szCs w:val="24"/>
          <w:lang w:val="es-419"/>
        </w:rPr>
        <w:t xml:space="preserve">proceso </w:t>
      </w:r>
      <w:r w:rsidR="0040550C" w:rsidRPr="002D5BFC">
        <w:rPr>
          <w:rFonts w:ascii="Gadugi" w:eastAsia="Malgun Gothic" w:hAnsi="Gadugi" w:cs="Estrangelo Edessa"/>
          <w:sz w:val="24"/>
          <w:szCs w:val="24"/>
          <w:lang w:val="es-419"/>
        </w:rPr>
        <w:t>reivindicatorio</w:t>
      </w:r>
      <w:r w:rsidR="00D2424A" w:rsidRPr="002D5BFC">
        <w:rPr>
          <w:rFonts w:ascii="Gadugi" w:eastAsia="Malgun Gothic" w:hAnsi="Gadugi" w:cs="Estrangelo Edessa"/>
          <w:sz w:val="24"/>
          <w:szCs w:val="24"/>
          <w:lang w:val="es-419"/>
        </w:rPr>
        <w:t xml:space="preserve">; (ii) </w:t>
      </w:r>
      <w:r w:rsidR="00990677" w:rsidRPr="002D5BFC">
        <w:rPr>
          <w:rFonts w:ascii="Gadugi" w:eastAsia="Malgun Gothic" w:hAnsi="Gadugi" w:cs="Estrangelo Edessa"/>
          <w:sz w:val="24"/>
          <w:szCs w:val="24"/>
          <w:lang w:val="es-419"/>
        </w:rPr>
        <w:t xml:space="preserve">la capacidad económica  de los compradores de los inmuebles </w:t>
      </w:r>
      <w:r w:rsidR="0040550C" w:rsidRPr="002D5BFC">
        <w:rPr>
          <w:rFonts w:ascii="Gadugi" w:eastAsia="Malgun Gothic" w:hAnsi="Gadugi" w:cs="Estrangelo Edessa"/>
          <w:sz w:val="24"/>
          <w:szCs w:val="24"/>
          <w:lang w:val="es-419"/>
        </w:rPr>
        <w:t xml:space="preserve">objeto de este proceso </w:t>
      </w:r>
      <w:r w:rsidR="00990677" w:rsidRPr="002D5BFC">
        <w:rPr>
          <w:rFonts w:ascii="Gadugi" w:eastAsia="Malgun Gothic" w:hAnsi="Gadugi" w:cs="Estrangelo Edessa"/>
          <w:sz w:val="24"/>
          <w:szCs w:val="24"/>
          <w:lang w:val="es-419"/>
        </w:rPr>
        <w:t>no quedó plenamente demostrada, así como tampoco el origen de los recursos, ni la cuantía y mucho menos la forma como cubrieron su precio</w:t>
      </w:r>
      <w:r w:rsidR="00D2424A" w:rsidRPr="002D5BFC">
        <w:rPr>
          <w:rFonts w:ascii="Gadugi" w:eastAsia="Malgun Gothic" w:hAnsi="Gadugi" w:cs="Estrangelo Edessa"/>
          <w:sz w:val="24"/>
          <w:szCs w:val="24"/>
          <w:lang w:val="es-419"/>
        </w:rPr>
        <w:t>; (iii)</w:t>
      </w:r>
      <w:r w:rsidR="00990677" w:rsidRPr="002D5BFC">
        <w:rPr>
          <w:rFonts w:ascii="Gadugi" w:eastAsia="Malgun Gothic" w:hAnsi="Gadugi" w:cs="Estrangelo Edessa"/>
          <w:sz w:val="24"/>
          <w:szCs w:val="24"/>
          <w:lang w:val="es-419"/>
        </w:rPr>
        <w:t xml:space="preserve"> la buena fe </w:t>
      </w:r>
      <w:r w:rsidR="009639CC" w:rsidRPr="002D5BFC">
        <w:rPr>
          <w:rFonts w:ascii="Gadugi" w:eastAsia="Malgun Gothic" w:hAnsi="Gadugi" w:cs="Estrangelo Edessa"/>
          <w:sz w:val="24"/>
          <w:szCs w:val="24"/>
          <w:lang w:val="es-419"/>
        </w:rPr>
        <w:t xml:space="preserve">debe corroborarse con hechos ciertos y no </w:t>
      </w:r>
      <w:r w:rsidR="0040550C" w:rsidRPr="002D5BFC">
        <w:rPr>
          <w:rFonts w:ascii="Gadugi" w:eastAsia="Malgun Gothic" w:hAnsi="Gadugi" w:cs="Estrangelo Edessa"/>
          <w:sz w:val="24"/>
          <w:szCs w:val="24"/>
          <w:lang w:val="es-419"/>
        </w:rPr>
        <w:t xml:space="preserve">por </w:t>
      </w:r>
      <w:r w:rsidR="009639CC" w:rsidRPr="002D5BFC">
        <w:rPr>
          <w:rFonts w:ascii="Gadugi" w:eastAsia="Malgun Gothic" w:hAnsi="Gadugi" w:cs="Estrangelo Edessa"/>
          <w:sz w:val="24"/>
          <w:szCs w:val="24"/>
          <w:lang w:val="es-419"/>
        </w:rPr>
        <w:t>situaciones aisladas</w:t>
      </w:r>
      <w:r w:rsidR="0040550C" w:rsidRPr="002D5BFC">
        <w:rPr>
          <w:rFonts w:ascii="Gadugi" w:eastAsia="Malgun Gothic" w:hAnsi="Gadugi" w:cs="Estrangelo Edessa"/>
          <w:sz w:val="24"/>
          <w:szCs w:val="24"/>
          <w:lang w:val="es-419"/>
        </w:rPr>
        <w:t xml:space="preserve">, aclarando que </w:t>
      </w:r>
      <w:r w:rsidR="009639CC" w:rsidRPr="002D5BFC">
        <w:rPr>
          <w:rFonts w:ascii="Gadugi" w:eastAsia="Malgun Gothic" w:hAnsi="Gadugi" w:cs="Estrangelo Edessa"/>
          <w:sz w:val="24"/>
          <w:szCs w:val="24"/>
          <w:lang w:val="es-419"/>
        </w:rPr>
        <w:t xml:space="preserve">no pretende </w:t>
      </w:r>
      <w:r w:rsidR="0040550C" w:rsidRPr="002D5BFC">
        <w:rPr>
          <w:rFonts w:ascii="Gadugi" w:eastAsia="Malgun Gothic" w:hAnsi="Gadugi" w:cs="Estrangelo Edessa"/>
          <w:sz w:val="24"/>
          <w:szCs w:val="24"/>
          <w:lang w:val="es-419"/>
        </w:rPr>
        <w:t xml:space="preserve">con ello </w:t>
      </w:r>
      <w:r w:rsidR="009639CC" w:rsidRPr="002D5BFC">
        <w:rPr>
          <w:rFonts w:ascii="Gadugi" w:eastAsia="Malgun Gothic" w:hAnsi="Gadugi" w:cs="Estrangelo Edessa"/>
          <w:sz w:val="24"/>
          <w:szCs w:val="24"/>
          <w:lang w:val="es-419"/>
        </w:rPr>
        <w:t>alegar</w:t>
      </w:r>
      <w:r w:rsidR="0040550C" w:rsidRPr="002D5BFC">
        <w:rPr>
          <w:rFonts w:ascii="Gadugi" w:eastAsia="Malgun Gothic" w:hAnsi="Gadugi" w:cs="Estrangelo Edessa"/>
          <w:sz w:val="24"/>
          <w:szCs w:val="24"/>
          <w:lang w:val="es-419"/>
        </w:rPr>
        <w:t xml:space="preserve"> lo propio de</w:t>
      </w:r>
      <w:r w:rsidR="005D0D6B" w:rsidRPr="002D5BFC">
        <w:rPr>
          <w:rFonts w:ascii="Gadugi" w:eastAsia="Malgun Gothic" w:hAnsi="Gadugi" w:cs="Estrangelo Edessa"/>
          <w:sz w:val="24"/>
          <w:szCs w:val="24"/>
          <w:lang w:val="es-419"/>
        </w:rPr>
        <w:t xml:space="preserve"> un proceso de</w:t>
      </w:r>
      <w:r w:rsidR="009639CC" w:rsidRPr="002D5BFC">
        <w:rPr>
          <w:rFonts w:ascii="Gadugi" w:eastAsia="Malgun Gothic" w:hAnsi="Gadugi" w:cs="Estrangelo Edessa"/>
          <w:sz w:val="24"/>
          <w:szCs w:val="24"/>
          <w:lang w:val="es-419"/>
        </w:rPr>
        <w:t xml:space="preserve"> simulación</w:t>
      </w:r>
      <w:r w:rsidR="0040550C" w:rsidRPr="002D5BFC">
        <w:rPr>
          <w:rFonts w:ascii="Gadugi" w:eastAsia="Malgun Gothic" w:hAnsi="Gadugi" w:cs="Estrangelo Edessa"/>
          <w:sz w:val="24"/>
          <w:szCs w:val="24"/>
          <w:lang w:val="es-419"/>
        </w:rPr>
        <w:t>,</w:t>
      </w:r>
      <w:r w:rsidR="005D0D6B" w:rsidRPr="002D5BFC">
        <w:rPr>
          <w:rFonts w:ascii="Gadugi" w:eastAsia="Malgun Gothic" w:hAnsi="Gadugi" w:cs="Estrangelo Edessa"/>
          <w:sz w:val="24"/>
          <w:szCs w:val="24"/>
          <w:lang w:val="es-419"/>
        </w:rPr>
        <w:t xml:space="preserve"> sino demostrar que las situaciones que giraron en</w:t>
      </w:r>
      <w:r w:rsidR="00327ABC" w:rsidRPr="002D5BFC">
        <w:rPr>
          <w:rFonts w:ascii="Gadugi" w:eastAsia="Malgun Gothic" w:hAnsi="Gadugi" w:cs="Estrangelo Edessa"/>
          <w:sz w:val="24"/>
          <w:szCs w:val="24"/>
          <w:lang w:val="es-419"/>
        </w:rPr>
        <w:t xml:space="preserve"> </w:t>
      </w:r>
      <w:r w:rsidR="005D0D6B" w:rsidRPr="002D5BFC">
        <w:rPr>
          <w:rFonts w:ascii="Gadugi" w:eastAsia="Malgun Gothic" w:hAnsi="Gadugi" w:cs="Estrangelo Edessa"/>
          <w:sz w:val="24"/>
          <w:szCs w:val="24"/>
          <w:lang w:val="es-419"/>
        </w:rPr>
        <w:t>torno a la compraventa</w:t>
      </w:r>
      <w:r w:rsidR="00327ABC" w:rsidRPr="002D5BFC">
        <w:rPr>
          <w:rFonts w:ascii="Gadugi" w:eastAsia="Malgun Gothic" w:hAnsi="Gadugi" w:cs="Estrangelo Edessa"/>
          <w:sz w:val="24"/>
          <w:szCs w:val="24"/>
          <w:lang w:val="es-419"/>
        </w:rPr>
        <w:t xml:space="preserve"> hacen dudar de la realidad</w:t>
      </w:r>
      <w:r w:rsidR="0040550C" w:rsidRPr="002D5BFC">
        <w:rPr>
          <w:rFonts w:ascii="Gadugi" w:eastAsia="Malgun Gothic" w:hAnsi="Gadugi" w:cs="Estrangelo Edessa"/>
          <w:sz w:val="24"/>
          <w:szCs w:val="24"/>
          <w:lang w:val="es-419"/>
        </w:rPr>
        <w:t xml:space="preserve"> de tal negocio</w:t>
      </w:r>
      <w:r w:rsidR="009639CC" w:rsidRPr="002D5BFC">
        <w:rPr>
          <w:rFonts w:ascii="Gadugi" w:eastAsia="Malgun Gothic" w:hAnsi="Gadugi" w:cs="Estrangelo Edessa"/>
          <w:sz w:val="24"/>
          <w:szCs w:val="24"/>
          <w:lang w:val="es-419"/>
        </w:rPr>
        <w:t>,</w:t>
      </w:r>
      <w:r w:rsidR="00327ABC" w:rsidRPr="002D5BFC">
        <w:rPr>
          <w:rFonts w:ascii="Gadugi" w:eastAsia="Malgun Gothic" w:hAnsi="Gadugi" w:cs="Estrangelo Edessa"/>
          <w:sz w:val="24"/>
          <w:szCs w:val="24"/>
          <w:lang w:val="es-419"/>
        </w:rPr>
        <w:t xml:space="preserve"> y de esta manera desvirtuar la buena fe alegada por los demandados, ya que </w:t>
      </w:r>
      <w:r w:rsidR="009639CC" w:rsidRPr="002D5BFC">
        <w:rPr>
          <w:rFonts w:ascii="Gadugi" w:eastAsia="Malgun Gothic" w:hAnsi="Gadugi" w:cs="Estrangelo Edessa"/>
          <w:sz w:val="24"/>
          <w:szCs w:val="24"/>
          <w:lang w:val="es-419"/>
        </w:rPr>
        <w:t xml:space="preserve"> genera desconcierto que el valor que supuestamente se pagó por los inmuebles coincide con el valor de los avalúos catastrales</w:t>
      </w:r>
      <w:r w:rsidR="005D0D6B" w:rsidRPr="002D5BFC">
        <w:rPr>
          <w:rFonts w:ascii="Gadugi" w:eastAsia="Malgun Gothic" w:hAnsi="Gadugi" w:cs="Estrangelo Edessa"/>
          <w:sz w:val="24"/>
          <w:szCs w:val="24"/>
          <w:lang w:val="es-419"/>
        </w:rPr>
        <w:t xml:space="preserve">, lo que </w:t>
      </w:r>
      <w:r w:rsidR="00327ABC" w:rsidRPr="002D5BFC">
        <w:rPr>
          <w:rFonts w:ascii="Gadugi" w:eastAsia="Malgun Gothic" w:hAnsi="Gadugi" w:cs="Estrangelo Edessa"/>
          <w:sz w:val="24"/>
          <w:szCs w:val="24"/>
          <w:lang w:val="es-419"/>
        </w:rPr>
        <w:t>dentro del proceso antes re</w:t>
      </w:r>
      <w:r w:rsidR="007F3383" w:rsidRPr="002D5BFC">
        <w:rPr>
          <w:rFonts w:ascii="Gadugi" w:eastAsia="Malgun Gothic" w:hAnsi="Gadugi" w:cs="Estrangelo Edessa"/>
          <w:sz w:val="24"/>
          <w:szCs w:val="24"/>
          <w:lang w:val="es-419"/>
        </w:rPr>
        <w:t>ferido se tiene como presunción</w:t>
      </w:r>
      <w:r w:rsidR="0040550C" w:rsidRPr="002D5BFC">
        <w:rPr>
          <w:rFonts w:ascii="Gadugi" w:eastAsia="Malgun Gothic" w:hAnsi="Gadugi" w:cs="Estrangelo Edessa"/>
          <w:sz w:val="24"/>
          <w:szCs w:val="24"/>
          <w:lang w:val="es-419"/>
        </w:rPr>
        <w:t xml:space="preserve"> de simulación</w:t>
      </w:r>
      <w:r w:rsidR="00D2424A" w:rsidRPr="002D5BFC">
        <w:rPr>
          <w:rFonts w:ascii="Gadugi" w:eastAsia="Malgun Gothic" w:hAnsi="Gadugi" w:cs="Estrangelo Edessa"/>
          <w:sz w:val="24"/>
          <w:szCs w:val="24"/>
          <w:lang w:val="es-419"/>
        </w:rPr>
        <w:t xml:space="preserve">; (iv) carece de </w:t>
      </w:r>
      <w:r w:rsidR="007F3383" w:rsidRPr="002D5BFC">
        <w:rPr>
          <w:rFonts w:ascii="Gadugi" w:eastAsia="Malgun Gothic" w:hAnsi="Gadugi" w:cs="Estrangelo Edessa"/>
          <w:sz w:val="24"/>
          <w:szCs w:val="24"/>
          <w:lang w:val="es-419"/>
        </w:rPr>
        <w:t>sentido que tres</w:t>
      </w:r>
      <w:r w:rsidR="00D2424A" w:rsidRPr="002D5BFC">
        <w:rPr>
          <w:rFonts w:ascii="Gadugi" w:eastAsia="Malgun Gothic" w:hAnsi="Gadugi" w:cs="Estrangelo Edessa"/>
          <w:sz w:val="24"/>
          <w:szCs w:val="24"/>
          <w:lang w:val="es-419"/>
        </w:rPr>
        <w:t xml:space="preserve"> </w:t>
      </w:r>
      <w:r w:rsidR="007F3383" w:rsidRPr="002D5BFC">
        <w:rPr>
          <w:rFonts w:ascii="Gadugi" w:eastAsia="Malgun Gothic" w:hAnsi="Gadugi" w:cs="Estrangelo Edessa"/>
          <w:sz w:val="24"/>
          <w:szCs w:val="24"/>
          <w:lang w:val="es-419"/>
        </w:rPr>
        <w:t xml:space="preserve">de los inmuebles de propiedad de la señora María Adela Bedoya de Marín fueran vendidos a sus hijas y yerno, cuando </w:t>
      </w:r>
      <w:r w:rsidR="00D2424A" w:rsidRPr="002D5BFC">
        <w:rPr>
          <w:rFonts w:ascii="Gadugi" w:eastAsia="Malgun Gothic" w:hAnsi="Gadugi" w:cs="Estrangelo Edessa"/>
          <w:sz w:val="24"/>
          <w:szCs w:val="24"/>
          <w:lang w:val="es-419"/>
        </w:rPr>
        <w:t>ellas serían sus</w:t>
      </w:r>
      <w:r w:rsidR="007F3383" w:rsidRPr="002D5BFC">
        <w:rPr>
          <w:rFonts w:ascii="Gadugi" w:eastAsia="Malgun Gothic" w:hAnsi="Gadugi" w:cs="Estrangelo Edessa"/>
          <w:sz w:val="24"/>
          <w:szCs w:val="24"/>
          <w:lang w:val="es-419"/>
        </w:rPr>
        <w:t xml:space="preserve"> herederas leg</w:t>
      </w:r>
      <w:r w:rsidR="009610B6" w:rsidRPr="002D5BFC">
        <w:rPr>
          <w:rFonts w:ascii="Gadugi" w:eastAsia="Malgun Gothic" w:hAnsi="Gadugi" w:cs="Estrangelo Edessa"/>
          <w:sz w:val="24"/>
          <w:szCs w:val="24"/>
          <w:lang w:val="es-419"/>
        </w:rPr>
        <w:t>í</w:t>
      </w:r>
      <w:r w:rsidR="007F3383" w:rsidRPr="002D5BFC">
        <w:rPr>
          <w:rFonts w:ascii="Gadugi" w:eastAsia="Malgun Gothic" w:hAnsi="Gadugi" w:cs="Estrangelo Edessa"/>
          <w:sz w:val="24"/>
          <w:szCs w:val="24"/>
          <w:lang w:val="es-419"/>
        </w:rPr>
        <w:t>timas</w:t>
      </w:r>
      <w:r w:rsidR="009610B6" w:rsidRPr="002D5BFC">
        <w:rPr>
          <w:rFonts w:ascii="Gadugi" w:eastAsia="Malgun Gothic" w:hAnsi="Gadugi" w:cs="Estrangelo Edessa"/>
          <w:sz w:val="24"/>
          <w:szCs w:val="24"/>
          <w:lang w:val="es-419"/>
        </w:rPr>
        <w:t xml:space="preserve"> y, por tanto, </w:t>
      </w:r>
      <w:r w:rsidR="00D2424A" w:rsidRPr="002D5BFC">
        <w:rPr>
          <w:rFonts w:ascii="Gadugi" w:eastAsia="Malgun Gothic" w:hAnsi="Gadugi" w:cs="Estrangelo Edessa"/>
          <w:sz w:val="24"/>
          <w:szCs w:val="24"/>
          <w:lang w:val="es-419"/>
        </w:rPr>
        <w:t xml:space="preserve">ningún precio hubieran tenido qué pagar </w:t>
      </w:r>
      <w:r w:rsidR="007F3383" w:rsidRPr="002D5BFC">
        <w:rPr>
          <w:rFonts w:ascii="Gadugi" w:eastAsia="Malgun Gothic" w:hAnsi="Gadugi" w:cs="Estrangelo Edessa"/>
          <w:sz w:val="24"/>
          <w:szCs w:val="24"/>
          <w:lang w:val="es-419"/>
        </w:rPr>
        <w:t xml:space="preserve">por </w:t>
      </w:r>
      <w:r w:rsidR="00D2424A" w:rsidRPr="002D5BFC">
        <w:rPr>
          <w:rFonts w:ascii="Gadugi" w:eastAsia="Malgun Gothic" w:hAnsi="Gadugi" w:cs="Estrangelo Edessa"/>
          <w:sz w:val="24"/>
          <w:szCs w:val="24"/>
          <w:lang w:val="es-419"/>
        </w:rPr>
        <w:t>aquellos</w:t>
      </w:r>
      <w:r w:rsidR="007F3383" w:rsidRPr="002D5BFC">
        <w:rPr>
          <w:rFonts w:ascii="Gadugi" w:eastAsia="Malgun Gothic" w:hAnsi="Gadugi" w:cs="Estrangelo Edessa"/>
          <w:sz w:val="24"/>
          <w:szCs w:val="24"/>
          <w:lang w:val="es-419"/>
        </w:rPr>
        <w:t xml:space="preserve">, de </w:t>
      </w:r>
      <w:r w:rsidR="00517286" w:rsidRPr="002D5BFC">
        <w:rPr>
          <w:rFonts w:ascii="Gadugi" w:eastAsia="Malgun Gothic" w:hAnsi="Gadugi" w:cs="Estrangelo Edessa"/>
          <w:sz w:val="24"/>
          <w:szCs w:val="24"/>
          <w:lang w:val="es-419"/>
        </w:rPr>
        <w:t>donde</w:t>
      </w:r>
      <w:r w:rsidR="007F3383" w:rsidRPr="002D5BFC">
        <w:rPr>
          <w:rFonts w:ascii="Gadugi" w:eastAsia="Malgun Gothic" w:hAnsi="Gadugi" w:cs="Estrangelo Edessa"/>
          <w:sz w:val="24"/>
          <w:szCs w:val="24"/>
          <w:lang w:val="es-419"/>
        </w:rPr>
        <w:t xml:space="preserve"> colige </w:t>
      </w:r>
      <w:r w:rsidR="00517286" w:rsidRPr="002D5BFC">
        <w:rPr>
          <w:rFonts w:ascii="Gadugi" w:eastAsia="Malgun Gothic" w:hAnsi="Gadugi" w:cs="Estrangelo Edessa"/>
          <w:sz w:val="24"/>
          <w:szCs w:val="24"/>
          <w:lang w:val="es-419"/>
        </w:rPr>
        <w:t>como</w:t>
      </w:r>
      <w:r w:rsidR="007F3383" w:rsidRPr="002D5BFC">
        <w:rPr>
          <w:rFonts w:ascii="Gadugi" w:eastAsia="Malgun Gothic" w:hAnsi="Gadugi" w:cs="Estrangelo Edessa"/>
          <w:sz w:val="24"/>
          <w:szCs w:val="24"/>
          <w:lang w:val="es-419"/>
        </w:rPr>
        <w:t xml:space="preserve"> notorio que las actuaciones surtidas tenían el ánimo de impedir que recibiera parte de la herencia, </w:t>
      </w:r>
      <w:r w:rsidR="00517286" w:rsidRPr="002D5BFC">
        <w:rPr>
          <w:rFonts w:ascii="Gadugi" w:eastAsia="Malgun Gothic" w:hAnsi="Gadugi" w:cs="Estrangelo Edessa"/>
          <w:sz w:val="24"/>
          <w:szCs w:val="24"/>
          <w:lang w:val="es-419"/>
        </w:rPr>
        <w:t xml:space="preserve">lo que hace </w:t>
      </w:r>
      <w:r w:rsidR="007F3383" w:rsidRPr="002D5BFC">
        <w:rPr>
          <w:rFonts w:ascii="Gadugi" w:eastAsia="Malgun Gothic" w:hAnsi="Gadugi" w:cs="Estrangelo Edessa"/>
          <w:sz w:val="24"/>
          <w:szCs w:val="24"/>
          <w:lang w:val="es-419"/>
        </w:rPr>
        <w:t>presu</w:t>
      </w:r>
      <w:r w:rsidR="00D2424A" w:rsidRPr="002D5BFC">
        <w:rPr>
          <w:rFonts w:ascii="Gadugi" w:eastAsia="Malgun Gothic" w:hAnsi="Gadugi" w:cs="Estrangelo Edessa"/>
          <w:sz w:val="24"/>
          <w:szCs w:val="24"/>
          <w:lang w:val="es-419"/>
        </w:rPr>
        <w:t>m</w:t>
      </w:r>
      <w:r w:rsidR="00517286" w:rsidRPr="002D5BFC">
        <w:rPr>
          <w:rFonts w:ascii="Gadugi" w:eastAsia="Malgun Gothic" w:hAnsi="Gadugi" w:cs="Estrangelo Edessa"/>
          <w:sz w:val="24"/>
          <w:szCs w:val="24"/>
          <w:lang w:val="es-419"/>
        </w:rPr>
        <w:t>ir</w:t>
      </w:r>
      <w:r w:rsidR="00D2424A" w:rsidRPr="002D5BFC">
        <w:rPr>
          <w:rFonts w:ascii="Gadugi" w:eastAsia="Malgun Gothic" w:hAnsi="Gadugi" w:cs="Estrangelo Edessa"/>
          <w:sz w:val="24"/>
          <w:szCs w:val="24"/>
          <w:lang w:val="es-419"/>
        </w:rPr>
        <w:t xml:space="preserve"> la mala fe de los demandados; y (v)</w:t>
      </w:r>
      <w:r w:rsidR="00327ABC" w:rsidRPr="002D5BFC">
        <w:rPr>
          <w:rFonts w:ascii="Gadugi" w:eastAsia="Malgun Gothic" w:hAnsi="Gadugi" w:cs="Estrangelo Edessa"/>
          <w:sz w:val="24"/>
          <w:szCs w:val="24"/>
          <w:lang w:val="es-419"/>
        </w:rPr>
        <w:t xml:space="preserve"> </w:t>
      </w:r>
      <w:r w:rsidR="00D2424A" w:rsidRPr="002D5BFC">
        <w:rPr>
          <w:rFonts w:ascii="Gadugi" w:eastAsia="Malgun Gothic" w:hAnsi="Gadugi" w:cs="Estrangelo Edessa"/>
          <w:sz w:val="24"/>
          <w:szCs w:val="24"/>
          <w:lang w:val="es-419"/>
        </w:rPr>
        <w:t>es irrelevante</w:t>
      </w:r>
      <w:r w:rsidR="00ED35EA" w:rsidRPr="002D5BFC">
        <w:rPr>
          <w:rFonts w:ascii="Gadugi" w:eastAsia="Malgun Gothic" w:hAnsi="Gadugi" w:cs="Estrangelo Edessa"/>
          <w:sz w:val="24"/>
          <w:szCs w:val="24"/>
          <w:lang w:val="es-419"/>
        </w:rPr>
        <w:t xml:space="preserve"> la tesis del Juez de primera instancia de que </w:t>
      </w:r>
      <w:r w:rsidR="00C741A2" w:rsidRPr="002D5BFC">
        <w:rPr>
          <w:rFonts w:ascii="Gadugi" w:eastAsia="Malgun Gothic" w:hAnsi="Gadugi" w:cs="Estrangelo Edessa"/>
          <w:sz w:val="24"/>
          <w:szCs w:val="24"/>
          <w:lang w:val="es-419"/>
        </w:rPr>
        <w:t xml:space="preserve">para la fecha en que se perfeccionaron las compraventas no había sido reconocida la demandante como hija extramatrimonial, </w:t>
      </w:r>
      <w:r w:rsidR="00ED35EA" w:rsidRPr="002D5BFC">
        <w:rPr>
          <w:rFonts w:ascii="Gadugi" w:eastAsia="Malgun Gothic" w:hAnsi="Gadugi" w:cs="Estrangelo Edessa"/>
          <w:sz w:val="24"/>
          <w:szCs w:val="24"/>
          <w:lang w:val="es-419"/>
        </w:rPr>
        <w:t>por</w:t>
      </w:r>
      <w:r w:rsidR="00C741A2" w:rsidRPr="002D5BFC">
        <w:rPr>
          <w:rFonts w:ascii="Gadugi" w:eastAsia="Malgun Gothic" w:hAnsi="Gadugi" w:cs="Estrangelo Edessa"/>
          <w:sz w:val="24"/>
          <w:szCs w:val="24"/>
          <w:lang w:val="es-419"/>
        </w:rPr>
        <w:t>que se perdió de vista que antes de enajenarse los inmueble</w:t>
      </w:r>
      <w:r w:rsidR="00517286" w:rsidRPr="002D5BFC">
        <w:rPr>
          <w:rFonts w:ascii="Gadugi" w:eastAsia="Malgun Gothic" w:hAnsi="Gadugi" w:cs="Estrangelo Edessa"/>
          <w:sz w:val="24"/>
          <w:szCs w:val="24"/>
          <w:lang w:val="es-419"/>
        </w:rPr>
        <w:t>s</w:t>
      </w:r>
      <w:r w:rsidR="00C741A2" w:rsidRPr="002D5BFC">
        <w:rPr>
          <w:rFonts w:ascii="Gadugi" w:eastAsia="Malgun Gothic" w:hAnsi="Gadugi" w:cs="Estrangelo Edessa"/>
          <w:sz w:val="24"/>
          <w:szCs w:val="24"/>
          <w:lang w:val="es-419"/>
        </w:rPr>
        <w:t xml:space="preserve"> </w:t>
      </w:r>
      <w:r w:rsidR="00ED35EA" w:rsidRPr="002D5BFC">
        <w:rPr>
          <w:rFonts w:ascii="Gadugi" w:eastAsia="Malgun Gothic" w:hAnsi="Gadugi" w:cs="Estrangelo Edessa"/>
          <w:sz w:val="24"/>
          <w:szCs w:val="24"/>
          <w:lang w:val="es-419"/>
        </w:rPr>
        <w:t xml:space="preserve">ya </w:t>
      </w:r>
      <w:r w:rsidR="00C741A2" w:rsidRPr="002D5BFC">
        <w:rPr>
          <w:rFonts w:ascii="Gadugi" w:eastAsia="Malgun Gothic" w:hAnsi="Gadugi" w:cs="Estrangelo Edessa"/>
          <w:sz w:val="24"/>
          <w:szCs w:val="24"/>
          <w:lang w:val="es-419"/>
        </w:rPr>
        <w:t xml:space="preserve">se había iniciado el proceso de filiación por parte de la </w:t>
      </w:r>
      <w:r w:rsidR="00C741A2" w:rsidRPr="002D5BFC">
        <w:rPr>
          <w:rFonts w:ascii="Gadugi" w:eastAsia="Malgun Gothic" w:hAnsi="Gadugi" w:cs="Estrangelo Edessa"/>
          <w:sz w:val="24"/>
          <w:szCs w:val="24"/>
          <w:lang w:val="es-419"/>
        </w:rPr>
        <w:lastRenderedPageBreak/>
        <w:t xml:space="preserve">señora María Olga Durango, </w:t>
      </w:r>
      <w:r w:rsidR="00ED35EA" w:rsidRPr="002D5BFC">
        <w:rPr>
          <w:rFonts w:ascii="Gadugi" w:eastAsia="Malgun Gothic" w:hAnsi="Gadugi" w:cs="Estrangelo Edessa"/>
          <w:sz w:val="24"/>
          <w:szCs w:val="24"/>
          <w:lang w:val="es-419"/>
        </w:rPr>
        <w:t xml:space="preserve">pero que fueron necesarios </w:t>
      </w:r>
      <w:r w:rsidR="00517286" w:rsidRPr="002D5BFC">
        <w:rPr>
          <w:rFonts w:ascii="Gadugi" w:eastAsia="Malgun Gothic" w:hAnsi="Gadugi" w:cs="Estrangelo Edessa"/>
          <w:sz w:val="24"/>
          <w:szCs w:val="24"/>
          <w:lang w:val="es-419"/>
        </w:rPr>
        <w:t>siete años para</w:t>
      </w:r>
      <w:r w:rsidR="00ED35EA" w:rsidRPr="002D5BFC">
        <w:rPr>
          <w:rFonts w:ascii="Gadugi" w:eastAsia="Malgun Gothic" w:hAnsi="Gadugi" w:cs="Estrangelo Edessa"/>
          <w:sz w:val="24"/>
          <w:szCs w:val="24"/>
          <w:lang w:val="es-419"/>
        </w:rPr>
        <w:t xml:space="preserve"> obtener </w:t>
      </w:r>
      <w:r w:rsidR="00C741A2" w:rsidRPr="002D5BFC">
        <w:rPr>
          <w:rFonts w:ascii="Gadugi" w:eastAsia="Malgun Gothic" w:hAnsi="Gadugi" w:cs="Estrangelo Edessa"/>
          <w:sz w:val="24"/>
          <w:szCs w:val="24"/>
          <w:lang w:val="es-419"/>
        </w:rPr>
        <w:t xml:space="preserve">fallo de primera instancia, </w:t>
      </w:r>
      <w:r w:rsidR="00ED35EA" w:rsidRPr="002D5BFC">
        <w:rPr>
          <w:rFonts w:ascii="Gadugi" w:eastAsia="Malgun Gothic" w:hAnsi="Gadugi" w:cs="Estrangelo Edessa"/>
          <w:sz w:val="24"/>
          <w:szCs w:val="24"/>
          <w:lang w:val="es-419"/>
        </w:rPr>
        <w:t xml:space="preserve">lo que en todo caso implica que </w:t>
      </w:r>
      <w:r w:rsidR="00C741A2" w:rsidRPr="002D5BFC">
        <w:rPr>
          <w:rFonts w:ascii="Gadugi" w:eastAsia="Malgun Gothic" w:hAnsi="Gadugi" w:cs="Estrangelo Edessa"/>
          <w:sz w:val="24"/>
          <w:szCs w:val="24"/>
          <w:lang w:val="es-419"/>
        </w:rPr>
        <w:t>para la fecha en que se inició el proceso citado aún los bienes eran de propiedad de la señora María Adela Bedoya</w:t>
      </w:r>
      <w:r w:rsidR="007F3383" w:rsidRPr="002D5BFC">
        <w:rPr>
          <w:rFonts w:ascii="Gadugi" w:eastAsia="Malgun Gothic" w:hAnsi="Gadugi" w:cs="Estrangelo Edessa"/>
          <w:sz w:val="24"/>
          <w:szCs w:val="24"/>
          <w:lang w:val="es-419"/>
        </w:rPr>
        <w:t>.</w:t>
      </w:r>
    </w:p>
    <w:p w:rsidR="00ED35EA" w:rsidRPr="002D5BFC" w:rsidRDefault="00ED35EA" w:rsidP="004211B9">
      <w:pPr>
        <w:spacing w:line="276" w:lineRule="auto"/>
        <w:ind w:firstLine="2835"/>
        <w:jc w:val="both"/>
        <w:rPr>
          <w:rFonts w:ascii="Gadugi" w:eastAsia="Malgun Gothic" w:hAnsi="Gadugi" w:cs="Estrangelo Edessa"/>
          <w:sz w:val="24"/>
          <w:szCs w:val="24"/>
          <w:lang w:val="es-419"/>
        </w:rPr>
      </w:pPr>
    </w:p>
    <w:p w:rsidR="00ED35EA" w:rsidRPr="002D5BFC" w:rsidRDefault="004211B9"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Edelmira</w:t>
      </w:r>
      <w:r w:rsidR="00A10BF8" w:rsidRPr="002D5BFC">
        <w:rPr>
          <w:rFonts w:ascii="Gadugi" w:eastAsia="Malgun Gothic" w:hAnsi="Gadugi" w:cs="Estrangelo Edessa"/>
          <w:sz w:val="24"/>
          <w:szCs w:val="24"/>
          <w:lang w:val="es-419"/>
        </w:rPr>
        <w:t xml:space="preserve"> Sáenz de García presentó alegatos de segunda instancia </w:t>
      </w:r>
      <w:r w:rsidRPr="002D5BFC">
        <w:rPr>
          <w:rFonts w:ascii="Gadugi" w:eastAsia="Malgun Gothic" w:hAnsi="Gadugi" w:cs="Estrangelo Edessa"/>
          <w:sz w:val="24"/>
          <w:szCs w:val="24"/>
          <w:lang w:val="es-419"/>
        </w:rPr>
        <w:t xml:space="preserve">en los que señala que por el </w:t>
      </w:r>
      <w:r w:rsidR="00A10BF8" w:rsidRPr="002D5BFC">
        <w:rPr>
          <w:rFonts w:ascii="Gadugi" w:eastAsia="Malgun Gothic" w:hAnsi="Gadugi" w:cs="Estrangelo Edessa"/>
          <w:sz w:val="24"/>
          <w:szCs w:val="24"/>
          <w:lang w:val="es-419"/>
        </w:rPr>
        <w:t xml:space="preserve">contenido de la sustentación del recurso, la apelación no la afecta a ella en ningún aspecto. </w:t>
      </w:r>
      <w:r w:rsidR="00ED35EA" w:rsidRPr="002D5BFC">
        <w:rPr>
          <w:rFonts w:ascii="Gadugi" w:eastAsia="Malgun Gothic" w:hAnsi="Gadugi" w:cs="Estrangelo Edessa"/>
          <w:sz w:val="24"/>
          <w:szCs w:val="24"/>
          <w:lang w:val="es-419"/>
        </w:rPr>
        <w:t xml:space="preserve">Los </w:t>
      </w:r>
      <w:r w:rsidR="00A10BF8" w:rsidRPr="002D5BFC">
        <w:rPr>
          <w:rFonts w:ascii="Gadugi" w:eastAsia="Malgun Gothic" w:hAnsi="Gadugi" w:cs="Estrangelo Edessa"/>
          <w:sz w:val="24"/>
          <w:szCs w:val="24"/>
          <w:lang w:val="es-419"/>
        </w:rPr>
        <w:t xml:space="preserve">otros </w:t>
      </w:r>
      <w:r w:rsidR="00ED35EA" w:rsidRPr="002D5BFC">
        <w:rPr>
          <w:rFonts w:ascii="Gadugi" w:eastAsia="Malgun Gothic" w:hAnsi="Gadugi" w:cs="Estrangelo Edessa"/>
          <w:sz w:val="24"/>
          <w:szCs w:val="24"/>
          <w:lang w:val="es-419"/>
        </w:rPr>
        <w:t xml:space="preserve">demandados </w:t>
      </w:r>
      <w:r w:rsidR="00A10BF8" w:rsidRPr="002D5BFC">
        <w:rPr>
          <w:rFonts w:ascii="Gadugi" w:eastAsia="Malgun Gothic" w:hAnsi="Gadugi" w:cs="Estrangelo Edessa"/>
          <w:sz w:val="24"/>
          <w:szCs w:val="24"/>
          <w:lang w:val="es-419"/>
        </w:rPr>
        <w:t xml:space="preserve">presentaron alegatos </w:t>
      </w:r>
      <w:r w:rsidR="00ED35EA" w:rsidRPr="002D5BFC">
        <w:rPr>
          <w:rFonts w:ascii="Gadugi" w:eastAsia="Malgun Gothic" w:hAnsi="Gadugi" w:cs="Estrangelo Edessa"/>
          <w:sz w:val="24"/>
          <w:szCs w:val="24"/>
          <w:lang w:val="es-419"/>
        </w:rPr>
        <w:t xml:space="preserve">en su </w:t>
      </w:r>
      <w:r w:rsidR="00A10BF8" w:rsidRPr="002D5BFC">
        <w:rPr>
          <w:rFonts w:ascii="Gadugi" w:eastAsia="Malgun Gothic" w:hAnsi="Gadugi" w:cs="Estrangelo Edessa"/>
          <w:sz w:val="24"/>
          <w:szCs w:val="24"/>
          <w:lang w:val="es-419"/>
        </w:rPr>
        <w:t>oportunidad</w:t>
      </w:r>
      <w:r w:rsidR="00ED35EA" w:rsidRPr="002D5BFC">
        <w:rPr>
          <w:rFonts w:ascii="Gadugi" w:eastAsia="Malgun Gothic" w:hAnsi="Gadugi" w:cs="Estrangelo Edessa"/>
          <w:sz w:val="24"/>
          <w:szCs w:val="24"/>
          <w:lang w:val="es-419"/>
        </w:rPr>
        <w:t xml:space="preserve">, </w:t>
      </w:r>
      <w:r w:rsidR="00A10BF8" w:rsidRPr="002D5BFC">
        <w:rPr>
          <w:rFonts w:ascii="Gadugi" w:eastAsia="Malgun Gothic" w:hAnsi="Gadugi" w:cs="Estrangelo Edessa"/>
          <w:sz w:val="24"/>
          <w:szCs w:val="24"/>
          <w:lang w:val="es-419"/>
        </w:rPr>
        <w:t>oponiéndose a la apelación y solicitando la confirmación de la sentencia de primera instancia.</w:t>
      </w:r>
    </w:p>
    <w:p w:rsidR="007A7DA4" w:rsidRPr="002D5BFC" w:rsidRDefault="007A7DA4" w:rsidP="004211B9">
      <w:pPr>
        <w:spacing w:line="276" w:lineRule="auto"/>
        <w:ind w:firstLine="2835"/>
        <w:jc w:val="both"/>
        <w:rPr>
          <w:rFonts w:ascii="Gadugi" w:eastAsia="Malgun Gothic" w:hAnsi="Gadugi" w:cs="Estrangelo Edessa"/>
          <w:sz w:val="24"/>
          <w:szCs w:val="24"/>
          <w:lang w:val="es-419"/>
        </w:rPr>
      </w:pPr>
    </w:p>
    <w:p w:rsidR="004211B9" w:rsidRPr="002D5BFC" w:rsidRDefault="004211B9" w:rsidP="004211B9">
      <w:pPr>
        <w:spacing w:line="276" w:lineRule="auto"/>
        <w:ind w:firstLine="2835"/>
        <w:jc w:val="both"/>
        <w:rPr>
          <w:rFonts w:ascii="Gadugi" w:eastAsia="Malgun Gothic" w:hAnsi="Gadugi" w:cs="Estrangelo Edessa"/>
          <w:sz w:val="24"/>
          <w:szCs w:val="24"/>
          <w:lang w:val="es-419"/>
        </w:rPr>
      </w:pPr>
    </w:p>
    <w:p w:rsidR="007A7DA4" w:rsidRPr="002D5BFC" w:rsidRDefault="007A7DA4" w:rsidP="004211B9">
      <w:pPr>
        <w:numPr>
          <w:ilvl w:val="0"/>
          <w:numId w:val="1"/>
        </w:numPr>
        <w:spacing w:line="276" w:lineRule="auto"/>
        <w:ind w:left="0" w:firstLine="2835"/>
        <w:jc w:val="both"/>
        <w:rPr>
          <w:rFonts w:ascii="Gadugi" w:eastAsia="Malgun Gothic" w:hAnsi="Gadugi" w:cs="Estrangelo Edessa"/>
          <w:b/>
          <w:bCs/>
          <w:sz w:val="24"/>
          <w:szCs w:val="24"/>
        </w:rPr>
      </w:pPr>
      <w:r w:rsidRPr="002D5BFC">
        <w:rPr>
          <w:rFonts w:ascii="Gadugi" w:eastAsia="Malgun Gothic" w:hAnsi="Gadugi" w:cs="Estrangelo Edessa"/>
          <w:b/>
          <w:bCs/>
          <w:sz w:val="24"/>
          <w:szCs w:val="24"/>
        </w:rPr>
        <w:t>CONSIDERACIONES</w:t>
      </w:r>
    </w:p>
    <w:p w:rsidR="007A7DA4" w:rsidRPr="002D5BFC" w:rsidRDefault="007A7DA4" w:rsidP="004211B9">
      <w:pPr>
        <w:spacing w:line="276" w:lineRule="auto"/>
        <w:jc w:val="both"/>
        <w:rPr>
          <w:rFonts w:ascii="Gadugi" w:eastAsia="Malgun Gothic" w:hAnsi="Gadugi" w:cs="Estrangelo Edessa"/>
          <w:bCs/>
          <w:sz w:val="24"/>
          <w:szCs w:val="24"/>
        </w:rPr>
      </w:pPr>
      <w:r w:rsidRPr="002D5BFC">
        <w:rPr>
          <w:rFonts w:ascii="Gadugi" w:eastAsia="Malgun Gothic" w:hAnsi="Gadugi" w:cs="Estrangelo Edessa"/>
          <w:sz w:val="24"/>
          <w:szCs w:val="24"/>
        </w:rPr>
        <w:t xml:space="preserve">   </w:t>
      </w:r>
      <w:r w:rsidRPr="002D5BFC">
        <w:rPr>
          <w:rFonts w:ascii="Gadugi" w:eastAsia="Malgun Gothic" w:hAnsi="Gadugi" w:cs="Estrangelo Edessa"/>
          <w:sz w:val="24"/>
          <w:szCs w:val="24"/>
        </w:rPr>
        <w:tab/>
      </w:r>
      <w:r w:rsidRPr="002D5BFC">
        <w:rPr>
          <w:rFonts w:ascii="Gadugi" w:eastAsia="Malgun Gothic" w:hAnsi="Gadugi" w:cs="Estrangelo Edessa"/>
          <w:sz w:val="24"/>
          <w:szCs w:val="24"/>
        </w:rPr>
        <w:tab/>
      </w:r>
      <w:r w:rsidRPr="002D5BFC">
        <w:rPr>
          <w:rFonts w:ascii="Gadugi" w:eastAsia="Malgun Gothic" w:hAnsi="Gadugi" w:cs="Estrangelo Edessa"/>
          <w:sz w:val="24"/>
          <w:szCs w:val="24"/>
        </w:rPr>
        <w:tab/>
      </w:r>
      <w:r w:rsidRPr="002D5BFC">
        <w:rPr>
          <w:rFonts w:ascii="Gadugi" w:eastAsia="Malgun Gothic" w:hAnsi="Gadugi" w:cs="Estrangelo Edessa"/>
          <w:sz w:val="24"/>
          <w:szCs w:val="24"/>
        </w:rPr>
        <w:tab/>
      </w:r>
      <w:r w:rsidRPr="002D5BFC">
        <w:rPr>
          <w:rFonts w:ascii="Gadugi" w:eastAsia="Malgun Gothic" w:hAnsi="Gadugi" w:cs="Estrangelo Edessa"/>
          <w:bCs/>
          <w:sz w:val="24"/>
          <w:szCs w:val="24"/>
        </w:rPr>
        <w:t xml:space="preserve"> </w:t>
      </w:r>
    </w:p>
    <w:p w:rsidR="004211B9" w:rsidRPr="002D5BFC" w:rsidRDefault="004211B9" w:rsidP="004211B9">
      <w:pPr>
        <w:spacing w:line="276" w:lineRule="auto"/>
        <w:jc w:val="both"/>
        <w:rPr>
          <w:rFonts w:ascii="Gadugi" w:eastAsia="Malgun Gothic" w:hAnsi="Gadugi" w:cs="Estrangelo Edessa"/>
          <w:bCs/>
          <w:sz w:val="24"/>
          <w:szCs w:val="24"/>
        </w:rPr>
      </w:pPr>
    </w:p>
    <w:p w:rsidR="005B0A95" w:rsidRPr="002D5BFC" w:rsidRDefault="00B531B3" w:rsidP="004211B9">
      <w:pPr>
        <w:numPr>
          <w:ilvl w:val="1"/>
          <w:numId w:val="1"/>
        </w:numPr>
        <w:spacing w:line="276" w:lineRule="auto"/>
        <w:ind w:left="0" w:firstLine="2835"/>
        <w:jc w:val="both"/>
        <w:rPr>
          <w:rFonts w:ascii="Gadugi" w:eastAsia="Malgun Gothic" w:hAnsi="Gadugi" w:cs="Estrangelo Edessa"/>
          <w:bCs/>
          <w:sz w:val="24"/>
          <w:szCs w:val="24"/>
        </w:rPr>
      </w:pPr>
      <w:r w:rsidRPr="002D5BFC">
        <w:rPr>
          <w:rFonts w:ascii="Gadugi" w:eastAsia="Malgun Gothic" w:hAnsi="Gadugi" w:cs="Estrangelo Edessa"/>
          <w:bCs/>
          <w:sz w:val="24"/>
          <w:szCs w:val="24"/>
          <w:lang w:val="es-419"/>
        </w:rPr>
        <w:t>L</w:t>
      </w:r>
      <w:r w:rsidR="007A7DA4" w:rsidRPr="002D5BFC">
        <w:rPr>
          <w:rFonts w:ascii="Gadugi" w:eastAsia="Malgun Gothic" w:hAnsi="Gadugi" w:cs="Estrangelo Edessa"/>
          <w:bCs/>
          <w:sz w:val="24"/>
          <w:szCs w:val="24"/>
          <w:lang w:val="es-419"/>
        </w:rPr>
        <w:t xml:space="preserve">os presupuestos procesales </w:t>
      </w:r>
      <w:r w:rsidRPr="002D5BFC">
        <w:rPr>
          <w:rFonts w:ascii="Gadugi" w:eastAsia="Malgun Gothic" w:hAnsi="Gadugi" w:cs="Estrangelo Edessa"/>
          <w:bCs/>
          <w:sz w:val="24"/>
          <w:szCs w:val="24"/>
          <w:lang w:val="es-419"/>
        </w:rPr>
        <w:t xml:space="preserve">formales, referidos a demanda en forma, competencia y capacidad de las partes, </w:t>
      </w:r>
      <w:r w:rsidR="007A7DA4" w:rsidRPr="002D5BFC">
        <w:rPr>
          <w:rFonts w:ascii="Gadugi" w:eastAsia="Malgun Gothic" w:hAnsi="Gadugi" w:cs="Estrangelo Edessa"/>
          <w:bCs/>
          <w:sz w:val="24"/>
          <w:szCs w:val="24"/>
          <w:lang w:val="es-419"/>
        </w:rPr>
        <w:t>se cumple</w:t>
      </w:r>
      <w:r w:rsidRPr="002D5BFC">
        <w:rPr>
          <w:rFonts w:ascii="Gadugi" w:eastAsia="Malgun Gothic" w:hAnsi="Gadugi" w:cs="Estrangelo Edessa"/>
          <w:bCs/>
          <w:sz w:val="24"/>
          <w:szCs w:val="24"/>
          <w:lang w:val="es-419"/>
        </w:rPr>
        <w:t>n</w:t>
      </w:r>
      <w:r w:rsidR="007A7DA4" w:rsidRPr="002D5BFC">
        <w:rPr>
          <w:rFonts w:ascii="Gadugi" w:eastAsia="Malgun Gothic" w:hAnsi="Gadugi" w:cs="Estrangelo Edessa"/>
          <w:bCs/>
          <w:sz w:val="24"/>
          <w:szCs w:val="24"/>
          <w:lang w:val="es-419"/>
        </w:rPr>
        <w:t xml:space="preserve"> en este caso y no se avista irregularidad alguna que pueda dar al traste con lo actuado. </w:t>
      </w:r>
    </w:p>
    <w:p w:rsidR="005B0A95" w:rsidRPr="002D5BFC" w:rsidRDefault="005B0A95" w:rsidP="004211B9">
      <w:pPr>
        <w:spacing w:line="276" w:lineRule="auto"/>
        <w:ind w:left="2835"/>
        <w:jc w:val="both"/>
        <w:rPr>
          <w:rFonts w:ascii="Gadugi" w:eastAsia="Malgun Gothic" w:hAnsi="Gadugi" w:cs="Estrangelo Edessa"/>
          <w:bCs/>
          <w:sz w:val="24"/>
          <w:szCs w:val="24"/>
        </w:rPr>
      </w:pPr>
    </w:p>
    <w:p w:rsidR="00844379" w:rsidRPr="002D5BFC" w:rsidRDefault="00F103DC" w:rsidP="004211B9">
      <w:pPr>
        <w:numPr>
          <w:ilvl w:val="1"/>
          <w:numId w:val="1"/>
        </w:numPr>
        <w:spacing w:line="276" w:lineRule="auto"/>
        <w:ind w:left="0" w:firstLine="2835"/>
        <w:jc w:val="both"/>
        <w:rPr>
          <w:rFonts w:ascii="Gadugi" w:eastAsia="Malgun Gothic" w:hAnsi="Gadugi" w:cs="Estrangelo Edessa"/>
          <w:bCs/>
          <w:sz w:val="24"/>
          <w:szCs w:val="24"/>
        </w:rPr>
      </w:pPr>
      <w:r w:rsidRPr="002D5BFC">
        <w:rPr>
          <w:rFonts w:ascii="Gadugi" w:eastAsia="Malgun Gothic" w:hAnsi="Gadugi" w:cs="Estrangelo Edessa"/>
          <w:bCs/>
          <w:sz w:val="24"/>
          <w:szCs w:val="24"/>
          <w:lang w:val="es-419"/>
        </w:rPr>
        <w:t>Acudió la demandante María Olga Durando a la figura señalada en el artículo 1325 del C. Civil, en virtud de la cual, el heredero puede hacer uso de la acción reivindicatoria</w:t>
      </w:r>
      <w:r w:rsidR="00F70175" w:rsidRPr="002D5BFC">
        <w:rPr>
          <w:rFonts w:ascii="Gadugi" w:eastAsia="Malgun Gothic" w:hAnsi="Gadugi" w:cs="Estrangelo Edessa"/>
          <w:bCs/>
          <w:sz w:val="24"/>
          <w:szCs w:val="24"/>
          <w:lang w:val="es-419"/>
        </w:rPr>
        <w:t xml:space="preserve"> sobre cosas hereditarias reivindicables que hayan pasado a terceros y no hayan sido prescritas por ellos. Esto, prevalida de la calidad de heredera de Antonio María Bedoya Mejía, </w:t>
      </w:r>
      <w:r w:rsidR="00844379" w:rsidRPr="002D5BFC">
        <w:rPr>
          <w:rFonts w:ascii="Gadugi" w:eastAsia="Malgun Gothic" w:hAnsi="Gadugi" w:cs="Estrangelo Edessa"/>
          <w:bCs/>
          <w:sz w:val="24"/>
          <w:szCs w:val="24"/>
          <w:lang w:val="es-419"/>
        </w:rPr>
        <w:t xml:space="preserve">en atención a la sentencia del 15 de abril de 2009, proferida por el Juzgado Tercero de Familia local, ratificada por esta Sala el 28 de septiembre de 2010 (f. 279 a 326, c. 1), </w:t>
      </w:r>
      <w:r w:rsidR="00F70175" w:rsidRPr="002D5BFC">
        <w:rPr>
          <w:rFonts w:ascii="Gadugi" w:eastAsia="Malgun Gothic" w:hAnsi="Gadugi" w:cs="Estrangelo Edessa"/>
          <w:bCs/>
          <w:sz w:val="24"/>
          <w:szCs w:val="24"/>
          <w:lang w:val="es-419"/>
        </w:rPr>
        <w:t xml:space="preserve">en la que se declaró </w:t>
      </w:r>
      <w:r w:rsidR="00517286" w:rsidRPr="002D5BFC">
        <w:rPr>
          <w:rFonts w:ascii="Gadugi" w:eastAsia="Malgun Gothic" w:hAnsi="Gadugi" w:cs="Estrangelo Edessa"/>
          <w:bCs/>
          <w:sz w:val="24"/>
          <w:szCs w:val="24"/>
          <w:lang w:val="es-419"/>
        </w:rPr>
        <w:t xml:space="preserve">como </w:t>
      </w:r>
      <w:r w:rsidR="00F70175" w:rsidRPr="002D5BFC">
        <w:rPr>
          <w:rFonts w:ascii="Gadugi" w:eastAsia="Malgun Gothic" w:hAnsi="Gadugi" w:cs="Estrangelo Edessa"/>
          <w:bCs/>
          <w:sz w:val="24"/>
          <w:szCs w:val="24"/>
          <w:lang w:val="es-419"/>
        </w:rPr>
        <w:t>su hija extramatrimonial, además de que se concluyó</w:t>
      </w:r>
      <w:r w:rsidR="00844379" w:rsidRPr="002D5BFC">
        <w:rPr>
          <w:rFonts w:ascii="Gadugi" w:eastAsia="Malgun Gothic" w:hAnsi="Gadugi" w:cs="Estrangelo Edessa"/>
          <w:bCs/>
          <w:sz w:val="24"/>
          <w:szCs w:val="24"/>
          <w:lang w:val="es-419"/>
        </w:rPr>
        <w:t xml:space="preserve">, simplemente, </w:t>
      </w:r>
      <w:r w:rsidR="00F70175" w:rsidRPr="002D5BFC">
        <w:rPr>
          <w:rFonts w:ascii="Gadugi" w:eastAsia="Malgun Gothic" w:hAnsi="Gadugi" w:cs="Estrangelo Edessa"/>
          <w:bCs/>
          <w:sz w:val="24"/>
          <w:szCs w:val="24"/>
          <w:lang w:val="es-419"/>
        </w:rPr>
        <w:t>que podía concurrir a la sucesión de su padre, ya fallecido</w:t>
      </w:r>
      <w:r w:rsidR="00844379" w:rsidRPr="002D5BFC">
        <w:rPr>
          <w:rFonts w:ascii="Gadugi" w:eastAsia="Malgun Gothic" w:hAnsi="Gadugi" w:cs="Estrangelo Edessa"/>
          <w:bCs/>
          <w:sz w:val="24"/>
          <w:szCs w:val="24"/>
          <w:lang w:val="es-419"/>
        </w:rPr>
        <w:t xml:space="preserve">. </w:t>
      </w:r>
    </w:p>
    <w:p w:rsidR="00844379" w:rsidRPr="002D5BFC" w:rsidRDefault="00844379" w:rsidP="004211B9">
      <w:pPr>
        <w:pStyle w:val="Prrafodelista"/>
        <w:rPr>
          <w:rFonts w:ascii="Gadugi" w:eastAsia="Malgun Gothic" w:hAnsi="Gadugi" w:cs="Estrangelo Edessa"/>
          <w:bCs/>
          <w:sz w:val="24"/>
          <w:szCs w:val="24"/>
          <w:lang w:val="es-419"/>
        </w:rPr>
      </w:pPr>
    </w:p>
    <w:p w:rsidR="00F70175" w:rsidRPr="002D5BFC" w:rsidRDefault="00844379" w:rsidP="004211B9">
      <w:pPr>
        <w:spacing w:line="276" w:lineRule="auto"/>
        <w:jc w:val="both"/>
        <w:rPr>
          <w:rFonts w:ascii="Gadugi" w:eastAsia="Malgun Gothic" w:hAnsi="Gadugi" w:cs="Estrangelo Edessa"/>
          <w:bCs/>
          <w:sz w:val="24"/>
          <w:szCs w:val="24"/>
          <w:lang w:val="es-419"/>
        </w:rPr>
      </w:pPr>
      <w:r w:rsidRPr="002D5BFC">
        <w:rPr>
          <w:rFonts w:ascii="Gadugi" w:eastAsia="Malgun Gothic" w:hAnsi="Gadugi" w:cs="Estrangelo Edessa"/>
          <w:bCs/>
          <w:sz w:val="24"/>
          <w:szCs w:val="24"/>
          <w:lang w:val="es-419"/>
        </w:rPr>
        <w:t xml:space="preserve">  </w:t>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t xml:space="preserve">Ello la legitima por activa, como bien se dijo en primera instancia, </w:t>
      </w:r>
      <w:r w:rsidR="00F70175" w:rsidRPr="002D5BFC">
        <w:rPr>
          <w:rFonts w:ascii="Gadugi" w:eastAsia="Malgun Gothic" w:hAnsi="Gadugi" w:cs="Estrangelo Edessa"/>
          <w:bCs/>
          <w:sz w:val="24"/>
          <w:szCs w:val="24"/>
          <w:lang w:val="es-419"/>
        </w:rPr>
        <w:t xml:space="preserve"> </w:t>
      </w:r>
      <w:r w:rsidRPr="002D5BFC">
        <w:rPr>
          <w:rFonts w:ascii="Gadugi" w:eastAsia="Malgun Gothic" w:hAnsi="Gadugi" w:cs="Estrangelo Edessa"/>
          <w:bCs/>
          <w:sz w:val="24"/>
          <w:szCs w:val="24"/>
          <w:lang w:val="es-419"/>
        </w:rPr>
        <w:t xml:space="preserve">y lo ha reconocido de tiempo atrás la jurisprudencia. Para reforzar lo que ya se conoce, se recuerda que: </w:t>
      </w:r>
    </w:p>
    <w:p w:rsidR="00844379" w:rsidRPr="002D5BFC" w:rsidRDefault="00844379" w:rsidP="004211B9">
      <w:pPr>
        <w:spacing w:line="276" w:lineRule="auto"/>
        <w:jc w:val="both"/>
        <w:rPr>
          <w:rFonts w:ascii="Gadugi" w:eastAsia="Malgun Gothic" w:hAnsi="Gadugi" w:cs="Estrangelo Edessa"/>
          <w:bCs/>
          <w:sz w:val="24"/>
          <w:szCs w:val="24"/>
          <w:lang w:val="es-419"/>
        </w:rPr>
      </w:pPr>
    </w:p>
    <w:p w:rsidR="00844379" w:rsidRPr="002D5BFC" w:rsidRDefault="00844379" w:rsidP="004211B9">
      <w:pPr>
        <w:ind w:left="851" w:right="900" w:firstLine="1984"/>
        <w:jc w:val="both"/>
        <w:rPr>
          <w:rFonts w:ascii="Arial Narrow" w:hAnsi="Arial Narrow"/>
          <w:sz w:val="24"/>
          <w:szCs w:val="24"/>
        </w:rPr>
      </w:pPr>
      <w:r w:rsidRPr="002D5BFC">
        <w:rPr>
          <w:rFonts w:ascii="Arial Narrow" w:hAnsi="Arial Narrow"/>
          <w:sz w:val="24"/>
          <w:szCs w:val="24"/>
          <w:lang w:val="es-419"/>
        </w:rPr>
        <w:t>…</w:t>
      </w:r>
      <w:r w:rsidRPr="002D5BFC">
        <w:rPr>
          <w:rFonts w:ascii="Arial Narrow" w:hAnsi="Arial Narrow"/>
          <w:sz w:val="24"/>
          <w:szCs w:val="24"/>
        </w:rPr>
        <w:t>puede pasar, como aquí sucedió, que las demandantes de la filiación hayan obtenido sentencia favorable en la que, además, se les haya otorgado los efectos patrimoniales que devienen de esa condición, cuando el proceso de sucesión de su padre ya había terminado o había vencido el término procesal para hacer valer sus derechos dentro del mismo, caso en el cual deben acudir a las acciones de petición de herencia, o, en su caso, a la acción reivindicatoria si los bienes han salido de manos de los herederos adjudicatarios de los bienes herenciales.</w:t>
      </w:r>
    </w:p>
    <w:p w:rsidR="00844379" w:rsidRPr="002D5BFC" w:rsidRDefault="00844379" w:rsidP="004211B9">
      <w:pPr>
        <w:ind w:left="851" w:right="900" w:firstLine="1984"/>
        <w:jc w:val="both"/>
        <w:rPr>
          <w:rFonts w:ascii="Arial Narrow" w:hAnsi="Arial Narrow"/>
          <w:sz w:val="24"/>
          <w:szCs w:val="24"/>
        </w:rPr>
      </w:pPr>
    </w:p>
    <w:p w:rsidR="00844379" w:rsidRPr="002D5BFC" w:rsidRDefault="00844379" w:rsidP="004211B9">
      <w:pPr>
        <w:ind w:left="851" w:right="900" w:firstLine="1984"/>
        <w:jc w:val="both"/>
        <w:rPr>
          <w:rFonts w:ascii="Arial Narrow" w:hAnsi="Arial Narrow"/>
          <w:sz w:val="24"/>
          <w:szCs w:val="24"/>
        </w:rPr>
      </w:pPr>
      <w:r w:rsidRPr="002D5BFC">
        <w:rPr>
          <w:rFonts w:ascii="Arial Narrow" w:hAnsi="Arial Narrow"/>
          <w:sz w:val="24"/>
          <w:szCs w:val="24"/>
        </w:rPr>
        <w:t xml:space="preserve">4.  De acuerdo con lo anterior y en lo pertinente para despachar este cargo, se debe dejar sentado, entonces, que el reconocimiento de la vocación hereditaria al hijo frente a la sucesión de su padre y de los efectos patrimoniales consiguientes que otorga la sentencia de filiación extramatrimonial, concretados en este caso en el sentido de que tienen derecho a intervenir en la sucesión de su padre, disposición enteramente superflua,  no se identifica, con la acción de petición de herencia, y mucho menos sirve para declarar que ésta ya se agotó de manera definitiva, estando los bienes relictos en poder de los herederos aparentes. </w:t>
      </w:r>
    </w:p>
    <w:p w:rsidR="00844379" w:rsidRPr="002D5BFC" w:rsidRDefault="00844379" w:rsidP="004211B9">
      <w:pPr>
        <w:ind w:left="851" w:right="900" w:firstLine="1984"/>
        <w:jc w:val="both"/>
        <w:rPr>
          <w:rFonts w:ascii="Arial Narrow" w:hAnsi="Arial Narrow"/>
          <w:sz w:val="24"/>
          <w:szCs w:val="24"/>
        </w:rPr>
      </w:pPr>
    </w:p>
    <w:p w:rsidR="00844379" w:rsidRPr="002D5BFC" w:rsidRDefault="00844379" w:rsidP="004211B9">
      <w:pPr>
        <w:ind w:left="851" w:right="900" w:firstLine="1984"/>
        <w:jc w:val="both"/>
        <w:rPr>
          <w:rFonts w:ascii="Arial Narrow" w:hAnsi="Arial Narrow"/>
          <w:sz w:val="24"/>
          <w:szCs w:val="24"/>
          <w:lang w:val="es-419"/>
        </w:rPr>
      </w:pPr>
      <w:r w:rsidRPr="002D5BFC">
        <w:rPr>
          <w:rFonts w:ascii="Arial Narrow" w:hAnsi="Arial Narrow"/>
          <w:sz w:val="24"/>
          <w:szCs w:val="24"/>
        </w:rPr>
        <w:t>En efecto, el señalamiento que hace el juez de la filiación de la vocación hereditaria que tienen los hijos extramatrimoniales de suceder a su padre y de que la sentencia produce efectos patrimoniales, no implica ni la orden de adjudicar la herencia ni la orden a los demandados de restituir las cosas hereditarias, siendo éstos los efectos propios de la acción de petición de herencia en los términos que la define el artículo 1321 del C. Civil.  Por consiguiente, si dentro del proceso de filiación no se pidió ni ordenó la adjudicación o restitución de las cosas hereditarias, le quedaba abierto el camino a las demandantes triunfantes para ejercer dicha acción frente a los herederos aparentes que están en posesión de los bienes relictos, con el fin de obtener la restitución de éstos; o en su caso la reivindicatoria frente a terceros</w:t>
      </w:r>
      <w:r w:rsidR="00E838BC" w:rsidRPr="002D5BFC">
        <w:rPr>
          <w:rStyle w:val="Refdenotaalpie"/>
          <w:rFonts w:ascii="Arial Narrow" w:hAnsi="Arial Narrow"/>
          <w:sz w:val="24"/>
          <w:szCs w:val="24"/>
        </w:rPr>
        <w:footnoteReference w:id="1"/>
      </w:r>
      <w:r w:rsidR="00E838BC" w:rsidRPr="002D5BFC">
        <w:rPr>
          <w:rFonts w:ascii="Arial Narrow" w:hAnsi="Arial Narrow"/>
          <w:sz w:val="24"/>
          <w:szCs w:val="24"/>
          <w:lang w:val="es-419"/>
        </w:rPr>
        <w:t>.</w:t>
      </w:r>
    </w:p>
    <w:p w:rsidR="00844379" w:rsidRPr="002D5BFC" w:rsidRDefault="00844379" w:rsidP="004211B9">
      <w:pPr>
        <w:spacing w:line="276" w:lineRule="auto"/>
        <w:jc w:val="both"/>
        <w:rPr>
          <w:rFonts w:ascii="Gadugi" w:eastAsia="Malgun Gothic" w:hAnsi="Gadugi" w:cs="Estrangelo Edessa"/>
          <w:bCs/>
          <w:sz w:val="24"/>
          <w:szCs w:val="24"/>
        </w:rPr>
      </w:pPr>
    </w:p>
    <w:p w:rsidR="006F299A" w:rsidRPr="002D5BFC" w:rsidRDefault="00B1096C" w:rsidP="004211B9">
      <w:pPr>
        <w:spacing w:line="276" w:lineRule="auto"/>
        <w:jc w:val="both"/>
        <w:rPr>
          <w:rFonts w:ascii="Gadugi" w:eastAsia="Malgun Gothic" w:hAnsi="Gadugi" w:cs="Estrangelo Edessa"/>
          <w:bCs/>
          <w:sz w:val="24"/>
          <w:szCs w:val="24"/>
          <w:lang w:val="es-419"/>
        </w:rPr>
      </w:pPr>
      <w:r w:rsidRPr="002D5BFC">
        <w:rPr>
          <w:rFonts w:ascii="Gadugi" w:eastAsia="Malgun Gothic" w:hAnsi="Gadugi" w:cs="Estrangelo Edessa"/>
          <w:bCs/>
          <w:sz w:val="24"/>
          <w:szCs w:val="24"/>
          <w:lang w:val="es-419"/>
        </w:rPr>
        <w:t xml:space="preserve">  </w:t>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t>Por pasiva</w:t>
      </w:r>
      <w:r w:rsidR="00AD6308" w:rsidRPr="002D5BFC">
        <w:rPr>
          <w:rFonts w:ascii="Gadugi" w:eastAsia="Malgun Gothic" w:hAnsi="Gadugi" w:cs="Estrangelo Edessa"/>
          <w:bCs/>
          <w:sz w:val="24"/>
          <w:szCs w:val="24"/>
          <w:lang w:val="es-419"/>
        </w:rPr>
        <w:t>,</w:t>
      </w:r>
      <w:r w:rsidRPr="002D5BFC">
        <w:rPr>
          <w:rFonts w:ascii="Gadugi" w:eastAsia="Malgun Gothic" w:hAnsi="Gadugi" w:cs="Estrangelo Edessa"/>
          <w:bCs/>
          <w:sz w:val="24"/>
          <w:szCs w:val="24"/>
          <w:lang w:val="es-419"/>
        </w:rPr>
        <w:t xml:space="preserve"> también se cumple la legitimación, en la medida en que, en la sucesión de Antonio María Bedoya, elevada a escritura pública 5025 de 2003, le fueron adjudicados los inmuebles con matrículas inmobiliarias 290-14043, 290-110453, 290-110362 y 290-37049, en las proporciones que correspondían al causante, a su hija legítima </w:t>
      </w:r>
      <w:r w:rsidR="006F299A" w:rsidRPr="002D5BFC">
        <w:rPr>
          <w:rFonts w:ascii="Gadugi" w:eastAsia="Malgun Gothic" w:hAnsi="Gadugi" w:cs="Estrangelo Edessa"/>
          <w:bCs/>
          <w:sz w:val="24"/>
          <w:szCs w:val="24"/>
          <w:lang w:val="es-419"/>
        </w:rPr>
        <w:t xml:space="preserve">María Adela Bedoya Bedoya, quien luego transfirió sus derechos a Miguel Antonio Velásquez Mesa y Martha Luz Marín Bedoya, el 20 de septiembre de 2004, sobre el primero de esos bienes; a Gloria Stella Marín Bedoya, el 10 de marzo de 2004, respecto de los dos siguientes; y a Edelmira </w:t>
      </w:r>
      <w:r w:rsidR="004A62A1" w:rsidRPr="002D5BFC">
        <w:rPr>
          <w:rFonts w:ascii="Gadugi" w:eastAsia="Malgun Gothic" w:hAnsi="Gadugi" w:cs="Estrangelo Edessa"/>
          <w:bCs/>
          <w:sz w:val="24"/>
          <w:szCs w:val="24"/>
          <w:lang w:val="es-419"/>
        </w:rPr>
        <w:t>Sanz</w:t>
      </w:r>
      <w:r w:rsidR="006F299A" w:rsidRPr="002D5BFC">
        <w:rPr>
          <w:rFonts w:ascii="Gadugi" w:eastAsia="Malgun Gothic" w:hAnsi="Gadugi" w:cs="Estrangelo Edessa"/>
          <w:bCs/>
          <w:sz w:val="24"/>
          <w:szCs w:val="24"/>
          <w:lang w:val="es-419"/>
        </w:rPr>
        <w:t xml:space="preserve"> de García, el 30 de marzo de 2004, en relación con el último, actos todos registrados, como fue descrito en el fallo de primer grado y se demuestra con los documentos de folios 72 a 85 del cuaderno principal. </w:t>
      </w:r>
    </w:p>
    <w:p w:rsidR="006F299A" w:rsidRPr="002D5BFC" w:rsidRDefault="006F299A" w:rsidP="004211B9">
      <w:pPr>
        <w:spacing w:line="276" w:lineRule="auto"/>
        <w:jc w:val="both"/>
        <w:rPr>
          <w:rFonts w:ascii="Gadugi" w:eastAsia="Malgun Gothic" w:hAnsi="Gadugi" w:cs="Estrangelo Edessa"/>
          <w:bCs/>
          <w:sz w:val="24"/>
          <w:szCs w:val="24"/>
          <w:lang w:val="es-419"/>
        </w:rPr>
      </w:pPr>
    </w:p>
    <w:p w:rsidR="005B629E" w:rsidRPr="002D5BFC" w:rsidRDefault="006F299A" w:rsidP="004211B9">
      <w:pPr>
        <w:spacing w:line="276" w:lineRule="auto"/>
        <w:jc w:val="both"/>
        <w:rPr>
          <w:rFonts w:ascii="Gadugi" w:eastAsia="Malgun Gothic" w:hAnsi="Gadugi" w:cs="Estrangelo Edessa"/>
          <w:bCs/>
          <w:sz w:val="24"/>
          <w:szCs w:val="24"/>
          <w:lang w:val="es-419"/>
        </w:rPr>
      </w:pPr>
      <w:r w:rsidRPr="002D5BFC">
        <w:rPr>
          <w:rFonts w:ascii="Gadugi" w:eastAsia="Malgun Gothic" w:hAnsi="Gadugi" w:cs="Estrangelo Edessa"/>
          <w:bCs/>
          <w:sz w:val="24"/>
          <w:szCs w:val="24"/>
          <w:lang w:val="es-419"/>
        </w:rPr>
        <w:t xml:space="preserve">  </w:t>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t xml:space="preserve">Es decir, que como adquirentes de tales bienes, que provienen de la sucesión del causante Bedoya Mejía, deben resistir la acción reivindicatoria iniciada. </w:t>
      </w:r>
      <w:r w:rsidR="00F70175" w:rsidRPr="002D5BFC">
        <w:rPr>
          <w:rFonts w:ascii="Gadugi" w:eastAsia="Malgun Gothic" w:hAnsi="Gadugi" w:cs="Estrangelo Edessa"/>
          <w:bCs/>
          <w:sz w:val="24"/>
          <w:szCs w:val="24"/>
          <w:lang w:val="es-419"/>
        </w:rPr>
        <w:tab/>
      </w:r>
    </w:p>
    <w:p w:rsidR="005B629E" w:rsidRPr="002D5BFC" w:rsidRDefault="005B629E" w:rsidP="004211B9">
      <w:pPr>
        <w:spacing w:line="276" w:lineRule="auto"/>
        <w:jc w:val="both"/>
        <w:rPr>
          <w:rFonts w:ascii="Gadugi" w:eastAsia="Malgun Gothic" w:hAnsi="Gadugi" w:cs="Estrangelo Edessa"/>
          <w:bCs/>
          <w:sz w:val="24"/>
          <w:szCs w:val="24"/>
          <w:lang w:val="es-419"/>
        </w:rPr>
      </w:pPr>
    </w:p>
    <w:p w:rsidR="005B629E" w:rsidRPr="002D5BFC" w:rsidRDefault="005B629E" w:rsidP="004211B9">
      <w:pPr>
        <w:spacing w:line="276" w:lineRule="auto"/>
        <w:jc w:val="both"/>
        <w:rPr>
          <w:rFonts w:ascii="Gadugi" w:eastAsia="Malgun Gothic" w:hAnsi="Gadugi" w:cs="Estrangelo Edessa"/>
          <w:bCs/>
          <w:sz w:val="24"/>
          <w:szCs w:val="24"/>
          <w:lang w:val="es-419"/>
        </w:rPr>
      </w:pPr>
      <w:r w:rsidRPr="002D5BFC">
        <w:rPr>
          <w:rFonts w:ascii="Gadugi" w:eastAsia="Malgun Gothic" w:hAnsi="Gadugi" w:cs="Estrangelo Edessa"/>
          <w:bCs/>
          <w:sz w:val="24"/>
          <w:szCs w:val="24"/>
          <w:lang w:val="es-419"/>
        </w:rPr>
        <w:lastRenderedPageBreak/>
        <w:t xml:space="preserve">  </w:t>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00E838BC" w:rsidRPr="002D5BFC">
        <w:rPr>
          <w:rFonts w:ascii="Gadugi" w:eastAsia="Malgun Gothic" w:hAnsi="Gadugi" w:cs="Estrangelo Edessa"/>
          <w:bCs/>
          <w:sz w:val="24"/>
          <w:szCs w:val="24"/>
          <w:lang w:val="es-419"/>
        </w:rPr>
        <w:t xml:space="preserve">Distinto ocurre </w:t>
      </w:r>
      <w:r w:rsidRPr="002D5BFC">
        <w:rPr>
          <w:rFonts w:ascii="Gadugi" w:eastAsia="Malgun Gothic" w:hAnsi="Gadugi" w:cs="Estrangelo Edessa"/>
          <w:bCs/>
          <w:sz w:val="24"/>
          <w:szCs w:val="24"/>
          <w:lang w:val="es-419"/>
        </w:rPr>
        <w:t>con los herederos determinados e indeterminados de María Adela Bedoya de Marín, porque de haber existido para la época de la demanda, contra ella no procedía la acción reivindicatoria instaurada, sino la de petición de herencia prevista en el artículo 1321, que aquí no se intentó,</w:t>
      </w:r>
      <w:r w:rsidR="00417FEA" w:rsidRPr="002D5BFC">
        <w:rPr>
          <w:rFonts w:ascii="Gadugi" w:eastAsia="Malgun Gothic" w:hAnsi="Gadugi" w:cs="Estrangelo Edessa"/>
          <w:bCs/>
          <w:sz w:val="24"/>
          <w:szCs w:val="24"/>
          <w:lang w:val="es-419"/>
        </w:rPr>
        <w:t xml:space="preserve"> como tampoco </w:t>
      </w:r>
      <w:r w:rsidR="00775C3A" w:rsidRPr="002D5BFC">
        <w:rPr>
          <w:rFonts w:ascii="Gadugi" w:eastAsia="Malgun Gothic" w:hAnsi="Gadugi" w:cs="Estrangelo Edessa"/>
          <w:bCs/>
          <w:sz w:val="24"/>
          <w:szCs w:val="24"/>
          <w:lang w:val="es-419"/>
        </w:rPr>
        <w:t xml:space="preserve">se acudió a la alternativa que brinda el inciso segundo del artículo 1325. </w:t>
      </w:r>
      <w:r w:rsidRPr="002D5BFC">
        <w:rPr>
          <w:rFonts w:ascii="Gadugi" w:eastAsia="Malgun Gothic" w:hAnsi="Gadugi" w:cs="Estrangelo Edessa"/>
          <w:bCs/>
          <w:sz w:val="24"/>
          <w:szCs w:val="24"/>
          <w:lang w:val="es-419"/>
        </w:rPr>
        <w:t>De lo que se trata en este caso, se insiste, es de la restitución</w:t>
      </w:r>
      <w:r w:rsidR="00775C3A" w:rsidRPr="002D5BFC">
        <w:rPr>
          <w:rFonts w:ascii="Gadugi" w:eastAsia="Malgun Gothic" w:hAnsi="Gadugi" w:cs="Estrangelo Edessa"/>
          <w:bCs/>
          <w:sz w:val="24"/>
          <w:szCs w:val="24"/>
          <w:lang w:val="es-419"/>
        </w:rPr>
        <w:t xml:space="preserve">, por vía  de la acción reivindicatoria, </w:t>
      </w:r>
      <w:r w:rsidRPr="002D5BFC">
        <w:rPr>
          <w:rFonts w:ascii="Gadugi" w:eastAsia="Malgun Gothic" w:hAnsi="Gadugi" w:cs="Estrangelo Edessa"/>
          <w:bCs/>
          <w:sz w:val="24"/>
          <w:szCs w:val="24"/>
          <w:lang w:val="es-419"/>
        </w:rPr>
        <w:t>de las cosas hereditarias que pasaron a terceros, esto es, que ya no están en la órbita del heredero al que le fueron adjudicada</w:t>
      </w:r>
      <w:r w:rsidR="00775C3A" w:rsidRPr="002D5BFC">
        <w:rPr>
          <w:rFonts w:ascii="Gadugi" w:eastAsia="Malgun Gothic" w:hAnsi="Gadugi" w:cs="Estrangelo Edessa"/>
          <w:bCs/>
          <w:sz w:val="24"/>
          <w:szCs w:val="24"/>
          <w:lang w:val="es-419"/>
        </w:rPr>
        <w:t>s</w:t>
      </w:r>
      <w:r w:rsidRPr="002D5BFC">
        <w:rPr>
          <w:rFonts w:ascii="Gadugi" w:eastAsia="Malgun Gothic" w:hAnsi="Gadugi" w:cs="Estrangelo Edessa"/>
          <w:bCs/>
          <w:sz w:val="24"/>
          <w:szCs w:val="24"/>
          <w:lang w:val="es-419"/>
        </w:rPr>
        <w:t xml:space="preserve"> en la sucesión, por lo que respecto de </w:t>
      </w:r>
      <w:r w:rsidR="00CF29F0" w:rsidRPr="002D5BFC">
        <w:rPr>
          <w:rFonts w:ascii="Gadugi" w:eastAsia="Malgun Gothic" w:hAnsi="Gadugi" w:cs="Estrangelo Edessa"/>
          <w:bCs/>
          <w:sz w:val="24"/>
          <w:szCs w:val="24"/>
          <w:lang w:val="es-419"/>
        </w:rPr>
        <w:t>Bedoya de Marín</w:t>
      </w:r>
      <w:r w:rsidRPr="002D5BFC">
        <w:rPr>
          <w:rFonts w:ascii="Gadugi" w:eastAsia="Malgun Gothic" w:hAnsi="Gadugi" w:cs="Estrangelo Edessa"/>
          <w:bCs/>
          <w:sz w:val="24"/>
          <w:szCs w:val="24"/>
          <w:lang w:val="es-419"/>
        </w:rPr>
        <w:t xml:space="preserve"> no existiría legitimación en la causa </w:t>
      </w:r>
      <w:r w:rsidR="00775C3A" w:rsidRPr="002D5BFC">
        <w:rPr>
          <w:rFonts w:ascii="Gadugi" w:eastAsia="Malgun Gothic" w:hAnsi="Gadugi" w:cs="Estrangelo Edessa"/>
          <w:bCs/>
          <w:sz w:val="24"/>
          <w:szCs w:val="24"/>
          <w:lang w:val="es-419"/>
        </w:rPr>
        <w:t xml:space="preserve">por pasiva </w:t>
      </w:r>
      <w:r w:rsidRPr="002D5BFC">
        <w:rPr>
          <w:rFonts w:ascii="Gadugi" w:eastAsia="Malgun Gothic" w:hAnsi="Gadugi" w:cs="Estrangelo Edessa"/>
          <w:bCs/>
          <w:sz w:val="24"/>
          <w:szCs w:val="24"/>
          <w:lang w:val="es-419"/>
        </w:rPr>
        <w:t xml:space="preserve">y, por tanto, tampoco frente a sus herederos. </w:t>
      </w:r>
    </w:p>
    <w:p w:rsidR="005B629E" w:rsidRPr="002D5BFC" w:rsidRDefault="005B629E" w:rsidP="004211B9">
      <w:pPr>
        <w:spacing w:line="276" w:lineRule="auto"/>
        <w:jc w:val="both"/>
        <w:rPr>
          <w:rFonts w:ascii="Gadugi" w:eastAsia="Malgun Gothic" w:hAnsi="Gadugi" w:cs="Estrangelo Edessa"/>
          <w:bCs/>
          <w:sz w:val="24"/>
          <w:szCs w:val="24"/>
          <w:lang w:val="es-419"/>
        </w:rPr>
      </w:pPr>
    </w:p>
    <w:p w:rsidR="00F70175" w:rsidRPr="002D5BFC" w:rsidRDefault="005B629E" w:rsidP="004211B9">
      <w:pPr>
        <w:pStyle w:val="Prrafodelista"/>
        <w:ind w:left="0"/>
        <w:jc w:val="both"/>
        <w:rPr>
          <w:rFonts w:ascii="Gadugi" w:eastAsia="Malgun Gothic" w:hAnsi="Gadugi" w:cs="Estrangelo Edessa"/>
          <w:bCs/>
          <w:sz w:val="24"/>
          <w:szCs w:val="24"/>
          <w:lang w:val="es-419"/>
        </w:rPr>
      </w:pPr>
      <w:r w:rsidRPr="002D5BFC">
        <w:rPr>
          <w:rFonts w:ascii="Gadugi" w:eastAsia="Malgun Gothic" w:hAnsi="Gadugi" w:cs="Estrangelo Edessa"/>
          <w:bCs/>
          <w:sz w:val="24"/>
          <w:szCs w:val="24"/>
          <w:lang w:val="es-419"/>
        </w:rPr>
        <w:t xml:space="preserve">  </w:t>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t xml:space="preserve">  </w:t>
      </w:r>
      <w:r w:rsidRPr="002D5BFC">
        <w:rPr>
          <w:rFonts w:ascii="Gadugi" w:eastAsia="Malgun Gothic" w:hAnsi="Gadugi" w:cs="Estrangelo Edessa"/>
          <w:bCs/>
          <w:sz w:val="24"/>
          <w:szCs w:val="24"/>
          <w:lang w:val="es-419"/>
        </w:rPr>
        <w:tab/>
        <w:t xml:space="preserve">Así que, en relación con tales </w:t>
      </w:r>
      <w:r w:rsidR="00CF29F0" w:rsidRPr="002D5BFC">
        <w:rPr>
          <w:rFonts w:ascii="Gadugi" w:eastAsia="Malgun Gothic" w:hAnsi="Gadugi" w:cs="Estrangelo Edessa"/>
          <w:bCs/>
          <w:sz w:val="24"/>
          <w:szCs w:val="24"/>
          <w:lang w:val="es-419"/>
        </w:rPr>
        <w:t>herederos</w:t>
      </w:r>
      <w:r w:rsidRPr="002D5BFC">
        <w:rPr>
          <w:rFonts w:ascii="Gadugi" w:eastAsia="Malgun Gothic" w:hAnsi="Gadugi" w:cs="Estrangelo Edessa"/>
          <w:bCs/>
          <w:sz w:val="24"/>
          <w:szCs w:val="24"/>
          <w:lang w:val="es-419"/>
        </w:rPr>
        <w:t>, las pretensiones tenían qué fracasar por esta razón, antes que por la que fue analizada por el despacho</w:t>
      </w:r>
      <w:r w:rsidR="00CF29F0" w:rsidRPr="002D5BFC">
        <w:rPr>
          <w:rFonts w:ascii="Gadugi" w:eastAsia="Malgun Gothic" w:hAnsi="Gadugi" w:cs="Estrangelo Edessa"/>
          <w:bCs/>
          <w:sz w:val="24"/>
          <w:szCs w:val="24"/>
          <w:lang w:val="es-419"/>
        </w:rPr>
        <w:t xml:space="preserve">, que se circunscribió a la buena fe. </w:t>
      </w:r>
      <w:r w:rsidRPr="002D5BFC">
        <w:rPr>
          <w:rFonts w:ascii="Gadugi" w:eastAsia="Malgun Gothic" w:hAnsi="Gadugi" w:cs="Estrangelo Edessa"/>
          <w:bCs/>
          <w:sz w:val="24"/>
          <w:szCs w:val="24"/>
          <w:lang w:val="es-419"/>
        </w:rPr>
        <w:t xml:space="preserve">  </w:t>
      </w:r>
    </w:p>
    <w:p w:rsidR="005B629E" w:rsidRPr="002D5BFC" w:rsidRDefault="005B629E" w:rsidP="004211B9">
      <w:pPr>
        <w:pStyle w:val="Prrafodelista"/>
        <w:ind w:left="0"/>
        <w:rPr>
          <w:rFonts w:ascii="Gadugi" w:eastAsia="Malgun Gothic" w:hAnsi="Gadugi" w:cs="Estrangelo Edessa"/>
          <w:bCs/>
          <w:sz w:val="24"/>
          <w:szCs w:val="24"/>
          <w:lang w:val="es-419"/>
        </w:rPr>
      </w:pPr>
    </w:p>
    <w:p w:rsidR="00AD6308" w:rsidRPr="002D5BFC" w:rsidRDefault="005B629E" w:rsidP="004211B9">
      <w:pPr>
        <w:numPr>
          <w:ilvl w:val="1"/>
          <w:numId w:val="1"/>
        </w:numPr>
        <w:spacing w:line="276" w:lineRule="auto"/>
        <w:ind w:left="0" w:firstLine="2835"/>
        <w:jc w:val="both"/>
        <w:rPr>
          <w:rFonts w:ascii="Gadugi" w:eastAsia="Malgun Gothic" w:hAnsi="Gadugi" w:cs="Estrangelo Edessa"/>
          <w:bCs/>
          <w:sz w:val="24"/>
          <w:szCs w:val="24"/>
        </w:rPr>
      </w:pPr>
      <w:r w:rsidRPr="002D5BFC">
        <w:rPr>
          <w:rFonts w:ascii="Gadugi" w:eastAsia="Malgun Gothic" w:hAnsi="Gadugi" w:cs="Estrangelo Edessa"/>
          <w:bCs/>
          <w:sz w:val="24"/>
          <w:szCs w:val="24"/>
          <w:lang w:val="es-419"/>
        </w:rPr>
        <w:t>Dilucidado lo anterior, conviene precisar otro</w:t>
      </w:r>
      <w:r w:rsidR="00AD6308" w:rsidRPr="002D5BFC">
        <w:rPr>
          <w:rFonts w:ascii="Gadugi" w:eastAsia="Malgun Gothic" w:hAnsi="Gadugi" w:cs="Estrangelo Edessa"/>
          <w:bCs/>
          <w:sz w:val="24"/>
          <w:szCs w:val="24"/>
          <w:lang w:val="es-419"/>
        </w:rPr>
        <w:t>s dos aspectos</w:t>
      </w:r>
      <w:r w:rsidRPr="002D5BFC">
        <w:rPr>
          <w:rFonts w:ascii="Gadugi" w:eastAsia="Malgun Gothic" w:hAnsi="Gadugi" w:cs="Estrangelo Edessa"/>
          <w:bCs/>
          <w:sz w:val="24"/>
          <w:szCs w:val="24"/>
          <w:lang w:val="es-419"/>
        </w:rPr>
        <w:t xml:space="preserve">. </w:t>
      </w:r>
    </w:p>
    <w:p w:rsidR="00AD6308" w:rsidRPr="002D5BFC" w:rsidRDefault="00AD6308" w:rsidP="004211B9">
      <w:pPr>
        <w:spacing w:line="276" w:lineRule="auto"/>
        <w:jc w:val="both"/>
        <w:rPr>
          <w:rFonts w:ascii="Gadugi" w:eastAsia="Malgun Gothic" w:hAnsi="Gadugi" w:cs="Estrangelo Edessa"/>
          <w:bCs/>
          <w:sz w:val="24"/>
          <w:szCs w:val="24"/>
        </w:rPr>
      </w:pPr>
    </w:p>
    <w:p w:rsidR="00164219" w:rsidRPr="002D5BFC" w:rsidRDefault="00AD6308" w:rsidP="004211B9">
      <w:pPr>
        <w:spacing w:line="276" w:lineRule="auto"/>
        <w:jc w:val="both"/>
        <w:rPr>
          <w:rFonts w:ascii="Gadugi" w:eastAsia="Malgun Gothic" w:hAnsi="Gadugi" w:cs="Estrangelo Edessa"/>
          <w:bCs/>
          <w:sz w:val="24"/>
          <w:szCs w:val="24"/>
        </w:rPr>
      </w:pPr>
      <w:r w:rsidRPr="002D5BFC">
        <w:rPr>
          <w:rFonts w:ascii="Gadugi" w:eastAsia="Malgun Gothic" w:hAnsi="Gadugi" w:cs="Estrangelo Edessa"/>
          <w:bCs/>
          <w:sz w:val="24"/>
          <w:szCs w:val="24"/>
          <w:lang w:val="es-419"/>
        </w:rPr>
        <w:t xml:space="preserve">  </w:t>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t>El primero, que e</w:t>
      </w:r>
      <w:r w:rsidR="005B629E" w:rsidRPr="002D5BFC">
        <w:rPr>
          <w:rFonts w:ascii="Gadugi" w:eastAsia="Malgun Gothic" w:hAnsi="Gadugi" w:cs="Estrangelo Edessa"/>
          <w:bCs/>
          <w:sz w:val="24"/>
          <w:szCs w:val="24"/>
          <w:lang w:val="es-419"/>
        </w:rPr>
        <w:t xml:space="preserve">l Juzgado negó las pretensiones de la demandante, porque, tras hallar que se cumplían los presupuestos </w:t>
      </w:r>
      <w:r w:rsidR="00164219" w:rsidRPr="002D5BFC">
        <w:rPr>
          <w:rFonts w:ascii="Gadugi" w:eastAsia="Malgun Gothic" w:hAnsi="Gadugi" w:cs="Estrangelo Edessa"/>
          <w:bCs/>
          <w:sz w:val="24"/>
          <w:szCs w:val="24"/>
          <w:lang w:val="es-419"/>
        </w:rPr>
        <w:t xml:space="preserve">generales </w:t>
      </w:r>
      <w:r w:rsidR="005B629E" w:rsidRPr="002D5BFC">
        <w:rPr>
          <w:rFonts w:ascii="Gadugi" w:eastAsia="Malgun Gothic" w:hAnsi="Gadugi" w:cs="Estrangelo Edessa"/>
          <w:bCs/>
          <w:sz w:val="24"/>
          <w:szCs w:val="24"/>
          <w:lang w:val="es-419"/>
        </w:rPr>
        <w:t xml:space="preserve">del artículo 1325 del estatuto civil, </w:t>
      </w:r>
      <w:r w:rsidR="00220B35" w:rsidRPr="002D5BFC">
        <w:rPr>
          <w:rFonts w:ascii="Gadugi" w:eastAsia="Malgun Gothic" w:hAnsi="Gadugi" w:cs="Estrangelo Edessa"/>
          <w:bCs/>
          <w:sz w:val="24"/>
          <w:szCs w:val="24"/>
          <w:lang w:val="es-419"/>
        </w:rPr>
        <w:t xml:space="preserve">dedujo que los demandados actuaron todos de buena fe al momento de comprar los bienes y, por tanto, </w:t>
      </w:r>
      <w:r w:rsidR="00164219" w:rsidRPr="002D5BFC">
        <w:rPr>
          <w:rFonts w:ascii="Gadugi" w:eastAsia="Malgun Gothic" w:hAnsi="Gadugi" w:cs="Estrangelo Edessa"/>
          <w:bCs/>
          <w:sz w:val="24"/>
          <w:szCs w:val="24"/>
          <w:lang w:val="es-419"/>
        </w:rPr>
        <w:t xml:space="preserve">ninguna restitución debían hacer a la heredera; por ello, declaró probadas las excepciones denominadas </w:t>
      </w:r>
      <w:r w:rsidR="00164219" w:rsidRPr="002D5BFC">
        <w:rPr>
          <w:rFonts w:ascii="Gadugi" w:eastAsia="Malgun Gothic" w:hAnsi="Gadugi" w:cs="Estrangelo Edessa"/>
          <w:bCs/>
          <w:i/>
          <w:sz w:val="24"/>
          <w:szCs w:val="24"/>
          <w:lang w:val="es-419"/>
        </w:rPr>
        <w:t>“buena fe y error común crea derecho”, “buena fe exenta de culpa y justo título”</w:t>
      </w:r>
      <w:r w:rsidR="00164219" w:rsidRPr="002D5BFC">
        <w:rPr>
          <w:rFonts w:ascii="Gadugi" w:eastAsia="Malgun Gothic" w:hAnsi="Gadugi" w:cs="Estrangelo Edessa"/>
          <w:bCs/>
          <w:sz w:val="24"/>
          <w:szCs w:val="24"/>
          <w:lang w:val="es-419"/>
        </w:rPr>
        <w:t xml:space="preserve">, y </w:t>
      </w:r>
      <w:r w:rsidR="00164219" w:rsidRPr="002D5BFC">
        <w:rPr>
          <w:rFonts w:ascii="Gadugi" w:eastAsia="Malgun Gothic" w:hAnsi="Gadugi" w:cs="Estrangelo Edessa"/>
          <w:bCs/>
          <w:i/>
          <w:sz w:val="24"/>
          <w:szCs w:val="24"/>
          <w:lang w:val="es-419"/>
        </w:rPr>
        <w:t xml:space="preserve">“ser inoponible la presente acción al adquirente de buena fe”. </w:t>
      </w:r>
    </w:p>
    <w:p w:rsidR="00164219" w:rsidRPr="002D5BFC" w:rsidRDefault="00164219" w:rsidP="004211B9">
      <w:pPr>
        <w:spacing w:line="276" w:lineRule="auto"/>
        <w:ind w:left="2880"/>
        <w:jc w:val="both"/>
        <w:rPr>
          <w:rFonts w:ascii="Gadugi" w:eastAsia="Malgun Gothic" w:hAnsi="Gadugi" w:cs="Estrangelo Edessa"/>
          <w:bCs/>
          <w:sz w:val="24"/>
          <w:szCs w:val="24"/>
        </w:rPr>
      </w:pPr>
    </w:p>
    <w:p w:rsidR="00164219" w:rsidRPr="002D5BFC" w:rsidRDefault="00670002" w:rsidP="004211B9">
      <w:pPr>
        <w:spacing w:line="276" w:lineRule="auto"/>
        <w:jc w:val="both"/>
        <w:rPr>
          <w:rFonts w:ascii="Gadugi" w:eastAsia="Malgun Gothic" w:hAnsi="Gadugi" w:cs="Estrangelo Edessa"/>
          <w:bCs/>
          <w:sz w:val="24"/>
          <w:szCs w:val="24"/>
          <w:lang w:val="es-419"/>
        </w:rPr>
      </w:pPr>
      <w:r w:rsidRPr="002D5BFC">
        <w:rPr>
          <w:rFonts w:ascii="Gadugi" w:eastAsia="Malgun Gothic" w:hAnsi="Gadugi" w:cs="Estrangelo Edessa"/>
          <w:bCs/>
          <w:sz w:val="24"/>
          <w:szCs w:val="24"/>
          <w:lang w:val="es-419"/>
        </w:rPr>
        <w:t xml:space="preserve">  </w:t>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00164219" w:rsidRPr="002D5BFC">
        <w:rPr>
          <w:rFonts w:ascii="Gadugi" w:eastAsia="Malgun Gothic" w:hAnsi="Gadugi" w:cs="Estrangelo Edessa"/>
          <w:bCs/>
          <w:sz w:val="24"/>
          <w:szCs w:val="24"/>
          <w:lang w:val="es-419"/>
        </w:rPr>
        <w:t xml:space="preserve">Para ello, siguió de cerca la posición más reciente asumida por la Sala de Casación Civil de la Corte en esta materia, </w:t>
      </w:r>
      <w:r w:rsidRPr="002D5BFC">
        <w:rPr>
          <w:rFonts w:ascii="Gadugi" w:eastAsia="Malgun Gothic" w:hAnsi="Gadugi" w:cs="Estrangelo Edessa"/>
          <w:bCs/>
          <w:sz w:val="24"/>
          <w:szCs w:val="24"/>
          <w:lang w:val="es-419"/>
        </w:rPr>
        <w:t>en sentencia del 16 de agosto de 2007, radicado</w:t>
      </w:r>
      <w:r w:rsidRPr="002D5BFC">
        <w:rPr>
          <w:rFonts w:ascii="Gadugi" w:hAnsi="Gadugi" w:cs="Arial"/>
          <w:sz w:val="24"/>
          <w:szCs w:val="24"/>
          <w:u w:val="single"/>
        </w:rPr>
        <w:t xml:space="preserve"> </w:t>
      </w:r>
      <w:r w:rsidRPr="002D5BFC">
        <w:rPr>
          <w:rFonts w:ascii="Gadugi" w:hAnsi="Gadugi" w:cs="Arial"/>
          <w:sz w:val="24"/>
          <w:szCs w:val="24"/>
        </w:rPr>
        <w:t>25875 31 84 001 1994 00200 01</w:t>
      </w:r>
      <w:r w:rsidRPr="002D5BFC">
        <w:rPr>
          <w:rFonts w:ascii="Gadugi" w:hAnsi="Gadugi" w:cs="Arial"/>
          <w:sz w:val="24"/>
          <w:szCs w:val="24"/>
          <w:lang w:val="es-419"/>
        </w:rPr>
        <w:t xml:space="preserve">, con ponencia del Magistrado Pedro Octavio Munar Cadena, </w:t>
      </w:r>
      <w:r w:rsidR="00164219" w:rsidRPr="002D5BFC">
        <w:rPr>
          <w:rFonts w:ascii="Gadugi" w:eastAsia="Malgun Gothic" w:hAnsi="Gadugi" w:cs="Estrangelo Edessa"/>
          <w:bCs/>
          <w:sz w:val="24"/>
          <w:szCs w:val="24"/>
          <w:lang w:val="es-419"/>
        </w:rPr>
        <w:t>que, luego de un amplio análisis de los principios generales del derecho, y centrando su estudio en la buena fe, dijo</w:t>
      </w:r>
      <w:r w:rsidRPr="002D5BFC">
        <w:rPr>
          <w:rFonts w:ascii="Gadugi" w:eastAsia="Malgun Gothic" w:hAnsi="Gadugi" w:cs="Estrangelo Edessa"/>
          <w:bCs/>
          <w:sz w:val="24"/>
          <w:szCs w:val="24"/>
          <w:lang w:val="es-419"/>
        </w:rPr>
        <w:t>,</w:t>
      </w:r>
      <w:r w:rsidR="00164219" w:rsidRPr="002D5BFC">
        <w:rPr>
          <w:rFonts w:ascii="Gadugi" w:eastAsia="Malgun Gothic" w:hAnsi="Gadugi" w:cs="Estrangelo Edessa"/>
          <w:bCs/>
          <w:sz w:val="24"/>
          <w:szCs w:val="24"/>
          <w:lang w:val="es-419"/>
        </w:rPr>
        <w:t xml:space="preserve"> para un caso similar al presente que: </w:t>
      </w:r>
    </w:p>
    <w:p w:rsidR="00670002" w:rsidRPr="002D5BFC" w:rsidRDefault="00670002" w:rsidP="004211B9">
      <w:pPr>
        <w:ind w:left="851" w:right="900" w:firstLine="1984"/>
        <w:jc w:val="both"/>
        <w:rPr>
          <w:rFonts w:ascii="Arial Narrow" w:hAnsi="Arial Narrow" w:cs="Arial"/>
          <w:sz w:val="24"/>
          <w:szCs w:val="24"/>
          <w:lang w:val="es-419"/>
        </w:rPr>
      </w:pPr>
    </w:p>
    <w:p w:rsidR="00164219" w:rsidRPr="002D5BFC" w:rsidRDefault="00670002" w:rsidP="004211B9">
      <w:pPr>
        <w:ind w:left="851" w:right="900" w:firstLine="1984"/>
        <w:jc w:val="both"/>
        <w:rPr>
          <w:rFonts w:ascii="Arial Narrow" w:hAnsi="Arial Narrow" w:cs="Arial"/>
          <w:sz w:val="24"/>
          <w:szCs w:val="24"/>
          <w:lang w:val="es-MX"/>
        </w:rPr>
      </w:pPr>
      <w:r w:rsidRPr="002D5BFC">
        <w:rPr>
          <w:rFonts w:ascii="Arial Narrow" w:hAnsi="Arial Narrow" w:cs="Arial"/>
          <w:sz w:val="24"/>
          <w:szCs w:val="24"/>
          <w:lang w:val="es-419"/>
        </w:rPr>
        <w:t>…</w:t>
      </w:r>
      <w:r w:rsidR="00164219" w:rsidRPr="002D5BFC">
        <w:rPr>
          <w:rFonts w:ascii="Arial Narrow" w:hAnsi="Arial Narrow" w:cs="Arial"/>
          <w:sz w:val="24"/>
          <w:szCs w:val="24"/>
        </w:rPr>
        <w:t xml:space="preserve">si quisieran aplicarse con rigor exegético los artículos 752, 946, 963 y 1325, entre otros, del Código Civil, habría que contestar afirmativamente </w:t>
      </w:r>
      <w:r w:rsidR="00164219" w:rsidRPr="002D5BFC">
        <w:rPr>
          <w:rFonts w:ascii="Arial Narrow" w:hAnsi="Arial Narrow" w:cs="Arial"/>
          <w:sz w:val="24"/>
          <w:szCs w:val="24"/>
          <w:lang w:val="es-MX"/>
        </w:rPr>
        <w:t xml:space="preserve">esa pregunta, ya que, se diría, como los enajenantes no eran en realidad herederos, no tenían tampoco ningún derecho sobre los bienes hereditarios, luego mal podrían transmitirlos a terceros. Pero esta respuesta, además de simplista, es inadmisible, amén que hiere principios hondamente arraigados en el ordenamiento, a los que aquí ya se ha hecho alusión, y que constituyen su nervio fundamental; por supuesto que se trata de una solución anarquizante, que además de lesionar gravemente al tercero que ha contratado </w:t>
      </w:r>
      <w:r w:rsidR="00164219" w:rsidRPr="002D5BFC">
        <w:rPr>
          <w:rFonts w:ascii="Arial Narrow" w:hAnsi="Arial Narrow" w:cs="Arial"/>
          <w:sz w:val="24"/>
          <w:szCs w:val="24"/>
          <w:lang w:val="es-MX"/>
        </w:rPr>
        <w:lastRenderedPageBreak/>
        <w:t xml:space="preserve">de buena fe y a título oneroso, introduce un factor de incertidumbre en todos aquellos títulos de propiedad (que son muchedumbre), en los que figure como antecedente del dominio alguna transmisión hereditaria. No habría en esta hipótesis títulos perfectos, ni estaría nadie exento, por más precavido que fuera, del evento de ser despojado de su derecho. </w:t>
      </w:r>
    </w:p>
    <w:p w:rsidR="00670002" w:rsidRPr="002D5BFC" w:rsidRDefault="00670002" w:rsidP="004211B9">
      <w:pPr>
        <w:ind w:left="851" w:right="900" w:firstLine="1984"/>
        <w:jc w:val="both"/>
        <w:rPr>
          <w:rFonts w:ascii="Arial Narrow" w:hAnsi="Arial Narrow" w:cs="Arial"/>
          <w:sz w:val="24"/>
          <w:szCs w:val="24"/>
          <w:lang w:val="es-MX"/>
        </w:rPr>
      </w:pPr>
    </w:p>
    <w:p w:rsidR="00D0484F" w:rsidRPr="002D5BFC" w:rsidRDefault="00670002" w:rsidP="004211B9">
      <w:pPr>
        <w:spacing w:line="276" w:lineRule="auto"/>
        <w:jc w:val="both"/>
        <w:rPr>
          <w:rFonts w:ascii="Gadugi" w:eastAsia="Malgun Gothic" w:hAnsi="Gadugi" w:cs="Estrangelo Edessa"/>
          <w:bCs/>
          <w:sz w:val="24"/>
          <w:szCs w:val="24"/>
          <w:lang w:val="es-419"/>
        </w:rPr>
      </w:pPr>
      <w:r w:rsidRPr="002D5BFC">
        <w:rPr>
          <w:rFonts w:ascii="Gadugi" w:eastAsia="Malgun Gothic" w:hAnsi="Gadugi" w:cs="Estrangelo Edessa"/>
          <w:bCs/>
          <w:sz w:val="24"/>
          <w:szCs w:val="24"/>
          <w:lang w:val="es-419"/>
        </w:rPr>
        <w:t xml:space="preserve">  </w:t>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004C32CE" w:rsidRPr="002D5BFC">
        <w:rPr>
          <w:rFonts w:ascii="Gadugi" w:eastAsia="Malgun Gothic" w:hAnsi="Gadugi" w:cs="Estrangelo Edessa"/>
          <w:bCs/>
          <w:sz w:val="24"/>
          <w:szCs w:val="24"/>
          <w:lang w:val="es-419"/>
        </w:rPr>
        <w:t xml:space="preserve">Criterio que </w:t>
      </w:r>
      <w:r w:rsidR="00F162A8" w:rsidRPr="002D5BFC">
        <w:rPr>
          <w:rFonts w:ascii="Gadugi" w:eastAsia="Malgun Gothic" w:hAnsi="Gadugi" w:cs="Estrangelo Edessa"/>
          <w:bCs/>
          <w:sz w:val="24"/>
          <w:szCs w:val="24"/>
          <w:lang w:val="es-419"/>
        </w:rPr>
        <w:t xml:space="preserve">comparte </w:t>
      </w:r>
      <w:r w:rsidRPr="002D5BFC">
        <w:rPr>
          <w:rFonts w:ascii="Gadugi" w:eastAsia="Malgun Gothic" w:hAnsi="Gadugi" w:cs="Estrangelo Edessa"/>
          <w:bCs/>
          <w:sz w:val="24"/>
          <w:szCs w:val="24"/>
          <w:lang w:val="es-419"/>
        </w:rPr>
        <w:t>la doctrina</w:t>
      </w:r>
      <w:r w:rsidR="00B134C5" w:rsidRPr="002D5BFC">
        <w:rPr>
          <w:rFonts w:ascii="Gadugi" w:eastAsia="Malgun Gothic" w:hAnsi="Gadugi" w:cs="Estrangelo Edessa"/>
          <w:bCs/>
          <w:sz w:val="24"/>
          <w:szCs w:val="24"/>
          <w:lang w:val="es-419"/>
        </w:rPr>
        <w:t>. Lafont Pianetta</w:t>
      </w:r>
      <w:r w:rsidR="00B134C5" w:rsidRPr="002D5BFC">
        <w:rPr>
          <w:rStyle w:val="Refdenotaalpie"/>
          <w:rFonts w:ascii="Gadugi" w:eastAsia="Malgun Gothic" w:hAnsi="Gadugi"/>
          <w:bCs/>
          <w:sz w:val="24"/>
          <w:szCs w:val="24"/>
          <w:lang w:val="es-419"/>
        </w:rPr>
        <w:footnoteReference w:id="2"/>
      </w:r>
      <w:r w:rsidR="00B134C5" w:rsidRPr="002D5BFC">
        <w:rPr>
          <w:rFonts w:ascii="Gadugi" w:eastAsia="Malgun Gothic" w:hAnsi="Gadugi" w:cs="Estrangelo Edessa"/>
          <w:bCs/>
          <w:sz w:val="24"/>
          <w:szCs w:val="24"/>
          <w:lang w:val="es-419"/>
        </w:rPr>
        <w:t xml:space="preserve">, por ejemplo, </w:t>
      </w:r>
      <w:r w:rsidR="004C32CE" w:rsidRPr="002D5BFC">
        <w:rPr>
          <w:rFonts w:ascii="Gadugi" w:eastAsia="Malgun Gothic" w:hAnsi="Gadugi" w:cs="Estrangelo Edessa"/>
          <w:bCs/>
          <w:sz w:val="24"/>
          <w:szCs w:val="24"/>
          <w:lang w:val="es-419"/>
        </w:rPr>
        <w:t xml:space="preserve">señala que </w:t>
      </w:r>
      <w:r w:rsidR="004C32CE" w:rsidRPr="002D5BFC">
        <w:rPr>
          <w:rFonts w:ascii="Gadugi" w:eastAsia="Malgun Gothic" w:hAnsi="Gadugi" w:cs="Estrangelo Edessa"/>
          <w:bCs/>
          <w:i/>
          <w:sz w:val="24"/>
          <w:szCs w:val="24"/>
          <w:lang w:val="es-419"/>
        </w:rPr>
        <w:t>“Esta acción prospera contra todo tercero, excepto contra quienes obraron con buena fe invencible y exenta de culpa en la adquisición del bien…</w:t>
      </w:r>
      <w:r w:rsidR="004C32CE" w:rsidRPr="002D5BFC">
        <w:rPr>
          <w:rFonts w:ascii="Gadugi" w:eastAsia="Malgun Gothic" w:hAnsi="Gadugi" w:cs="Estrangelo Edessa"/>
          <w:bCs/>
          <w:sz w:val="24"/>
          <w:szCs w:val="24"/>
          <w:lang w:val="es-419"/>
        </w:rPr>
        <w:t>”</w:t>
      </w:r>
      <w:r w:rsidR="00B134C5" w:rsidRPr="002D5BFC">
        <w:rPr>
          <w:rFonts w:ascii="Gadugi" w:eastAsia="Malgun Gothic" w:hAnsi="Gadugi" w:cs="Estrangelo Edessa"/>
          <w:bCs/>
          <w:sz w:val="24"/>
          <w:szCs w:val="24"/>
          <w:lang w:val="es-419"/>
        </w:rPr>
        <w:t xml:space="preserve">, porque </w:t>
      </w:r>
      <w:r w:rsidR="00B134C5" w:rsidRPr="002D5BFC">
        <w:rPr>
          <w:rFonts w:ascii="Gadugi" w:eastAsia="Malgun Gothic" w:hAnsi="Gadugi" w:cs="Estrangelo Edessa"/>
          <w:bCs/>
          <w:i/>
          <w:sz w:val="24"/>
          <w:szCs w:val="24"/>
          <w:lang w:val="es-419"/>
        </w:rPr>
        <w:t>“…si el tercero cree honrada y honestamente que dicho heredero aparente</w:t>
      </w:r>
      <w:r w:rsidR="00D0484F" w:rsidRPr="002D5BFC">
        <w:rPr>
          <w:rFonts w:ascii="Gadugi" w:eastAsia="Malgun Gothic" w:hAnsi="Gadugi" w:cs="Estrangelo Edessa"/>
          <w:bCs/>
          <w:i/>
          <w:sz w:val="24"/>
          <w:szCs w:val="24"/>
          <w:lang w:val="es-419"/>
        </w:rPr>
        <w:t xml:space="preserve"> es el propietario de tales bienes, y, en consecuencia, celebra con él contrato o acto para su adquisición, con la convicción de que se encuentra adquiriendo dichos bienes conforme a la ley, no hay la menor duda de que este tercero ha obrado con buena fe invencible o exenta de culpa (inc. 2° del art. 768 C.C.)...”</w:t>
      </w:r>
      <w:r w:rsidR="00D0484F" w:rsidRPr="002D5BFC">
        <w:rPr>
          <w:rFonts w:ascii="Gadugi" w:eastAsia="Malgun Gothic" w:hAnsi="Gadugi" w:cs="Estrangelo Edessa"/>
          <w:bCs/>
          <w:sz w:val="24"/>
          <w:szCs w:val="24"/>
          <w:lang w:val="es-419"/>
        </w:rPr>
        <w:t>.</w:t>
      </w:r>
    </w:p>
    <w:p w:rsidR="00D0484F" w:rsidRPr="002D5BFC" w:rsidRDefault="00D0484F" w:rsidP="004211B9">
      <w:pPr>
        <w:spacing w:line="276" w:lineRule="auto"/>
        <w:jc w:val="both"/>
        <w:rPr>
          <w:rFonts w:ascii="Gadugi" w:eastAsia="Malgun Gothic" w:hAnsi="Gadugi" w:cs="Estrangelo Edessa"/>
          <w:bCs/>
          <w:i/>
          <w:sz w:val="24"/>
          <w:szCs w:val="24"/>
          <w:lang w:val="es-419"/>
        </w:rPr>
      </w:pPr>
    </w:p>
    <w:p w:rsidR="00D0484F" w:rsidRPr="002D5BFC" w:rsidRDefault="00D0484F" w:rsidP="004211B9">
      <w:pPr>
        <w:spacing w:line="276" w:lineRule="auto"/>
        <w:jc w:val="both"/>
        <w:rPr>
          <w:rFonts w:ascii="Gadugi" w:eastAsia="Malgun Gothic" w:hAnsi="Gadugi" w:cs="Estrangelo Edessa"/>
          <w:bCs/>
          <w:sz w:val="24"/>
          <w:szCs w:val="24"/>
          <w:lang w:val="es-419"/>
        </w:rPr>
      </w:pPr>
      <w:r w:rsidRPr="002D5BFC">
        <w:rPr>
          <w:rFonts w:ascii="Gadugi" w:eastAsia="Malgun Gothic" w:hAnsi="Gadugi" w:cs="Estrangelo Edessa"/>
          <w:bCs/>
          <w:sz w:val="24"/>
          <w:szCs w:val="24"/>
          <w:lang w:val="es-419"/>
        </w:rPr>
        <w:t xml:space="preserve"> </w:t>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t xml:space="preserve">En su Casuística en Sucesiones, Jhon Eisenhower Ramírez Sánchez menciona que </w:t>
      </w:r>
      <w:r w:rsidRPr="002D5BFC">
        <w:rPr>
          <w:rFonts w:ascii="Gadugi" w:eastAsia="Malgun Gothic" w:hAnsi="Gadugi" w:cs="Estrangelo Edessa"/>
          <w:bCs/>
          <w:i/>
          <w:sz w:val="24"/>
          <w:szCs w:val="24"/>
          <w:lang w:val="es-419"/>
        </w:rPr>
        <w:t>“La Corte Suprema autoriza a que el heredero libremente escoja otro camino: en vez de reivindicar, puede pedir condena por suma de dinero, con indexación e intereses, esto es, lo que vale su derecho a la fecha de la sentencia que le reconoce su vocación herencial… La variable obedece a que se corre el riesgo -con la reivindicación-, de perderlo todo, porque el tercero puede alegar en su defensa ser adquirente de buena fe, debiendo recibir la protección del Estado, en un fallo que le favorece. Naturalmente, ha de probarla”</w:t>
      </w:r>
      <w:r w:rsidRPr="002D5BFC">
        <w:rPr>
          <w:rStyle w:val="Refdenotaalpie"/>
          <w:rFonts w:ascii="Gadugi" w:eastAsia="Malgun Gothic" w:hAnsi="Gadugi"/>
          <w:bCs/>
          <w:sz w:val="24"/>
          <w:szCs w:val="24"/>
          <w:lang w:val="es-419"/>
        </w:rPr>
        <w:footnoteReference w:id="3"/>
      </w:r>
      <w:r w:rsidRPr="002D5BFC">
        <w:rPr>
          <w:rFonts w:ascii="Gadugi" w:eastAsia="Malgun Gothic" w:hAnsi="Gadugi" w:cs="Estrangelo Edessa"/>
          <w:bCs/>
          <w:sz w:val="24"/>
          <w:szCs w:val="24"/>
          <w:lang w:val="es-419"/>
        </w:rPr>
        <w:t>.</w:t>
      </w:r>
    </w:p>
    <w:p w:rsidR="00D0484F" w:rsidRPr="002D5BFC" w:rsidRDefault="00D0484F" w:rsidP="004211B9">
      <w:pPr>
        <w:spacing w:line="276" w:lineRule="auto"/>
        <w:jc w:val="both"/>
        <w:rPr>
          <w:rFonts w:ascii="Gadugi" w:eastAsia="Malgun Gothic" w:hAnsi="Gadugi" w:cs="Estrangelo Edessa"/>
          <w:bCs/>
          <w:i/>
          <w:sz w:val="24"/>
          <w:szCs w:val="24"/>
          <w:lang w:val="es-419"/>
        </w:rPr>
      </w:pPr>
    </w:p>
    <w:p w:rsidR="00AD6308" w:rsidRPr="002D5BFC" w:rsidRDefault="00AD6308" w:rsidP="004211B9">
      <w:pPr>
        <w:spacing w:line="276" w:lineRule="auto"/>
        <w:jc w:val="both"/>
        <w:rPr>
          <w:rFonts w:ascii="Gadugi" w:eastAsia="Malgun Gothic" w:hAnsi="Gadugi" w:cs="Estrangelo Edessa"/>
          <w:bCs/>
          <w:sz w:val="24"/>
          <w:szCs w:val="24"/>
          <w:lang w:val="es-419"/>
        </w:rPr>
      </w:pPr>
      <w:r w:rsidRPr="002D5BFC">
        <w:rPr>
          <w:rFonts w:ascii="Gadugi" w:eastAsia="Malgun Gothic" w:hAnsi="Gadugi" w:cs="Estrangelo Edessa"/>
          <w:bCs/>
          <w:sz w:val="24"/>
          <w:szCs w:val="24"/>
          <w:lang w:val="es-419"/>
        </w:rPr>
        <w:t xml:space="preserve">   </w:t>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00D0484F" w:rsidRPr="002D5BFC">
        <w:rPr>
          <w:rFonts w:ascii="Gadugi" w:eastAsia="Malgun Gothic" w:hAnsi="Gadugi" w:cs="Estrangelo Edessa"/>
          <w:bCs/>
          <w:sz w:val="24"/>
          <w:szCs w:val="24"/>
          <w:lang w:val="es-419"/>
        </w:rPr>
        <w:t>Y</w:t>
      </w:r>
      <w:r w:rsidRPr="002D5BFC">
        <w:rPr>
          <w:rFonts w:ascii="Gadugi" w:eastAsia="Malgun Gothic" w:hAnsi="Gadugi" w:cs="Estrangelo Edessa"/>
          <w:bCs/>
          <w:sz w:val="24"/>
          <w:szCs w:val="24"/>
          <w:lang w:val="es-419"/>
        </w:rPr>
        <w:t xml:space="preserve"> s</w:t>
      </w:r>
      <w:r w:rsidR="00164219" w:rsidRPr="002D5BFC">
        <w:rPr>
          <w:rFonts w:ascii="Gadugi" w:eastAsia="Malgun Gothic" w:hAnsi="Gadugi" w:cs="Estrangelo Edessa"/>
          <w:bCs/>
          <w:sz w:val="24"/>
          <w:szCs w:val="24"/>
          <w:lang w:val="es-419"/>
        </w:rPr>
        <w:t>i se mira bien el escrito de sustentación del recurso, se advierte, al rompe</w:t>
      </w:r>
      <w:r w:rsidRPr="002D5BFC">
        <w:rPr>
          <w:rFonts w:ascii="Gadugi" w:eastAsia="Malgun Gothic" w:hAnsi="Gadugi" w:cs="Estrangelo Edessa"/>
          <w:bCs/>
          <w:sz w:val="24"/>
          <w:szCs w:val="24"/>
          <w:lang w:val="es-419"/>
        </w:rPr>
        <w:t>, que esa posición no se discute, pues el discurso del impugnante se centra, precisamente, en la convicción que tiene, y que debe t</w:t>
      </w:r>
      <w:r w:rsidR="00F162A8" w:rsidRPr="002D5BFC">
        <w:rPr>
          <w:rFonts w:ascii="Gadugi" w:eastAsia="Malgun Gothic" w:hAnsi="Gadugi" w:cs="Estrangelo Edessa"/>
          <w:bCs/>
          <w:sz w:val="24"/>
          <w:szCs w:val="24"/>
          <w:lang w:val="es-419"/>
        </w:rPr>
        <w:t>raer a</w:t>
      </w:r>
      <w:r w:rsidRPr="002D5BFC">
        <w:rPr>
          <w:rFonts w:ascii="Gadugi" w:eastAsia="Malgun Gothic" w:hAnsi="Gadugi" w:cs="Estrangelo Edessa"/>
          <w:bCs/>
          <w:sz w:val="24"/>
          <w:szCs w:val="24"/>
          <w:lang w:val="es-419"/>
        </w:rPr>
        <w:t xml:space="preserve"> esta Sala, de que los adquirentes actuaron de mala fe y, por tanto, est</w:t>
      </w:r>
      <w:r w:rsidR="00F162A8" w:rsidRPr="002D5BFC">
        <w:rPr>
          <w:rFonts w:ascii="Gadugi" w:eastAsia="Malgun Gothic" w:hAnsi="Gadugi" w:cs="Estrangelo Edessa"/>
          <w:bCs/>
          <w:sz w:val="24"/>
          <w:szCs w:val="24"/>
          <w:lang w:val="es-419"/>
        </w:rPr>
        <w:t>arían</w:t>
      </w:r>
      <w:r w:rsidRPr="002D5BFC">
        <w:rPr>
          <w:rFonts w:ascii="Gadugi" w:eastAsia="Malgun Gothic" w:hAnsi="Gadugi" w:cs="Estrangelo Edessa"/>
          <w:bCs/>
          <w:sz w:val="24"/>
          <w:szCs w:val="24"/>
          <w:lang w:val="es-419"/>
        </w:rPr>
        <w:t xml:space="preserve"> llamados a restituir los bienes. Eso y nada más se alega. Incluso, tal apreciación se contrae </w:t>
      </w:r>
      <w:r w:rsidR="009E2310" w:rsidRPr="002D5BFC">
        <w:rPr>
          <w:rFonts w:ascii="Gadugi" w:eastAsia="Malgun Gothic" w:hAnsi="Gadugi" w:cs="Estrangelo Edessa"/>
          <w:bCs/>
          <w:sz w:val="24"/>
          <w:szCs w:val="24"/>
          <w:lang w:val="es-419"/>
        </w:rPr>
        <w:t xml:space="preserve">solo a tres de los demandados: Martha Luz y Gloria Stella Marín Bedoya y Miguel Antonio Velásquez Mesa. </w:t>
      </w:r>
    </w:p>
    <w:p w:rsidR="009E2310" w:rsidRPr="002D5BFC" w:rsidRDefault="009E2310" w:rsidP="004211B9">
      <w:pPr>
        <w:spacing w:line="276" w:lineRule="auto"/>
        <w:jc w:val="both"/>
        <w:rPr>
          <w:rFonts w:ascii="Gadugi" w:eastAsia="Malgun Gothic" w:hAnsi="Gadugi" w:cs="Estrangelo Edessa"/>
          <w:bCs/>
          <w:sz w:val="24"/>
          <w:szCs w:val="24"/>
          <w:lang w:val="es-419"/>
        </w:rPr>
      </w:pPr>
    </w:p>
    <w:p w:rsidR="00AD6308" w:rsidRPr="002D5BFC" w:rsidRDefault="009E2310" w:rsidP="004211B9">
      <w:pPr>
        <w:spacing w:line="276" w:lineRule="auto"/>
        <w:jc w:val="both"/>
        <w:rPr>
          <w:rFonts w:ascii="Gadugi" w:eastAsia="Malgun Gothic" w:hAnsi="Gadugi" w:cs="Estrangelo Edessa"/>
          <w:bCs/>
          <w:sz w:val="24"/>
          <w:szCs w:val="24"/>
          <w:lang w:val="es-419"/>
        </w:rPr>
      </w:pPr>
      <w:r w:rsidRPr="002D5BFC">
        <w:rPr>
          <w:rFonts w:ascii="Gadugi" w:eastAsia="Malgun Gothic" w:hAnsi="Gadugi" w:cs="Estrangelo Edessa"/>
          <w:bCs/>
          <w:sz w:val="24"/>
          <w:szCs w:val="24"/>
          <w:lang w:val="es-419"/>
        </w:rPr>
        <w:t xml:space="preserve">  </w:t>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t xml:space="preserve">Con esta anotación, salta a la vista el segundo punto, que consiste en que el artículo 357 del Código de Procedimiento Civil, modificado por el Decreto 2282 de 1989, vigente para este caso, preveía que al superior le estaba vedado enmendar la providencia en la parte que no fue objeto del recurso, con algunas salvedades </w:t>
      </w:r>
      <w:r w:rsidR="00CF29F0" w:rsidRPr="002D5BFC">
        <w:rPr>
          <w:rFonts w:ascii="Gadugi" w:eastAsia="Malgun Gothic" w:hAnsi="Gadugi" w:cs="Estrangelo Edessa"/>
          <w:bCs/>
          <w:sz w:val="24"/>
          <w:szCs w:val="24"/>
          <w:lang w:val="es-419"/>
        </w:rPr>
        <w:t>ajenas</w:t>
      </w:r>
      <w:r w:rsidRPr="002D5BFC">
        <w:rPr>
          <w:rFonts w:ascii="Gadugi" w:eastAsia="Malgun Gothic" w:hAnsi="Gadugi" w:cs="Estrangelo Edessa"/>
          <w:bCs/>
          <w:sz w:val="24"/>
          <w:szCs w:val="24"/>
          <w:lang w:val="es-419"/>
        </w:rPr>
        <w:t xml:space="preserve"> al caso; regla que, valga acotarlo, es más contundente aún con el Código General del Proceso, y que se traduce, entonces, en que la </w:t>
      </w:r>
      <w:r w:rsidRPr="002D5BFC">
        <w:rPr>
          <w:rFonts w:ascii="Gadugi" w:eastAsia="Malgun Gothic" w:hAnsi="Gadugi" w:cs="Estrangelo Edessa"/>
          <w:bCs/>
          <w:sz w:val="24"/>
          <w:szCs w:val="24"/>
          <w:lang w:val="es-419"/>
        </w:rPr>
        <w:lastRenderedPageBreak/>
        <w:t xml:space="preserve">competencia de esta Sala está restringida a esos dos puntuales temas: la buena o la mala fe de los demandados; y de ellos, únicamente en lo que atañe a los tres mencionados, pues la absolución que recayó en Edelmira Sáenz de García, quedó indemne. </w:t>
      </w:r>
    </w:p>
    <w:p w:rsidR="009E2310" w:rsidRPr="002D5BFC" w:rsidRDefault="009E2310" w:rsidP="004211B9">
      <w:pPr>
        <w:spacing w:line="276" w:lineRule="auto"/>
        <w:jc w:val="both"/>
        <w:rPr>
          <w:rFonts w:ascii="Gadugi" w:eastAsia="Malgun Gothic" w:hAnsi="Gadugi" w:cs="Estrangelo Edessa"/>
          <w:bCs/>
          <w:sz w:val="24"/>
          <w:szCs w:val="24"/>
          <w:lang w:val="es-419"/>
        </w:rPr>
      </w:pPr>
      <w:r w:rsidRPr="002D5BFC">
        <w:rPr>
          <w:rFonts w:ascii="Gadugi" w:eastAsia="Malgun Gothic" w:hAnsi="Gadugi" w:cs="Estrangelo Edessa"/>
          <w:bCs/>
          <w:sz w:val="24"/>
          <w:szCs w:val="24"/>
          <w:lang w:val="es-419"/>
        </w:rPr>
        <w:t xml:space="preserve">   </w:t>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p>
    <w:p w:rsidR="00565C16" w:rsidRPr="002D5BFC" w:rsidRDefault="009E2310" w:rsidP="004211B9">
      <w:pPr>
        <w:pStyle w:val="Prrafodelista"/>
        <w:numPr>
          <w:ilvl w:val="1"/>
          <w:numId w:val="1"/>
        </w:numPr>
        <w:spacing w:line="276" w:lineRule="auto"/>
        <w:ind w:left="0" w:firstLine="2835"/>
        <w:jc w:val="both"/>
        <w:rPr>
          <w:rFonts w:ascii="Gadugi" w:eastAsia="Malgun Gothic" w:hAnsi="Gadugi" w:cs="Estrangelo Edessa"/>
          <w:bCs/>
          <w:sz w:val="24"/>
          <w:szCs w:val="24"/>
        </w:rPr>
      </w:pPr>
      <w:r w:rsidRPr="002D5BFC">
        <w:rPr>
          <w:rFonts w:ascii="Gadugi" w:eastAsia="Malgun Gothic" w:hAnsi="Gadugi" w:cs="Estrangelo Edessa"/>
          <w:bCs/>
          <w:sz w:val="24"/>
          <w:szCs w:val="24"/>
          <w:lang w:val="es-419"/>
        </w:rPr>
        <w:t>Pues bien, en la misma sentencia que el juez y el recurrente traen a colación,</w:t>
      </w:r>
      <w:r w:rsidR="00565C16" w:rsidRPr="002D5BFC">
        <w:rPr>
          <w:rFonts w:ascii="Gadugi" w:eastAsia="Malgun Gothic" w:hAnsi="Gadugi" w:cs="Estrangelo Edessa"/>
          <w:bCs/>
          <w:sz w:val="24"/>
          <w:szCs w:val="24"/>
          <w:lang w:val="es-419"/>
        </w:rPr>
        <w:t xml:space="preserve"> que ya fue citada, la alta Corporación planteó un interrogante y lo respondió en estos términos: </w:t>
      </w:r>
    </w:p>
    <w:p w:rsidR="00565C16" w:rsidRPr="002D5BFC" w:rsidRDefault="00565C16" w:rsidP="004211B9">
      <w:pPr>
        <w:pStyle w:val="Prrafodelista"/>
        <w:spacing w:line="276" w:lineRule="auto"/>
        <w:ind w:left="2835"/>
        <w:jc w:val="both"/>
        <w:rPr>
          <w:rFonts w:ascii="Gadugi" w:eastAsia="Malgun Gothic" w:hAnsi="Gadugi" w:cs="Estrangelo Edessa"/>
          <w:bCs/>
          <w:sz w:val="24"/>
          <w:szCs w:val="24"/>
          <w:lang w:val="es-419"/>
        </w:rPr>
      </w:pPr>
    </w:p>
    <w:p w:rsidR="00565C16" w:rsidRPr="002D5BFC" w:rsidRDefault="00565C16" w:rsidP="004211B9">
      <w:pPr>
        <w:ind w:left="851" w:right="900" w:firstLine="1984"/>
        <w:jc w:val="both"/>
        <w:rPr>
          <w:rFonts w:ascii="Arial Narrow" w:hAnsi="Arial Narrow" w:cs="Arial"/>
          <w:sz w:val="24"/>
          <w:szCs w:val="24"/>
          <w:lang w:val="es-MX"/>
        </w:rPr>
      </w:pPr>
      <w:r w:rsidRPr="002D5BFC">
        <w:rPr>
          <w:rFonts w:ascii="Arial Narrow" w:hAnsi="Arial Narrow" w:cs="Arial"/>
          <w:sz w:val="24"/>
          <w:szCs w:val="24"/>
          <w:lang w:val="es-MX"/>
        </w:rPr>
        <w:t xml:space="preserve">Resta por preguntarse si a pesar de la innegable generalidad de la máxima </w:t>
      </w:r>
      <w:r w:rsidRPr="002D5BFC">
        <w:rPr>
          <w:rFonts w:ascii="Arial Narrow" w:hAnsi="Arial Narrow" w:cs="Arial"/>
          <w:i/>
          <w:sz w:val="24"/>
          <w:szCs w:val="24"/>
          <w:lang w:val="es-MX"/>
        </w:rPr>
        <w:t>error communis facit jus</w:t>
      </w:r>
      <w:r w:rsidRPr="002D5BFC">
        <w:rPr>
          <w:rFonts w:ascii="Arial Narrow" w:hAnsi="Arial Narrow" w:cs="Arial"/>
          <w:sz w:val="24"/>
          <w:szCs w:val="24"/>
          <w:lang w:val="es-MX"/>
        </w:rPr>
        <w:t>, que fue demostrada por esta Corporación en la pluricitada sentencia, en la que, luego de reparar en los artículos 149, 150, 947, 1547, 1548, 1634. 1766, 1933, 1940, 1944, 2140 y 2199 del Código Civil y de concluir</w:t>
      </w:r>
      <w:r w:rsidRPr="002D5BFC">
        <w:rPr>
          <w:rFonts w:ascii="Arial Narrow" w:hAnsi="Arial Narrow" w:cs="Arial"/>
          <w:sz w:val="24"/>
          <w:szCs w:val="24"/>
        </w:rPr>
        <w:t xml:space="preserve"> que esas disposiciones encaminadas a la protección de terceros de buena fe reconocen efectos jurídicos trascendentales a una apariencia de la cual se ha derivado un error invencible y ante la cual se hace ceder la realidad jurídica, esta Sala puntualizó que esas no son </w:t>
      </w:r>
      <w:r w:rsidRPr="002D5BFC">
        <w:rPr>
          <w:rFonts w:ascii="Arial Narrow" w:hAnsi="Arial Narrow"/>
          <w:sz w:val="24"/>
          <w:szCs w:val="24"/>
        </w:rPr>
        <w:t xml:space="preserve">normas de carácter excepcional que deban, por ende, ser interpretadas y aplicadas con un criterio rígidamente restrictivo, sino que son consecuencias previstas por el propio legislador para aquellas hipótesis que pudo prever y resolver concretamente; no obstante tratarse de un principio general, se decía, cabe interrogarse si su aplicación </w:t>
      </w:r>
      <w:r w:rsidRPr="002D5BFC">
        <w:rPr>
          <w:rFonts w:ascii="Arial Narrow" w:hAnsi="Arial Narrow" w:cs="Arial"/>
          <w:sz w:val="24"/>
          <w:szCs w:val="24"/>
          <w:lang w:val="es-MX"/>
        </w:rPr>
        <w:t xml:space="preserve">encuentra coto en aquellos casos de enajenación de bienes hereditarios por los herederos aparentes, como aquí acontece, por existir reglas específicas que gobiernan la materia (v. gr., los artículos 1325 y 1401 del Código Civil). </w:t>
      </w:r>
    </w:p>
    <w:p w:rsidR="00565C16" w:rsidRPr="002D5BFC" w:rsidRDefault="00565C16" w:rsidP="004211B9">
      <w:pPr>
        <w:ind w:left="851" w:right="900" w:firstLine="1984"/>
        <w:jc w:val="both"/>
        <w:rPr>
          <w:rFonts w:ascii="Arial Narrow" w:hAnsi="Arial Narrow" w:cs="Arial"/>
          <w:sz w:val="24"/>
          <w:szCs w:val="24"/>
          <w:lang w:val="es-MX"/>
        </w:rPr>
      </w:pPr>
    </w:p>
    <w:p w:rsidR="00565C16" w:rsidRPr="002D5BFC" w:rsidRDefault="00565C16" w:rsidP="004211B9">
      <w:pPr>
        <w:ind w:left="851" w:right="900" w:firstLine="1984"/>
        <w:jc w:val="both"/>
        <w:rPr>
          <w:rFonts w:ascii="Arial Narrow" w:hAnsi="Arial Narrow" w:cs="Arial"/>
          <w:sz w:val="24"/>
          <w:szCs w:val="24"/>
        </w:rPr>
      </w:pPr>
      <w:r w:rsidRPr="002D5BFC">
        <w:rPr>
          <w:rFonts w:ascii="Arial Narrow" w:hAnsi="Arial Narrow" w:cs="Arial"/>
          <w:sz w:val="24"/>
          <w:szCs w:val="24"/>
          <w:lang w:val="es-MX"/>
        </w:rPr>
        <w:t xml:space="preserve">Para dar cumplida respuesta a esa inquietud comienza la Corte por precisar que si, como ha quedado dicho, los principios como el de esta especie carecen de supuestos fácticos explícitos o acabados, de modo que solamente </w:t>
      </w:r>
      <w:r w:rsidRPr="002D5BFC">
        <w:rPr>
          <w:rFonts w:ascii="Arial Narrow" w:hAnsi="Arial Narrow" w:cs="Arial"/>
          <w:sz w:val="24"/>
          <w:szCs w:val="24"/>
        </w:rPr>
        <w:t>adquieren preeminencia operativa haciéndolos obrar frente algún caso concreto, las aristas fácticas relevantes de este asunto (que el Tribunal tuvo en consideración y el recurrente no refuta, dado el perfil del cargo) y de frente a las cuales se contrasta el referido axioma, son las siguientes: a) se trata de una venta efectuada por herederos reconocidos en el proceso de sucesión; b) a quienes se les adjudicó el bien reivindicado; c) mediante partición que fue debidamente inscrita en el registro inmobiliario; d) que el tercero adquirente es de buena fe; e) que incurrió en un error común e invencible; y f) que aquél, el tercero, adquirió de los adjudicatarios el inmueble a título de compraventa, es decir, de manera onerosa. A todo lo anterior sólo resta agregar que ninguna consideración hizo el Tribunal en torno de la buena o mala fe de los herederos putativos, cuestión que, por consiguiente, es irrelevante.</w:t>
      </w:r>
    </w:p>
    <w:p w:rsidR="00565C16" w:rsidRPr="002D5BFC" w:rsidRDefault="00565C16" w:rsidP="004211B9">
      <w:pPr>
        <w:spacing w:line="276" w:lineRule="auto"/>
        <w:jc w:val="both"/>
        <w:rPr>
          <w:rFonts w:ascii="Gadugi" w:eastAsia="Malgun Gothic" w:hAnsi="Gadugi" w:cs="Estrangelo Edessa"/>
          <w:bCs/>
          <w:sz w:val="24"/>
          <w:szCs w:val="24"/>
          <w:lang w:val="es-419"/>
        </w:rPr>
      </w:pPr>
    </w:p>
    <w:p w:rsidR="00565C16" w:rsidRPr="002D5BFC" w:rsidRDefault="00565C16" w:rsidP="004211B9">
      <w:pPr>
        <w:spacing w:line="276" w:lineRule="auto"/>
        <w:jc w:val="both"/>
        <w:rPr>
          <w:rFonts w:ascii="Gadugi" w:eastAsia="Malgun Gothic" w:hAnsi="Gadugi" w:cs="Estrangelo Edessa"/>
          <w:bCs/>
          <w:sz w:val="24"/>
          <w:szCs w:val="24"/>
          <w:lang w:val="es-419"/>
        </w:rPr>
      </w:pPr>
      <w:r w:rsidRPr="002D5BFC">
        <w:rPr>
          <w:rFonts w:ascii="Gadugi" w:eastAsia="Malgun Gothic" w:hAnsi="Gadugi" w:cs="Estrangelo Edessa"/>
          <w:bCs/>
          <w:sz w:val="24"/>
          <w:szCs w:val="24"/>
          <w:lang w:val="es-419"/>
        </w:rPr>
        <w:t xml:space="preserve">  </w:t>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r>
      <w:r w:rsidRPr="002D5BFC">
        <w:rPr>
          <w:rFonts w:ascii="Gadugi" w:eastAsia="Malgun Gothic" w:hAnsi="Gadugi" w:cs="Estrangelo Edessa"/>
          <w:bCs/>
          <w:sz w:val="24"/>
          <w:szCs w:val="24"/>
          <w:lang w:val="es-419"/>
        </w:rPr>
        <w:tab/>
        <w:t xml:space="preserve">Esto, después de haber señalado, en torno al principio de la buena fe, que: </w:t>
      </w:r>
    </w:p>
    <w:p w:rsidR="00565C16" w:rsidRPr="002D5BFC" w:rsidRDefault="00565C16" w:rsidP="004211B9">
      <w:pPr>
        <w:pStyle w:val="Prrafodelista"/>
        <w:spacing w:line="276" w:lineRule="auto"/>
        <w:ind w:left="2835"/>
        <w:jc w:val="both"/>
        <w:rPr>
          <w:rFonts w:ascii="Gadugi" w:eastAsia="Malgun Gothic" w:hAnsi="Gadugi" w:cs="Estrangelo Edessa"/>
          <w:bCs/>
          <w:sz w:val="24"/>
          <w:szCs w:val="24"/>
          <w:lang w:val="es-419"/>
        </w:rPr>
      </w:pPr>
    </w:p>
    <w:p w:rsidR="00565C16" w:rsidRPr="002D5BFC" w:rsidRDefault="00565C16" w:rsidP="004211B9">
      <w:pPr>
        <w:ind w:left="851" w:right="900" w:firstLine="1984"/>
        <w:jc w:val="both"/>
        <w:rPr>
          <w:rFonts w:ascii="Arial Narrow" w:hAnsi="Arial Narrow" w:cs="Arial"/>
          <w:sz w:val="24"/>
          <w:szCs w:val="24"/>
        </w:rPr>
      </w:pPr>
      <w:r w:rsidRPr="002D5BFC">
        <w:rPr>
          <w:rFonts w:ascii="Arial Narrow" w:hAnsi="Arial Narrow" w:cs="Arial"/>
          <w:sz w:val="24"/>
          <w:szCs w:val="24"/>
        </w:rPr>
        <w:t xml:space="preserve">Por supuesto que, como es sabido, la buena fe, hoy sólidamente entroncada con insoslayables mandatos constitucionales (artículo 83 de la Carta Política), </w:t>
      </w:r>
      <w:r w:rsidRPr="002D5BFC">
        <w:rPr>
          <w:rFonts w:ascii="Arial Narrow" w:hAnsi="Arial Narrow"/>
          <w:sz w:val="24"/>
          <w:szCs w:val="24"/>
        </w:rPr>
        <w:t xml:space="preserve">suele ser contemplada por el ordenamiento desde tres perspectivas distintas: de un lado, aquella que mira las esferas íntimas de la </w:t>
      </w:r>
      <w:r w:rsidRPr="002D5BFC">
        <w:rPr>
          <w:rFonts w:ascii="Arial Narrow" w:hAnsi="Arial Narrow"/>
          <w:sz w:val="24"/>
          <w:szCs w:val="24"/>
        </w:rPr>
        <w:lastRenderedPageBreak/>
        <w:t>persona, para tomar en consideración la convicción con la que ésta actúa en determinadas situaciones; de otro lado, como la exigencia de comportarse en el tráfico jurídico con rectitud y lealtad, semblante que la erige en un verdadero hontanar de normas de corrección contractual; y, finalmente, como un criterio de interpretación de los negocios jurídicos. “Pueden citarse como ejemplo de la primera, cuya principal virtud es la de generar derechos, lo prescrito en el artículo 768 del Código Civil, conforme al cual la ‘buena fe es la conciencia de haberse adquirido el dominio de la cosa por medios legítimos exentos de fraudes y de todo vicio’; o las disposiciones contenidas en los artículos 964, 1634, etc., ejusdem, en los que el ordenamiento privilegia cierto estado subjetivo o espiritual de la persona que se caracteriza porque ésta abriga la creencia razonada, sensata y ajena de culpa, de estar obrando en conforme a Derecho” (Casación de 2 de febrero de 2005).</w:t>
      </w:r>
    </w:p>
    <w:p w:rsidR="00565C16" w:rsidRPr="002D5BFC" w:rsidRDefault="00565C16" w:rsidP="004211B9">
      <w:pPr>
        <w:ind w:left="851" w:right="900" w:firstLine="1984"/>
        <w:jc w:val="both"/>
        <w:rPr>
          <w:rFonts w:ascii="Arial Narrow" w:hAnsi="Arial Narrow" w:cs="Arial"/>
          <w:sz w:val="24"/>
          <w:szCs w:val="24"/>
        </w:rPr>
      </w:pPr>
    </w:p>
    <w:p w:rsidR="00565C16" w:rsidRPr="002D5BFC" w:rsidRDefault="00565C16" w:rsidP="004211B9">
      <w:pPr>
        <w:ind w:left="851" w:right="900"/>
        <w:jc w:val="both"/>
        <w:rPr>
          <w:rFonts w:ascii="Arial Narrow" w:hAnsi="Arial Narrow" w:cs="Arial"/>
          <w:sz w:val="24"/>
          <w:szCs w:val="24"/>
        </w:rPr>
      </w:pPr>
      <w:r w:rsidRPr="002D5BFC">
        <w:rPr>
          <w:rFonts w:ascii="Arial Narrow" w:hAnsi="Arial Narrow" w:cs="Arial"/>
          <w:sz w:val="24"/>
          <w:szCs w:val="24"/>
          <w:lang w:val="es-419"/>
        </w:rPr>
        <w:t xml:space="preserve">  </w:t>
      </w:r>
      <w:r w:rsidRPr="002D5BFC">
        <w:rPr>
          <w:rFonts w:ascii="Arial Narrow" w:hAnsi="Arial Narrow" w:cs="Arial"/>
          <w:sz w:val="24"/>
          <w:szCs w:val="24"/>
          <w:lang w:val="es-419"/>
        </w:rPr>
        <w:tab/>
      </w:r>
      <w:r w:rsidRPr="002D5BFC">
        <w:rPr>
          <w:rFonts w:ascii="Arial Narrow" w:hAnsi="Arial Narrow" w:cs="Arial"/>
          <w:sz w:val="24"/>
          <w:szCs w:val="24"/>
          <w:lang w:val="es-419"/>
        </w:rPr>
        <w:tab/>
      </w:r>
      <w:r w:rsidRPr="002D5BFC">
        <w:rPr>
          <w:rFonts w:ascii="Arial Narrow" w:hAnsi="Arial Narrow" w:cs="Arial"/>
          <w:sz w:val="24"/>
          <w:szCs w:val="24"/>
          <w:lang w:val="es-419"/>
        </w:rPr>
        <w:tab/>
      </w:r>
      <w:r w:rsidRPr="002D5BFC">
        <w:rPr>
          <w:rFonts w:ascii="Arial Narrow" w:hAnsi="Arial Narrow" w:cs="Arial"/>
          <w:sz w:val="24"/>
          <w:szCs w:val="24"/>
        </w:rPr>
        <w:t>Y, precisamente, en su función creadora del derecho, la buena fe tiene la potencialidad de atribuirle valor a ciertos actos ejecutados por causa o con sustento en apariencias engañosas; desde luego que en esta hipótesis se evidencia como un postulado inquebrantable de la moral y de la seguridad del tráfico jurídico, así como en soporte fundamental para la adecuada circulación de la riqueza.</w:t>
      </w:r>
    </w:p>
    <w:p w:rsidR="00565C16" w:rsidRPr="002D5BFC" w:rsidRDefault="00565C16" w:rsidP="004211B9">
      <w:pPr>
        <w:spacing w:line="276" w:lineRule="auto"/>
        <w:ind w:left="2835"/>
        <w:jc w:val="both"/>
        <w:rPr>
          <w:rFonts w:ascii="Gadugi" w:eastAsia="Malgun Gothic" w:hAnsi="Gadugi" w:cs="Estrangelo Edessa"/>
          <w:bCs/>
          <w:sz w:val="24"/>
          <w:szCs w:val="24"/>
          <w:lang w:val="es-419"/>
        </w:rPr>
      </w:pPr>
    </w:p>
    <w:p w:rsidR="00F162A8" w:rsidRPr="002D5BFC" w:rsidRDefault="00F162A8" w:rsidP="004211B9">
      <w:pPr>
        <w:pStyle w:val="Prrafodelista"/>
        <w:numPr>
          <w:ilvl w:val="1"/>
          <w:numId w:val="1"/>
        </w:numPr>
        <w:spacing w:line="276" w:lineRule="auto"/>
        <w:ind w:left="0" w:firstLine="2835"/>
        <w:jc w:val="both"/>
        <w:rPr>
          <w:rFonts w:ascii="Gadugi" w:eastAsia="Malgun Gothic" w:hAnsi="Gadugi" w:cs="Estrangelo Edessa"/>
          <w:sz w:val="24"/>
          <w:szCs w:val="24"/>
          <w:lang w:val="es-CO"/>
        </w:rPr>
      </w:pPr>
      <w:r w:rsidRPr="002D5BFC">
        <w:rPr>
          <w:rFonts w:ascii="Gadugi" w:eastAsia="Malgun Gothic" w:hAnsi="Gadugi" w:cs="Estrangelo Edessa"/>
          <w:sz w:val="24"/>
          <w:szCs w:val="24"/>
          <w:lang w:val="es-CO"/>
        </w:rPr>
        <w:t xml:space="preserve">Lo que queda, entonces, es analizar si, para el caso, los demandados actuaron de buena fe o si se les puede imputar la mala fe que aduce la demandante, con la precisión, claro está, de que esa condición debe predicarse respecto de ellos, al margen de cómo haya actuado su vendedor, sin perjuicio de que, por los lazos que los unían, de allí pueda emerger alguna circunstancia relevante frente al conocimiento que pudieran tener sobre los hechos que rodeaban la filiación que, para la época de la venta, gestionada María Olga Durango. </w:t>
      </w:r>
    </w:p>
    <w:p w:rsidR="00F162A8" w:rsidRPr="002D5BFC" w:rsidRDefault="00F162A8" w:rsidP="004211B9">
      <w:pPr>
        <w:spacing w:line="276" w:lineRule="auto"/>
        <w:ind w:firstLine="2835"/>
        <w:jc w:val="both"/>
        <w:rPr>
          <w:rFonts w:ascii="Gadugi" w:eastAsia="Malgun Gothic" w:hAnsi="Gadugi" w:cs="Estrangelo Edessa"/>
          <w:sz w:val="24"/>
          <w:szCs w:val="24"/>
          <w:lang w:val="es-CO"/>
        </w:rPr>
      </w:pPr>
    </w:p>
    <w:p w:rsidR="00F162A8" w:rsidRPr="002D5BFC" w:rsidRDefault="00F162A8" w:rsidP="004211B9">
      <w:pPr>
        <w:spacing w:line="276" w:lineRule="auto"/>
        <w:ind w:firstLine="2835"/>
        <w:jc w:val="both"/>
        <w:rPr>
          <w:rFonts w:ascii="Gadugi" w:eastAsia="Malgun Gothic" w:hAnsi="Gadugi" w:cs="Estrangelo Edessa"/>
          <w:sz w:val="24"/>
          <w:szCs w:val="24"/>
          <w:lang w:val="es-CO"/>
        </w:rPr>
      </w:pPr>
      <w:r w:rsidRPr="002D5BFC">
        <w:rPr>
          <w:rFonts w:ascii="Gadugi" w:eastAsia="Malgun Gothic" w:hAnsi="Gadugi" w:cs="Estrangelo Edessa"/>
          <w:sz w:val="24"/>
          <w:szCs w:val="24"/>
          <w:lang w:val="es-CO"/>
        </w:rPr>
        <w:t xml:space="preserve">Para elucidar la cuestión, se empieza por memorar estos datos: </w:t>
      </w:r>
    </w:p>
    <w:p w:rsidR="00F162A8" w:rsidRPr="002D5BFC" w:rsidRDefault="00F162A8" w:rsidP="004211B9">
      <w:pPr>
        <w:spacing w:line="276" w:lineRule="auto"/>
        <w:ind w:firstLine="2835"/>
        <w:jc w:val="both"/>
        <w:rPr>
          <w:rFonts w:ascii="Gadugi" w:eastAsia="Malgun Gothic" w:hAnsi="Gadugi" w:cs="Estrangelo Edessa"/>
          <w:sz w:val="24"/>
          <w:szCs w:val="24"/>
          <w:lang w:val="es-CO"/>
        </w:rPr>
      </w:pPr>
    </w:p>
    <w:p w:rsidR="00F162A8" w:rsidRPr="002D5BFC" w:rsidRDefault="00F162A8" w:rsidP="004211B9">
      <w:pPr>
        <w:pStyle w:val="Prrafodelista"/>
        <w:numPr>
          <w:ilvl w:val="0"/>
          <w:numId w:val="3"/>
        </w:numPr>
        <w:tabs>
          <w:tab w:val="left" w:pos="3261"/>
        </w:tabs>
        <w:spacing w:line="276" w:lineRule="auto"/>
        <w:ind w:left="0" w:firstLine="2835"/>
        <w:jc w:val="both"/>
        <w:rPr>
          <w:rFonts w:ascii="Gadugi" w:eastAsia="Malgun Gothic" w:hAnsi="Gadugi" w:cs="Estrangelo Edessa"/>
          <w:sz w:val="24"/>
          <w:szCs w:val="24"/>
          <w:lang w:val="es-CO"/>
        </w:rPr>
      </w:pPr>
      <w:r w:rsidRPr="002D5BFC">
        <w:rPr>
          <w:rFonts w:ascii="Gadugi" w:eastAsia="Malgun Gothic" w:hAnsi="Gadugi" w:cs="Estrangelo Edessa"/>
          <w:sz w:val="24"/>
          <w:szCs w:val="24"/>
          <w:lang w:val="es-CO"/>
        </w:rPr>
        <w:t>El 15 de abril de 2009 (f. 279 a 298, c. 1), el Juzgado Tercero de Familia de Pereira profirió sentencia en el proceso de filiación iniciado por María Olga Durango contra Mar</w:t>
      </w:r>
      <w:r w:rsidR="00CF29F0" w:rsidRPr="002D5BFC">
        <w:rPr>
          <w:rFonts w:ascii="Gadugi" w:eastAsia="Malgun Gothic" w:hAnsi="Gadugi" w:cs="Estrangelo Edessa"/>
          <w:sz w:val="24"/>
          <w:szCs w:val="24"/>
          <w:lang w:val="es-419"/>
        </w:rPr>
        <w:t>í</w:t>
      </w:r>
      <w:r w:rsidRPr="002D5BFC">
        <w:rPr>
          <w:rFonts w:ascii="Gadugi" w:eastAsia="Malgun Gothic" w:hAnsi="Gadugi" w:cs="Estrangelo Edessa"/>
          <w:sz w:val="24"/>
          <w:szCs w:val="24"/>
          <w:lang w:val="es-CO"/>
        </w:rPr>
        <w:t>a Adela Bedoya, como heredera determinada de Antonio María Bedoya Mejía, y los demás indeterminados. En el resumen de ese acto, que terminó reconociendo esa calidad, confirmada en segunda instancia por esta Sala (f. 298 a 322, c. 1) se consignó que la demanda fue admitida el 2 de diciembre de 2003, en tanto que a la demandada se le tuvo como notificada por conducta concluyente el 2 de marzo de 2004.</w:t>
      </w:r>
    </w:p>
    <w:p w:rsidR="00F162A8" w:rsidRPr="002D5BFC" w:rsidRDefault="00F162A8" w:rsidP="004211B9">
      <w:pPr>
        <w:pStyle w:val="Prrafodelista"/>
        <w:tabs>
          <w:tab w:val="left" w:pos="3261"/>
        </w:tabs>
        <w:spacing w:line="276" w:lineRule="auto"/>
        <w:ind w:left="2835"/>
        <w:jc w:val="both"/>
        <w:rPr>
          <w:rFonts w:ascii="Gadugi" w:eastAsia="Malgun Gothic" w:hAnsi="Gadugi" w:cs="Estrangelo Edessa"/>
          <w:sz w:val="24"/>
          <w:szCs w:val="24"/>
          <w:lang w:val="es-CO"/>
        </w:rPr>
      </w:pPr>
      <w:r w:rsidRPr="002D5BFC">
        <w:rPr>
          <w:rFonts w:ascii="Gadugi" w:eastAsia="Malgun Gothic" w:hAnsi="Gadugi" w:cs="Estrangelo Edessa"/>
          <w:sz w:val="24"/>
          <w:szCs w:val="24"/>
          <w:lang w:val="es-CO"/>
        </w:rPr>
        <w:t xml:space="preserve"> </w:t>
      </w:r>
    </w:p>
    <w:p w:rsidR="00F162A8" w:rsidRPr="002D5BFC" w:rsidRDefault="00F162A8" w:rsidP="004211B9">
      <w:pPr>
        <w:pStyle w:val="Prrafodelista"/>
        <w:numPr>
          <w:ilvl w:val="0"/>
          <w:numId w:val="3"/>
        </w:numPr>
        <w:tabs>
          <w:tab w:val="left" w:pos="3261"/>
        </w:tabs>
        <w:spacing w:line="276" w:lineRule="auto"/>
        <w:ind w:left="0" w:firstLine="2835"/>
        <w:jc w:val="both"/>
        <w:rPr>
          <w:rFonts w:ascii="Gadugi" w:eastAsia="Malgun Gothic" w:hAnsi="Gadugi" w:cs="Estrangelo Edessa"/>
          <w:sz w:val="24"/>
          <w:szCs w:val="24"/>
          <w:lang w:val="es-CO"/>
        </w:rPr>
      </w:pPr>
      <w:r w:rsidRPr="002D5BFC">
        <w:rPr>
          <w:rFonts w:ascii="Gadugi" w:eastAsia="Malgun Gothic" w:hAnsi="Gadugi" w:cs="Estrangelo Edessa"/>
          <w:sz w:val="24"/>
          <w:szCs w:val="24"/>
          <w:lang w:val="es-CO"/>
        </w:rPr>
        <w:t>La defensa allí se centró en el desconocimiento de los hechos narrados por María Olga.</w:t>
      </w:r>
    </w:p>
    <w:p w:rsidR="00F162A8" w:rsidRPr="002D5BFC" w:rsidRDefault="00F162A8" w:rsidP="004211B9">
      <w:pPr>
        <w:pStyle w:val="Prrafodelista"/>
        <w:rPr>
          <w:rFonts w:ascii="Gadugi" w:eastAsia="Malgun Gothic" w:hAnsi="Gadugi" w:cs="Estrangelo Edessa"/>
          <w:sz w:val="24"/>
          <w:szCs w:val="24"/>
          <w:lang w:val="es-CO"/>
        </w:rPr>
      </w:pPr>
    </w:p>
    <w:p w:rsidR="00F162A8" w:rsidRPr="002D5BFC" w:rsidRDefault="00F162A8" w:rsidP="004211B9">
      <w:pPr>
        <w:pStyle w:val="Prrafodelista"/>
        <w:numPr>
          <w:ilvl w:val="0"/>
          <w:numId w:val="3"/>
        </w:numPr>
        <w:tabs>
          <w:tab w:val="left" w:pos="3261"/>
        </w:tabs>
        <w:spacing w:line="276" w:lineRule="auto"/>
        <w:ind w:left="0" w:firstLine="2835"/>
        <w:jc w:val="both"/>
        <w:rPr>
          <w:rFonts w:ascii="Gadugi" w:eastAsia="Malgun Gothic" w:hAnsi="Gadugi" w:cs="Estrangelo Edessa"/>
          <w:sz w:val="24"/>
          <w:szCs w:val="24"/>
          <w:lang w:val="es-CO"/>
        </w:rPr>
      </w:pPr>
      <w:r w:rsidRPr="002D5BFC">
        <w:rPr>
          <w:rFonts w:ascii="Gadugi" w:eastAsia="Malgun Gothic" w:hAnsi="Gadugi" w:cs="Estrangelo Edessa"/>
          <w:sz w:val="24"/>
          <w:szCs w:val="24"/>
          <w:lang w:val="es-CO"/>
        </w:rPr>
        <w:lastRenderedPageBreak/>
        <w:t>El 27 de octubre de 2003, se elevó la escritura pública 5025, correspondiente a la liquidación de la herencia del causante Antonio María Bedoya Mejía, fallecido el 9 de julio de 2003 (f. 67, c. 1), en la que sus bienes le fueron adjudicados a María Adela Bedoya (f. 61 a 65, c. 1).</w:t>
      </w:r>
    </w:p>
    <w:p w:rsidR="00F162A8" w:rsidRPr="002D5BFC" w:rsidRDefault="00F162A8" w:rsidP="004211B9">
      <w:pPr>
        <w:tabs>
          <w:tab w:val="left" w:pos="3261"/>
        </w:tabs>
        <w:spacing w:line="276" w:lineRule="auto"/>
        <w:jc w:val="both"/>
        <w:rPr>
          <w:rFonts w:ascii="Gadugi" w:eastAsia="Malgun Gothic" w:hAnsi="Gadugi" w:cs="Estrangelo Edessa"/>
          <w:sz w:val="24"/>
          <w:szCs w:val="24"/>
          <w:lang w:val="es-CO"/>
        </w:rPr>
      </w:pPr>
      <w:r w:rsidRPr="002D5BFC">
        <w:rPr>
          <w:rFonts w:ascii="Gadugi" w:eastAsia="Malgun Gothic" w:hAnsi="Gadugi" w:cs="Estrangelo Edessa"/>
          <w:sz w:val="24"/>
          <w:szCs w:val="24"/>
          <w:lang w:val="es-CO"/>
        </w:rPr>
        <w:t xml:space="preserve"> </w:t>
      </w:r>
    </w:p>
    <w:p w:rsidR="00F162A8" w:rsidRPr="002D5BFC" w:rsidRDefault="00F162A8" w:rsidP="004211B9">
      <w:pPr>
        <w:pStyle w:val="Prrafodelista"/>
        <w:numPr>
          <w:ilvl w:val="0"/>
          <w:numId w:val="3"/>
        </w:numPr>
        <w:tabs>
          <w:tab w:val="left" w:pos="3261"/>
        </w:tabs>
        <w:spacing w:line="276" w:lineRule="auto"/>
        <w:ind w:left="0" w:firstLine="2835"/>
        <w:jc w:val="both"/>
        <w:rPr>
          <w:rFonts w:ascii="Gadugi" w:eastAsia="Malgun Gothic" w:hAnsi="Gadugi" w:cs="Estrangelo Edessa"/>
          <w:sz w:val="24"/>
          <w:szCs w:val="24"/>
          <w:lang w:val="es-CO"/>
        </w:rPr>
      </w:pPr>
      <w:r w:rsidRPr="002D5BFC">
        <w:rPr>
          <w:rFonts w:ascii="Gadugi" w:eastAsia="Malgun Gothic" w:hAnsi="Gadugi" w:cs="Estrangelo Edessa"/>
          <w:sz w:val="24"/>
          <w:szCs w:val="24"/>
          <w:lang w:val="es-CO"/>
        </w:rPr>
        <w:t>El 20 de septiembre de 2004, María Adela Bedoya de Marín, vendió a Miguel Antonio Velásquez Mesa y Martha Luz Marín Bedoya, por la suma de $80’000.000,oo, el inmueble de matrícula 290-14043 (f. 72 a 74, c. 1).</w:t>
      </w:r>
    </w:p>
    <w:p w:rsidR="00F162A8" w:rsidRPr="002D5BFC" w:rsidRDefault="00F162A8" w:rsidP="004211B9">
      <w:pPr>
        <w:tabs>
          <w:tab w:val="left" w:pos="3261"/>
        </w:tabs>
        <w:spacing w:line="276" w:lineRule="auto"/>
        <w:jc w:val="both"/>
        <w:rPr>
          <w:rFonts w:ascii="Gadugi" w:eastAsia="Malgun Gothic" w:hAnsi="Gadugi" w:cs="Estrangelo Edessa"/>
          <w:sz w:val="24"/>
          <w:szCs w:val="24"/>
          <w:lang w:val="es-CO"/>
        </w:rPr>
      </w:pPr>
    </w:p>
    <w:p w:rsidR="00F162A8" w:rsidRPr="002D5BFC" w:rsidRDefault="00F162A8" w:rsidP="004211B9">
      <w:pPr>
        <w:pStyle w:val="Prrafodelista"/>
        <w:numPr>
          <w:ilvl w:val="0"/>
          <w:numId w:val="3"/>
        </w:numPr>
        <w:tabs>
          <w:tab w:val="left" w:pos="3261"/>
        </w:tabs>
        <w:spacing w:line="276" w:lineRule="auto"/>
        <w:ind w:left="0" w:firstLine="2835"/>
        <w:jc w:val="both"/>
        <w:rPr>
          <w:rFonts w:ascii="Gadugi" w:eastAsia="Malgun Gothic" w:hAnsi="Gadugi" w:cs="Estrangelo Edessa"/>
          <w:sz w:val="24"/>
          <w:szCs w:val="24"/>
          <w:lang w:val="es-CO"/>
        </w:rPr>
      </w:pPr>
      <w:r w:rsidRPr="002D5BFC">
        <w:rPr>
          <w:rFonts w:ascii="Gadugi" w:eastAsia="Malgun Gothic" w:hAnsi="Gadugi" w:cs="Estrangelo Edessa"/>
          <w:sz w:val="24"/>
          <w:szCs w:val="24"/>
          <w:lang w:val="es-CO"/>
        </w:rPr>
        <w:t>La misma María Adela vendió el 10 de marzo de 2004 a Gloria Stella Marín Bedoya, por la suma de $27’887.500,</w:t>
      </w:r>
      <w:r w:rsidR="004A62A1" w:rsidRPr="002D5BFC">
        <w:rPr>
          <w:rFonts w:ascii="Gadugi" w:eastAsia="Malgun Gothic" w:hAnsi="Gadugi" w:cs="Estrangelo Edessa"/>
          <w:sz w:val="24"/>
          <w:szCs w:val="24"/>
          <w:lang w:val="es-419"/>
        </w:rPr>
        <w:t>oo</w:t>
      </w:r>
      <w:r w:rsidRPr="002D5BFC">
        <w:rPr>
          <w:rFonts w:ascii="Gadugi" w:eastAsia="Malgun Gothic" w:hAnsi="Gadugi" w:cs="Estrangelo Edessa"/>
          <w:sz w:val="24"/>
          <w:szCs w:val="24"/>
          <w:lang w:val="es-CO"/>
        </w:rPr>
        <w:t xml:space="preserve">, el inmueble matriculado bajo el número 290-110453 (f. 77 a 79, c. 1). </w:t>
      </w:r>
    </w:p>
    <w:p w:rsidR="00CF29F0" w:rsidRPr="002D5BFC" w:rsidRDefault="00CF29F0" w:rsidP="00CF29F0">
      <w:pPr>
        <w:pStyle w:val="Prrafodelista"/>
        <w:tabs>
          <w:tab w:val="left" w:pos="3261"/>
        </w:tabs>
        <w:spacing w:line="276" w:lineRule="auto"/>
        <w:ind w:left="2835"/>
        <w:jc w:val="both"/>
        <w:rPr>
          <w:rFonts w:ascii="Gadugi" w:eastAsia="Malgun Gothic" w:hAnsi="Gadugi" w:cs="Estrangelo Edessa"/>
          <w:sz w:val="24"/>
          <w:szCs w:val="24"/>
          <w:lang w:val="es-CO"/>
        </w:rPr>
      </w:pPr>
    </w:p>
    <w:p w:rsidR="00D746BB" w:rsidRPr="002D5BFC" w:rsidRDefault="00F162A8" w:rsidP="004211B9">
      <w:pPr>
        <w:pStyle w:val="Prrafodelista"/>
        <w:numPr>
          <w:ilvl w:val="0"/>
          <w:numId w:val="3"/>
        </w:numPr>
        <w:tabs>
          <w:tab w:val="left" w:pos="3261"/>
        </w:tabs>
        <w:spacing w:line="276" w:lineRule="auto"/>
        <w:ind w:left="0" w:firstLine="2835"/>
        <w:jc w:val="both"/>
        <w:rPr>
          <w:rFonts w:ascii="Gadugi" w:eastAsia="Malgun Gothic" w:hAnsi="Gadugi" w:cs="Estrangelo Edessa"/>
          <w:sz w:val="24"/>
          <w:szCs w:val="24"/>
          <w:lang w:val="es-CO"/>
        </w:rPr>
      </w:pPr>
      <w:r w:rsidRPr="002D5BFC">
        <w:rPr>
          <w:rFonts w:ascii="Gadugi" w:eastAsia="Malgun Gothic" w:hAnsi="Gadugi" w:cs="Estrangelo Edessa"/>
          <w:sz w:val="24"/>
          <w:szCs w:val="24"/>
          <w:lang w:val="es-CO"/>
        </w:rPr>
        <w:t>Martha Luz y Gloria Stella Marín Bedoya, fueron hijas de María Adela Bedoya (f. 69 y 70, c. 1), y el matrimonio de la primera de ellas con Miguel Antonio Vásquez, fue aceptado al contestar la demanda (f. 150, c. 1)</w:t>
      </w:r>
      <w:r w:rsidR="00D746BB" w:rsidRPr="002D5BFC">
        <w:rPr>
          <w:rFonts w:ascii="Gadugi" w:eastAsia="Malgun Gothic" w:hAnsi="Gadugi" w:cs="Estrangelo Edessa"/>
          <w:sz w:val="24"/>
          <w:szCs w:val="24"/>
          <w:lang w:val="es-CO"/>
        </w:rPr>
        <w:t>.</w:t>
      </w:r>
    </w:p>
    <w:p w:rsidR="00D746BB" w:rsidRPr="002D5BFC" w:rsidRDefault="00D746BB" w:rsidP="004211B9">
      <w:pPr>
        <w:pStyle w:val="Prrafodelista"/>
        <w:tabs>
          <w:tab w:val="left" w:pos="3261"/>
        </w:tabs>
        <w:spacing w:line="276" w:lineRule="auto"/>
        <w:ind w:left="2835"/>
        <w:jc w:val="both"/>
        <w:rPr>
          <w:rFonts w:ascii="Gadugi" w:eastAsia="Malgun Gothic" w:hAnsi="Gadugi" w:cs="Estrangelo Edessa"/>
          <w:sz w:val="24"/>
          <w:szCs w:val="24"/>
          <w:lang w:val="es-CO"/>
        </w:rPr>
      </w:pPr>
    </w:p>
    <w:p w:rsidR="00F162A8" w:rsidRPr="002D5BFC" w:rsidRDefault="00D746BB" w:rsidP="004211B9">
      <w:pPr>
        <w:pStyle w:val="Prrafodelista"/>
        <w:numPr>
          <w:ilvl w:val="0"/>
          <w:numId w:val="3"/>
        </w:numPr>
        <w:tabs>
          <w:tab w:val="left" w:pos="3261"/>
        </w:tabs>
        <w:spacing w:line="276" w:lineRule="auto"/>
        <w:ind w:left="0" w:firstLine="2835"/>
        <w:jc w:val="both"/>
        <w:rPr>
          <w:rFonts w:ascii="Gadugi" w:eastAsia="Malgun Gothic" w:hAnsi="Gadugi" w:cs="Estrangelo Edessa"/>
          <w:sz w:val="24"/>
          <w:szCs w:val="24"/>
          <w:lang w:val="es-CO"/>
        </w:rPr>
      </w:pPr>
      <w:r w:rsidRPr="002D5BFC">
        <w:rPr>
          <w:rFonts w:ascii="Gadugi" w:eastAsia="Malgun Gothic" w:hAnsi="Gadugi" w:cs="Estrangelo Edessa"/>
          <w:sz w:val="24"/>
          <w:szCs w:val="24"/>
          <w:lang w:val="es-CO"/>
        </w:rPr>
        <w:t>En su i</w:t>
      </w:r>
      <w:r w:rsidR="00F162A8" w:rsidRPr="002D5BFC">
        <w:rPr>
          <w:rFonts w:ascii="Gadugi" w:eastAsia="Malgun Gothic" w:hAnsi="Gadugi" w:cs="Estrangelo Edessa"/>
          <w:sz w:val="24"/>
          <w:szCs w:val="24"/>
          <w:lang w:val="es-CO"/>
        </w:rPr>
        <w:t>nterrogatorio</w:t>
      </w:r>
      <w:r w:rsidRPr="002D5BFC">
        <w:rPr>
          <w:rFonts w:ascii="Gadugi" w:eastAsia="Malgun Gothic" w:hAnsi="Gadugi" w:cs="Estrangelo Edessa"/>
          <w:sz w:val="24"/>
          <w:szCs w:val="24"/>
          <w:lang w:val="es-CO"/>
        </w:rPr>
        <w:t xml:space="preserve">, dijo Martha Luz Marín Bedoya </w:t>
      </w:r>
      <w:r w:rsidR="00F162A8" w:rsidRPr="002D5BFC">
        <w:rPr>
          <w:rFonts w:ascii="Gadugi" w:eastAsia="Malgun Gothic" w:hAnsi="Gadugi" w:cs="Estrangelo Edessa"/>
          <w:sz w:val="24"/>
          <w:szCs w:val="24"/>
          <w:lang w:val="es-CO"/>
        </w:rPr>
        <w:t xml:space="preserve">(f. 2, c. pruebas) </w:t>
      </w:r>
      <w:r w:rsidRPr="002D5BFC">
        <w:rPr>
          <w:rFonts w:ascii="Gadugi" w:eastAsia="Malgun Gothic" w:hAnsi="Gadugi" w:cs="Estrangelo Edessa"/>
          <w:sz w:val="24"/>
          <w:szCs w:val="24"/>
          <w:lang w:val="es-CO"/>
        </w:rPr>
        <w:t xml:space="preserve">que desconocía la existencia de </w:t>
      </w:r>
      <w:r w:rsidR="00F162A8" w:rsidRPr="002D5BFC">
        <w:rPr>
          <w:rFonts w:ascii="Gadugi" w:eastAsia="Malgun Gothic" w:hAnsi="Gadugi" w:cs="Estrangelo Edessa"/>
          <w:sz w:val="24"/>
          <w:szCs w:val="24"/>
          <w:lang w:val="es-CO"/>
        </w:rPr>
        <w:t>un proceso de filiación extramatrimonial propuesto por María Olga Durango</w:t>
      </w:r>
      <w:r w:rsidRPr="002D5BFC">
        <w:rPr>
          <w:rFonts w:ascii="Gadugi" w:eastAsia="Malgun Gothic" w:hAnsi="Gadugi" w:cs="Estrangelo Edessa"/>
          <w:sz w:val="24"/>
          <w:szCs w:val="24"/>
          <w:lang w:val="es-CO"/>
        </w:rPr>
        <w:t xml:space="preserve"> para cuando compró; que la </w:t>
      </w:r>
      <w:r w:rsidR="00F162A8" w:rsidRPr="002D5BFC">
        <w:rPr>
          <w:rFonts w:ascii="Gadugi" w:eastAsia="Malgun Gothic" w:hAnsi="Gadugi" w:cs="Estrangelo Edessa"/>
          <w:sz w:val="24"/>
          <w:szCs w:val="24"/>
          <w:lang w:val="es-CO"/>
        </w:rPr>
        <w:t xml:space="preserve">escritura se </w:t>
      </w:r>
      <w:r w:rsidRPr="002D5BFC">
        <w:rPr>
          <w:rFonts w:ascii="Gadugi" w:eastAsia="Malgun Gothic" w:hAnsi="Gadugi" w:cs="Estrangelo Edessa"/>
          <w:sz w:val="24"/>
          <w:szCs w:val="24"/>
          <w:lang w:val="es-CO"/>
        </w:rPr>
        <w:t xml:space="preserve">elevó cuando acabaron de pagar el precio, pues primero entregaron treinta millones, en julio de 2004, y luego, entre agosto y septiembre de ese año, </w:t>
      </w:r>
      <w:r w:rsidR="00CF29F0" w:rsidRPr="002D5BFC">
        <w:rPr>
          <w:rFonts w:ascii="Gadugi" w:eastAsia="Malgun Gothic" w:hAnsi="Gadugi" w:cs="Estrangelo Edessa"/>
          <w:sz w:val="24"/>
          <w:szCs w:val="24"/>
          <w:lang w:val="es-419"/>
        </w:rPr>
        <w:t>l</w:t>
      </w:r>
      <w:r w:rsidRPr="002D5BFC">
        <w:rPr>
          <w:rFonts w:ascii="Gadugi" w:eastAsia="Malgun Gothic" w:hAnsi="Gadugi" w:cs="Estrangelo Edessa"/>
          <w:sz w:val="24"/>
          <w:szCs w:val="24"/>
          <w:lang w:val="es-CO"/>
        </w:rPr>
        <w:t>os otros cincuenta millones, en dos cheques. Lo mismo señaló sobre el pago Miguel Antonio Velásquez Mesa</w:t>
      </w:r>
      <w:r w:rsidR="00F162A8" w:rsidRPr="002D5BFC">
        <w:rPr>
          <w:rFonts w:ascii="Gadugi" w:eastAsia="Malgun Gothic" w:hAnsi="Gadugi" w:cs="Estrangelo Edessa"/>
          <w:sz w:val="24"/>
          <w:szCs w:val="24"/>
          <w:lang w:val="es-CO"/>
        </w:rPr>
        <w:t xml:space="preserve"> (f. 3. </w:t>
      </w:r>
      <w:r w:rsidRPr="002D5BFC">
        <w:rPr>
          <w:rFonts w:ascii="Gadugi" w:eastAsia="Malgun Gothic" w:hAnsi="Gadugi" w:cs="Estrangelo Edessa"/>
          <w:sz w:val="24"/>
          <w:szCs w:val="24"/>
          <w:lang w:val="es-CO"/>
        </w:rPr>
        <w:t>ib)</w:t>
      </w:r>
      <w:r w:rsidR="00F162A8" w:rsidRPr="002D5BFC">
        <w:rPr>
          <w:rFonts w:ascii="Gadugi" w:eastAsia="Malgun Gothic" w:hAnsi="Gadugi" w:cs="Estrangelo Edessa"/>
          <w:sz w:val="24"/>
          <w:szCs w:val="24"/>
          <w:lang w:val="es-CO"/>
        </w:rPr>
        <w:t>.</w:t>
      </w:r>
    </w:p>
    <w:p w:rsidR="00F162A8" w:rsidRPr="002D5BFC" w:rsidRDefault="00F162A8" w:rsidP="004211B9">
      <w:pPr>
        <w:spacing w:line="276" w:lineRule="auto"/>
        <w:jc w:val="both"/>
        <w:rPr>
          <w:rFonts w:ascii="Gadugi" w:eastAsia="Malgun Gothic" w:hAnsi="Gadugi" w:cs="Estrangelo Edessa"/>
          <w:sz w:val="24"/>
          <w:szCs w:val="24"/>
          <w:lang w:val="es-CO"/>
        </w:rPr>
      </w:pPr>
    </w:p>
    <w:p w:rsidR="00F162A8" w:rsidRPr="002D5BFC" w:rsidRDefault="00D746BB" w:rsidP="004211B9">
      <w:pPr>
        <w:spacing w:line="276" w:lineRule="auto"/>
        <w:jc w:val="both"/>
        <w:rPr>
          <w:rFonts w:ascii="Gadugi" w:eastAsia="Malgun Gothic" w:hAnsi="Gadugi" w:cs="Estrangelo Edessa"/>
          <w:sz w:val="24"/>
          <w:szCs w:val="24"/>
          <w:lang w:val="es-CO"/>
        </w:rPr>
      </w:pPr>
      <w:r w:rsidRPr="002D5BFC">
        <w:rPr>
          <w:rFonts w:ascii="Gadugi" w:eastAsia="Malgun Gothic" w:hAnsi="Gadugi" w:cs="Estrangelo Edessa"/>
          <w:sz w:val="24"/>
          <w:szCs w:val="24"/>
          <w:lang w:val="es-CO"/>
        </w:rPr>
        <w:t xml:space="preserve">  </w:t>
      </w:r>
      <w:r w:rsidRPr="002D5BFC">
        <w:rPr>
          <w:rFonts w:ascii="Gadugi" w:eastAsia="Malgun Gothic" w:hAnsi="Gadugi" w:cs="Estrangelo Edessa"/>
          <w:sz w:val="24"/>
          <w:szCs w:val="24"/>
          <w:lang w:val="es-CO"/>
        </w:rPr>
        <w:tab/>
      </w:r>
      <w:r w:rsidRPr="002D5BFC">
        <w:rPr>
          <w:rFonts w:ascii="Gadugi" w:eastAsia="Malgun Gothic" w:hAnsi="Gadugi" w:cs="Estrangelo Edessa"/>
          <w:sz w:val="24"/>
          <w:szCs w:val="24"/>
          <w:lang w:val="es-CO"/>
        </w:rPr>
        <w:tab/>
      </w:r>
      <w:r w:rsidRPr="002D5BFC">
        <w:rPr>
          <w:rFonts w:ascii="Gadugi" w:eastAsia="Malgun Gothic" w:hAnsi="Gadugi" w:cs="Estrangelo Edessa"/>
          <w:sz w:val="24"/>
          <w:szCs w:val="24"/>
          <w:lang w:val="es-CO"/>
        </w:rPr>
        <w:tab/>
      </w:r>
      <w:r w:rsidRPr="002D5BFC">
        <w:rPr>
          <w:rFonts w:ascii="Gadugi" w:eastAsia="Malgun Gothic" w:hAnsi="Gadugi" w:cs="Estrangelo Edessa"/>
          <w:sz w:val="24"/>
          <w:szCs w:val="24"/>
          <w:lang w:val="es-CO"/>
        </w:rPr>
        <w:tab/>
        <w:t xml:space="preserve">Por su lado, Gloria Stella Marín Bedoya </w:t>
      </w:r>
      <w:r w:rsidR="00F162A8" w:rsidRPr="002D5BFC">
        <w:rPr>
          <w:rFonts w:ascii="Gadugi" w:eastAsia="Malgun Gothic" w:hAnsi="Gadugi" w:cs="Estrangelo Edessa"/>
          <w:sz w:val="24"/>
          <w:szCs w:val="24"/>
          <w:lang w:val="es-CO"/>
        </w:rPr>
        <w:t>(f. 5, c. p)</w:t>
      </w:r>
      <w:r w:rsidRPr="002D5BFC">
        <w:rPr>
          <w:rFonts w:ascii="Gadugi" w:eastAsia="Malgun Gothic" w:hAnsi="Gadugi" w:cs="Estrangelo Edessa"/>
          <w:sz w:val="24"/>
          <w:szCs w:val="24"/>
          <w:lang w:val="es-CO"/>
        </w:rPr>
        <w:t xml:space="preserve">, precisó que realmente pagó cuarenta millones por el 50% adquirido, lo que hizo de contado; agregó que conoció a María Olga Durango como paisana, porque son de Apía, pero para el 30 de marzo de 2004, cuando se le vendió un inmueble a Edelmira Sanz de García, desconocía la existencia de la demandante. </w:t>
      </w:r>
    </w:p>
    <w:p w:rsidR="00D746BB" w:rsidRPr="002D5BFC" w:rsidRDefault="00D746BB" w:rsidP="004211B9">
      <w:pPr>
        <w:spacing w:line="276" w:lineRule="auto"/>
        <w:jc w:val="both"/>
        <w:rPr>
          <w:rFonts w:ascii="Gadugi" w:eastAsia="Malgun Gothic" w:hAnsi="Gadugi" w:cs="Estrangelo Edessa"/>
          <w:sz w:val="24"/>
          <w:szCs w:val="24"/>
          <w:lang w:val="es-CO"/>
        </w:rPr>
      </w:pPr>
    </w:p>
    <w:p w:rsidR="003A7A50" w:rsidRPr="002D5BFC" w:rsidRDefault="00F0324B" w:rsidP="004211B9">
      <w:pPr>
        <w:spacing w:line="276" w:lineRule="auto"/>
        <w:jc w:val="both"/>
        <w:rPr>
          <w:rFonts w:ascii="Gadugi" w:eastAsia="Malgun Gothic" w:hAnsi="Gadugi" w:cs="Estrangelo Edessa"/>
          <w:sz w:val="24"/>
          <w:szCs w:val="24"/>
          <w:lang w:val="es-CO"/>
        </w:rPr>
      </w:pPr>
      <w:r w:rsidRPr="002D5BFC">
        <w:rPr>
          <w:rFonts w:ascii="Gadugi" w:eastAsia="Malgun Gothic" w:hAnsi="Gadugi" w:cs="Estrangelo Edessa"/>
          <w:sz w:val="24"/>
          <w:szCs w:val="24"/>
          <w:lang w:val="es-CO"/>
        </w:rPr>
        <w:t xml:space="preserve">   </w:t>
      </w:r>
      <w:r w:rsidRPr="002D5BFC">
        <w:rPr>
          <w:rFonts w:ascii="Gadugi" w:eastAsia="Malgun Gothic" w:hAnsi="Gadugi" w:cs="Estrangelo Edessa"/>
          <w:sz w:val="24"/>
          <w:szCs w:val="24"/>
          <w:lang w:val="es-CO"/>
        </w:rPr>
        <w:tab/>
      </w:r>
      <w:r w:rsidRPr="002D5BFC">
        <w:rPr>
          <w:rFonts w:ascii="Gadugi" w:eastAsia="Malgun Gothic" w:hAnsi="Gadugi" w:cs="Estrangelo Edessa"/>
          <w:sz w:val="24"/>
          <w:szCs w:val="24"/>
          <w:lang w:val="es-CO"/>
        </w:rPr>
        <w:tab/>
      </w:r>
      <w:r w:rsidRPr="002D5BFC">
        <w:rPr>
          <w:rFonts w:ascii="Gadugi" w:eastAsia="Malgun Gothic" w:hAnsi="Gadugi" w:cs="Estrangelo Edessa"/>
          <w:sz w:val="24"/>
          <w:szCs w:val="24"/>
          <w:lang w:val="es-CO"/>
        </w:rPr>
        <w:tab/>
      </w:r>
      <w:r w:rsidRPr="002D5BFC">
        <w:rPr>
          <w:rFonts w:ascii="Gadugi" w:eastAsia="Malgun Gothic" w:hAnsi="Gadugi" w:cs="Estrangelo Edessa"/>
          <w:sz w:val="24"/>
          <w:szCs w:val="24"/>
          <w:lang w:val="es-CO"/>
        </w:rPr>
        <w:tab/>
      </w:r>
      <w:r w:rsidR="00533E7B" w:rsidRPr="002D5BFC">
        <w:rPr>
          <w:rFonts w:ascii="Gadugi" w:eastAsia="Malgun Gothic" w:hAnsi="Gadugi" w:cs="Estrangelo Edessa"/>
          <w:sz w:val="24"/>
          <w:szCs w:val="24"/>
          <w:lang w:val="es-CO"/>
        </w:rPr>
        <w:t xml:space="preserve">Y en el proceso de filiación, según las copias que se trajeron como prueba, fueron testigos Gloria </w:t>
      </w:r>
      <w:r w:rsidR="00E9550A" w:rsidRPr="002D5BFC">
        <w:rPr>
          <w:rFonts w:ascii="Gadugi" w:eastAsia="Malgun Gothic" w:hAnsi="Gadugi" w:cs="Estrangelo Edessa"/>
          <w:sz w:val="24"/>
          <w:szCs w:val="24"/>
          <w:lang w:val="es-CO"/>
        </w:rPr>
        <w:t xml:space="preserve">Stella y </w:t>
      </w:r>
      <w:r w:rsidR="00533E7B" w:rsidRPr="002D5BFC">
        <w:rPr>
          <w:rFonts w:ascii="Gadugi" w:eastAsia="Malgun Gothic" w:hAnsi="Gadugi" w:cs="Estrangelo Edessa"/>
          <w:sz w:val="24"/>
          <w:szCs w:val="24"/>
          <w:lang w:val="es-CO"/>
        </w:rPr>
        <w:t>Miguel Antonio (f.</w:t>
      </w:r>
      <w:r w:rsidR="003A7A50" w:rsidRPr="002D5BFC">
        <w:rPr>
          <w:rFonts w:ascii="Gadugi" w:eastAsia="Malgun Gothic" w:hAnsi="Gadugi" w:cs="Estrangelo Edessa"/>
          <w:sz w:val="24"/>
          <w:szCs w:val="24"/>
          <w:lang w:val="es-CO"/>
        </w:rPr>
        <w:t xml:space="preserve"> 6 y 12, c. p). En lo que aquí interesa, dijo la primera que cuando murió su abuelo, se levantó la sucesión y al tiempo resultó Olga Durango reclamando apellido y supuestamente herencia; durante el proceso, murió su mamá y </w:t>
      </w:r>
      <w:r w:rsidR="00CF29F0" w:rsidRPr="002D5BFC">
        <w:rPr>
          <w:rFonts w:ascii="Gadugi" w:eastAsia="Malgun Gothic" w:hAnsi="Gadugi" w:cs="Estrangelo Edessa"/>
          <w:sz w:val="24"/>
          <w:szCs w:val="24"/>
          <w:lang w:val="es-419"/>
        </w:rPr>
        <w:t>“</w:t>
      </w:r>
      <w:r w:rsidR="003A7A50" w:rsidRPr="002D5BFC">
        <w:rPr>
          <w:rFonts w:ascii="Gadugi" w:eastAsia="Malgun Gothic" w:hAnsi="Gadugi" w:cs="Estrangelo Edessa"/>
          <w:i/>
          <w:sz w:val="24"/>
          <w:szCs w:val="24"/>
          <w:lang w:val="es-CO"/>
        </w:rPr>
        <w:t>están a que los vuelvan a llamar</w:t>
      </w:r>
      <w:r w:rsidR="00CF29F0" w:rsidRPr="002D5BFC">
        <w:rPr>
          <w:rFonts w:ascii="Gadugi" w:eastAsia="Malgun Gothic" w:hAnsi="Gadugi" w:cs="Estrangelo Edessa"/>
          <w:sz w:val="24"/>
          <w:szCs w:val="24"/>
          <w:lang w:val="es-419"/>
        </w:rPr>
        <w:t>”</w:t>
      </w:r>
      <w:r w:rsidR="003A7A50" w:rsidRPr="002D5BFC">
        <w:rPr>
          <w:rFonts w:ascii="Gadugi" w:eastAsia="Malgun Gothic" w:hAnsi="Gadugi" w:cs="Estrangelo Edessa"/>
          <w:sz w:val="24"/>
          <w:szCs w:val="24"/>
          <w:lang w:val="es-CO"/>
        </w:rPr>
        <w:t xml:space="preserve">; también aludió a visita del Notario de Apía a su abuelo, en compañía de un abogado, para que reconociera a María Olga, de quien se rumoraba que era su hija. Y el segundo, también mencionó </w:t>
      </w:r>
      <w:r w:rsidR="00017318" w:rsidRPr="002D5BFC">
        <w:rPr>
          <w:rFonts w:ascii="Gadugi" w:eastAsia="Malgun Gothic" w:hAnsi="Gadugi" w:cs="Estrangelo Edessa"/>
          <w:sz w:val="24"/>
          <w:szCs w:val="24"/>
          <w:lang w:val="es-CO"/>
        </w:rPr>
        <w:t xml:space="preserve">la </w:t>
      </w:r>
      <w:r w:rsidR="003A7A50" w:rsidRPr="002D5BFC">
        <w:rPr>
          <w:rFonts w:ascii="Gadugi" w:eastAsia="Malgun Gothic" w:hAnsi="Gadugi" w:cs="Estrangelo Edessa"/>
          <w:sz w:val="24"/>
          <w:szCs w:val="24"/>
          <w:lang w:val="es-CO"/>
        </w:rPr>
        <w:t xml:space="preserve">visita, aunque no supo si la persona de la que se </w:t>
      </w:r>
      <w:r w:rsidR="003A7A50" w:rsidRPr="002D5BFC">
        <w:rPr>
          <w:rFonts w:ascii="Gadugi" w:eastAsia="Malgun Gothic" w:hAnsi="Gadugi" w:cs="Estrangelo Edessa"/>
          <w:sz w:val="24"/>
          <w:szCs w:val="24"/>
          <w:lang w:val="es-CO"/>
        </w:rPr>
        <w:lastRenderedPageBreak/>
        <w:t xml:space="preserve">trataba era María Olga, </w:t>
      </w:r>
      <w:r w:rsidR="00E95B6A" w:rsidRPr="002D5BFC">
        <w:rPr>
          <w:rFonts w:ascii="Gadugi" w:eastAsia="Malgun Gothic" w:hAnsi="Gadugi" w:cs="Estrangelo Edessa"/>
          <w:sz w:val="24"/>
          <w:szCs w:val="24"/>
          <w:lang w:val="es-CO"/>
        </w:rPr>
        <w:t xml:space="preserve">a pesar de </w:t>
      </w:r>
      <w:r w:rsidR="00017318" w:rsidRPr="002D5BFC">
        <w:rPr>
          <w:rFonts w:ascii="Gadugi" w:eastAsia="Malgun Gothic" w:hAnsi="Gadugi" w:cs="Estrangelo Edessa"/>
          <w:sz w:val="24"/>
          <w:szCs w:val="24"/>
          <w:lang w:val="es-CO"/>
        </w:rPr>
        <w:t>que</w:t>
      </w:r>
      <w:r w:rsidR="003A7A50" w:rsidRPr="002D5BFC">
        <w:rPr>
          <w:rFonts w:ascii="Gadugi" w:eastAsia="Malgun Gothic" w:hAnsi="Gadugi" w:cs="Estrangelo Edessa"/>
          <w:sz w:val="24"/>
          <w:szCs w:val="24"/>
          <w:lang w:val="es-CO"/>
        </w:rPr>
        <w:t xml:space="preserve"> algunos comentarios en Apía la señalaban como hija de don Antonio. </w:t>
      </w:r>
    </w:p>
    <w:p w:rsidR="003A7A50" w:rsidRPr="002D5BFC" w:rsidRDefault="003A7A50" w:rsidP="004211B9">
      <w:pPr>
        <w:spacing w:line="276" w:lineRule="auto"/>
        <w:jc w:val="both"/>
        <w:rPr>
          <w:rFonts w:ascii="Gadugi" w:eastAsia="Malgun Gothic" w:hAnsi="Gadugi" w:cs="Estrangelo Edessa"/>
          <w:sz w:val="24"/>
          <w:szCs w:val="24"/>
          <w:lang w:val="es-CO"/>
        </w:rPr>
      </w:pPr>
    </w:p>
    <w:p w:rsidR="00170ADB" w:rsidRPr="002D5BFC" w:rsidRDefault="00296330"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 xml:space="preserve">Confrontado este compendio con las críticas que formula la recurrente se concluye que la buena fe de los demandados no se ha logrado desvirtuar.  </w:t>
      </w:r>
    </w:p>
    <w:p w:rsidR="00170ADB" w:rsidRPr="002D5BFC" w:rsidRDefault="00170ADB" w:rsidP="004211B9">
      <w:pPr>
        <w:spacing w:line="276" w:lineRule="auto"/>
        <w:ind w:firstLine="2835"/>
        <w:jc w:val="both"/>
        <w:rPr>
          <w:rFonts w:ascii="Gadugi" w:eastAsia="Malgun Gothic" w:hAnsi="Gadugi" w:cs="Estrangelo Edessa"/>
          <w:sz w:val="24"/>
          <w:szCs w:val="24"/>
          <w:lang w:val="es-419"/>
        </w:rPr>
      </w:pPr>
    </w:p>
    <w:p w:rsidR="005F6C9C" w:rsidRPr="002D5BFC" w:rsidRDefault="00296330"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Recuérdese que el recurso viene anclado en que</w:t>
      </w:r>
      <w:r w:rsidR="00017318" w:rsidRPr="002D5BFC">
        <w:rPr>
          <w:rFonts w:ascii="Gadugi" w:eastAsia="Malgun Gothic" w:hAnsi="Gadugi" w:cs="Estrangelo Edessa"/>
          <w:sz w:val="24"/>
          <w:szCs w:val="24"/>
          <w:lang w:val="es-419"/>
        </w:rPr>
        <w:t>,</w:t>
      </w:r>
      <w:r w:rsidRPr="002D5BFC">
        <w:rPr>
          <w:rFonts w:ascii="Gadugi" w:eastAsia="Malgun Gothic" w:hAnsi="Gadugi" w:cs="Estrangelo Edessa"/>
          <w:sz w:val="24"/>
          <w:szCs w:val="24"/>
          <w:lang w:val="es-419"/>
        </w:rPr>
        <w:t xml:space="preserve"> de acuerdo con sus propias versiones, los demandados conocían de la existencia de María Olga Durango y </w:t>
      </w:r>
      <w:r w:rsidR="00170ADB" w:rsidRPr="002D5BFC">
        <w:rPr>
          <w:rFonts w:ascii="Gadugi" w:eastAsia="Malgun Gothic" w:hAnsi="Gadugi" w:cs="Estrangelo Edessa"/>
          <w:sz w:val="24"/>
          <w:szCs w:val="24"/>
          <w:lang w:val="es-419"/>
        </w:rPr>
        <w:t xml:space="preserve">de </w:t>
      </w:r>
      <w:r w:rsidRPr="002D5BFC">
        <w:rPr>
          <w:rFonts w:ascii="Gadugi" w:eastAsia="Malgun Gothic" w:hAnsi="Gadugi" w:cs="Estrangelo Edessa"/>
          <w:sz w:val="24"/>
          <w:szCs w:val="24"/>
          <w:lang w:val="es-419"/>
        </w:rPr>
        <w:t xml:space="preserve">cómo ella alegaba su calidad de hija </w:t>
      </w:r>
      <w:r w:rsidR="00017318" w:rsidRPr="002D5BFC">
        <w:rPr>
          <w:rFonts w:ascii="Gadugi" w:eastAsia="Malgun Gothic" w:hAnsi="Gadugi" w:cs="Estrangelo Edessa"/>
          <w:sz w:val="24"/>
          <w:szCs w:val="24"/>
          <w:lang w:val="es-419"/>
        </w:rPr>
        <w:t>y posible heredera de Antonio María Bedoya. Pero, por una parte, Martha Luz Marín Bedoya, no declaró en el proceso de filiación, y aquí afirmó que no sabía de la existencia de la demandante. Ninguna otra prueba la involucra</w:t>
      </w:r>
      <w:r w:rsidR="009752AD" w:rsidRPr="002D5BFC">
        <w:rPr>
          <w:rFonts w:ascii="Gadugi" w:eastAsia="Malgun Gothic" w:hAnsi="Gadugi" w:cs="Estrangelo Edessa"/>
          <w:sz w:val="24"/>
          <w:szCs w:val="24"/>
          <w:lang w:val="es-419"/>
        </w:rPr>
        <w:t>,</w:t>
      </w:r>
      <w:r w:rsidR="00017318" w:rsidRPr="002D5BFC">
        <w:rPr>
          <w:rFonts w:ascii="Gadugi" w:eastAsia="Malgun Gothic" w:hAnsi="Gadugi" w:cs="Estrangelo Edessa"/>
          <w:sz w:val="24"/>
          <w:szCs w:val="24"/>
          <w:lang w:val="es-419"/>
        </w:rPr>
        <w:t xml:space="preserve"> de la que pueda deducirse que, efectivamente, para cuando compró,</w:t>
      </w:r>
      <w:r w:rsidR="006007E9" w:rsidRPr="002D5BFC">
        <w:rPr>
          <w:rFonts w:ascii="Gadugi" w:eastAsia="Malgun Gothic" w:hAnsi="Gadugi" w:cs="Estrangelo Edessa"/>
          <w:sz w:val="24"/>
          <w:szCs w:val="24"/>
          <w:lang w:val="es-419"/>
        </w:rPr>
        <w:t xml:space="preserve"> tenía conocimiento de una posible reclamación por parte de aquella</w:t>
      </w:r>
      <w:r w:rsidR="009752AD" w:rsidRPr="002D5BFC">
        <w:rPr>
          <w:rFonts w:ascii="Gadugi" w:eastAsia="Malgun Gothic" w:hAnsi="Gadugi" w:cs="Estrangelo Edessa"/>
          <w:sz w:val="24"/>
          <w:szCs w:val="24"/>
          <w:lang w:val="es-419"/>
        </w:rPr>
        <w:t>,</w:t>
      </w:r>
      <w:r w:rsidR="00017318" w:rsidRPr="002D5BFC">
        <w:rPr>
          <w:rFonts w:ascii="Gadugi" w:eastAsia="Malgun Gothic" w:hAnsi="Gadugi" w:cs="Estrangelo Edessa"/>
          <w:sz w:val="24"/>
          <w:szCs w:val="24"/>
          <w:lang w:val="es-419"/>
        </w:rPr>
        <w:t xml:space="preserve"> </w:t>
      </w:r>
      <w:r w:rsidR="006007E9" w:rsidRPr="002D5BFC">
        <w:rPr>
          <w:rFonts w:ascii="Gadugi" w:eastAsia="Malgun Gothic" w:hAnsi="Gadugi" w:cs="Estrangelo Edessa"/>
          <w:sz w:val="24"/>
          <w:szCs w:val="24"/>
          <w:lang w:val="es-419"/>
        </w:rPr>
        <w:t xml:space="preserve">y la sola suposición de la demandante de que así era, se torna insuficiente para destruir </w:t>
      </w:r>
      <w:r w:rsidR="005F6C9C" w:rsidRPr="002D5BFC">
        <w:rPr>
          <w:rFonts w:ascii="Gadugi" w:eastAsia="Malgun Gothic" w:hAnsi="Gadugi" w:cs="Estrangelo Edessa"/>
          <w:sz w:val="24"/>
          <w:szCs w:val="24"/>
          <w:lang w:val="es-419"/>
        </w:rPr>
        <w:t>aquel principio</w:t>
      </w:r>
      <w:r w:rsidR="00CF29F0" w:rsidRPr="002D5BFC">
        <w:rPr>
          <w:rFonts w:ascii="Gadugi" w:eastAsia="Malgun Gothic" w:hAnsi="Gadugi" w:cs="Estrangelo Edessa"/>
          <w:sz w:val="24"/>
          <w:szCs w:val="24"/>
          <w:lang w:val="es-419"/>
        </w:rPr>
        <w:t xml:space="preserve"> (el de la buena fe)</w:t>
      </w:r>
      <w:r w:rsidR="005F6C9C" w:rsidRPr="002D5BFC">
        <w:rPr>
          <w:rFonts w:ascii="Gadugi" w:eastAsia="Malgun Gothic" w:hAnsi="Gadugi" w:cs="Estrangelo Edessa"/>
          <w:sz w:val="24"/>
          <w:szCs w:val="24"/>
          <w:lang w:val="es-419"/>
        </w:rPr>
        <w:t xml:space="preserve">. Es cierto que María Adela fue notificada por conducta concluyente el 2 de marzo de la demanda de filiación, y que a pocos meses, en septiembre de ese año, le vendió a su hija Martha Luz y su consorte </w:t>
      </w:r>
      <w:r w:rsidR="00170ADB" w:rsidRPr="002D5BFC">
        <w:rPr>
          <w:rFonts w:ascii="Gadugi" w:eastAsia="Malgun Gothic" w:hAnsi="Gadugi" w:cs="Estrangelo Edessa"/>
          <w:sz w:val="24"/>
          <w:szCs w:val="24"/>
          <w:lang w:val="es-419"/>
        </w:rPr>
        <w:t xml:space="preserve">Miguel Antonio Velásquez Mesa el inmueble de matrícula 290-14043, pero de esa situación no se sigue, necesariamente, y sin que exista ningún medio para acreditarlo, que compró a sabiendas del perjuicio que posteriormente podría irrogársele a la ahora demandante, o con el ánimo de perturbar sus derechos herenciales. </w:t>
      </w:r>
    </w:p>
    <w:p w:rsidR="00170ADB" w:rsidRPr="002D5BFC" w:rsidRDefault="00170ADB" w:rsidP="004211B9">
      <w:pPr>
        <w:spacing w:line="276" w:lineRule="auto"/>
        <w:ind w:firstLine="2835"/>
        <w:jc w:val="both"/>
        <w:rPr>
          <w:rFonts w:ascii="Gadugi" w:eastAsia="Malgun Gothic" w:hAnsi="Gadugi" w:cs="Estrangelo Edessa"/>
          <w:sz w:val="24"/>
          <w:szCs w:val="24"/>
          <w:lang w:val="es-419"/>
        </w:rPr>
      </w:pPr>
    </w:p>
    <w:p w:rsidR="00170ADB" w:rsidRPr="002D5BFC" w:rsidRDefault="00170ADB"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 xml:space="preserve">Y por la otra, las declaraciones que rindieron Gloria Stella y Miguel Antonio, que es lo único que serviría de pilar para desvirtuar su buena fe, solo dan cuenta de que en Apía existían rumores de que María Olga podía ser hija de Antonio María Bedoya; incluso, que un notario estuvo en su casa procurando que la reconociera como tal. Pero, obsérvese que no se concretó cuándo ocurrieron esos hechos, como para pensar que ya la demandante pretendía iniciar alguna acción judicial, o que, por ese solo rumor, se limitaba su posibilidad de adquirir algún bien, incluidos los que fueron adjudicados a María Adela. Es decir, que tampoco se tiene noticia de que para cuando cada uno compró, en marzo de 2004 la primera, y en septiembre del mismo año el segundo, tuvieran conocimiento exacto de que se ventilaba la demanda de </w:t>
      </w:r>
      <w:r w:rsidR="00557D01" w:rsidRPr="002D5BFC">
        <w:rPr>
          <w:rFonts w:ascii="Gadugi" w:eastAsia="Malgun Gothic" w:hAnsi="Gadugi" w:cs="Estrangelo Edessa"/>
          <w:sz w:val="24"/>
          <w:szCs w:val="24"/>
          <w:lang w:val="es-419"/>
        </w:rPr>
        <w:t xml:space="preserve">investigación de la paternidad. </w:t>
      </w:r>
    </w:p>
    <w:p w:rsidR="00557D01" w:rsidRPr="002D5BFC" w:rsidRDefault="00557D01" w:rsidP="004211B9">
      <w:pPr>
        <w:spacing w:line="276" w:lineRule="auto"/>
        <w:ind w:firstLine="2835"/>
        <w:jc w:val="both"/>
        <w:rPr>
          <w:rFonts w:ascii="Gadugi" w:eastAsia="Malgun Gothic" w:hAnsi="Gadugi" w:cs="Estrangelo Edessa"/>
          <w:sz w:val="24"/>
          <w:szCs w:val="24"/>
          <w:lang w:val="es-419"/>
        </w:rPr>
      </w:pPr>
    </w:p>
    <w:p w:rsidR="00557D01" w:rsidRPr="002D5BFC" w:rsidRDefault="00557D01"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Es bueno resaltar que la sentencia proferida en ese asunto, se fund</w:t>
      </w:r>
      <w:r w:rsidR="00E95B6A" w:rsidRPr="002D5BFC">
        <w:rPr>
          <w:rFonts w:ascii="Gadugi" w:eastAsia="Malgun Gothic" w:hAnsi="Gadugi" w:cs="Estrangelo Edessa"/>
          <w:sz w:val="24"/>
          <w:szCs w:val="24"/>
          <w:lang w:val="es-419"/>
        </w:rPr>
        <w:t>ó</w:t>
      </w:r>
      <w:r w:rsidRPr="002D5BFC">
        <w:rPr>
          <w:rFonts w:ascii="Gadugi" w:eastAsia="Malgun Gothic" w:hAnsi="Gadugi" w:cs="Estrangelo Edessa"/>
          <w:sz w:val="24"/>
          <w:szCs w:val="24"/>
          <w:lang w:val="es-419"/>
        </w:rPr>
        <w:t xml:space="preserve"> en la posesión notoria del estado civil, y allí quedó ampliamente dicho que Antonio María se encargó, toda su vida, de mantener oculta la situación </w:t>
      </w:r>
      <w:r w:rsidRPr="002D5BFC">
        <w:rPr>
          <w:rFonts w:ascii="Gadugi" w:eastAsia="Malgun Gothic" w:hAnsi="Gadugi" w:cs="Estrangelo Edessa"/>
          <w:sz w:val="24"/>
          <w:szCs w:val="24"/>
          <w:lang w:val="es-419"/>
        </w:rPr>
        <w:lastRenderedPageBreak/>
        <w:t xml:space="preserve">frente a su familia, a pesar de los rumores que circulaban, por lo que no podía esperarse que esta actuara frente a María Olga como si </w:t>
      </w:r>
      <w:r w:rsidR="00E95B6A" w:rsidRPr="002D5BFC">
        <w:rPr>
          <w:rFonts w:ascii="Gadugi" w:eastAsia="Malgun Gothic" w:hAnsi="Gadugi" w:cs="Estrangelo Edessa"/>
          <w:sz w:val="24"/>
          <w:szCs w:val="24"/>
          <w:lang w:val="es-419"/>
        </w:rPr>
        <w:t>se tratara de</w:t>
      </w:r>
      <w:r w:rsidRPr="002D5BFC">
        <w:rPr>
          <w:rFonts w:ascii="Gadugi" w:eastAsia="Malgun Gothic" w:hAnsi="Gadugi" w:cs="Estrangelo Edessa"/>
          <w:sz w:val="24"/>
          <w:szCs w:val="24"/>
          <w:lang w:val="es-419"/>
        </w:rPr>
        <w:t xml:space="preserve"> un miembro más, dado que el padre se encarg</w:t>
      </w:r>
      <w:r w:rsidR="00CF29F0" w:rsidRPr="002D5BFC">
        <w:rPr>
          <w:rFonts w:ascii="Gadugi" w:eastAsia="Malgun Gothic" w:hAnsi="Gadugi" w:cs="Estrangelo Edessa"/>
          <w:sz w:val="24"/>
          <w:szCs w:val="24"/>
          <w:lang w:val="es-419"/>
        </w:rPr>
        <w:t>ó</w:t>
      </w:r>
      <w:r w:rsidRPr="002D5BFC">
        <w:rPr>
          <w:rFonts w:ascii="Gadugi" w:eastAsia="Malgun Gothic" w:hAnsi="Gadugi" w:cs="Estrangelo Edessa"/>
          <w:sz w:val="24"/>
          <w:szCs w:val="24"/>
          <w:lang w:val="es-419"/>
        </w:rPr>
        <w:t xml:space="preserve"> de mantenerla al margen de todo. </w:t>
      </w:r>
    </w:p>
    <w:p w:rsidR="00557D01" w:rsidRPr="002D5BFC" w:rsidRDefault="00557D01" w:rsidP="004211B9">
      <w:pPr>
        <w:spacing w:line="276" w:lineRule="auto"/>
        <w:ind w:firstLine="2835"/>
        <w:jc w:val="both"/>
        <w:rPr>
          <w:rFonts w:ascii="Gadugi" w:eastAsia="Malgun Gothic" w:hAnsi="Gadugi" w:cs="Estrangelo Edessa"/>
          <w:sz w:val="24"/>
          <w:szCs w:val="24"/>
          <w:lang w:val="es-419"/>
        </w:rPr>
      </w:pPr>
    </w:p>
    <w:p w:rsidR="00557D01" w:rsidRPr="002D5BFC" w:rsidRDefault="00557D01"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Lo que se quiere significar, entonces, es que</w:t>
      </w:r>
      <w:r w:rsidR="00E95B6A" w:rsidRPr="002D5BFC">
        <w:rPr>
          <w:rFonts w:ascii="Gadugi" w:eastAsia="Malgun Gothic" w:hAnsi="Gadugi" w:cs="Estrangelo Edessa"/>
          <w:sz w:val="24"/>
          <w:szCs w:val="24"/>
          <w:lang w:val="es-419"/>
        </w:rPr>
        <w:t>,</w:t>
      </w:r>
      <w:r w:rsidRPr="002D5BFC">
        <w:rPr>
          <w:rFonts w:ascii="Gadugi" w:eastAsia="Malgun Gothic" w:hAnsi="Gadugi" w:cs="Estrangelo Edessa"/>
          <w:sz w:val="24"/>
          <w:szCs w:val="24"/>
          <w:lang w:val="es-419"/>
        </w:rPr>
        <w:t xml:space="preserve"> si el principio de la buena fe implica, entre otras cosas, como lo señala la jurisprudencia, que se actúa con la convicción de que las cosas se hacen bien, o de que se procede con rectitud y lealtad, no bastaba que la demandante afirmara que los compradores, por más familiares que fueran de María Adela Bedoya, se comportaron irregularmente en esas negociaciones en detrimento de la demandante. El ejercicio probatorio tenía que ir más allá, hasta demostrar cabalmente que tenían conocimiento del proceso que, para cuando adquirieron los bienes, se insiste, adelantaba Olga María, tendiente a que se declarara que era hija de Antonio María, lo que no ocurrió. </w:t>
      </w:r>
    </w:p>
    <w:p w:rsidR="00557D01" w:rsidRPr="002D5BFC" w:rsidRDefault="00557D01" w:rsidP="004211B9">
      <w:pPr>
        <w:spacing w:line="276" w:lineRule="auto"/>
        <w:ind w:firstLine="2835"/>
        <w:jc w:val="both"/>
        <w:rPr>
          <w:rFonts w:ascii="Gadugi" w:eastAsia="Malgun Gothic" w:hAnsi="Gadugi" w:cs="Estrangelo Edessa"/>
          <w:sz w:val="24"/>
          <w:szCs w:val="24"/>
          <w:lang w:val="es-419"/>
        </w:rPr>
      </w:pPr>
    </w:p>
    <w:p w:rsidR="00557D01" w:rsidRPr="002D5BFC" w:rsidRDefault="00557D01"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Ahora, aquellas otras manifestaciones de la recurrente, según las cuales, la capacidad económica de los adquirentes nunca se demostró, ni el origen de los recursos con que pagaron, o la forma en que pagaron, como bien lo resalta en su escrito, propenden por una simulación</w:t>
      </w:r>
      <w:r w:rsidR="00CC19DF" w:rsidRPr="002D5BFC">
        <w:rPr>
          <w:rFonts w:ascii="Gadugi" w:eastAsia="Malgun Gothic" w:hAnsi="Gadugi" w:cs="Estrangelo Edessa"/>
          <w:sz w:val="24"/>
          <w:szCs w:val="24"/>
          <w:lang w:val="es-419"/>
        </w:rPr>
        <w:t xml:space="preserve">, más que por una acción reivindicatoria, y no fue para defenderse de una acción de </w:t>
      </w:r>
      <w:r w:rsidR="00E95B6A" w:rsidRPr="002D5BFC">
        <w:rPr>
          <w:rFonts w:ascii="Gadugi" w:eastAsia="Malgun Gothic" w:hAnsi="Gadugi" w:cs="Estrangelo Edessa"/>
          <w:sz w:val="24"/>
          <w:szCs w:val="24"/>
          <w:lang w:val="es-419"/>
        </w:rPr>
        <w:t>aquella</w:t>
      </w:r>
      <w:r w:rsidR="00CC19DF" w:rsidRPr="002D5BFC">
        <w:rPr>
          <w:rFonts w:ascii="Gadugi" w:eastAsia="Malgun Gothic" w:hAnsi="Gadugi" w:cs="Estrangelo Edessa"/>
          <w:sz w:val="24"/>
          <w:szCs w:val="24"/>
          <w:lang w:val="es-419"/>
        </w:rPr>
        <w:t xml:space="preserve"> estirpe que se citó a los demandados, quienes, por tanto, nada tenían qué demostrar sobre tales supuestos. Lo cierto, en todo caso, es que las escrituras públicas señalan el precio y la forma de pago. </w:t>
      </w:r>
    </w:p>
    <w:p w:rsidR="00296330" w:rsidRPr="002D5BFC" w:rsidRDefault="00296330" w:rsidP="004211B9">
      <w:pPr>
        <w:spacing w:line="276" w:lineRule="auto"/>
        <w:ind w:firstLine="2835"/>
        <w:jc w:val="both"/>
        <w:rPr>
          <w:rFonts w:ascii="Gadugi" w:eastAsia="Malgun Gothic" w:hAnsi="Gadugi" w:cs="Estrangelo Edessa"/>
          <w:sz w:val="24"/>
          <w:szCs w:val="24"/>
          <w:lang w:val="es-419"/>
        </w:rPr>
      </w:pPr>
    </w:p>
    <w:p w:rsidR="00CC19DF" w:rsidRPr="002D5BFC" w:rsidRDefault="009A39D8"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 xml:space="preserve">De otro lado, </w:t>
      </w:r>
      <w:r w:rsidR="00CC19DF" w:rsidRPr="002D5BFC">
        <w:rPr>
          <w:rFonts w:ascii="Gadugi" w:eastAsia="Malgun Gothic" w:hAnsi="Gadugi" w:cs="Estrangelo Edessa"/>
          <w:sz w:val="24"/>
          <w:szCs w:val="24"/>
          <w:lang w:val="es-419"/>
        </w:rPr>
        <w:t xml:space="preserve">puede ser llamativo que María Adela vendiera algunas de sus propiedades a sus propias hijas, cuando eran ellas sus herederas. Sin embargo, negocios de ese tipo son perfectamente viables en el tráfico jurídico y, por tanto, aunque de allí pudiera emerger un indicio, en el estado de este proceso lo sería para la vendedora, más que para los compradores, dado que, a vuelta de insistir, ninguna otra prueba apunta a señalar que al momento de adquirir los bienes lo hacían con un propósito torcido frente a quien llegara luego a ser reconocida como heredera de Antonio María. </w:t>
      </w:r>
    </w:p>
    <w:p w:rsidR="00CC19DF" w:rsidRPr="002D5BFC" w:rsidRDefault="00CC19DF" w:rsidP="004211B9">
      <w:pPr>
        <w:spacing w:line="276" w:lineRule="auto"/>
        <w:ind w:firstLine="2835"/>
        <w:jc w:val="both"/>
        <w:rPr>
          <w:rFonts w:ascii="Gadugi" w:eastAsia="Malgun Gothic" w:hAnsi="Gadugi" w:cs="Estrangelo Edessa"/>
          <w:sz w:val="24"/>
          <w:szCs w:val="24"/>
          <w:lang w:val="es-419"/>
        </w:rPr>
      </w:pPr>
    </w:p>
    <w:p w:rsidR="00C51617" w:rsidRPr="002D5BFC" w:rsidRDefault="00CC19DF"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 xml:space="preserve">Finalmente, aunque es cierto que el hecho de </w:t>
      </w:r>
      <w:r w:rsidR="00C51617" w:rsidRPr="002D5BFC">
        <w:rPr>
          <w:rFonts w:ascii="Gadugi" w:eastAsia="Malgun Gothic" w:hAnsi="Gadugi" w:cs="Estrangelo Edessa"/>
          <w:sz w:val="24"/>
          <w:szCs w:val="24"/>
          <w:lang w:val="es-419"/>
        </w:rPr>
        <w:t xml:space="preserve">que para cuando se perfeccionaron las ventas </w:t>
      </w:r>
      <w:r w:rsidRPr="002D5BFC">
        <w:rPr>
          <w:rFonts w:ascii="Gadugi" w:eastAsia="Malgun Gothic" w:hAnsi="Gadugi" w:cs="Estrangelo Edessa"/>
          <w:sz w:val="24"/>
          <w:szCs w:val="24"/>
          <w:lang w:val="es-419"/>
        </w:rPr>
        <w:t xml:space="preserve">María Olga </w:t>
      </w:r>
      <w:r w:rsidR="00C51617" w:rsidRPr="002D5BFC">
        <w:rPr>
          <w:rFonts w:ascii="Gadugi" w:eastAsia="Malgun Gothic" w:hAnsi="Gadugi" w:cs="Estrangelo Edessa"/>
          <w:sz w:val="24"/>
          <w:szCs w:val="24"/>
          <w:lang w:val="es-419"/>
        </w:rPr>
        <w:t xml:space="preserve">no había sido reconocida se torna irrelevante, </w:t>
      </w:r>
      <w:r w:rsidR="00296330" w:rsidRPr="002D5BFC">
        <w:rPr>
          <w:rFonts w:ascii="Gadugi" w:eastAsia="Malgun Gothic" w:hAnsi="Gadugi" w:cs="Estrangelo Edessa"/>
          <w:sz w:val="24"/>
          <w:szCs w:val="24"/>
          <w:lang w:val="es-419"/>
        </w:rPr>
        <w:t xml:space="preserve">porque antes de </w:t>
      </w:r>
      <w:r w:rsidR="00C51617" w:rsidRPr="002D5BFC">
        <w:rPr>
          <w:rFonts w:ascii="Gadugi" w:eastAsia="Malgun Gothic" w:hAnsi="Gadugi" w:cs="Estrangelo Edessa"/>
          <w:sz w:val="24"/>
          <w:szCs w:val="24"/>
          <w:lang w:val="es-419"/>
        </w:rPr>
        <w:t xml:space="preserve">las enajenaciones </w:t>
      </w:r>
      <w:r w:rsidR="00296330" w:rsidRPr="002D5BFC">
        <w:rPr>
          <w:rFonts w:ascii="Gadugi" w:eastAsia="Malgun Gothic" w:hAnsi="Gadugi" w:cs="Estrangelo Edessa"/>
          <w:sz w:val="24"/>
          <w:szCs w:val="24"/>
          <w:lang w:val="es-419"/>
        </w:rPr>
        <w:t>se había iniciado el proceso de filiación</w:t>
      </w:r>
      <w:r w:rsidR="00C51617" w:rsidRPr="002D5BFC">
        <w:rPr>
          <w:rFonts w:ascii="Gadugi" w:eastAsia="Malgun Gothic" w:hAnsi="Gadugi" w:cs="Estrangelo Edessa"/>
          <w:sz w:val="24"/>
          <w:szCs w:val="24"/>
          <w:lang w:val="es-419"/>
        </w:rPr>
        <w:t xml:space="preserve">, lo que se ha resaltado es que los compradores, a la fecha de adquirir, desconocían ese trámite, o al menos, ninguna prueba se arrimó que permitiera pensar de manera diferente y, como ya se dijo, no se trata de la mala fe de la </w:t>
      </w:r>
      <w:r w:rsidR="00C51617" w:rsidRPr="002D5BFC">
        <w:rPr>
          <w:rFonts w:ascii="Gadugi" w:eastAsia="Malgun Gothic" w:hAnsi="Gadugi" w:cs="Estrangelo Edessa"/>
          <w:sz w:val="24"/>
          <w:szCs w:val="24"/>
          <w:lang w:val="es-419"/>
        </w:rPr>
        <w:lastRenderedPageBreak/>
        <w:t>vendedora, que sí pudo haberse presentado, sino de la de los compradores que son los demandados</w:t>
      </w:r>
      <w:r w:rsidR="00E95B6A" w:rsidRPr="002D5BFC">
        <w:rPr>
          <w:rFonts w:ascii="Gadugi" w:eastAsia="Malgun Gothic" w:hAnsi="Gadugi" w:cs="Estrangelo Edessa"/>
          <w:sz w:val="24"/>
          <w:szCs w:val="24"/>
          <w:lang w:val="es-419"/>
        </w:rPr>
        <w:t xml:space="preserve">, cuya buena fe </w:t>
      </w:r>
      <w:r w:rsidR="00C51617" w:rsidRPr="002D5BFC">
        <w:rPr>
          <w:rFonts w:ascii="Gadugi" w:eastAsia="Malgun Gothic" w:hAnsi="Gadugi" w:cs="Estrangelo Edessa"/>
          <w:sz w:val="24"/>
          <w:szCs w:val="24"/>
          <w:lang w:val="es-419"/>
        </w:rPr>
        <w:t>subsiste</w:t>
      </w:r>
      <w:r w:rsidR="00E95B6A" w:rsidRPr="002D5BFC">
        <w:rPr>
          <w:rFonts w:ascii="Gadugi" w:eastAsia="Malgun Gothic" w:hAnsi="Gadugi" w:cs="Estrangelo Edessa"/>
          <w:sz w:val="24"/>
          <w:szCs w:val="24"/>
          <w:lang w:val="es-419"/>
        </w:rPr>
        <w:t>.</w:t>
      </w:r>
      <w:r w:rsidR="00C51617" w:rsidRPr="002D5BFC">
        <w:rPr>
          <w:rFonts w:ascii="Gadugi" w:eastAsia="Malgun Gothic" w:hAnsi="Gadugi" w:cs="Estrangelo Edessa"/>
          <w:sz w:val="24"/>
          <w:szCs w:val="24"/>
          <w:lang w:val="es-419"/>
        </w:rPr>
        <w:t xml:space="preserve"> </w:t>
      </w:r>
    </w:p>
    <w:p w:rsidR="00C51617" w:rsidRPr="002D5BFC" w:rsidRDefault="00C51617" w:rsidP="004211B9">
      <w:pPr>
        <w:spacing w:line="276" w:lineRule="auto"/>
        <w:ind w:firstLine="2835"/>
        <w:jc w:val="both"/>
        <w:rPr>
          <w:rFonts w:ascii="Gadugi" w:eastAsia="Malgun Gothic" w:hAnsi="Gadugi" w:cs="Estrangelo Edessa"/>
          <w:sz w:val="24"/>
          <w:szCs w:val="24"/>
          <w:lang w:val="es-419"/>
        </w:rPr>
      </w:pPr>
    </w:p>
    <w:p w:rsidR="00C51617" w:rsidRPr="002D5BFC" w:rsidRDefault="00C51617"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 xml:space="preserve">Corolario de lo dicho, es que se confirmará el fallo protestado. Las costas de segunda instancia serán a cargo de la recurrente y a favor de los codemandados Gloria Stella Marín Bedoya, Martha Luz Marín Bedoya, Miguel Antonio Velásquez Mesa. Se liquidarán de manera concentrada ante el juez de primera instancia, siguiendo las reglas del artículo 366 del Código General del Proceso, dado que el tránsito de legislación de este proceso tiene que darse a partir, inclusive, de la notificación de este proveído, según lo dispuesto en el artículo 625 ibídem. </w:t>
      </w:r>
    </w:p>
    <w:p w:rsidR="00C51617" w:rsidRPr="002D5BFC" w:rsidRDefault="00C51617" w:rsidP="004211B9">
      <w:pPr>
        <w:spacing w:line="276" w:lineRule="auto"/>
        <w:ind w:firstLine="2835"/>
        <w:jc w:val="both"/>
        <w:rPr>
          <w:rFonts w:ascii="Gadugi" w:eastAsia="Malgun Gothic" w:hAnsi="Gadugi" w:cs="Estrangelo Edessa"/>
          <w:sz w:val="24"/>
          <w:szCs w:val="24"/>
          <w:lang w:val="es-419"/>
        </w:rPr>
      </w:pPr>
    </w:p>
    <w:p w:rsidR="00C51617" w:rsidRPr="002D5BFC" w:rsidRDefault="00C51617" w:rsidP="004211B9">
      <w:pPr>
        <w:spacing w:line="276" w:lineRule="auto"/>
        <w:ind w:firstLine="2835"/>
        <w:jc w:val="both"/>
        <w:rPr>
          <w:rFonts w:ascii="Gadugi" w:eastAsia="Malgun Gothic" w:hAnsi="Gadugi" w:cs="Estrangelo Edessa"/>
          <w:sz w:val="24"/>
          <w:szCs w:val="24"/>
          <w:lang w:val="es-419"/>
        </w:rPr>
      </w:pPr>
      <w:r w:rsidRPr="002D5BFC">
        <w:rPr>
          <w:rFonts w:ascii="Gadugi" w:eastAsia="Malgun Gothic" w:hAnsi="Gadugi" w:cs="Estrangelo Edessa"/>
          <w:sz w:val="24"/>
          <w:szCs w:val="24"/>
          <w:lang w:val="es-419"/>
        </w:rPr>
        <w:t xml:space="preserve">Por separado se fijarán las agencias en derecho.  </w:t>
      </w:r>
    </w:p>
    <w:p w:rsidR="00C51617" w:rsidRPr="002D5BFC" w:rsidRDefault="00C51617" w:rsidP="004211B9">
      <w:pPr>
        <w:spacing w:line="276" w:lineRule="auto"/>
        <w:ind w:firstLine="2835"/>
        <w:jc w:val="both"/>
        <w:rPr>
          <w:rFonts w:ascii="Gadugi" w:eastAsia="Malgun Gothic" w:hAnsi="Gadugi" w:cs="Estrangelo Edessa"/>
          <w:sz w:val="24"/>
          <w:szCs w:val="24"/>
          <w:lang w:val="es-419"/>
        </w:rPr>
      </w:pPr>
    </w:p>
    <w:p w:rsidR="004012E5" w:rsidRPr="002D5BFC" w:rsidRDefault="007A7DA4" w:rsidP="004211B9">
      <w:pPr>
        <w:spacing w:line="276" w:lineRule="auto"/>
        <w:jc w:val="both"/>
        <w:rPr>
          <w:rFonts w:ascii="Gadugi" w:eastAsia="Calibri" w:hAnsi="Gadugi"/>
          <w:sz w:val="24"/>
          <w:szCs w:val="24"/>
          <w:lang w:val="es-419"/>
        </w:rPr>
      </w:pPr>
      <w:r w:rsidRPr="002D5BFC">
        <w:rPr>
          <w:rFonts w:ascii="Gadugi" w:eastAsia="Calibri" w:hAnsi="Gadugi"/>
          <w:sz w:val="24"/>
          <w:szCs w:val="24"/>
          <w:lang w:val="es-419"/>
        </w:rPr>
        <w:tab/>
      </w:r>
    </w:p>
    <w:p w:rsidR="007A7DA4" w:rsidRPr="002D5BFC" w:rsidRDefault="007A7DA4" w:rsidP="004211B9">
      <w:pPr>
        <w:spacing w:line="276" w:lineRule="auto"/>
        <w:ind w:firstLine="2835"/>
        <w:jc w:val="both"/>
        <w:rPr>
          <w:rFonts w:ascii="Gadugi" w:eastAsia="Calibri" w:hAnsi="Gadugi"/>
          <w:b/>
          <w:sz w:val="24"/>
          <w:szCs w:val="24"/>
        </w:rPr>
      </w:pPr>
      <w:r w:rsidRPr="002D5BFC">
        <w:rPr>
          <w:rFonts w:ascii="Gadugi" w:eastAsia="Calibri" w:hAnsi="Gadugi"/>
          <w:b/>
          <w:sz w:val="24"/>
          <w:szCs w:val="24"/>
        </w:rPr>
        <w:t>DECISIÓN</w:t>
      </w:r>
    </w:p>
    <w:p w:rsidR="007A7DA4" w:rsidRPr="002D5BFC" w:rsidRDefault="007A7DA4" w:rsidP="004211B9">
      <w:pPr>
        <w:spacing w:line="276" w:lineRule="auto"/>
        <w:ind w:right="19" w:firstLine="2880"/>
        <w:jc w:val="both"/>
        <w:rPr>
          <w:rFonts w:ascii="Gadugi" w:eastAsia="Calibri" w:hAnsi="Gadugi"/>
          <w:sz w:val="24"/>
          <w:szCs w:val="24"/>
        </w:rPr>
      </w:pPr>
    </w:p>
    <w:p w:rsidR="00C51617" w:rsidRPr="002D5BFC" w:rsidRDefault="00C51617" w:rsidP="004211B9">
      <w:pPr>
        <w:spacing w:line="276" w:lineRule="auto"/>
        <w:ind w:firstLine="2880"/>
        <w:jc w:val="both"/>
        <w:rPr>
          <w:rFonts w:ascii="Gadugi" w:eastAsia="Calibri" w:hAnsi="Gadugi"/>
          <w:sz w:val="24"/>
          <w:szCs w:val="24"/>
        </w:rPr>
      </w:pPr>
    </w:p>
    <w:p w:rsidR="00861644" w:rsidRPr="002D5BFC" w:rsidRDefault="007A7DA4" w:rsidP="004211B9">
      <w:pPr>
        <w:spacing w:line="276" w:lineRule="auto"/>
        <w:ind w:firstLine="2880"/>
        <w:jc w:val="both"/>
        <w:rPr>
          <w:rFonts w:ascii="Gadugi" w:eastAsia="Malgun Gothic" w:hAnsi="Gadugi" w:cs="Estrangelo Edessa"/>
          <w:b/>
          <w:sz w:val="24"/>
          <w:szCs w:val="24"/>
          <w:lang w:val="es-419"/>
        </w:rPr>
      </w:pPr>
      <w:r w:rsidRPr="002D5BFC">
        <w:rPr>
          <w:rFonts w:ascii="Gadugi" w:eastAsia="Calibri" w:hAnsi="Gadugi"/>
          <w:sz w:val="24"/>
          <w:szCs w:val="24"/>
        </w:rPr>
        <w:t xml:space="preserve">En armonía con lo discurrido, la Sala Civil Familia del tribunal Superior de Pereira, administrando justicia en nombre de la República y por autoridad de la ley, </w:t>
      </w:r>
      <w:r w:rsidRPr="002D5BFC">
        <w:rPr>
          <w:rFonts w:ascii="Gadugi" w:eastAsia="Calibri" w:hAnsi="Gadugi"/>
          <w:b/>
          <w:sz w:val="24"/>
          <w:szCs w:val="24"/>
        </w:rPr>
        <w:t>CONFIRMA</w:t>
      </w:r>
      <w:r w:rsidR="00C51617" w:rsidRPr="002D5BFC">
        <w:rPr>
          <w:rFonts w:ascii="Gadugi" w:eastAsia="Calibri" w:hAnsi="Gadugi"/>
          <w:b/>
          <w:sz w:val="24"/>
          <w:szCs w:val="24"/>
        </w:rPr>
        <w:t xml:space="preserve"> </w:t>
      </w:r>
      <w:r w:rsidRPr="002D5BFC">
        <w:rPr>
          <w:rFonts w:ascii="Gadugi" w:eastAsia="Malgun Gothic" w:hAnsi="Gadugi" w:cs="Estrangelo Edessa"/>
          <w:sz w:val="24"/>
          <w:szCs w:val="24"/>
        </w:rPr>
        <w:t xml:space="preserve">la sentencia dictada el </w:t>
      </w:r>
      <w:r w:rsidR="00861644" w:rsidRPr="002D5BFC">
        <w:rPr>
          <w:rFonts w:ascii="Gadugi" w:eastAsia="Malgun Gothic" w:hAnsi="Gadugi" w:cs="Estrangelo Edessa"/>
          <w:sz w:val="24"/>
          <w:szCs w:val="24"/>
          <w:lang w:val="es-419"/>
        </w:rPr>
        <w:t>26 de noviembre de 2015</w:t>
      </w:r>
      <w:r w:rsidRPr="002D5BFC">
        <w:rPr>
          <w:rFonts w:ascii="Gadugi" w:eastAsia="Malgun Gothic" w:hAnsi="Gadugi" w:cs="Estrangelo Edessa"/>
          <w:sz w:val="24"/>
          <w:szCs w:val="24"/>
          <w:lang w:val="es-419"/>
        </w:rPr>
        <w:t xml:space="preserve"> </w:t>
      </w:r>
      <w:r w:rsidRPr="002D5BFC">
        <w:rPr>
          <w:rFonts w:ascii="Gadugi" w:eastAsia="Malgun Gothic" w:hAnsi="Gadugi" w:cs="Estrangelo Edessa"/>
          <w:sz w:val="24"/>
          <w:szCs w:val="24"/>
        </w:rPr>
        <w:t xml:space="preserve">por el Juzgado </w:t>
      </w:r>
      <w:r w:rsidR="00861644" w:rsidRPr="002D5BFC">
        <w:rPr>
          <w:rFonts w:ascii="Gadugi" w:eastAsia="Malgun Gothic" w:hAnsi="Gadugi" w:cs="Estrangelo Edessa"/>
          <w:sz w:val="24"/>
          <w:szCs w:val="24"/>
          <w:lang w:val="es-419"/>
        </w:rPr>
        <w:t xml:space="preserve">Segundo de Familia </w:t>
      </w:r>
      <w:r w:rsidRPr="002D5BFC">
        <w:rPr>
          <w:rFonts w:ascii="Gadugi" w:eastAsia="Malgun Gothic" w:hAnsi="Gadugi" w:cs="Estrangelo Edessa"/>
          <w:sz w:val="24"/>
          <w:szCs w:val="24"/>
        </w:rPr>
        <w:t xml:space="preserve">local, en este proceso </w:t>
      </w:r>
      <w:r w:rsidRPr="002D5BFC">
        <w:rPr>
          <w:rFonts w:ascii="Gadugi" w:eastAsia="Malgun Gothic" w:hAnsi="Gadugi" w:cs="Estrangelo Edessa"/>
          <w:sz w:val="24"/>
          <w:szCs w:val="24"/>
          <w:lang w:val="es-419"/>
        </w:rPr>
        <w:t>ordinario</w:t>
      </w:r>
      <w:r w:rsidRPr="002D5BFC">
        <w:rPr>
          <w:rFonts w:ascii="Gadugi" w:eastAsia="Malgun Gothic" w:hAnsi="Gadugi" w:cs="Estrangelo Edessa"/>
          <w:sz w:val="24"/>
          <w:szCs w:val="24"/>
          <w:lang w:val="es-CO"/>
        </w:rPr>
        <w:t xml:space="preserve"> </w:t>
      </w:r>
      <w:r w:rsidRPr="002D5BFC">
        <w:rPr>
          <w:rFonts w:ascii="Gadugi" w:eastAsia="Malgun Gothic" w:hAnsi="Gadugi" w:cs="Estrangelo Edessa"/>
          <w:sz w:val="24"/>
          <w:szCs w:val="24"/>
        </w:rPr>
        <w:t xml:space="preserve">iniciado por </w:t>
      </w:r>
      <w:r w:rsidRPr="002D5BFC">
        <w:rPr>
          <w:rFonts w:ascii="Gadugi" w:eastAsia="Malgun Gothic" w:hAnsi="Gadugi" w:cs="Estrangelo Edessa"/>
          <w:sz w:val="24"/>
          <w:szCs w:val="24"/>
          <w:lang w:val="es-419"/>
        </w:rPr>
        <w:t xml:space="preserve">la </w:t>
      </w:r>
      <w:r w:rsidR="00861644" w:rsidRPr="002D5BFC">
        <w:rPr>
          <w:rFonts w:ascii="Gadugi" w:eastAsia="Malgun Gothic" w:hAnsi="Gadugi" w:cs="Estrangelo Edessa"/>
          <w:sz w:val="24"/>
          <w:szCs w:val="24"/>
          <w:lang w:val="es-419"/>
        </w:rPr>
        <w:t xml:space="preserve">señora </w:t>
      </w:r>
      <w:r w:rsidR="00861644" w:rsidRPr="002D5BFC">
        <w:rPr>
          <w:rFonts w:ascii="Gadugi" w:eastAsia="Malgun Gothic" w:hAnsi="Gadugi" w:cs="Estrangelo Edessa"/>
          <w:b/>
          <w:sz w:val="24"/>
          <w:szCs w:val="24"/>
          <w:lang w:val="es-419"/>
        </w:rPr>
        <w:t xml:space="preserve">María Olga Durango </w:t>
      </w:r>
      <w:r w:rsidR="00861644" w:rsidRPr="002D5BFC">
        <w:rPr>
          <w:rFonts w:ascii="Gadugi" w:eastAsia="Malgun Gothic" w:hAnsi="Gadugi" w:cs="Estrangelo Edessa"/>
          <w:sz w:val="24"/>
          <w:szCs w:val="24"/>
          <w:lang w:val="es-419"/>
        </w:rPr>
        <w:t xml:space="preserve">contra </w:t>
      </w:r>
      <w:r w:rsidR="00861644" w:rsidRPr="002D5BFC">
        <w:rPr>
          <w:rFonts w:ascii="Gadugi" w:eastAsia="Malgun Gothic" w:hAnsi="Gadugi" w:cs="Estrangelo Edessa"/>
          <w:b/>
          <w:sz w:val="24"/>
          <w:szCs w:val="24"/>
          <w:lang w:val="es-419"/>
        </w:rPr>
        <w:t xml:space="preserve">Gloria Stella Marín Bedoya, Martha Luz Marín Bedoya, Miguel Antonio Velásquez Mesa </w:t>
      </w:r>
      <w:r w:rsidR="00861644" w:rsidRPr="002D5BFC">
        <w:rPr>
          <w:rFonts w:ascii="Gadugi" w:eastAsia="Malgun Gothic" w:hAnsi="Gadugi" w:cs="Estrangelo Edessa"/>
          <w:sz w:val="24"/>
          <w:szCs w:val="24"/>
          <w:lang w:val="es-419"/>
        </w:rPr>
        <w:t xml:space="preserve">y </w:t>
      </w:r>
      <w:r w:rsidR="00861644" w:rsidRPr="002D5BFC">
        <w:rPr>
          <w:rFonts w:ascii="Gadugi" w:eastAsia="Malgun Gothic" w:hAnsi="Gadugi" w:cs="Estrangelo Edessa"/>
          <w:b/>
          <w:sz w:val="24"/>
          <w:szCs w:val="24"/>
          <w:lang w:val="es-419"/>
        </w:rPr>
        <w:t>Edelmira Sáenz de García.</w:t>
      </w:r>
    </w:p>
    <w:p w:rsidR="007A7DA4" w:rsidRPr="002D5BFC" w:rsidRDefault="007A7DA4" w:rsidP="004211B9">
      <w:pPr>
        <w:spacing w:line="276" w:lineRule="auto"/>
        <w:ind w:firstLine="2880"/>
        <w:jc w:val="both"/>
        <w:rPr>
          <w:rFonts w:ascii="Gadugi" w:eastAsia="Malgun Gothic" w:hAnsi="Gadugi" w:cs="Estrangelo Edessa"/>
          <w:sz w:val="24"/>
          <w:szCs w:val="24"/>
          <w:lang w:val="es-419"/>
        </w:rPr>
      </w:pPr>
    </w:p>
    <w:p w:rsidR="00E2267A" w:rsidRPr="002D5BFC" w:rsidRDefault="007A7DA4" w:rsidP="004211B9">
      <w:pPr>
        <w:spacing w:line="276" w:lineRule="auto"/>
        <w:ind w:firstLine="2835"/>
        <w:jc w:val="both"/>
        <w:rPr>
          <w:rFonts w:ascii="Gadugi" w:eastAsia="Malgun Gothic" w:hAnsi="Gadugi" w:cs="Estrangelo Edessa"/>
          <w:sz w:val="24"/>
          <w:szCs w:val="24"/>
          <w:lang w:val="es-419"/>
        </w:rPr>
      </w:pPr>
      <w:r w:rsidRPr="002D5BFC">
        <w:rPr>
          <w:rFonts w:ascii="Gadugi" w:hAnsi="Gadugi"/>
          <w:sz w:val="24"/>
          <w:szCs w:val="24"/>
        </w:rPr>
        <w:t>Costas en esta instancia a cargo de la parte demandante y en favor de</w:t>
      </w:r>
      <w:r w:rsidR="00E2267A" w:rsidRPr="002D5BFC">
        <w:rPr>
          <w:rFonts w:ascii="Gadugi" w:hAnsi="Gadugi"/>
          <w:sz w:val="24"/>
          <w:szCs w:val="24"/>
        </w:rPr>
        <w:t xml:space="preserve"> </w:t>
      </w:r>
      <w:r w:rsidR="00E2267A" w:rsidRPr="002D5BFC">
        <w:rPr>
          <w:rFonts w:ascii="Gadugi" w:eastAsia="Malgun Gothic" w:hAnsi="Gadugi" w:cs="Estrangelo Edessa"/>
          <w:sz w:val="24"/>
          <w:szCs w:val="24"/>
          <w:lang w:val="es-419"/>
        </w:rPr>
        <w:t>Gloria Stella Marín Bedoya, Martha Luz Marín Bedoya, Miguel Antonio Velásquez Mesa. Se liquidarán de manera concentrada ante el juez de primera instancia, siguiendo las reglas del artículo 366 del Código General del Proceso.</w:t>
      </w:r>
    </w:p>
    <w:p w:rsidR="00E2267A" w:rsidRPr="002D5BFC" w:rsidRDefault="00E2267A" w:rsidP="004211B9">
      <w:pPr>
        <w:spacing w:line="276" w:lineRule="auto"/>
        <w:ind w:firstLine="2835"/>
        <w:jc w:val="both"/>
        <w:rPr>
          <w:rFonts w:ascii="Gadugi" w:eastAsia="Calibri" w:hAnsi="Gadugi"/>
          <w:sz w:val="24"/>
          <w:szCs w:val="24"/>
        </w:rPr>
      </w:pPr>
    </w:p>
    <w:p w:rsidR="007A7DA4" w:rsidRPr="002D5BFC" w:rsidRDefault="00E2267A" w:rsidP="004211B9">
      <w:pPr>
        <w:spacing w:line="276" w:lineRule="auto"/>
        <w:ind w:firstLine="2835"/>
        <w:jc w:val="both"/>
        <w:rPr>
          <w:rFonts w:ascii="Gadugi" w:eastAsia="Calibri" w:hAnsi="Gadugi"/>
          <w:sz w:val="24"/>
          <w:szCs w:val="24"/>
          <w:lang w:val="es-419"/>
        </w:rPr>
      </w:pPr>
      <w:r w:rsidRPr="002D5BFC">
        <w:rPr>
          <w:rFonts w:ascii="Gadugi" w:eastAsia="Calibri" w:hAnsi="Gadugi"/>
          <w:sz w:val="24"/>
          <w:szCs w:val="24"/>
        </w:rPr>
        <w:t>En auto separado se fijarán las agencias en derecho.</w:t>
      </w:r>
      <w:r w:rsidR="007A7DA4" w:rsidRPr="002D5BFC">
        <w:rPr>
          <w:rFonts w:ascii="Gadugi" w:eastAsia="Calibri" w:hAnsi="Gadugi"/>
          <w:sz w:val="24"/>
          <w:szCs w:val="24"/>
        </w:rPr>
        <w:t xml:space="preserve"> </w:t>
      </w:r>
    </w:p>
    <w:p w:rsidR="007A7DA4" w:rsidRPr="002D5BFC" w:rsidRDefault="007A7DA4" w:rsidP="004211B9">
      <w:pPr>
        <w:spacing w:line="276" w:lineRule="auto"/>
        <w:jc w:val="both"/>
        <w:rPr>
          <w:rFonts w:ascii="Gadugi" w:hAnsi="Gadugi"/>
          <w:sz w:val="24"/>
          <w:szCs w:val="24"/>
          <w:lang w:val="es-419"/>
        </w:rPr>
      </w:pPr>
    </w:p>
    <w:p w:rsidR="007A7DA4" w:rsidRPr="002D5BFC" w:rsidRDefault="007A7DA4" w:rsidP="004211B9">
      <w:pPr>
        <w:spacing w:line="276" w:lineRule="auto"/>
        <w:ind w:firstLine="2835"/>
        <w:jc w:val="both"/>
        <w:rPr>
          <w:rFonts w:ascii="Gadugi" w:eastAsia="Malgun Gothic" w:hAnsi="Gadugi" w:cs="Estrangelo Edessa"/>
          <w:sz w:val="24"/>
          <w:szCs w:val="24"/>
        </w:rPr>
      </w:pPr>
      <w:r w:rsidRPr="002D5BFC">
        <w:rPr>
          <w:rFonts w:ascii="Gadugi" w:eastAsia="Malgun Gothic" w:hAnsi="Gadugi" w:cs="Estrangelo Edessa"/>
          <w:sz w:val="24"/>
          <w:szCs w:val="24"/>
        </w:rPr>
        <w:t>Notifíquese</w:t>
      </w:r>
    </w:p>
    <w:p w:rsidR="007A7DA4" w:rsidRPr="002D5BFC" w:rsidRDefault="007A7DA4" w:rsidP="004211B9">
      <w:pPr>
        <w:spacing w:line="276" w:lineRule="auto"/>
        <w:ind w:firstLine="2835"/>
        <w:jc w:val="both"/>
        <w:rPr>
          <w:rFonts w:ascii="Gadugi" w:eastAsia="Malgun Gothic" w:hAnsi="Gadugi" w:cs="Estrangelo Edessa"/>
          <w:sz w:val="24"/>
          <w:szCs w:val="24"/>
        </w:rPr>
      </w:pPr>
    </w:p>
    <w:p w:rsidR="007A7DA4" w:rsidRPr="002D5BFC" w:rsidRDefault="007A7DA4" w:rsidP="004211B9">
      <w:pPr>
        <w:spacing w:line="276" w:lineRule="auto"/>
        <w:ind w:firstLine="2835"/>
        <w:jc w:val="both"/>
        <w:rPr>
          <w:rFonts w:ascii="Gadugi" w:eastAsia="Malgun Gothic" w:hAnsi="Gadugi" w:cs="Estrangelo Edessa"/>
          <w:sz w:val="24"/>
          <w:szCs w:val="24"/>
        </w:rPr>
      </w:pPr>
      <w:r w:rsidRPr="002D5BFC">
        <w:rPr>
          <w:rFonts w:ascii="Gadugi" w:eastAsia="Malgun Gothic" w:hAnsi="Gadugi" w:cs="Estrangelo Edessa"/>
          <w:sz w:val="24"/>
          <w:szCs w:val="24"/>
        </w:rPr>
        <w:t>Los Magistrados,</w:t>
      </w:r>
    </w:p>
    <w:p w:rsidR="007A7DA4" w:rsidRPr="002D5BFC" w:rsidRDefault="007A7DA4" w:rsidP="004211B9">
      <w:pPr>
        <w:spacing w:line="276" w:lineRule="auto"/>
        <w:ind w:firstLine="2835"/>
        <w:jc w:val="both"/>
        <w:rPr>
          <w:rFonts w:ascii="Gadugi" w:eastAsia="Malgun Gothic" w:hAnsi="Gadugi" w:cs="Estrangelo Edessa"/>
          <w:sz w:val="24"/>
          <w:szCs w:val="24"/>
        </w:rPr>
      </w:pPr>
    </w:p>
    <w:p w:rsidR="00E4535C" w:rsidRPr="002D5BFC" w:rsidRDefault="00E4535C" w:rsidP="004211B9">
      <w:pPr>
        <w:spacing w:line="276" w:lineRule="auto"/>
        <w:ind w:firstLine="2835"/>
        <w:jc w:val="both"/>
        <w:rPr>
          <w:rFonts w:ascii="Gadugi" w:eastAsia="Malgun Gothic" w:hAnsi="Gadugi" w:cs="Estrangelo Edessa"/>
          <w:sz w:val="24"/>
          <w:szCs w:val="24"/>
        </w:rPr>
      </w:pPr>
    </w:p>
    <w:p w:rsidR="007A7DA4" w:rsidRPr="002D5BFC" w:rsidRDefault="007A7DA4" w:rsidP="004211B9">
      <w:pPr>
        <w:spacing w:line="276" w:lineRule="auto"/>
        <w:ind w:firstLine="2835"/>
        <w:jc w:val="both"/>
        <w:rPr>
          <w:rFonts w:ascii="Gadugi" w:eastAsia="Malgun Gothic" w:hAnsi="Gadugi" w:cs="Estrangelo Edessa"/>
          <w:sz w:val="24"/>
          <w:szCs w:val="24"/>
        </w:rPr>
      </w:pPr>
    </w:p>
    <w:p w:rsidR="007A7DA4" w:rsidRPr="002D5BFC" w:rsidRDefault="007A7DA4" w:rsidP="004211B9">
      <w:pPr>
        <w:spacing w:line="276" w:lineRule="auto"/>
        <w:ind w:firstLine="2835"/>
        <w:jc w:val="both"/>
        <w:rPr>
          <w:rFonts w:ascii="Gadugi" w:eastAsia="Malgun Gothic" w:hAnsi="Gadugi" w:cs="Estrangelo Edessa"/>
          <w:b/>
          <w:bCs/>
          <w:sz w:val="24"/>
          <w:szCs w:val="24"/>
        </w:rPr>
      </w:pPr>
      <w:r w:rsidRPr="002D5BFC">
        <w:rPr>
          <w:rFonts w:ascii="Gadugi" w:eastAsia="Malgun Gothic" w:hAnsi="Gadugi" w:cs="Estrangelo Edessa"/>
          <w:b/>
          <w:bCs/>
          <w:sz w:val="24"/>
          <w:szCs w:val="24"/>
        </w:rPr>
        <w:t>JAIME ALBERTO SARAZA NARANJO</w:t>
      </w:r>
    </w:p>
    <w:p w:rsidR="007A7DA4" w:rsidRPr="002D5BFC" w:rsidRDefault="007A7DA4" w:rsidP="004211B9">
      <w:pPr>
        <w:spacing w:line="276" w:lineRule="auto"/>
        <w:jc w:val="both"/>
        <w:rPr>
          <w:rFonts w:ascii="Gadugi" w:eastAsia="Malgun Gothic" w:hAnsi="Gadugi" w:cs="Estrangelo Edessa"/>
          <w:b/>
          <w:bCs/>
          <w:sz w:val="24"/>
          <w:szCs w:val="24"/>
        </w:rPr>
      </w:pPr>
    </w:p>
    <w:p w:rsidR="00E4535C" w:rsidRPr="002D5BFC" w:rsidRDefault="00E4535C" w:rsidP="004211B9">
      <w:pPr>
        <w:spacing w:line="276" w:lineRule="auto"/>
        <w:jc w:val="both"/>
        <w:rPr>
          <w:rFonts w:ascii="Gadugi" w:eastAsia="Malgun Gothic" w:hAnsi="Gadugi" w:cs="Estrangelo Edessa"/>
          <w:b/>
          <w:bCs/>
          <w:sz w:val="24"/>
          <w:szCs w:val="24"/>
        </w:rPr>
      </w:pPr>
    </w:p>
    <w:p w:rsidR="007A7DA4" w:rsidRPr="002D5BFC" w:rsidRDefault="007A7DA4" w:rsidP="004211B9">
      <w:pPr>
        <w:spacing w:line="276" w:lineRule="auto"/>
        <w:jc w:val="both"/>
        <w:rPr>
          <w:rFonts w:ascii="Gadugi" w:eastAsia="Malgun Gothic" w:hAnsi="Gadugi" w:cs="Estrangelo Edessa"/>
          <w:b/>
          <w:bCs/>
          <w:sz w:val="24"/>
          <w:szCs w:val="24"/>
        </w:rPr>
      </w:pPr>
    </w:p>
    <w:p w:rsidR="00D16D20" w:rsidRPr="002D5BFC" w:rsidRDefault="007A7DA4" w:rsidP="004211B9">
      <w:pPr>
        <w:spacing w:line="276" w:lineRule="auto"/>
        <w:jc w:val="both"/>
        <w:rPr>
          <w:rFonts w:ascii="Gadugi" w:eastAsia="Malgun Gothic" w:hAnsi="Gadugi" w:cs="Estrangelo Edessa"/>
          <w:b/>
          <w:bCs/>
          <w:sz w:val="24"/>
          <w:szCs w:val="24"/>
          <w:lang w:val="es-419"/>
        </w:rPr>
      </w:pPr>
      <w:r w:rsidRPr="002D5BFC">
        <w:rPr>
          <w:rFonts w:ascii="Gadugi" w:eastAsia="Malgun Gothic" w:hAnsi="Gadugi" w:cs="Estrangelo Edessa"/>
          <w:b/>
          <w:bCs/>
          <w:sz w:val="24"/>
          <w:szCs w:val="24"/>
          <w:lang w:val="es-419"/>
        </w:rPr>
        <w:t>CLAUDIA MARÍA ARCILA RÍOS</w:t>
      </w:r>
      <w:r w:rsidRPr="002D5BFC">
        <w:rPr>
          <w:rFonts w:ascii="Gadugi" w:eastAsia="Malgun Gothic" w:hAnsi="Gadugi" w:cs="Estrangelo Edessa"/>
          <w:b/>
          <w:bCs/>
          <w:sz w:val="24"/>
          <w:szCs w:val="24"/>
          <w:lang w:val="es-419"/>
        </w:rPr>
        <w:tab/>
      </w:r>
      <w:r w:rsidRPr="002D5BFC">
        <w:rPr>
          <w:rFonts w:ascii="Gadugi" w:eastAsia="Malgun Gothic" w:hAnsi="Gadugi" w:cs="Estrangelo Edessa"/>
          <w:b/>
          <w:bCs/>
          <w:sz w:val="24"/>
          <w:szCs w:val="24"/>
          <w:lang w:val="es-419"/>
        </w:rPr>
        <w:tab/>
      </w:r>
      <w:r w:rsidRPr="002D5BFC">
        <w:rPr>
          <w:rFonts w:ascii="Gadugi" w:eastAsia="Malgun Gothic" w:hAnsi="Gadugi" w:cs="Estrangelo Edessa"/>
          <w:b/>
          <w:bCs/>
          <w:sz w:val="24"/>
          <w:szCs w:val="24"/>
          <w:lang w:val="es-419"/>
        </w:rPr>
        <w:tab/>
      </w:r>
      <w:r w:rsidR="00E95B6A" w:rsidRPr="002D5BFC">
        <w:rPr>
          <w:rFonts w:ascii="Gadugi" w:eastAsia="Malgun Gothic" w:hAnsi="Gadugi" w:cs="Estrangelo Edessa"/>
          <w:b/>
          <w:bCs/>
          <w:sz w:val="24"/>
          <w:szCs w:val="24"/>
          <w:lang w:val="es-419"/>
        </w:rPr>
        <w:t xml:space="preserve">     </w:t>
      </w:r>
      <w:r w:rsidRPr="002D5BFC">
        <w:rPr>
          <w:rFonts w:ascii="Gadugi" w:eastAsia="Malgun Gothic" w:hAnsi="Gadugi" w:cs="Estrangelo Edessa"/>
          <w:b/>
          <w:bCs/>
          <w:sz w:val="24"/>
          <w:szCs w:val="24"/>
          <w:lang w:val="es-419"/>
        </w:rPr>
        <w:t>DUBERNEY GRISALES HERRERA</w:t>
      </w:r>
    </w:p>
    <w:p w:rsidR="009A39D8" w:rsidRPr="002D5BFC" w:rsidRDefault="009A39D8" w:rsidP="004211B9">
      <w:pPr>
        <w:spacing w:line="276" w:lineRule="auto"/>
        <w:jc w:val="both"/>
        <w:rPr>
          <w:rFonts w:ascii="Gadugi" w:eastAsia="Malgun Gothic" w:hAnsi="Gadugi" w:cs="Estrangelo Edessa"/>
          <w:bCs/>
          <w:sz w:val="24"/>
          <w:szCs w:val="24"/>
          <w:lang w:val="es-419"/>
        </w:rPr>
      </w:pPr>
      <w:r w:rsidRPr="002D5BFC">
        <w:rPr>
          <w:rFonts w:ascii="Gadugi" w:eastAsia="Malgun Gothic" w:hAnsi="Gadugi" w:cs="Estrangelo Edessa"/>
          <w:bCs/>
          <w:sz w:val="24"/>
          <w:szCs w:val="24"/>
          <w:lang w:val="es-419"/>
        </w:rPr>
        <w:t xml:space="preserve"> Con salvamento parcial de voto</w:t>
      </w:r>
    </w:p>
    <w:sectPr w:rsidR="009A39D8" w:rsidRPr="002D5BFC" w:rsidSect="00C51617">
      <w:pgSz w:w="12242" w:h="18711" w:code="5"/>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EA7" w:rsidRDefault="006E5EA7" w:rsidP="007A7DA4">
      <w:r>
        <w:separator/>
      </w:r>
    </w:p>
  </w:endnote>
  <w:endnote w:type="continuationSeparator" w:id="0">
    <w:p w:rsidR="006E5EA7" w:rsidRDefault="006E5EA7" w:rsidP="007A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EA7" w:rsidRDefault="006E5EA7" w:rsidP="007A7DA4">
      <w:r>
        <w:separator/>
      </w:r>
    </w:p>
  </w:footnote>
  <w:footnote w:type="continuationSeparator" w:id="0">
    <w:p w:rsidR="006E5EA7" w:rsidRDefault="006E5EA7" w:rsidP="007A7DA4">
      <w:r>
        <w:continuationSeparator/>
      </w:r>
    </w:p>
  </w:footnote>
  <w:footnote w:id="1">
    <w:p w:rsidR="00E838BC" w:rsidRPr="00E838BC" w:rsidRDefault="00E838BC" w:rsidP="00E838BC">
      <w:pPr>
        <w:jc w:val="both"/>
        <w:rPr>
          <w:rFonts w:ascii="Agency FB" w:hAnsi="Agency FB"/>
          <w:sz w:val="24"/>
          <w:szCs w:val="24"/>
          <w:lang w:val="es-419"/>
        </w:rPr>
      </w:pPr>
      <w:r w:rsidRPr="00E838BC">
        <w:rPr>
          <w:rStyle w:val="Refdenotaalpie"/>
          <w:rFonts w:ascii="Agency FB" w:hAnsi="Agency FB"/>
          <w:sz w:val="24"/>
          <w:szCs w:val="24"/>
        </w:rPr>
        <w:footnoteRef/>
      </w:r>
      <w:r w:rsidRPr="00E838BC">
        <w:rPr>
          <w:rFonts w:ascii="Agency FB" w:hAnsi="Agency FB"/>
          <w:sz w:val="24"/>
          <w:szCs w:val="24"/>
        </w:rPr>
        <w:t xml:space="preserve"> Corte Suprema </w:t>
      </w:r>
      <w:r w:rsidRPr="00E838BC">
        <w:rPr>
          <w:rFonts w:ascii="Agency FB" w:hAnsi="Agency FB"/>
          <w:sz w:val="24"/>
          <w:szCs w:val="24"/>
          <w:lang w:val="es-419"/>
        </w:rPr>
        <w:t>d</w:t>
      </w:r>
      <w:r w:rsidRPr="00E838BC">
        <w:rPr>
          <w:rFonts w:ascii="Agency FB" w:hAnsi="Agency FB"/>
          <w:sz w:val="24"/>
          <w:szCs w:val="24"/>
        </w:rPr>
        <w:t>e Justicia</w:t>
      </w:r>
      <w:r w:rsidRPr="00E838BC">
        <w:rPr>
          <w:rFonts w:ascii="Agency FB" w:hAnsi="Agency FB"/>
          <w:sz w:val="24"/>
          <w:szCs w:val="24"/>
          <w:lang w:val="es-419"/>
        </w:rPr>
        <w:t xml:space="preserve">, </w:t>
      </w:r>
      <w:r w:rsidRPr="00E838BC">
        <w:rPr>
          <w:rFonts w:ascii="Agency FB" w:hAnsi="Agency FB"/>
          <w:sz w:val="24"/>
          <w:szCs w:val="24"/>
        </w:rPr>
        <w:t xml:space="preserve">Sala </w:t>
      </w:r>
      <w:r w:rsidRPr="00E838BC">
        <w:rPr>
          <w:rFonts w:ascii="Agency FB" w:hAnsi="Agency FB"/>
          <w:sz w:val="24"/>
          <w:szCs w:val="24"/>
          <w:lang w:val="es-419"/>
        </w:rPr>
        <w:t>d</w:t>
      </w:r>
      <w:r w:rsidRPr="00E838BC">
        <w:rPr>
          <w:rFonts w:ascii="Agency FB" w:hAnsi="Agency FB"/>
          <w:sz w:val="24"/>
          <w:szCs w:val="24"/>
        </w:rPr>
        <w:t>e Casaci</w:t>
      </w:r>
      <w:r w:rsidRPr="00E838BC">
        <w:rPr>
          <w:rFonts w:ascii="Agency FB" w:hAnsi="Agency FB"/>
          <w:sz w:val="24"/>
          <w:szCs w:val="24"/>
          <w:lang w:val="es-419"/>
        </w:rPr>
        <w:t>ón</w:t>
      </w:r>
      <w:r w:rsidRPr="00E838BC">
        <w:rPr>
          <w:rFonts w:ascii="Agency FB" w:hAnsi="Agency FB"/>
          <w:sz w:val="24"/>
          <w:szCs w:val="24"/>
        </w:rPr>
        <w:t xml:space="preserve"> Civil</w:t>
      </w:r>
      <w:r w:rsidRPr="00E838BC">
        <w:rPr>
          <w:rFonts w:ascii="Agency FB" w:hAnsi="Agency FB"/>
          <w:sz w:val="24"/>
          <w:szCs w:val="24"/>
          <w:lang w:val="es-419"/>
        </w:rPr>
        <w:t xml:space="preserve">, sentencia de noviembre 8 de 2000, expediente 4390, M.P. Silvio Fernando Trejos Bueno; reiterada en la sentencia </w:t>
      </w:r>
      <w:r w:rsidRPr="00E838BC">
        <w:rPr>
          <w:rFonts w:ascii="Agency FB" w:hAnsi="Agency FB"/>
          <w:sz w:val="24"/>
          <w:szCs w:val="24"/>
        </w:rPr>
        <w:t>SC12241-2017</w:t>
      </w:r>
      <w:r w:rsidRPr="00E838BC">
        <w:rPr>
          <w:rFonts w:ascii="Agency FB" w:hAnsi="Agency FB"/>
          <w:sz w:val="24"/>
          <w:szCs w:val="24"/>
          <w:lang w:val="es-419"/>
        </w:rPr>
        <w:t>, r</w:t>
      </w:r>
      <w:r w:rsidRPr="00E838BC">
        <w:rPr>
          <w:rFonts w:ascii="Agency FB" w:hAnsi="Agency FB"/>
          <w:sz w:val="24"/>
          <w:szCs w:val="24"/>
        </w:rPr>
        <w:t>adicación 11001-31-10-007-1995-03366-01</w:t>
      </w:r>
      <w:r w:rsidRPr="00E838BC">
        <w:rPr>
          <w:rFonts w:ascii="Agency FB" w:hAnsi="Agency FB"/>
          <w:sz w:val="24"/>
          <w:szCs w:val="24"/>
          <w:lang w:val="es-419"/>
        </w:rPr>
        <w:t>, agosto 16 de 2017, M.P. Aroldo Wilson Quiroz Monsalvo.</w:t>
      </w:r>
    </w:p>
    <w:p w:rsidR="00E838BC" w:rsidRPr="00E838BC" w:rsidRDefault="00E838BC" w:rsidP="00E838BC">
      <w:pPr>
        <w:jc w:val="both"/>
        <w:rPr>
          <w:b/>
          <w:sz w:val="16"/>
          <w:szCs w:val="16"/>
        </w:rPr>
      </w:pPr>
    </w:p>
    <w:p w:rsidR="00E838BC" w:rsidRPr="00E838BC" w:rsidRDefault="00E838BC" w:rsidP="00E838BC">
      <w:pPr>
        <w:jc w:val="both"/>
        <w:rPr>
          <w:rFonts w:ascii="Gadugi" w:eastAsia="Malgun Gothic" w:hAnsi="Gadugi" w:cs="Estrangelo Edessa"/>
          <w:bCs/>
          <w:sz w:val="16"/>
          <w:szCs w:val="16"/>
          <w:lang w:val="es-419"/>
        </w:rPr>
      </w:pPr>
    </w:p>
    <w:p w:rsidR="00E838BC" w:rsidRPr="00E838BC" w:rsidRDefault="00E838BC">
      <w:pPr>
        <w:pStyle w:val="Textonotapie"/>
        <w:rPr>
          <w:lang w:val="es-419"/>
        </w:rPr>
      </w:pPr>
    </w:p>
  </w:footnote>
  <w:footnote w:id="2">
    <w:p w:rsidR="00B134C5" w:rsidRPr="00B134C5" w:rsidRDefault="00B134C5">
      <w:pPr>
        <w:pStyle w:val="Textonotapie"/>
        <w:rPr>
          <w:rFonts w:ascii="Agency FB" w:hAnsi="Agency FB"/>
          <w:sz w:val="24"/>
          <w:szCs w:val="24"/>
          <w:lang w:val="es-419"/>
        </w:rPr>
      </w:pPr>
      <w:r w:rsidRPr="00B134C5">
        <w:rPr>
          <w:rStyle w:val="Refdenotaalpie"/>
          <w:rFonts w:ascii="Agency FB" w:hAnsi="Agency FB"/>
          <w:sz w:val="24"/>
          <w:szCs w:val="24"/>
        </w:rPr>
        <w:footnoteRef/>
      </w:r>
      <w:r w:rsidRPr="00B134C5">
        <w:rPr>
          <w:rFonts w:ascii="Agency FB" w:hAnsi="Agency FB"/>
          <w:sz w:val="24"/>
          <w:szCs w:val="24"/>
        </w:rPr>
        <w:t xml:space="preserve"> </w:t>
      </w:r>
      <w:r w:rsidRPr="00B134C5">
        <w:rPr>
          <w:rFonts w:ascii="Agency FB" w:hAnsi="Agency FB"/>
          <w:sz w:val="24"/>
          <w:szCs w:val="24"/>
          <w:lang w:val="es-419"/>
        </w:rPr>
        <w:t>Lafont Pianetta, Pedro, Derecho de sucesiones, tomo II, Ediciones del Profesional, Bogotá D</w:t>
      </w:r>
      <w:r w:rsidR="00E95B6A">
        <w:rPr>
          <w:rFonts w:ascii="Agency FB" w:hAnsi="Agency FB"/>
          <w:sz w:val="24"/>
          <w:szCs w:val="24"/>
          <w:lang w:val="es-419"/>
        </w:rPr>
        <w:t>.</w:t>
      </w:r>
      <w:r w:rsidRPr="00B134C5">
        <w:rPr>
          <w:rFonts w:ascii="Agency FB" w:hAnsi="Agency FB"/>
          <w:sz w:val="24"/>
          <w:szCs w:val="24"/>
          <w:lang w:val="es-419"/>
        </w:rPr>
        <w:t xml:space="preserve">C., 2003, p. 755, 757. </w:t>
      </w:r>
    </w:p>
  </w:footnote>
  <w:footnote w:id="3">
    <w:p w:rsidR="00D0484F" w:rsidRPr="00AD6308" w:rsidRDefault="00D0484F">
      <w:pPr>
        <w:pStyle w:val="Textonotapie"/>
        <w:rPr>
          <w:rFonts w:ascii="Agency FB" w:hAnsi="Agency FB"/>
          <w:sz w:val="24"/>
          <w:szCs w:val="24"/>
          <w:lang w:val="es-419"/>
        </w:rPr>
      </w:pPr>
      <w:r w:rsidRPr="00AD6308">
        <w:rPr>
          <w:rStyle w:val="Refdenotaalpie"/>
          <w:rFonts w:ascii="Agency FB" w:hAnsi="Agency FB"/>
          <w:sz w:val="24"/>
          <w:szCs w:val="24"/>
        </w:rPr>
        <w:footnoteRef/>
      </w:r>
      <w:r w:rsidRPr="00AD6308">
        <w:rPr>
          <w:rFonts w:ascii="Agency FB" w:hAnsi="Agency FB"/>
          <w:sz w:val="24"/>
          <w:szCs w:val="24"/>
        </w:rPr>
        <w:t xml:space="preserve"> </w:t>
      </w:r>
      <w:r w:rsidRPr="00AD6308">
        <w:rPr>
          <w:rFonts w:ascii="Agency FB" w:hAnsi="Agency FB"/>
          <w:sz w:val="24"/>
          <w:szCs w:val="24"/>
          <w:lang w:val="es-419"/>
        </w:rPr>
        <w:t xml:space="preserve">Leyer, Bogotá D.C., 2015, p. </w:t>
      </w:r>
      <w:r w:rsidR="00AD6308" w:rsidRPr="00AD6308">
        <w:rPr>
          <w:rFonts w:ascii="Agency FB" w:hAnsi="Agency FB"/>
          <w:sz w:val="24"/>
          <w:szCs w:val="24"/>
          <w:lang w:val="es-419"/>
        </w:rPr>
        <w:t>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F94280A"/>
    <w:lvl w:ilvl="0">
      <w:start w:val="1"/>
      <w:numFmt w:val="decimal"/>
      <w:pStyle w:val="Listaconnmeros"/>
      <w:lvlText w:val="%1."/>
      <w:lvlJc w:val="left"/>
      <w:pPr>
        <w:tabs>
          <w:tab w:val="num" w:pos="360"/>
        </w:tabs>
        <w:ind w:left="360" w:hanging="360"/>
      </w:pPr>
    </w:lvl>
  </w:abstractNum>
  <w:abstractNum w:abstractNumId="1">
    <w:nsid w:val="4A986D1F"/>
    <w:multiLevelType w:val="hybridMultilevel"/>
    <w:tmpl w:val="8FEE2B50"/>
    <w:lvl w:ilvl="0" w:tplc="F81A9500">
      <w:start w:val="1"/>
      <w:numFmt w:val="lowerRoman"/>
      <w:lvlText w:val="(%1)"/>
      <w:lvlJc w:val="left"/>
      <w:pPr>
        <w:ind w:left="3555" w:hanging="720"/>
      </w:pPr>
      <w:rPr>
        <w:rFonts w:hint="default"/>
      </w:rPr>
    </w:lvl>
    <w:lvl w:ilvl="1" w:tplc="580A0019" w:tentative="1">
      <w:start w:val="1"/>
      <w:numFmt w:val="lowerLetter"/>
      <w:lvlText w:val="%2."/>
      <w:lvlJc w:val="left"/>
      <w:pPr>
        <w:ind w:left="3915" w:hanging="360"/>
      </w:pPr>
    </w:lvl>
    <w:lvl w:ilvl="2" w:tplc="580A001B" w:tentative="1">
      <w:start w:val="1"/>
      <w:numFmt w:val="lowerRoman"/>
      <w:lvlText w:val="%3."/>
      <w:lvlJc w:val="right"/>
      <w:pPr>
        <w:ind w:left="4635" w:hanging="180"/>
      </w:pPr>
    </w:lvl>
    <w:lvl w:ilvl="3" w:tplc="580A000F" w:tentative="1">
      <w:start w:val="1"/>
      <w:numFmt w:val="decimal"/>
      <w:lvlText w:val="%4."/>
      <w:lvlJc w:val="left"/>
      <w:pPr>
        <w:ind w:left="5355" w:hanging="360"/>
      </w:pPr>
    </w:lvl>
    <w:lvl w:ilvl="4" w:tplc="580A0019" w:tentative="1">
      <w:start w:val="1"/>
      <w:numFmt w:val="lowerLetter"/>
      <w:lvlText w:val="%5."/>
      <w:lvlJc w:val="left"/>
      <w:pPr>
        <w:ind w:left="6075" w:hanging="360"/>
      </w:pPr>
    </w:lvl>
    <w:lvl w:ilvl="5" w:tplc="580A001B" w:tentative="1">
      <w:start w:val="1"/>
      <w:numFmt w:val="lowerRoman"/>
      <w:lvlText w:val="%6."/>
      <w:lvlJc w:val="right"/>
      <w:pPr>
        <w:ind w:left="6795" w:hanging="180"/>
      </w:pPr>
    </w:lvl>
    <w:lvl w:ilvl="6" w:tplc="580A000F" w:tentative="1">
      <w:start w:val="1"/>
      <w:numFmt w:val="decimal"/>
      <w:lvlText w:val="%7."/>
      <w:lvlJc w:val="left"/>
      <w:pPr>
        <w:ind w:left="7515" w:hanging="360"/>
      </w:pPr>
    </w:lvl>
    <w:lvl w:ilvl="7" w:tplc="580A0019" w:tentative="1">
      <w:start w:val="1"/>
      <w:numFmt w:val="lowerLetter"/>
      <w:lvlText w:val="%8."/>
      <w:lvlJc w:val="left"/>
      <w:pPr>
        <w:ind w:left="8235" w:hanging="360"/>
      </w:pPr>
    </w:lvl>
    <w:lvl w:ilvl="8" w:tplc="580A001B" w:tentative="1">
      <w:start w:val="1"/>
      <w:numFmt w:val="lowerRoman"/>
      <w:lvlText w:val="%9."/>
      <w:lvlJc w:val="right"/>
      <w:pPr>
        <w:ind w:left="8955" w:hanging="180"/>
      </w:pPr>
    </w:lvl>
  </w:abstractNum>
  <w:abstractNum w:abstractNumId="2">
    <w:nsid w:val="668A04D4"/>
    <w:multiLevelType w:val="hybridMultilevel"/>
    <w:tmpl w:val="DDFEFCA2"/>
    <w:lvl w:ilvl="0" w:tplc="1A5CA4FC">
      <w:start w:val="1"/>
      <w:numFmt w:val="lowerLetter"/>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nsid w:val="71C97F0E"/>
    <w:multiLevelType w:val="multilevel"/>
    <w:tmpl w:val="E1645096"/>
    <w:lvl w:ilvl="0">
      <w:start w:val="1"/>
      <w:numFmt w:val="decimal"/>
      <w:lvlText w:val="%1."/>
      <w:lvlJc w:val="left"/>
      <w:pPr>
        <w:ind w:left="3240" w:hanging="360"/>
      </w:pPr>
      <w:rPr>
        <w:rFonts w:hint="default"/>
      </w:rPr>
    </w:lvl>
    <w:lvl w:ilvl="1">
      <w:start w:val="1"/>
      <w:numFmt w:val="decimal"/>
      <w:isLgl/>
      <w:lvlText w:val="%1.%2."/>
      <w:lvlJc w:val="left"/>
      <w:pPr>
        <w:ind w:left="360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468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A4"/>
    <w:rsid w:val="00002608"/>
    <w:rsid w:val="00017318"/>
    <w:rsid w:val="00032E69"/>
    <w:rsid w:val="000340A6"/>
    <w:rsid w:val="00036109"/>
    <w:rsid w:val="00084F33"/>
    <w:rsid w:val="00096667"/>
    <w:rsid w:val="000B0E31"/>
    <w:rsid w:val="000B5651"/>
    <w:rsid w:val="000D18A0"/>
    <w:rsid w:val="000E2DA8"/>
    <w:rsid w:val="00100A75"/>
    <w:rsid w:val="001072DC"/>
    <w:rsid w:val="001074B8"/>
    <w:rsid w:val="00153ADA"/>
    <w:rsid w:val="00161529"/>
    <w:rsid w:val="00161BA5"/>
    <w:rsid w:val="00164219"/>
    <w:rsid w:val="00170ADB"/>
    <w:rsid w:val="00176AE0"/>
    <w:rsid w:val="001801E2"/>
    <w:rsid w:val="001810D8"/>
    <w:rsid w:val="00183048"/>
    <w:rsid w:val="00185204"/>
    <w:rsid w:val="001873FD"/>
    <w:rsid w:val="001A6204"/>
    <w:rsid w:val="001B6838"/>
    <w:rsid w:val="001B689A"/>
    <w:rsid w:val="001C430C"/>
    <w:rsid w:val="001D7640"/>
    <w:rsid w:val="001E7AD0"/>
    <w:rsid w:val="00205FD1"/>
    <w:rsid w:val="0021346C"/>
    <w:rsid w:val="002140B9"/>
    <w:rsid w:val="00220B35"/>
    <w:rsid w:val="00220EE1"/>
    <w:rsid w:val="002246FA"/>
    <w:rsid w:val="002322D9"/>
    <w:rsid w:val="00242895"/>
    <w:rsid w:val="00260C8D"/>
    <w:rsid w:val="0026101A"/>
    <w:rsid w:val="00265E4C"/>
    <w:rsid w:val="00270066"/>
    <w:rsid w:val="00293E21"/>
    <w:rsid w:val="00296330"/>
    <w:rsid w:val="00296D0E"/>
    <w:rsid w:val="002A3922"/>
    <w:rsid w:val="002B011C"/>
    <w:rsid w:val="002B27A2"/>
    <w:rsid w:val="002C19C1"/>
    <w:rsid w:val="002C2048"/>
    <w:rsid w:val="002D12E2"/>
    <w:rsid w:val="002D5BFC"/>
    <w:rsid w:val="002D67D3"/>
    <w:rsid w:val="002F26F7"/>
    <w:rsid w:val="002F7B56"/>
    <w:rsid w:val="0031530D"/>
    <w:rsid w:val="00327ABC"/>
    <w:rsid w:val="00334864"/>
    <w:rsid w:val="003352E1"/>
    <w:rsid w:val="00372DEE"/>
    <w:rsid w:val="003948B9"/>
    <w:rsid w:val="003A0822"/>
    <w:rsid w:val="003A2002"/>
    <w:rsid w:val="003A7A50"/>
    <w:rsid w:val="003B1682"/>
    <w:rsid w:val="003B2FF7"/>
    <w:rsid w:val="003B47A7"/>
    <w:rsid w:val="003D0E5D"/>
    <w:rsid w:val="003D0ED1"/>
    <w:rsid w:val="003E2FF5"/>
    <w:rsid w:val="003E357C"/>
    <w:rsid w:val="004012E5"/>
    <w:rsid w:val="004017B3"/>
    <w:rsid w:val="00401A8F"/>
    <w:rsid w:val="0040550C"/>
    <w:rsid w:val="00413F4B"/>
    <w:rsid w:val="00417FEA"/>
    <w:rsid w:val="004211B9"/>
    <w:rsid w:val="004314B0"/>
    <w:rsid w:val="00456838"/>
    <w:rsid w:val="00464C6B"/>
    <w:rsid w:val="00490347"/>
    <w:rsid w:val="00491FC1"/>
    <w:rsid w:val="00497086"/>
    <w:rsid w:val="004A35F6"/>
    <w:rsid w:val="004A62A1"/>
    <w:rsid w:val="004B6A83"/>
    <w:rsid w:val="004C32CE"/>
    <w:rsid w:val="004D0530"/>
    <w:rsid w:val="004D1533"/>
    <w:rsid w:val="004D23FA"/>
    <w:rsid w:val="004E5CC0"/>
    <w:rsid w:val="004F402C"/>
    <w:rsid w:val="00501502"/>
    <w:rsid w:val="005154D3"/>
    <w:rsid w:val="005165FF"/>
    <w:rsid w:val="00517286"/>
    <w:rsid w:val="00527836"/>
    <w:rsid w:val="00533E7B"/>
    <w:rsid w:val="00534A2E"/>
    <w:rsid w:val="0053524C"/>
    <w:rsid w:val="00542577"/>
    <w:rsid w:val="00543163"/>
    <w:rsid w:val="0054752E"/>
    <w:rsid w:val="005504DA"/>
    <w:rsid w:val="00557D01"/>
    <w:rsid w:val="00565C16"/>
    <w:rsid w:val="005833FA"/>
    <w:rsid w:val="0058395F"/>
    <w:rsid w:val="0058662C"/>
    <w:rsid w:val="005B0A95"/>
    <w:rsid w:val="005B1E58"/>
    <w:rsid w:val="005B629E"/>
    <w:rsid w:val="005D0062"/>
    <w:rsid w:val="005D0D6B"/>
    <w:rsid w:val="005D55B8"/>
    <w:rsid w:val="005D5C9F"/>
    <w:rsid w:val="005F16BC"/>
    <w:rsid w:val="005F6C9C"/>
    <w:rsid w:val="006007E9"/>
    <w:rsid w:val="0061085E"/>
    <w:rsid w:val="00614CA5"/>
    <w:rsid w:val="0062279C"/>
    <w:rsid w:val="00623EB5"/>
    <w:rsid w:val="00636472"/>
    <w:rsid w:val="00645813"/>
    <w:rsid w:val="006479F3"/>
    <w:rsid w:val="0065788F"/>
    <w:rsid w:val="006604EF"/>
    <w:rsid w:val="00670002"/>
    <w:rsid w:val="006907DA"/>
    <w:rsid w:val="006A0203"/>
    <w:rsid w:val="006B3814"/>
    <w:rsid w:val="006C7603"/>
    <w:rsid w:val="006D0B07"/>
    <w:rsid w:val="006E5EA7"/>
    <w:rsid w:val="006E65B1"/>
    <w:rsid w:val="006F299A"/>
    <w:rsid w:val="006F2D7C"/>
    <w:rsid w:val="00701B78"/>
    <w:rsid w:val="00720A26"/>
    <w:rsid w:val="00731CB8"/>
    <w:rsid w:val="007447D1"/>
    <w:rsid w:val="00751CF6"/>
    <w:rsid w:val="007610ED"/>
    <w:rsid w:val="007677A4"/>
    <w:rsid w:val="00775C3A"/>
    <w:rsid w:val="00781F8F"/>
    <w:rsid w:val="007907A2"/>
    <w:rsid w:val="00797504"/>
    <w:rsid w:val="007A7DA4"/>
    <w:rsid w:val="007B0C8F"/>
    <w:rsid w:val="007B4279"/>
    <w:rsid w:val="007C5E61"/>
    <w:rsid w:val="007E53B1"/>
    <w:rsid w:val="007F3383"/>
    <w:rsid w:val="00800A82"/>
    <w:rsid w:val="008200E2"/>
    <w:rsid w:val="00844379"/>
    <w:rsid w:val="00844D95"/>
    <w:rsid w:val="00853A50"/>
    <w:rsid w:val="00861644"/>
    <w:rsid w:val="00874B96"/>
    <w:rsid w:val="00877A98"/>
    <w:rsid w:val="0088459A"/>
    <w:rsid w:val="008B0CAA"/>
    <w:rsid w:val="008D001D"/>
    <w:rsid w:val="008E66CE"/>
    <w:rsid w:val="008F3915"/>
    <w:rsid w:val="00907B11"/>
    <w:rsid w:val="00912193"/>
    <w:rsid w:val="00920CEA"/>
    <w:rsid w:val="0095555C"/>
    <w:rsid w:val="009579CE"/>
    <w:rsid w:val="009610B6"/>
    <w:rsid w:val="009639CC"/>
    <w:rsid w:val="00970BBD"/>
    <w:rsid w:val="009752AD"/>
    <w:rsid w:val="00980F45"/>
    <w:rsid w:val="00990677"/>
    <w:rsid w:val="009914D3"/>
    <w:rsid w:val="00996643"/>
    <w:rsid w:val="009A39D8"/>
    <w:rsid w:val="009A53E1"/>
    <w:rsid w:val="009C0252"/>
    <w:rsid w:val="009C2F6C"/>
    <w:rsid w:val="009C556A"/>
    <w:rsid w:val="009C6899"/>
    <w:rsid w:val="009D41B3"/>
    <w:rsid w:val="009E2310"/>
    <w:rsid w:val="009E2BA4"/>
    <w:rsid w:val="009F2F5A"/>
    <w:rsid w:val="00A10BF8"/>
    <w:rsid w:val="00A17C57"/>
    <w:rsid w:val="00A2435E"/>
    <w:rsid w:val="00A364D7"/>
    <w:rsid w:val="00A52D6A"/>
    <w:rsid w:val="00A52ECF"/>
    <w:rsid w:val="00A53341"/>
    <w:rsid w:val="00A61E0D"/>
    <w:rsid w:val="00A64B5D"/>
    <w:rsid w:val="00A7367E"/>
    <w:rsid w:val="00AA3605"/>
    <w:rsid w:val="00AD0E43"/>
    <w:rsid w:val="00AD6308"/>
    <w:rsid w:val="00AE3E5A"/>
    <w:rsid w:val="00AF7484"/>
    <w:rsid w:val="00B1096C"/>
    <w:rsid w:val="00B134C5"/>
    <w:rsid w:val="00B36187"/>
    <w:rsid w:val="00B45AC5"/>
    <w:rsid w:val="00B45C7E"/>
    <w:rsid w:val="00B46A3E"/>
    <w:rsid w:val="00B531B3"/>
    <w:rsid w:val="00B8581C"/>
    <w:rsid w:val="00BB64D3"/>
    <w:rsid w:val="00BB662C"/>
    <w:rsid w:val="00BC22A7"/>
    <w:rsid w:val="00BC4339"/>
    <w:rsid w:val="00BD3971"/>
    <w:rsid w:val="00BE3FA6"/>
    <w:rsid w:val="00BF63FB"/>
    <w:rsid w:val="00C160D6"/>
    <w:rsid w:val="00C2427E"/>
    <w:rsid w:val="00C43C4F"/>
    <w:rsid w:val="00C51617"/>
    <w:rsid w:val="00C741A2"/>
    <w:rsid w:val="00C96309"/>
    <w:rsid w:val="00CA3607"/>
    <w:rsid w:val="00CA4340"/>
    <w:rsid w:val="00CB2951"/>
    <w:rsid w:val="00CB62C8"/>
    <w:rsid w:val="00CC19DF"/>
    <w:rsid w:val="00CC38B9"/>
    <w:rsid w:val="00CC7B3A"/>
    <w:rsid w:val="00CD4E5C"/>
    <w:rsid w:val="00CF29F0"/>
    <w:rsid w:val="00D0484F"/>
    <w:rsid w:val="00D158DF"/>
    <w:rsid w:val="00D16D20"/>
    <w:rsid w:val="00D2424A"/>
    <w:rsid w:val="00D44941"/>
    <w:rsid w:val="00D71F52"/>
    <w:rsid w:val="00D746BB"/>
    <w:rsid w:val="00DB13B9"/>
    <w:rsid w:val="00DB1887"/>
    <w:rsid w:val="00DC6314"/>
    <w:rsid w:val="00DD725E"/>
    <w:rsid w:val="00DE0C75"/>
    <w:rsid w:val="00DE4699"/>
    <w:rsid w:val="00E12084"/>
    <w:rsid w:val="00E14D95"/>
    <w:rsid w:val="00E168AD"/>
    <w:rsid w:val="00E2267A"/>
    <w:rsid w:val="00E357DC"/>
    <w:rsid w:val="00E4535C"/>
    <w:rsid w:val="00E55A23"/>
    <w:rsid w:val="00E8100C"/>
    <w:rsid w:val="00E838BC"/>
    <w:rsid w:val="00E9550A"/>
    <w:rsid w:val="00E95B6A"/>
    <w:rsid w:val="00EC2AEA"/>
    <w:rsid w:val="00EC6EC3"/>
    <w:rsid w:val="00ED35EA"/>
    <w:rsid w:val="00EE6C8F"/>
    <w:rsid w:val="00EF1326"/>
    <w:rsid w:val="00F01106"/>
    <w:rsid w:val="00F0324B"/>
    <w:rsid w:val="00F03607"/>
    <w:rsid w:val="00F0510E"/>
    <w:rsid w:val="00F103DC"/>
    <w:rsid w:val="00F124D6"/>
    <w:rsid w:val="00F162A8"/>
    <w:rsid w:val="00F22C15"/>
    <w:rsid w:val="00F41F63"/>
    <w:rsid w:val="00F70175"/>
    <w:rsid w:val="00F71F17"/>
    <w:rsid w:val="00F84CA4"/>
    <w:rsid w:val="00F9492C"/>
    <w:rsid w:val="00FA03ED"/>
    <w:rsid w:val="00FA39F9"/>
    <w:rsid w:val="00FB05E1"/>
    <w:rsid w:val="00FB5FC7"/>
    <w:rsid w:val="00FC4639"/>
    <w:rsid w:val="00FC485E"/>
    <w:rsid w:val="00FF46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08069-E126-4B34-BCB6-9D8FB1CF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D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B0A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qFormat/>
    <w:rsid w:val="007A7DA4"/>
    <w:pPr>
      <w:keepNext/>
      <w:spacing w:line="360" w:lineRule="auto"/>
      <w:ind w:firstLine="2835"/>
      <w:jc w:val="both"/>
      <w:outlineLvl w:val="2"/>
    </w:pPr>
    <w:rPr>
      <w:rFonts w:ascii="Arial Narrow" w:hAnsi="Arial Narrow" w:cs="Arial Narrow"/>
      <w:b/>
      <w:b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A7DA4"/>
    <w:rPr>
      <w:rFonts w:ascii="Arial Narrow" w:eastAsia="Times New Roman" w:hAnsi="Arial Narrow" w:cs="Arial Narrow"/>
      <w:b/>
      <w:bCs/>
      <w:sz w:val="24"/>
      <w:szCs w:val="24"/>
      <w:lang w:val="es-MX" w:eastAsia="es-ES"/>
    </w:rPr>
  </w:style>
  <w:style w:type="paragraph" w:styleId="Textonotapie">
    <w:name w:val="footnote text"/>
    <w:aliases w:val="Footnote Text Char Char Char Char Char,Footnote Text Char Char Char Char,Footnote reference,FA Fu,Footnote Text Cha,Footnote Text Char Char Char,FA Fuﬂnotentext,Footnote Text Char Char,Ref. de nota al pie1,Texto de nota al pie,BVI fn"/>
    <w:basedOn w:val="Normal"/>
    <w:link w:val="TextonotapieCar"/>
    <w:uiPriority w:val="99"/>
    <w:qFormat/>
    <w:rsid w:val="007A7DA4"/>
  </w:style>
  <w:style w:type="character" w:customStyle="1" w:styleId="TextonotapieCar">
    <w:name w:val="Texto nota pie Car"/>
    <w:aliases w:val="Footnote Text Char Char Char Char Char Car,Footnote Text Char Char Char Char Car,Footnote reference Car,FA Fu Car,Footnote Text Cha Car,Footnote Text Char Char Char Car,FA Fuﬂnotentext Car,Footnote Text Char Char Car,BVI fn Car"/>
    <w:basedOn w:val="Fuentedeprrafopredeter"/>
    <w:link w:val="Textonotapie"/>
    <w:uiPriority w:val="99"/>
    <w:rsid w:val="007A7DA4"/>
    <w:rPr>
      <w:rFonts w:ascii="Times New Roman" w:eastAsia="Times New Roman" w:hAnsi="Times New Roman" w:cs="Times New Roman"/>
      <w:sz w:val="20"/>
      <w:szCs w:val="20"/>
      <w:lang w:val="es-ES" w:eastAsia="es-ES"/>
    </w:rPr>
  </w:style>
  <w:style w:type="character" w:styleId="Refdenotaalpie">
    <w:name w:val="footnote reference"/>
    <w:aliases w:val="Ref. de nota al pie 2,Pie de Página,FC,Appel note de bas de page,Footnotes refss,Footnote number,referencia nota al pie,4_G,16 Point,Superscript 6 Point,Texto nota al pie,Texto de nota al pi,Pie de Pàgi"/>
    <w:uiPriority w:val="99"/>
    <w:rsid w:val="007A7DA4"/>
    <w:rPr>
      <w:rFonts w:cs="Times New Roman"/>
      <w:vertAlign w:val="superscript"/>
    </w:rPr>
  </w:style>
  <w:style w:type="paragraph" w:styleId="Prrafodelista">
    <w:name w:val="List Paragraph"/>
    <w:basedOn w:val="Normal"/>
    <w:uiPriority w:val="34"/>
    <w:qFormat/>
    <w:rsid w:val="007A7DA4"/>
    <w:pPr>
      <w:ind w:left="708"/>
    </w:pPr>
  </w:style>
  <w:style w:type="paragraph" w:styleId="Listaconnmeros">
    <w:name w:val="List Number"/>
    <w:basedOn w:val="Normal"/>
    <w:link w:val="ListaconnmerosCar"/>
    <w:uiPriority w:val="99"/>
    <w:unhideWhenUsed/>
    <w:rsid w:val="007A7DA4"/>
    <w:pPr>
      <w:numPr>
        <w:numId w:val="2"/>
      </w:numPr>
      <w:overflowPunct/>
      <w:autoSpaceDE/>
      <w:autoSpaceDN/>
      <w:adjustRightInd/>
      <w:spacing w:line="360" w:lineRule="auto"/>
      <w:contextualSpacing/>
      <w:jc w:val="both"/>
      <w:textAlignment w:val="auto"/>
    </w:pPr>
    <w:rPr>
      <w:rFonts w:ascii="Bookman Old Style" w:hAnsi="Bookman Old Style"/>
      <w:sz w:val="28"/>
      <w:szCs w:val="24"/>
    </w:rPr>
  </w:style>
  <w:style w:type="character" w:customStyle="1" w:styleId="ListaconnmerosCar">
    <w:name w:val="Lista con números Car"/>
    <w:link w:val="Listaconnmeros"/>
    <w:uiPriority w:val="99"/>
    <w:rsid w:val="007A7DA4"/>
    <w:rPr>
      <w:rFonts w:ascii="Bookman Old Style" w:eastAsia="Times New Roman" w:hAnsi="Bookman Old Style" w:cs="Times New Roman"/>
      <w:sz w:val="28"/>
      <w:szCs w:val="24"/>
      <w:lang w:val="es-ES" w:eastAsia="es-ES"/>
    </w:rPr>
  </w:style>
  <w:style w:type="character" w:customStyle="1" w:styleId="Ttulo1Car">
    <w:name w:val="Título 1 Car"/>
    <w:basedOn w:val="Fuentedeprrafopredeter"/>
    <w:link w:val="Ttulo1"/>
    <w:uiPriority w:val="9"/>
    <w:rsid w:val="005B0A95"/>
    <w:rPr>
      <w:rFonts w:asciiTheme="majorHAnsi" w:eastAsiaTheme="majorEastAsia" w:hAnsiTheme="majorHAnsi" w:cstheme="majorBidi"/>
      <w:color w:val="2F5496" w:themeColor="accent1" w:themeShade="BF"/>
      <w:sz w:val="32"/>
      <w:szCs w:val="32"/>
      <w:lang w:val="es-ES" w:eastAsia="es-ES"/>
    </w:rPr>
  </w:style>
  <w:style w:type="paragraph" w:styleId="Textodeglobo">
    <w:name w:val="Balloon Text"/>
    <w:basedOn w:val="Normal"/>
    <w:link w:val="TextodegloboCar"/>
    <w:uiPriority w:val="99"/>
    <w:semiHidden/>
    <w:unhideWhenUsed/>
    <w:rsid w:val="00DE46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4699"/>
    <w:rPr>
      <w:rFonts w:ascii="Segoe UI" w:eastAsia="Times New Roman" w:hAnsi="Segoe UI" w:cs="Segoe UI"/>
      <w:sz w:val="18"/>
      <w:szCs w:val="18"/>
      <w:lang w:val="es-ES" w:eastAsia="es-ES"/>
    </w:rPr>
  </w:style>
  <w:style w:type="paragraph" w:customStyle="1" w:styleId="a">
    <w:basedOn w:val="Normal"/>
    <w:next w:val="Normal"/>
    <w:qFormat/>
    <w:rsid w:val="00183048"/>
    <w:pPr>
      <w:overflowPunct/>
      <w:autoSpaceDE/>
      <w:autoSpaceDN/>
      <w:adjustRightInd/>
      <w:spacing w:line="360" w:lineRule="auto"/>
      <w:contextualSpacing/>
      <w:jc w:val="center"/>
      <w:textAlignment w:val="auto"/>
      <w:outlineLvl w:val="0"/>
    </w:pPr>
    <w:rPr>
      <w:rFonts w:ascii="Arial" w:hAnsi="Arial"/>
      <w:b/>
      <w:bCs/>
      <w:kern w:val="28"/>
      <w:sz w:val="28"/>
      <w:szCs w:val="32"/>
    </w:rPr>
  </w:style>
  <w:style w:type="character" w:customStyle="1" w:styleId="PuestoCar1">
    <w:name w:val="Puesto Car1"/>
    <w:link w:val="Puesto"/>
    <w:uiPriority w:val="10"/>
    <w:rsid w:val="00183048"/>
    <w:rPr>
      <w:rFonts w:ascii="Arial" w:eastAsia="Times New Roman" w:hAnsi="Arial" w:cs="Times New Roman"/>
      <w:b/>
      <w:bCs/>
      <w:kern w:val="28"/>
      <w:sz w:val="28"/>
      <w:szCs w:val="32"/>
      <w:lang w:val="es-ES" w:eastAsia="es-ES"/>
    </w:rPr>
  </w:style>
  <w:style w:type="paragraph" w:customStyle="1" w:styleId="Referencia">
    <w:name w:val="Referencia"/>
    <w:basedOn w:val="Listaconnmeros"/>
    <w:next w:val="Normal"/>
    <w:link w:val="ReferenciaCar"/>
    <w:qFormat/>
    <w:rsid w:val="00183048"/>
    <w:pPr>
      <w:numPr>
        <w:numId w:val="0"/>
      </w:numPr>
      <w:ind w:left="360" w:hanging="360"/>
      <w:jc w:val="right"/>
    </w:pPr>
    <w:rPr>
      <w:rFonts w:ascii="Arial" w:hAnsi="Arial"/>
      <w:b/>
    </w:rPr>
  </w:style>
  <w:style w:type="character" w:customStyle="1" w:styleId="ReferenciaCar">
    <w:name w:val="Referencia Car"/>
    <w:link w:val="Referencia"/>
    <w:rsid w:val="00183048"/>
    <w:rPr>
      <w:rFonts w:ascii="Arial" w:eastAsia="Times New Roman" w:hAnsi="Arial" w:cs="Times New Roman"/>
      <w:b/>
      <w:sz w:val="28"/>
      <w:szCs w:val="24"/>
      <w:lang w:val="es-ES" w:eastAsia="es-ES"/>
    </w:rPr>
  </w:style>
  <w:style w:type="paragraph" w:styleId="Puesto">
    <w:name w:val="Title"/>
    <w:basedOn w:val="Normal"/>
    <w:next w:val="Normal"/>
    <w:link w:val="PuestoCar1"/>
    <w:uiPriority w:val="10"/>
    <w:qFormat/>
    <w:rsid w:val="00183048"/>
    <w:pPr>
      <w:contextualSpacing/>
    </w:pPr>
    <w:rPr>
      <w:rFonts w:ascii="Arial" w:hAnsi="Arial"/>
      <w:b/>
      <w:bCs/>
      <w:kern w:val="28"/>
      <w:sz w:val="28"/>
      <w:szCs w:val="32"/>
    </w:rPr>
  </w:style>
  <w:style w:type="character" w:customStyle="1" w:styleId="PuestoCar">
    <w:name w:val="Puesto Car"/>
    <w:basedOn w:val="Fuentedeprrafopredeter"/>
    <w:uiPriority w:val="10"/>
    <w:rsid w:val="00183048"/>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3E18-FFED-4E0B-A27F-012A2A78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6058</Words>
  <Characters>33320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13</cp:revision>
  <cp:lastPrinted>2018-06-20T17:10:00Z</cp:lastPrinted>
  <dcterms:created xsi:type="dcterms:W3CDTF">2018-05-02T14:12:00Z</dcterms:created>
  <dcterms:modified xsi:type="dcterms:W3CDTF">2018-08-01T20:05:00Z</dcterms:modified>
</cp:coreProperties>
</file>