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BE" w:rsidRPr="0021377F" w:rsidRDefault="00542260" w:rsidP="00007ABE">
      <w:pPr>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0" w:line="240" w:lineRule="auto"/>
        <w:jc w:val="center"/>
        <w:textAlignment w:val="baseline"/>
        <w:rPr>
          <w:rFonts w:ascii="Arial" w:eastAsia="Times New Roman" w:hAnsi="Arial" w:cs="Arial"/>
          <w:color w:val="FF0000"/>
          <w:spacing w:val="-8"/>
          <w:sz w:val="18"/>
          <w:szCs w:val="16"/>
          <w:lang w:val="es-CO" w:eastAsia="fr-FR"/>
        </w:rPr>
      </w:pPr>
      <w:bookmarkStart w:id="0" w:name="_GoBack"/>
      <w:bookmarkEnd w:id="0"/>
      <w:r>
        <w:rPr>
          <w:rFonts w:ascii="Arial" w:eastAsia="Times New Roman" w:hAnsi="Arial" w:cs="Arial"/>
          <w:color w:val="FF0000"/>
          <w:spacing w:val="-8"/>
          <w:sz w:val="18"/>
          <w:szCs w:val="16"/>
          <w:lang w:val="es-CO" w:eastAsia="fr-FR"/>
        </w:rPr>
        <w:t xml:space="preserve"> </w:t>
      </w:r>
      <w:r w:rsidR="00007ABE" w:rsidRPr="0021377F">
        <w:rPr>
          <w:rFonts w:ascii="Arial" w:eastAsia="Times New Roman" w:hAnsi="Arial" w:cs="Arial"/>
          <w:color w:val="FF0000"/>
          <w:spacing w:val="-8"/>
          <w:sz w:val="18"/>
          <w:szCs w:val="16"/>
          <w:lang w:val="es-CO" w:eastAsia="fr-FR"/>
        </w:rPr>
        <w:t>El siguiente es el documento presentado por el Magistrado Ponente que sirvió de base para proferir la providencia dentro del presente proceso.</w:t>
      </w:r>
    </w:p>
    <w:p w:rsidR="00007ABE" w:rsidRPr="0021377F" w:rsidRDefault="00007ABE" w:rsidP="00007ABE">
      <w:pPr>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line="240" w:lineRule="auto"/>
        <w:jc w:val="center"/>
        <w:textAlignment w:val="baseline"/>
        <w:rPr>
          <w:rFonts w:ascii="Arial" w:eastAsia="Times New Roman" w:hAnsi="Arial" w:cs="Arial"/>
          <w:color w:val="FF0000"/>
          <w:sz w:val="20"/>
          <w:szCs w:val="18"/>
          <w:lang w:val="es-CO" w:eastAsia="fr-FR"/>
        </w:rPr>
      </w:pPr>
      <w:r w:rsidRPr="0021377F">
        <w:rPr>
          <w:rFonts w:ascii="Arial" w:eastAsia="Times New Roman" w:hAnsi="Arial" w:cs="Arial"/>
          <w:color w:val="FF0000"/>
          <w:sz w:val="18"/>
          <w:szCs w:val="16"/>
          <w:lang w:val="es-CO" w:eastAsia="fr-FR"/>
        </w:rPr>
        <w:t>El contenido total y fiel de la decisión debe ser verificado en la Secretaría de esta Sala.</w:t>
      </w:r>
    </w:p>
    <w:p w:rsidR="00007ABE" w:rsidRPr="0021377F" w:rsidRDefault="00007ABE" w:rsidP="00007ABE">
      <w:pPr>
        <w:shd w:val="clear" w:color="auto" w:fill="FFFFFF"/>
        <w:overflowPunct w:val="0"/>
        <w:autoSpaceDE w:val="0"/>
        <w:autoSpaceDN w:val="0"/>
        <w:adjustRightInd w:val="0"/>
        <w:spacing w:after="0" w:line="240" w:lineRule="auto"/>
        <w:ind w:left="1843" w:hanging="1843"/>
        <w:jc w:val="both"/>
        <w:textAlignment w:val="baseline"/>
        <w:rPr>
          <w:rFonts w:ascii="Arial" w:eastAsia="Times New Roman" w:hAnsi="Arial" w:cs="Arial"/>
          <w:sz w:val="18"/>
          <w:szCs w:val="18"/>
          <w:lang w:val="es-CO" w:eastAsia="fr-FR"/>
        </w:rPr>
      </w:pPr>
      <w:r w:rsidRPr="0021377F">
        <w:rPr>
          <w:rFonts w:ascii="Arial" w:eastAsia="Times New Roman" w:hAnsi="Arial" w:cs="Arial"/>
          <w:sz w:val="18"/>
          <w:szCs w:val="18"/>
          <w:lang w:val="es-CO" w:eastAsia="fr-FR"/>
        </w:rPr>
        <w:t>Providencia:</w:t>
      </w:r>
      <w:r w:rsidRPr="0021377F">
        <w:rPr>
          <w:rFonts w:ascii="Arial" w:eastAsia="Times New Roman" w:hAnsi="Arial" w:cs="Arial"/>
          <w:sz w:val="18"/>
          <w:szCs w:val="18"/>
          <w:lang w:val="es-CO" w:eastAsia="fr-FR"/>
        </w:rPr>
        <w:tab/>
        <w:t>Sentencia  – 1ª instancia – 13 de julio de 2018</w:t>
      </w:r>
    </w:p>
    <w:p w:rsidR="00007ABE" w:rsidRPr="0021377F" w:rsidRDefault="00007ABE" w:rsidP="00007ABE">
      <w:pPr>
        <w:shd w:val="clear" w:color="auto" w:fill="FFFFFF"/>
        <w:tabs>
          <w:tab w:val="left" w:pos="1843"/>
          <w:tab w:val="left" w:pos="4755"/>
        </w:tabs>
        <w:overflowPunct w:val="0"/>
        <w:autoSpaceDE w:val="0"/>
        <w:autoSpaceDN w:val="0"/>
        <w:adjustRightInd w:val="0"/>
        <w:spacing w:after="0" w:line="240" w:lineRule="auto"/>
        <w:ind w:left="1843" w:hanging="1843"/>
        <w:jc w:val="both"/>
        <w:textAlignment w:val="baseline"/>
        <w:rPr>
          <w:rFonts w:ascii="Arial" w:eastAsia="Times New Roman" w:hAnsi="Arial" w:cs="Arial"/>
          <w:sz w:val="18"/>
          <w:szCs w:val="18"/>
          <w:lang w:eastAsia="fr-FR"/>
        </w:rPr>
      </w:pPr>
      <w:r w:rsidRPr="0021377F">
        <w:rPr>
          <w:rFonts w:ascii="Arial" w:eastAsia="Times New Roman" w:hAnsi="Arial" w:cs="Arial"/>
          <w:sz w:val="18"/>
          <w:szCs w:val="18"/>
          <w:lang w:val="es-CO" w:eastAsia="fr-FR"/>
        </w:rPr>
        <w:t>Proceso:</w:t>
      </w:r>
      <w:r w:rsidRPr="0021377F">
        <w:rPr>
          <w:rFonts w:ascii="Arial" w:eastAsia="Times New Roman" w:hAnsi="Arial" w:cs="Arial"/>
          <w:sz w:val="18"/>
          <w:szCs w:val="18"/>
          <w:lang w:val="es-CO" w:eastAsia="fr-FR"/>
        </w:rPr>
        <w:tab/>
        <w:t xml:space="preserve">Acción de Tutela </w:t>
      </w:r>
    </w:p>
    <w:p w:rsidR="00007ABE" w:rsidRPr="0021377F" w:rsidRDefault="00007ABE" w:rsidP="00007ABE">
      <w:pPr>
        <w:shd w:val="clear" w:color="auto" w:fill="FFFFFF"/>
        <w:tabs>
          <w:tab w:val="left" w:pos="1790"/>
          <w:tab w:val="left" w:pos="1816"/>
          <w:tab w:val="left" w:pos="1843"/>
          <w:tab w:val="left" w:pos="4755"/>
        </w:tabs>
        <w:overflowPunct w:val="0"/>
        <w:autoSpaceDE w:val="0"/>
        <w:autoSpaceDN w:val="0"/>
        <w:adjustRightInd w:val="0"/>
        <w:spacing w:after="0" w:line="240" w:lineRule="auto"/>
        <w:ind w:left="1843" w:hanging="1843"/>
        <w:jc w:val="both"/>
        <w:textAlignment w:val="baseline"/>
        <w:rPr>
          <w:rFonts w:ascii="Arial" w:eastAsia="Times New Roman" w:hAnsi="Arial" w:cs="Arial"/>
          <w:bCs/>
          <w:iCs/>
          <w:sz w:val="18"/>
          <w:szCs w:val="18"/>
          <w:lang w:eastAsia="fr-FR"/>
        </w:rPr>
      </w:pPr>
      <w:r w:rsidRPr="0021377F">
        <w:rPr>
          <w:rFonts w:ascii="Arial" w:eastAsia="Times New Roman" w:hAnsi="Arial" w:cs="Arial"/>
          <w:sz w:val="18"/>
          <w:szCs w:val="18"/>
          <w:lang w:val="es-CO" w:eastAsia="fr-FR"/>
        </w:rPr>
        <w:t>Radicación Nro. :</w:t>
      </w:r>
      <w:r w:rsidRPr="0021377F">
        <w:rPr>
          <w:rFonts w:ascii="Arial" w:eastAsia="Times New Roman" w:hAnsi="Arial" w:cs="Arial"/>
          <w:sz w:val="18"/>
          <w:szCs w:val="18"/>
          <w:lang w:val="es-CO" w:eastAsia="fr-FR"/>
        </w:rPr>
        <w:tab/>
      </w:r>
      <w:r w:rsidRPr="0021377F">
        <w:rPr>
          <w:rFonts w:ascii="Arial" w:eastAsia="Times New Roman" w:hAnsi="Arial" w:cs="Arial"/>
          <w:sz w:val="18"/>
          <w:szCs w:val="18"/>
          <w:lang w:val="es-CO" w:eastAsia="fr-FR"/>
        </w:rPr>
        <w:tab/>
      </w:r>
      <w:r w:rsidRPr="00007ABE">
        <w:rPr>
          <w:rFonts w:ascii="Arial" w:eastAsia="Times New Roman" w:hAnsi="Arial" w:cs="Arial"/>
          <w:sz w:val="18"/>
          <w:szCs w:val="18"/>
          <w:lang w:val="es-CO" w:eastAsia="fr-FR"/>
        </w:rPr>
        <w:t>66001-22-13-000-2018-00471-00</w:t>
      </w:r>
    </w:p>
    <w:p w:rsidR="00007ABE" w:rsidRPr="0021377F" w:rsidRDefault="00007ABE" w:rsidP="00007ABE">
      <w:pPr>
        <w:shd w:val="clear" w:color="auto" w:fill="FFFFFF"/>
        <w:tabs>
          <w:tab w:val="left" w:pos="1790"/>
          <w:tab w:val="left" w:pos="1816"/>
          <w:tab w:val="left" w:pos="1843"/>
          <w:tab w:val="left" w:pos="4755"/>
        </w:tabs>
        <w:overflowPunct w:val="0"/>
        <w:autoSpaceDE w:val="0"/>
        <w:autoSpaceDN w:val="0"/>
        <w:adjustRightInd w:val="0"/>
        <w:spacing w:after="0" w:line="240" w:lineRule="auto"/>
        <w:ind w:left="1843" w:hanging="1843"/>
        <w:jc w:val="both"/>
        <w:textAlignment w:val="baseline"/>
        <w:rPr>
          <w:rFonts w:ascii="Arial" w:eastAsia="Times New Roman" w:hAnsi="Arial" w:cs="Arial"/>
          <w:bCs/>
          <w:iCs/>
          <w:sz w:val="18"/>
          <w:szCs w:val="18"/>
          <w:u w:val="double"/>
          <w:lang w:eastAsia="fr-FR"/>
        </w:rPr>
      </w:pPr>
      <w:r w:rsidRPr="0021377F">
        <w:rPr>
          <w:rFonts w:ascii="Arial" w:eastAsia="Times New Roman" w:hAnsi="Arial" w:cs="Arial"/>
          <w:bCs/>
          <w:iCs/>
          <w:sz w:val="18"/>
          <w:szCs w:val="18"/>
          <w:lang w:eastAsia="fr-FR"/>
        </w:rPr>
        <w:t xml:space="preserve">Accionante: </w:t>
      </w:r>
      <w:r w:rsidRPr="0021377F">
        <w:rPr>
          <w:rFonts w:ascii="Arial" w:eastAsia="Times New Roman" w:hAnsi="Arial" w:cs="Arial"/>
          <w:bCs/>
          <w:iCs/>
          <w:sz w:val="18"/>
          <w:szCs w:val="18"/>
          <w:lang w:eastAsia="fr-FR"/>
        </w:rPr>
        <w:tab/>
      </w:r>
      <w:r w:rsidRPr="0021377F">
        <w:rPr>
          <w:rFonts w:ascii="Arial" w:eastAsia="Times New Roman" w:hAnsi="Arial" w:cs="Arial"/>
          <w:bCs/>
          <w:iCs/>
          <w:sz w:val="18"/>
          <w:szCs w:val="18"/>
          <w:lang w:eastAsia="fr-FR"/>
        </w:rPr>
        <w:tab/>
      </w:r>
      <w:r w:rsidRPr="0021377F">
        <w:rPr>
          <w:rFonts w:ascii="Arial" w:eastAsia="Times New Roman" w:hAnsi="Arial" w:cs="Arial"/>
          <w:bCs/>
          <w:iCs/>
          <w:sz w:val="18"/>
          <w:szCs w:val="18"/>
          <w:lang w:eastAsia="fr-FR"/>
        </w:rPr>
        <w:tab/>
        <w:t>JAVIER ELÍAS ARIAS IDÁRRAGA</w:t>
      </w:r>
    </w:p>
    <w:p w:rsidR="00007ABE" w:rsidRPr="0021377F" w:rsidRDefault="00007ABE" w:rsidP="00007ABE">
      <w:pPr>
        <w:shd w:val="clear" w:color="auto" w:fill="FFFFFF"/>
        <w:tabs>
          <w:tab w:val="left" w:pos="1790"/>
          <w:tab w:val="left" w:pos="1816"/>
          <w:tab w:val="left" w:pos="1843"/>
          <w:tab w:val="left" w:pos="4755"/>
        </w:tabs>
        <w:overflowPunct w:val="0"/>
        <w:autoSpaceDE w:val="0"/>
        <w:autoSpaceDN w:val="0"/>
        <w:adjustRightInd w:val="0"/>
        <w:spacing w:after="0" w:line="240" w:lineRule="auto"/>
        <w:ind w:left="1843" w:hanging="1843"/>
        <w:jc w:val="both"/>
        <w:textAlignment w:val="baseline"/>
        <w:rPr>
          <w:rFonts w:ascii="Arial" w:eastAsia="Times New Roman" w:hAnsi="Arial" w:cs="Arial"/>
          <w:spacing w:val="-6"/>
          <w:sz w:val="18"/>
          <w:szCs w:val="18"/>
          <w:lang w:val="es-ES_tradnl" w:eastAsia="fr-FR"/>
        </w:rPr>
      </w:pPr>
      <w:r w:rsidRPr="0021377F">
        <w:rPr>
          <w:rFonts w:ascii="Arial" w:eastAsia="Times New Roman" w:hAnsi="Arial" w:cs="Arial"/>
          <w:sz w:val="18"/>
          <w:szCs w:val="18"/>
          <w:lang w:val="es-CO" w:eastAsia="fr-FR"/>
        </w:rPr>
        <w:t>Accionado:</w:t>
      </w:r>
      <w:r w:rsidRPr="0021377F">
        <w:rPr>
          <w:rFonts w:ascii="Arial" w:eastAsia="Times New Roman" w:hAnsi="Arial" w:cs="Arial"/>
          <w:sz w:val="18"/>
          <w:szCs w:val="18"/>
          <w:lang w:val="es-CO" w:eastAsia="fr-FR"/>
        </w:rPr>
        <w:tab/>
        <w:t xml:space="preserve"> </w:t>
      </w:r>
      <w:r>
        <w:rPr>
          <w:rFonts w:ascii="Arial" w:eastAsia="Times New Roman" w:hAnsi="Arial" w:cs="Arial"/>
          <w:bCs/>
          <w:iCs/>
          <w:sz w:val="18"/>
          <w:szCs w:val="18"/>
          <w:lang w:eastAsia="fr-FR"/>
        </w:rPr>
        <w:t>JUZGADO 4</w:t>
      </w:r>
      <w:r w:rsidRPr="0021377F">
        <w:rPr>
          <w:rFonts w:ascii="Arial" w:eastAsia="Times New Roman" w:hAnsi="Arial" w:cs="Arial"/>
          <w:bCs/>
          <w:iCs/>
          <w:sz w:val="18"/>
          <w:szCs w:val="18"/>
          <w:lang w:eastAsia="fr-FR"/>
        </w:rPr>
        <w:t xml:space="preserve">º CIVIL DEL CIRCUITO y otros </w:t>
      </w:r>
    </w:p>
    <w:p w:rsidR="00007ABE" w:rsidRPr="0021377F" w:rsidRDefault="00007ABE" w:rsidP="00007ABE">
      <w:pPr>
        <w:shd w:val="clear" w:color="auto" w:fill="FFFFFF"/>
        <w:tabs>
          <w:tab w:val="left" w:pos="1790"/>
          <w:tab w:val="left" w:pos="1816"/>
          <w:tab w:val="left" w:pos="1843"/>
          <w:tab w:val="left" w:pos="4755"/>
        </w:tabs>
        <w:overflowPunct w:val="0"/>
        <w:autoSpaceDE w:val="0"/>
        <w:autoSpaceDN w:val="0"/>
        <w:adjustRightInd w:val="0"/>
        <w:spacing w:after="0" w:line="240" w:lineRule="auto"/>
        <w:ind w:left="1843" w:hanging="1843"/>
        <w:jc w:val="both"/>
        <w:textAlignment w:val="baseline"/>
        <w:rPr>
          <w:rFonts w:ascii="Arial" w:eastAsia="Times New Roman" w:hAnsi="Arial" w:cs="Arial"/>
          <w:bCs/>
          <w:iCs/>
          <w:sz w:val="18"/>
          <w:szCs w:val="18"/>
          <w:lang w:val="es-CO" w:eastAsia="fr-FR"/>
        </w:rPr>
      </w:pPr>
      <w:r w:rsidRPr="0021377F">
        <w:rPr>
          <w:rFonts w:ascii="Arial" w:eastAsia="Times New Roman" w:hAnsi="Arial" w:cs="Arial"/>
          <w:sz w:val="18"/>
          <w:szCs w:val="18"/>
          <w:lang w:val="es-CO" w:eastAsia="fr-FR"/>
        </w:rPr>
        <w:t xml:space="preserve">Magistrado Ponente: </w:t>
      </w:r>
      <w:r w:rsidRPr="0021377F">
        <w:rPr>
          <w:rFonts w:ascii="Arial" w:eastAsia="Times New Roman" w:hAnsi="Arial" w:cs="Arial"/>
          <w:sz w:val="18"/>
          <w:szCs w:val="18"/>
          <w:lang w:val="es-CO" w:eastAsia="fr-FR"/>
        </w:rPr>
        <w:tab/>
        <w:t xml:space="preserve"> </w:t>
      </w:r>
      <w:r w:rsidRPr="0021377F">
        <w:rPr>
          <w:rFonts w:ascii="Arial" w:eastAsia="Times New Roman" w:hAnsi="Arial" w:cs="Arial"/>
          <w:bCs/>
          <w:iCs/>
          <w:sz w:val="18"/>
          <w:szCs w:val="18"/>
          <w:lang w:val="es-CO" w:eastAsia="fr-FR"/>
        </w:rPr>
        <w:t>JAIME ALBERTO SARAZA NARANJO</w:t>
      </w:r>
    </w:p>
    <w:p w:rsidR="00007ABE" w:rsidRPr="0021377F" w:rsidRDefault="00007ABE" w:rsidP="00007ABE">
      <w:pPr>
        <w:shd w:val="clear" w:color="auto" w:fill="FFFFFF"/>
        <w:tabs>
          <w:tab w:val="left" w:pos="1843"/>
          <w:tab w:val="left" w:pos="4755"/>
        </w:tabs>
        <w:overflowPunct w:val="0"/>
        <w:autoSpaceDE w:val="0"/>
        <w:autoSpaceDN w:val="0"/>
        <w:adjustRightInd w:val="0"/>
        <w:spacing w:after="0" w:line="240" w:lineRule="auto"/>
        <w:ind w:left="1843" w:hanging="1843"/>
        <w:jc w:val="both"/>
        <w:textAlignment w:val="baseline"/>
        <w:rPr>
          <w:rFonts w:ascii="Arial" w:eastAsia="Times New Roman" w:hAnsi="Arial" w:cs="Arial"/>
          <w:sz w:val="16"/>
          <w:szCs w:val="16"/>
          <w:lang w:val="es-CO" w:eastAsia="fr-FR"/>
        </w:rPr>
      </w:pPr>
    </w:p>
    <w:p w:rsidR="00007ABE" w:rsidRPr="0021377F" w:rsidRDefault="00007ABE" w:rsidP="00007ABE">
      <w:pPr>
        <w:shd w:val="clear" w:color="auto" w:fill="FFFFFF"/>
        <w:tabs>
          <w:tab w:val="left" w:pos="1843"/>
          <w:tab w:val="left" w:pos="4755"/>
        </w:tabs>
        <w:overflowPunct w:val="0"/>
        <w:autoSpaceDE w:val="0"/>
        <w:autoSpaceDN w:val="0"/>
        <w:adjustRightInd w:val="0"/>
        <w:spacing w:after="0" w:line="240" w:lineRule="auto"/>
        <w:ind w:left="1843" w:hanging="1843"/>
        <w:jc w:val="both"/>
        <w:textAlignment w:val="baseline"/>
        <w:rPr>
          <w:rFonts w:ascii="Arial" w:eastAsia="Times New Roman" w:hAnsi="Arial" w:cs="Arial"/>
          <w:sz w:val="16"/>
          <w:szCs w:val="16"/>
          <w:lang w:val="es-CO" w:eastAsia="fr-FR"/>
        </w:rPr>
      </w:pPr>
    </w:p>
    <w:p w:rsidR="00007ABE" w:rsidRPr="0021377F" w:rsidRDefault="00007ABE" w:rsidP="00007ABE">
      <w:pPr>
        <w:tabs>
          <w:tab w:val="left" w:pos="1843"/>
          <w:tab w:val="left" w:pos="2432"/>
        </w:tabs>
        <w:overflowPunct w:val="0"/>
        <w:autoSpaceDE w:val="0"/>
        <w:autoSpaceDN w:val="0"/>
        <w:adjustRightInd w:val="0"/>
        <w:spacing w:after="0" w:line="240" w:lineRule="auto"/>
        <w:jc w:val="both"/>
        <w:textAlignment w:val="baseline"/>
        <w:rPr>
          <w:rFonts w:ascii="Arial" w:eastAsia="Times New Roman" w:hAnsi="Arial" w:cs="Arial"/>
          <w:b/>
          <w:bCs/>
          <w:iCs/>
          <w:sz w:val="18"/>
          <w:szCs w:val="18"/>
          <w:lang w:val="es-CO" w:eastAsia="fr-FR"/>
        </w:rPr>
      </w:pPr>
      <w:r w:rsidRPr="0021377F">
        <w:rPr>
          <w:rFonts w:ascii="Arial" w:eastAsia="Times New Roman" w:hAnsi="Arial" w:cs="Arial"/>
          <w:b/>
          <w:bCs/>
          <w:iCs/>
          <w:sz w:val="18"/>
          <w:szCs w:val="18"/>
          <w:lang w:val="es-CO" w:eastAsia="fr-FR"/>
        </w:rPr>
        <w:t>Temas:</w:t>
      </w:r>
      <w:r w:rsidRPr="0021377F">
        <w:rPr>
          <w:rFonts w:ascii="Arial" w:eastAsia="Times New Roman" w:hAnsi="Arial" w:cs="Arial"/>
          <w:b/>
          <w:bCs/>
          <w:iCs/>
          <w:sz w:val="18"/>
          <w:szCs w:val="18"/>
          <w:lang w:val="es-CO" w:eastAsia="fr-FR"/>
        </w:rPr>
        <w:tab/>
      </w:r>
      <w:r>
        <w:rPr>
          <w:rFonts w:ascii="Arial" w:eastAsia="Times New Roman" w:hAnsi="Arial" w:cs="Arial"/>
          <w:b/>
          <w:bCs/>
          <w:iCs/>
          <w:sz w:val="18"/>
          <w:szCs w:val="18"/>
          <w:lang w:val="es-CO" w:eastAsia="fr-FR"/>
        </w:rPr>
        <w:t>DEBIDO PROCESO</w:t>
      </w:r>
      <w:r w:rsidRPr="0021377F">
        <w:rPr>
          <w:rFonts w:ascii="Arial" w:eastAsia="Times New Roman" w:hAnsi="Arial" w:cs="Arial"/>
          <w:b/>
          <w:bCs/>
          <w:iCs/>
          <w:sz w:val="18"/>
          <w:szCs w:val="18"/>
          <w:lang w:val="es-CO" w:eastAsia="fr-FR"/>
        </w:rPr>
        <w:t xml:space="preserve"> / TUTELA CONTRA PROVIDENCIA JUDICIAL /</w:t>
      </w:r>
      <w:r>
        <w:rPr>
          <w:rFonts w:ascii="Arial" w:eastAsia="Times New Roman" w:hAnsi="Arial" w:cs="Arial"/>
          <w:b/>
          <w:bCs/>
          <w:iCs/>
          <w:sz w:val="18"/>
          <w:szCs w:val="18"/>
          <w:lang w:val="es-CO" w:eastAsia="fr-FR"/>
        </w:rPr>
        <w:t xml:space="preserve"> ACCIÓN POPULAR /</w:t>
      </w:r>
      <w:r w:rsidRPr="0021377F">
        <w:rPr>
          <w:rFonts w:ascii="Arial" w:eastAsia="Times New Roman" w:hAnsi="Arial" w:cs="Arial"/>
          <w:b/>
          <w:bCs/>
          <w:iCs/>
          <w:sz w:val="18"/>
          <w:szCs w:val="18"/>
          <w:lang w:val="es-CO" w:eastAsia="fr-FR"/>
        </w:rPr>
        <w:t xml:space="preserve"> </w:t>
      </w:r>
      <w:r>
        <w:rPr>
          <w:rFonts w:ascii="Arial" w:eastAsia="Times New Roman" w:hAnsi="Arial" w:cs="Arial"/>
          <w:b/>
          <w:bCs/>
          <w:iCs/>
          <w:sz w:val="18"/>
          <w:szCs w:val="18"/>
          <w:lang w:val="es-CO" w:eastAsia="fr-FR"/>
        </w:rPr>
        <w:t>SOLICITUD JUSTIFICACIÓN SOBRE ACUMULACIÓN DE ACCIONES / FUE RESUELTA Y NO RECURRIDA POR EL ACCIONANTE /</w:t>
      </w:r>
      <w:r w:rsidRPr="0021377F">
        <w:rPr>
          <w:rFonts w:ascii="Arial" w:eastAsia="Times New Roman" w:hAnsi="Arial" w:cs="Arial"/>
          <w:b/>
          <w:bCs/>
          <w:iCs/>
          <w:sz w:val="18"/>
          <w:szCs w:val="18"/>
          <w:lang w:val="es-CO" w:eastAsia="fr-FR"/>
        </w:rPr>
        <w:t xml:space="preserve"> IMPROCEDENTE</w:t>
      </w:r>
      <w:r>
        <w:rPr>
          <w:rFonts w:ascii="Arial" w:eastAsia="Times New Roman" w:hAnsi="Arial" w:cs="Arial"/>
          <w:b/>
          <w:bCs/>
          <w:iCs/>
          <w:sz w:val="18"/>
          <w:szCs w:val="18"/>
          <w:lang w:val="es-CO" w:eastAsia="fr-FR"/>
        </w:rPr>
        <w:t xml:space="preserve"> /</w:t>
      </w:r>
      <w:r w:rsidRPr="0021377F">
        <w:rPr>
          <w:rFonts w:ascii="Arial" w:eastAsia="Times New Roman" w:hAnsi="Arial" w:cs="Arial"/>
          <w:b/>
          <w:bCs/>
          <w:iCs/>
          <w:sz w:val="18"/>
          <w:szCs w:val="18"/>
          <w:lang w:val="es-CO" w:eastAsia="fr-FR"/>
        </w:rPr>
        <w:t xml:space="preserve"> </w:t>
      </w:r>
    </w:p>
    <w:p w:rsidR="00007ABE" w:rsidRDefault="00007ABE" w:rsidP="00007ABE">
      <w:pPr>
        <w:tabs>
          <w:tab w:val="left" w:pos="1843"/>
          <w:tab w:val="left" w:pos="2432"/>
        </w:tabs>
        <w:overflowPunct w:val="0"/>
        <w:autoSpaceDE w:val="0"/>
        <w:autoSpaceDN w:val="0"/>
        <w:adjustRightInd w:val="0"/>
        <w:spacing w:after="0" w:line="240" w:lineRule="auto"/>
        <w:jc w:val="both"/>
        <w:textAlignment w:val="baseline"/>
        <w:rPr>
          <w:rFonts w:ascii="Arial" w:eastAsia="Times New Roman" w:hAnsi="Arial" w:cs="Arial"/>
          <w:b/>
          <w:bCs/>
          <w:iCs/>
          <w:sz w:val="18"/>
          <w:szCs w:val="18"/>
          <w:lang w:val="es-CO" w:eastAsia="fr-FR"/>
        </w:rPr>
      </w:pPr>
    </w:p>
    <w:p w:rsidR="00007ABE" w:rsidRPr="00007ABE" w:rsidRDefault="00007ABE" w:rsidP="00007ABE">
      <w:pPr>
        <w:overflowPunct w:val="0"/>
        <w:autoSpaceDE w:val="0"/>
        <w:autoSpaceDN w:val="0"/>
        <w:adjustRightInd w:val="0"/>
        <w:spacing w:after="0" w:line="276" w:lineRule="auto"/>
        <w:jc w:val="both"/>
        <w:textAlignment w:val="baseline"/>
        <w:rPr>
          <w:rFonts w:ascii="Arial" w:eastAsia="Times New Roman" w:hAnsi="Arial" w:cs="Arial"/>
          <w:bCs/>
          <w:iCs/>
          <w:sz w:val="18"/>
          <w:szCs w:val="18"/>
          <w:lang w:val="es-419" w:eastAsia="fr-FR"/>
        </w:rPr>
      </w:pPr>
      <w:r w:rsidRPr="00007ABE">
        <w:rPr>
          <w:rFonts w:ascii="Arial" w:eastAsia="Times New Roman" w:hAnsi="Arial" w:cs="Arial"/>
          <w:bCs/>
          <w:iCs/>
          <w:sz w:val="18"/>
          <w:szCs w:val="18"/>
          <w:lang w:val="es-419" w:eastAsia="fr-FR"/>
        </w:rPr>
        <w:t xml:space="preserve">Con ese derrotero, en el caso concreto, se puede ver que la segunda pretensión, cuyo fin es que el despacho justifique “en derecho” la decisión en torno a la acumulación de acciones populares, es abiertamente improcedente. Así se afirma, porque acorde con lo que señala el numeral 1º del artículo 6º del Decreto 2591 de 1991, por medio del cual se reglamente la acción de tutela, esta no puede abrirse paso </w:t>
      </w:r>
      <w:r w:rsidRPr="00007ABE">
        <w:rPr>
          <w:rFonts w:ascii="Arial" w:eastAsia="Times New Roman" w:hAnsi="Arial" w:cs="Arial"/>
          <w:bCs/>
          <w:i/>
          <w:iCs/>
          <w:sz w:val="18"/>
          <w:szCs w:val="18"/>
          <w:lang w:val="es-419" w:eastAsia="fr-FR"/>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r w:rsidRPr="00007ABE">
        <w:rPr>
          <w:rFonts w:ascii="Arial" w:eastAsia="Times New Roman" w:hAnsi="Arial" w:cs="Arial"/>
          <w:bCs/>
          <w:iCs/>
          <w:sz w:val="18"/>
          <w:szCs w:val="18"/>
          <w:lang w:val="es-419" w:eastAsia="fr-FR"/>
        </w:rPr>
        <w:t>.”</w:t>
      </w:r>
    </w:p>
    <w:p w:rsidR="00007ABE" w:rsidRPr="00007ABE" w:rsidRDefault="00007ABE" w:rsidP="00007ABE">
      <w:pPr>
        <w:overflowPunct w:val="0"/>
        <w:autoSpaceDE w:val="0"/>
        <w:autoSpaceDN w:val="0"/>
        <w:adjustRightInd w:val="0"/>
        <w:spacing w:after="0" w:line="276" w:lineRule="auto"/>
        <w:jc w:val="both"/>
        <w:textAlignment w:val="baseline"/>
        <w:rPr>
          <w:rFonts w:ascii="Arial" w:eastAsia="Times New Roman" w:hAnsi="Arial" w:cs="Arial"/>
          <w:bCs/>
          <w:iCs/>
          <w:sz w:val="18"/>
          <w:szCs w:val="18"/>
          <w:lang w:val="es-419" w:eastAsia="fr-FR"/>
        </w:rPr>
      </w:pPr>
      <w:r w:rsidRPr="00007ABE">
        <w:rPr>
          <w:rFonts w:ascii="Arial" w:eastAsia="Times New Roman" w:hAnsi="Arial" w:cs="Arial"/>
          <w:bCs/>
          <w:iCs/>
          <w:sz w:val="18"/>
          <w:szCs w:val="18"/>
          <w:lang w:val="es-419" w:eastAsia="fr-FR"/>
        </w:rPr>
        <w:t xml:space="preserve"> </w:t>
      </w:r>
      <w:r w:rsidRPr="00007ABE">
        <w:rPr>
          <w:rFonts w:ascii="Arial" w:eastAsia="Times New Roman" w:hAnsi="Arial" w:cs="Arial"/>
          <w:bCs/>
          <w:iCs/>
          <w:sz w:val="18"/>
          <w:szCs w:val="18"/>
          <w:lang w:val="es-419" w:eastAsia="fr-FR"/>
        </w:rPr>
        <w:tab/>
      </w:r>
      <w:r w:rsidRPr="00007ABE">
        <w:rPr>
          <w:rFonts w:ascii="Arial" w:eastAsia="Times New Roman" w:hAnsi="Arial" w:cs="Arial"/>
          <w:bCs/>
          <w:iCs/>
          <w:sz w:val="18"/>
          <w:szCs w:val="18"/>
          <w:lang w:val="es-419" w:eastAsia="fr-FR"/>
        </w:rPr>
        <w:tab/>
      </w:r>
      <w:r w:rsidRPr="00007ABE">
        <w:rPr>
          <w:rFonts w:ascii="Arial" w:eastAsia="Times New Roman" w:hAnsi="Arial" w:cs="Arial"/>
          <w:bCs/>
          <w:iCs/>
          <w:sz w:val="18"/>
          <w:szCs w:val="18"/>
          <w:lang w:val="es-419" w:eastAsia="fr-FR"/>
        </w:rPr>
        <w:tab/>
      </w:r>
      <w:r w:rsidRPr="00007ABE">
        <w:rPr>
          <w:rFonts w:ascii="Arial" w:eastAsia="Times New Roman" w:hAnsi="Arial" w:cs="Arial"/>
          <w:bCs/>
          <w:iCs/>
          <w:sz w:val="18"/>
          <w:szCs w:val="18"/>
          <w:lang w:val="es-419" w:eastAsia="fr-FR"/>
        </w:rPr>
        <w:tab/>
      </w:r>
    </w:p>
    <w:p w:rsidR="00007ABE" w:rsidRDefault="00007ABE" w:rsidP="00007ABE">
      <w:pPr>
        <w:overflowPunct w:val="0"/>
        <w:autoSpaceDE w:val="0"/>
        <w:autoSpaceDN w:val="0"/>
        <w:adjustRightInd w:val="0"/>
        <w:spacing w:after="0" w:line="276" w:lineRule="auto"/>
        <w:jc w:val="both"/>
        <w:textAlignment w:val="baseline"/>
        <w:rPr>
          <w:rFonts w:ascii="Arial" w:eastAsia="Times New Roman" w:hAnsi="Arial" w:cs="Arial"/>
          <w:bCs/>
          <w:iCs/>
          <w:sz w:val="18"/>
          <w:szCs w:val="18"/>
          <w:lang w:val="es-419" w:eastAsia="fr-FR"/>
        </w:rPr>
      </w:pPr>
      <w:r w:rsidRPr="00007ABE">
        <w:rPr>
          <w:rFonts w:ascii="Arial" w:eastAsia="Times New Roman" w:hAnsi="Arial" w:cs="Arial"/>
          <w:bCs/>
          <w:iCs/>
          <w:sz w:val="18"/>
          <w:szCs w:val="18"/>
          <w:lang w:val="es-419" w:eastAsia="fr-FR"/>
        </w:rPr>
        <w:t>Y es que, en el caso de ahora, el auto del 19 de febrero de 2018 que dispuso la acumulación de acciones, no fue recurrido oportunamente por el actor popular; y si bien el coadyuvante recurrió en reposición, lo hizo por fuera del término legal, por lo que le fue negada su intervención (f. 37).</w:t>
      </w:r>
    </w:p>
    <w:p w:rsidR="00007ABE" w:rsidRPr="00007ABE" w:rsidRDefault="00007ABE" w:rsidP="00007ABE">
      <w:pPr>
        <w:overflowPunct w:val="0"/>
        <w:autoSpaceDE w:val="0"/>
        <w:autoSpaceDN w:val="0"/>
        <w:adjustRightInd w:val="0"/>
        <w:spacing w:after="0" w:line="276" w:lineRule="auto"/>
        <w:jc w:val="both"/>
        <w:textAlignment w:val="baseline"/>
        <w:rPr>
          <w:rFonts w:ascii="Arial" w:eastAsia="Times New Roman" w:hAnsi="Arial" w:cs="Arial"/>
          <w:bCs/>
          <w:iCs/>
          <w:sz w:val="18"/>
          <w:szCs w:val="18"/>
          <w:lang w:val="es-CO" w:eastAsia="fr-FR"/>
        </w:rPr>
      </w:pPr>
      <w:r>
        <w:rPr>
          <w:rFonts w:ascii="Arial" w:eastAsia="Times New Roman" w:hAnsi="Arial" w:cs="Arial"/>
          <w:bCs/>
          <w:iCs/>
          <w:sz w:val="18"/>
          <w:szCs w:val="18"/>
          <w:lang w:val="es-CO" w:eastAsia="fr-FR"/>
        </w:rPr>
        <w:t>(…)</w:t>
      </w:r>
    </w:p>
    <w:p w:rsidR="00007ABE" w:rsidRPr="00007ABE" w:rsidRDefault="00007ABE" w:rsidP="00007ABE">
      <w:pPr>
        <w:overflowPunct w:val="0"/>
        <w:autoSpaceDE w:val="0"/>
        <w:autoSpaceDN w:val="0"/>
        <w:adjustRightInd w:val="0"/>
        <w:spacing w:after="0" w:line="276" w:lineRule="auto"/>
        <w:jc w:val="both"/>
        <w:textAlignment w:val="baseline"/>
        <w:rPr>
          <w:rFonts w:ascii="Arial" w:eastAsia="Times New Roman" w:hAnsi="Arial" w:cs="Arial"/>
          <w:bCs/>
          <w:iCs/>
          <w:sz w:val="18"/>
          <w:szCs w:val="18"/>
          <w:lang w:val="es-419" w:eastAsia="fr-FR"/>
        </w:rPr>
      </w:pPr>
      <w:r w:rsidRPr="00007ABE">
        <w:rPr>
          <w:rFonts w:ascii="Arial" w:eastAsia="Times New Roman" w:hAnsi="Arial" w:cs="Arial"/>
          <w:bCs/>
          <w:iCs/>
          <w:sz w:val="18"/>
          <w:szCs w:val="18"/>
          <w:lang w:val="es-419" w:eastAsia="fr-FR"/>
        </w:rPr>
        <w:t>Por otra parte, en lo que toca con la primera pretensión, aquella que ataca la vinculación de los propietarios de los distintos inmuebles de la entidad demandada, halla la Sala una situación particular, porque la orden se impartió en el mismo proveído del 19 de abril (f. 37), y aunque el coadyuvante interpuso recurso de reposición, incluso por esa decisión, el Juzgado decidió agregar al expediente esa nueva intervención, sin darle trámite por improcedente y dilatoria, lo que no fue motivo de réplica por los afectados, con lo cual dejó de lado también el reclamo que dentro del mismo proceso ha podido intentar y con ello se abre paso la señalada causal de improcedencia de este amparo.</w:t>
      </w:r>
    </w:p>
    <w:p w:rsidR="00007ABE" w:rsidRPr="00007ABE" w:rsidRDefault="00007ABE" w:rsidP="00007ABE">
      <w:pPr>
        <w:overflowPunct w:val="0"/>
        <w:autoSpaceDE w:val="0"/>
        <w:autoSpaceDN w:val="0"/>
        <w:adjustRightInd w:val="0"/>
        <w:spacing w:after="0" w:line="276" w:lineRule="auto"/>
        <w:jc w:val="both"/>
        <w:textAlignment w:val="baseline"/>
        <w:rPr>
          <w:rFonts w:ascii="Arial" w:eastAsia="Times New Roman" w:hAnsi="Arial" w:cs="Arial"/>
          <w:bCs/>
          <w:iCs/>
          <w:sz w:val="18"/>
          <w:szCs w:val="18"/>
          <w:lang w:val="es-419" w:eastAsia="fr-FR"/>
        </w:rPr>
      </w:pPr>
      <w:r w:rsidRPr="00007ABE">
        <w:rPr>
          <w:rFonts w:ascii="Arial" w:eastAsia="Times New Roman" w:hAnsi="Arial" w:cs="Arial"/>
          <w:bCs/>
          <w:iCs/>
          <w:sz w:val="18"/>
          <w:szCs w:val="18"/>
          <w:lang w:val="es-419" w:eastAsia="fr-FR"/>
        </w:rPr>
        <w:t>(…)</w:t>
      </w:r>
    </w:p>
    <w:p w:rsidR="00007ABE" w:rsidRPr="0021377F" w:rsidRDefault="00007ABE" w:rsidP="00007ABE">
      <w:pPr>
        <w:overflowPunct w:val="0"/>
        <w:autoSpaceDE w:val="0"/>
        <w:autoSpaceDN w:val="0"/>
        <w:adjustRightInd w:val="0"/>
        <w:spacing w:after="0" w:line="276" w:lineRule="auto"/>
        <w:jc w:val="both"/>
        <w:textAlignment w:val="baseline"/>
        <w:rPr>
          <w:rFonts w:ascii="Arial" w:eastAsia="Times New Roman" w:hAnsi="Arial" w:cs="Arial"/>
          <w:bCs/>
          <w:iCs/>
          <w:sz w:val="18"/>
          <w:szCs w:val="18"/>
          <w:lang w:val="es-419" w:eastAsia="fr-FR"/>
        </w:rPr>
      </w:pPr>
      <w:r w:rsidRPr="00007ABE">
        <w:rPr>
          <w:rFonts w:ascii="Arial" w:eastAsia="Times New Roman" w:hAnsi="Arial" w:cs="Arial"/>
          <w:bCs/>
          <w:iCs/>
          <w:sz w:val="18"/>
          <w:szCs w:val="18"/>
          <w:lang w:val="es-419" w:eastAsia="fr-FR"/>
        </w:rPr>
        <w:t>No puede concluirse esta providencia sin aludir a la caprichosa actitud del accionante, quien en escritos precedentes (f. 33 y 35) conminó con ahínco al Juzgado la vinculación de los propietarios de los inmuebles, que ahora, por medio de esta especial senda, reprocha; su actuar desvela, sin duda, su falta de respeto frente a la administración de justicia.</w:t>
      </w:r>
    </w:p>
    <w:p w:rsidR="00007ABE" w:rsidRDefault="00007ABE" w:rsidP="00F302C2">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p>
    <w:p w:rsidR="00007ABE" w:rsidRDefault="00007ABE" w:rsidP="00F302C2">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p>
    <w:p w:rsidR="00007ABE" w:rsidRDefault="00007ABE" w:rsidP="00F302C2">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p>
    <w:p w:rsidR="00007ABE" w:rsidRDefault="00007ABE" w:rsidP="00F302C2">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p>
    <w:p w:rsidR="00007ABE" w:rsidRDefault="00007ABE" w:rsidP="00F302C2">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p>
    <w:p w:rsidR="00007ABE" w:rsidRDefault="00007ABE" w:rsidP="00F302C2">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p>
    <w:p w:rsidR="000F7A50" w:rsidRPr="00F955AD"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r w:rsidRPr="00F955AD">
        <w:rPr>
          <w:rFonts w:ascii="Gadugi" w:eastAsia="Times New Roman" w:hAnsi="Gadugi"/>
          <w:b/>
          <w:sz w:val="24"/>
          <w:szCs w:val="24"/>
          <w:lang w:eastAsia="es-ES"/>
        </w:rPr>
        <w:t xml:space="preserve">TRIBUNAL SUPERIOR DEL DISTRITO JUDICIAL </w:t>
      </w:r>
    </w:p>
    <w:p w:rsidR="000F7A50" w:rsidRPr="00F955AD"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r w:rsidRPr="00F955AD">
        <w:rPr>
          <w:rFonts w:ascii="Gadugi" w:eastAsia="Times New Roman" w:hAnsi="Gadugi"/>
          <w:b/>
          <w:sz w:val="24"/>
          <w:szCs w:val="24"/>
          <w:lang w:eastAsia="es-ES"/>
        </w:rPr>
        <w:t xml:space="preserve">           SALA DE DECISIÓN CIVIL FAMILIA </w:t>
      </w:r>
    </w:p>
    <w:p w:rsidR="000F7A50" w:rsidRPr="00F955AD"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0F7A50" w:rsidRPr="00F955AD"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0F7A50" w:rsidRPr="00F955AD"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F955AD">
        <w:rPr>
          <w:rFonts w:ascii="Gadugi" w:eastAsia="Times New Roman" w:hAnsi="Gadugi"/>
          <w:sz w:val="24"/>
          <w:szCs w:val="24"/>
          <w:lang w:eastAsia="es-ES"/>
        </w:rPr>
        <w:t>Magistrado: Jaime Alberto Saraza Naranjo</w:t>
      </w:r>
    </w:p>
    <w:p w:rsidR="000F7A50"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419" w:eastAsia="es-ES"/>
        </w:rPr>
      </w:pPr>
      <w:r w:rsidRPr="00F955AD">
        <w:rPr>
          <w:rFonts w:ascii="Gadugi" w:eastAsia="Times New Roman" w:hAnsi="Gadugi"/>
          <w:sz w:val="24"/>
          <w:szCs w:val="24"/>
          <w:lang w:eastAsia="es-ES"/>
        </w:rPr>
        <w:t xml:space="preserve">Pereira, </w:t>
      </w:r>
      <w:r w:rsidR="00C84D79">
        <w:rPr>
          <w:rFonts w:ascii="Gadugi" w:eastAsia="Times New Roman" w:hAnsi="Gadugi"/>
          <w:sz w:val="24"/>
          <w:szCs w:val="24"/>
          <w:lang w:val="es-419" w:eastAsia="es-ES"/>
        </w:rPr>
        <w:t>julio trece de dos mil dieciocho</w:t>
      </w:r>
    </w:p>
    <w:p w:rsidR="000F7A50" w:rsidRPr="00F955AD"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F955AD">
        <w:rPr>
          <w:rFonts w:ascii="Gadugi" w:eastAsia="Times New Roman" w:hAnsi="Gadugi"/>
          <w:sz w:val="24"/>
          <w:szCs w:val="24"/>
          <w:lang w:eastAsia="es-ES"/>
        </w:rPr>
        <w:t>Expediente 66001-22-13-000-201</w:t>
      </w:r>
      <w:r w:rsidR="002048CF">
        <w:rPr>
          <w:rFonts w:ascii="Gadugi" w:eastAsia="Times New Roman" w:hAnsi="Gadugi"/>
          <w:sz w:val="24"/>
          <w:szCs w:val="24"/>
          <w:lang w:eastAsia="es-ES"/>
        </w:rPr>
        <w:t>8-00471</w:t>
      </w:r>
      <w:r w:rsidRPr="00F955AD">
        <w:rPr>
          <w:rFonts w:ascii="Gadugi" w:eastAsia="Times New Roman" w:hAnsi="Gadugi"/>
          <w:sz w:val="24"/>
          <w:szCs w:val="24"/>
          <w:lang w:eastAsia="es-ES"/>
        </w:rPr>
        <w:t xml:space="preserve">-00 </w:t>
      </w:r>
      <w:r w:rsidRPr="00F955AD">
        <w:rPr>
          <w:rFonts w:ascii="Gadugi" w:eastAsia="Times New Roman" w:hAnsi="Gadugi"/>
          <w:sz w:val="24"/>
          <w:szCs w:val="24"/>
          <w:lang w:eastAsia="es-ES"/>
        </w:rPr>
        <w:tab/>
      </w:r>
    </w:p>
    <w:p w:rsidR="000F7A50" w:rsidRPr="00C84D79" w:rsidRDefault="000F7A50" w:rsidP="00F302C2">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F955AD">
        <w:rPr>
          <w:rFonts w:ascii="Gadugi" w:eastAsia="Times New Roman" w:hAnsi="Gadugi"/>
          <w:sz w:val="24"/>
          <w:szCs w:val="24"/>
          <w:lang w:eastAsia="es-ES"/>
        </w:rPr>
        <w:t xml:space="preserve">  </w:t>
      </w:r>
      <w:r w:rsidRPr="00F955AD">
        <w:rPr>
          <w:rFonts w:ascii="Gadugi" w:eastAsia="Times New Roman" w:hAnsi="Gadugi"/>
          <w:sz w:val="24"/>
          <w:szCs w:val="24"/>
          <w:lang w:eastAsia="es-ES"/>
        </w:rPr>
        <w:tab/>
      </w:r>
      <w:r w:rsidRPr="00F955AD">
        <w:rPr>
          <w:rFonts w:ascii="Gadugi" w:eastAsia="Times New Roman" w:hAnsi="Gadugi"/>
          <w:sz w:val="24"/>
          <w:szCs w:val="24"/>
          <w:lang w:eastAsia="es-ES"/>
        </w:rPr>
        <w:tab/>
      </w:r>
      <w:r w:rsidRPr="00F955AD">
        <w:rPr>
          <w:rFonts w:ascii="Gadugi" w:eastAsia="Times New Roman" w:hAnsi="Gadugi"/>
          <w:sz w:val="24"/>
          <w:szCs w:val="24"/>
          <w:lang w:eastAsia="es-ES"/>
        </w:rPr>
        <w:tab/>
      </w:r>
      <w:r w:rsidRPr="00F955AD">
        <w:rPr>
          <w:rFonts w:ascii="Gadugi" w:eastAsia="Times New Roman" w:hAnsi="Gadugi"/>
          <w:sz w:val="24"/>
          <w:szCs w:val="24"/>
          <w:lang w:eastAsia="es-ES"/>
        </w:rPr>
        <w:tab/>
        <w:t xml:space="preserve">Acta No. </w:t>
      </w:r>
      <w:r w:rsidR="00C84D79">
        <w:rPr>
          <w:rFonts w:ascii="Gadugi" w:eastAsia="Times New Roman" w:hAnsi="Gadugi"/>
          <w:sz w:val="24"/>
          <w:szCs w:val="24"/>
          <w:lang w:val="es-419" w:eastAsia="es-ES"/>
        </w:rPr>
        <w:t>252 de julio 13 de 2018</w:t>
      </w:r>
    </w:p>
    <w:p w:rsidR="000F7A50"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FD73C8" w:rsidRPr="00F955AD" w:rsidRDefault="00FD73C8"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rsidR="000F7A50" w:rsidRPr="00BA1CFE" w:rsidRDefault="000F7A50" w:rsidP="00F302C2">
      <w:pPr>
        <w:spacing w:after="0" w:line="276" w:lineRule="auto"/>
        <w:jc w:val="both"/>
        <w:rPr>
          <w:rFonts w:ascii="Gadugi" w:hAnsi="Gadugi"/>
          <w:b/>
          <w:sz w:val="24"/>
          <w:szCs w:val="24"/>
          <w:lang w:val="es-MX"/>
        </w:rPr>
      </w:pPr>
      <w:r w:rsidRPr="00F955AD">
        <w:rPr>
          <w:rFonts w:ascii="Gadugi" w:eastAsia="Times New Roman" w:hAnsi="Gadugi" w:cs="Century Gothic"/>
          <w:sz w:val="24"/>
          <w:szCs w:val="24"/>
          <w:lang w:eastAsia="es-ES"/>
        </w:rPr>
        <w:t xml:space="preserve">  </w:t>
      </w:r>
      <w:r w:rsidRPr="00F955AD">
        <w:rPr>
          <w:rFonts w:ascii="Gadugi" w:eastAsia="Times New Roman" w:hAnsi="Gadugi" w:cs="Century Gothic"/>
          <w:sz w:val="24"/>
          <w:szCs w:val="24"/>
          <w:lang w:eastAsia="es-ES"/>
        </w:rPr>
        <w:tab/>
      </w:r>
      <w:r w:rsidRPr="00F955AD">
        <w:rPr>
          <w:rFonts w:ascii="Gadugi" w:eastAsia="Times New Roman" w:hAnsi="Gadugi" w:cs="Century Gothic"/>
          <w:sz w:val="24"/>
          <w:szCs w:val="24"/>
          <w:lang w:eastAsia="es-ES"/>
        </w:rPr>
        <w:tab/>
      </w:r>
      <w:r w:rsidRPr="00F955AD">
        <w:rPr>
          <w:rFonts w:ascii="Gadugi" w:eastAsia="Times New Roman" w:hAnsi="Gadugi" w:cs="Century Gothic"/>
          <w:sz w:val="24"/>
          <w:szCs w:val="24"/>
          <w:lang w:eastAsia="es-ES"/>
        </w:rPr>
        <w:tab/>
      </w:r>
      <w:r w:rsidRPr="00F955AD">
        <w:rPr>
          <w:rFonts w:ascii="Gadugi" w:eastAsia="Times New Roman" w:hAnsi="Gadugi" w:cs="Century Gothic"/>
          <w:sz w:val="24"/>
          <w:szCs w:val="24"/>
          <w:lang w:eastAsia="es-ES"/>
        </w:rPr>
        <w:tab/>
        <w:t xml:space="preserve">Decide la Sala la </w:t>
      </w:r>
      <w:r w:rsidR="005B1B7F">
        <w:rPr>
          <w:rFonts w:ascii="Gadugi" w:eastAsia="Times New Roman" w:hAnsi="Gadugi" w:cs="Century Gothic"/>
          <w:sz w:val="24"/>
          <w:szCs w:val="24"/>
          <w:lang w:eastAsia="es-ES"/>
        </w:rPr>
        <w:t>acción</w:t>
      </w:r>
      <w:r w:rsidRPr="00F955AD">
        <w:rPr>
          <w:rFonts w:ascii="Gadugi" w:eastAsia="Times New Roman" w:hAnsi="Gadugi" w:cs="Century Gothic"/>
          <w:sz w:val="24"/>
          <w:szCs w:val="24"/>
          <w:lang w:eastAsia="es-ES"/>
        </w:rPr>
        <w:t xml:space="preserve"> de tutela de la referencia, propuesta por </w:t>
      </w:r>
      <w:r w:rsidRPr="00F955AD">
        <w:rPr>
          <w:rFonts w:ascii="Gadugi" w:hAnsi="Gadugi"/>
          <w:b/>
          <w:sz w:val="24"/>
          <w:szCs w:val="24"/>
          <w:lang w:val="es-MX"/>
        </w:rPr>
        <w:t xml:space="preserve">Javier Elías Arias Idárraga, </w:t>
      </w:r>
      <w:r w:rsidRPr="00F955AD">
        <w:rPr>
          <w:rFonts w:ascii="Gadugi" w:hAnsi="Gadugi"/>
          <w:sz w:val="24"/>
          <w:szCs w:val="24"/>
          <w:lang w:val="es-MX"/>
        </w:rPr>
        <w:t xml:space="preserve">contra el </w:t>
      </w:r>
      <w:r w:rsidR="002048CF">
        <w:rPr>
          <w:rFonts w:ascii="Gadugi" w:hAnsi="Gadugi"/>
          <w:b/>
          <w:sz w:val="24"/>
          <w:szCs w:val="24"/>
          <w:lang w:val="es-MX"/>
        </w:rPr>
        <w:t>Juzgado Cuarto Civil del Circuito local</w:t>
      </w:r>
      <w:r w:rsidRPr="00F955AD">
        <w:rPr>
          <w:rFonts w:ascii="Gadugi" w:hAnsi="Gadugi"/>
          <w:b/>
          <w:sz w:val="24"/>
          <w:szCs w:val="24"/>
          <w:lang w:val="es-MX"/>
        </w:rPr>
        <w:t xml:space="preserve">, </w:t>
      </w:r>
      <w:r w:rsidRPr="00F955AD">
        <w:rPr>
          <w:rFonts w:ascii="Gadugi" w:hAnsi="Gadugi"/>
          <w:sz w:val="24"/>
          <w:szCs w:val="24"/>
          <w:lang w:val="es-MX"/>
        </w:rPr>
        <w:t xml:space="preserve">a la que fueron </w:t>
      </w:r>
      <w:r w:rsidR="002048CF">
        <w:rPr>
          <w:rFonts w:ascii="Gadugi" w:hAnsi="Gadugi"/>
          <w:sz w:val="24"/>
          <w:szCs w:val="24"/>
          <w:lang w:val="es-MX"/>
        </w:rPr>
        <w:t>vinculado</w:t>
      </w:r>
      <w:r w:rsidR="005B1B7F" w:rsidRPr="00F955AD">
        <w:rPr>
          <w:rFonts w:ascii="Gadugi" w:hAnsi="Gadugi"/>
          <w:sz w:val="24"/>
          <w:szCs w:val="24"/>
          <w:lang w:val="es-MX"/>
        </w:rPr>
        <w:t>s</w:t>
      </w:r>
      <w:r w:rsidR="002048CF">
        <w:rPr>
          <w:rFonts w:ascii="Gadugi" w:hAnsi="Gadugi"/>
          <w:sz w:val="24"/>
          <w:szCs w:val="24"/>
          <w:lang w:val="es-MX"/>
        </w:rPr>
        <w:t xml:space="preserve"> </w:t>
      </w:r>
      <w:r w:rsidR="002048CF" w:rsidRPr="002048CF">
        <w:rPr>
          <w:rFonts w:ascii="Gadugi" w:hAnsi="Gadugi"/>
          <w:b/>
          <w:sz w:val="24"/>
          <w:szCs w:val="24"/>
          <w:lang w:val="es-MX"/>
        </w:rPr>
        <w:t>Nilton Ruge Nieto</w:t>
      </w:r>
      <w:r w:rsidR="002048CF">
        <w:rPr>
          <w:rFonts w:ascii="Gadugi" w:hAnsi="Gadugi"/>
          <w:b/>
          <w:sz w:val="24"/>
          <w:szCs w:val="24"/>
          <w:lang w:val="es-MX"/>
        </w:rPr>
        <w:t>,</w:t>
      </w:r>
      <w:r w:rsidRPr="00F955AD">
        <w:rPr>
          <w:rFonts w:ascii="Gadugi" w:hAnsi="Gadugi"/>
          <w:sz w:val="24"/>
          <w:szCs w:val="24"/>
          <w:lang w:val="es-MX"/>
        </w:rPr>
        <w:t xml:space="preserve"> </w:t>
      </w:r>
      <w:r w:rsidR="00DC48D1" w:rsidRPr="00DC48D1">
        <w:rPr>
          <w:rFonts w:ascii="Gadugi" w:hAnsi="Gadugi"/>
          <w:b/>
          <w:sz w:val="24"/>
          <w:szCs w:val="24"/>
          <w:lang w:val="es-419"/>
        </w:rPr>
        <w:t>Audifarma S.A.</w:t>
      </w:r>
      <w:r w:rsidR="00DC48D1">
        <w:rPr>
          <w:rFonts w:ascii="Gadugi" w:hAnsi="Gadugi"/>
          <w:sz w:val="24"/>
          <w:szCs w:val="24"/>
          <w:lang w:val="es-419"/>
        </w:rPr>
        <w:t xml:space="preserve">, el </w:t>
      </w:r>
      <w:r w:rsidR="00DC48D1" w:rsidRPr="00DC48D1">
        <w:rPr>
          <w:rFonts w:ascii="Gadugi" w:hAnsi="Gadugi"/>
          <w:b/>
          <w:sz w:val="24"/>
          <w:szCs w:val="24"/>
          <w:lang w:val="es-419"/>
        </w:rPr>
        <w:t>ICONTEC</w:t>
      </w:r>
      <w:r w:rsidR="00DC48D1">
        <w:rPr>
          <w:rFonts w:ascii="Gadugi" w:hAnsi="Gadugi"/>
          <w:sz w:val="24"/>
          <w:szCs w:val="24"/>
          <w:lang w:val="es-419"/>
        </w:rPr>
        <w:t xml:space="preserve">, </w:t>
      </w:r>
      <w:r w:rsidR="005B1B7F">
        <w:rPr>
          <w:rFonts w:ascii="Gadugi" w:hAnsi="Gadugi"/>
          <w:sz w:val="24"/>
          <w:szCs w:val="24"/>
          <w:lang w:val="es-MX"/>
        </w:rPr>
        <w:t xml:space="preserve">la </w:t>
      </w:r>
      <w:r w:rsidR="005B1B7F" w:rsidRPr="005B1B7F">
        <w:rPr>
          <w:rFonts w:ascii="Gadugi" w:hAnsi="Gadugi"/>
          <w:b/>
          <w:sz w:val="24"/>
          <w:szCs w:val="24"/>
          <w:lang w:val="es-MX"/>
        </w:rPr>
        <w:t>Procuraduría General de la Nación</w:t>
      </w:r>
      <w:r w:rsidR="005B1B7F">
        <w:rPr>
          <w:rFonts w:ascii="Gadugi" w:hAnsi="Gadugi"/>
          <w:sz w:val="24"/>
          <w:szCs w:val="24"/>
          <w:lang w:val="es-MX"/>
        </w:rPr>
        <w:t xml:space="preserve"> y la </w:t>
      </w:r>
      <w:r w:rsidRPr="00BA1CFE">
        <w:rPr>
          <w:rFonts w:ascii="Gadugi" w:hAnsi="Gadugi"/>
          <w:b/>
          <w:sz w:val="24"/>
          <w:szCs w:val="24"/>
          <w:lang w:val="es-MX"/>
        </w:rPr>
        <w:t xml:space="preserve">Defensoría del Pueblo Regionales de </w:t>
      </w:r>
      <w:r w:rsidR="007D4A72">
        <w:rPr>
          <w:rFonts w:ascii="Gadugi" w:hAnsi="Gadugi"/>
          <w:b/>
          <w:sz w:val="24"/>
          <w:szCs w:val="24"/>
          <w:lang w:val="es-MX"/>
        </w:rPr>
        <w:t>Bogotá DC</w:t>
      </w:r>
      <w:r w:rsidR="00952C45">
        <w:rPr>
          <w:rFonts w:ascii="Gadugi" w:hAnsi="Gadugi"/>
          <w:b/>
          <w:sz w:val="24"/>
          <w:szCs w:val="24"/>
          <w:lang w:val="es-MX"/>
        </w:rPr>
        <w:t>, Atlántico, Valle del C</w:t>
      </w:r>
      <w:r w:rsidR="007D4A72">
        <w:rPr>
          <w:rFonts w:ascii="Gadugi" w:hAnsi="Gadugi"/>
          <w:b/>
          <w:sz w:val="24"/>
          <w:szCs w:val="24"/>
          <w:lang w:val="es-MX"/>
        </w:rPr>
        <w:t>auca, Antioquia y Santander.</w:t>
      </w:r>
    </w:p>
    <w:p w:rsidR="000F7A50" w:rsidRPr="00BA1CFE"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eastAsia="es-ES"/>
        </w:rPr>
      </w:pPr>
    </w:p>
    <w:p w:rsidR="000F7A50" w:rsidRPr="00F955AD"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eastAsia="es-ES"/>
        </w:rPr>
      </w:pPr>
    </w:p>
    <w:p w:rsidR="000F7A50" w:rsidRPr="00F955AD" w:rsidRDefault="000F7A50" w:rsidP="00F302C2">
      <w:pPr>
        <w:keepNext/>
        <w:overflowPunct w:val="0"/>
        <w:autoSpaceDE w:val="0"/>
        <w:autoSpaceDN w:val="0"/>
        <w:adjustRightInd w:val="0"/>
        <w:spacing w:after="0" w:line="276" w:lineRule="auto"/>
        <w:ind w:firstLine="2835"/>
        <w:jc w:val="both"/>
        <w:textAlignment w:val="baseline"/>
        <w:outlineLvl w:val="3"/>
        <w:rPr>
          <w:rFonts w:ascii="Gadugi" w:eastAsia="Times New Roman" w:hAnsi="Gadugi"/>
          <w:b/>
          <w:sz w:val="24"/>
          <w:szCs w:val="24"/>
          <w:lang w:val="es-MX" w:eastAsia="es-ES"/>
        </w:rPr>
      </w:pPr>
      <w:r w:rsidRPr="00F955AD">
        <w:rPr>
          <w:rFonts w:ascii="Gadugi" w:eastAsia="Times New Roman" w:hAnsi="Gadugi"/>
          <w:b/>
          <w:sz w:val="24"/>
          <w:szCs w:val="24"/>
          <w:lang w:val="es-MX" w:eastAsia="es-ES"/>
        </w:rPr>
        <w:t>ANTECEDENTES</w:t>
      </w:r>
    </w:p>
    <w:p w:rsidR="000F7A50" w:rsidRDefault="000F7A50" w:rsidP="00F302C2">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eastAsia="es-ES"/>
        </w:rPr>
      </w:pPr>
    </w:p>
    <w:p w:rsidR="005B1B7F" w:rsidRPr="00F955AD" w:rsidRDefault="005B1B7F" w:rsidP="00F302C2">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eastAsia="es-ES"/>
        </w:rPr>
      </w:pPr>
    </w:p>
    <w:p w:rsidR="000F7A50" w:rsidRPr="001F3D4D" w:rsidRDefault="005B1B7F" w:rsidP="00F302C2">
      <w:pPr>
        <w:spacing w:after="0" w:line="276" w:lineRule="auto"/>
        <w:jc w:val="both"/>
        <w:rPr>
          <w:rFonts w:ascii="Gadugi" w:hAnsi="Gadugi"/>
          <w:sz w:val="24"/>
          <w:szCs w:val="24"/>
          <w:lang w:val="es-MX"/>
        </w:rPr>
      </w:pPr>
      <w:r>
        <w:rPr>
          <w:rFonts w:ascii="Gadugi" w:eastAsia="Times New Roman" w:hAnsi="Gadugi" w:cs="Century Gothic"/>
          <w:sz w:val="24"/>
          <w:szCs w:val="24"/>
          <w:lang w:eastAsia="es-ES"/>
        </w:rPr>
        <w:tab/>
      </w:r>
      <w:r>
        <w:rPr>
          <w:rFonts w:ascii="Gadugi" w:eastAsia="Times New Roman" w:hAnsi="Gadugi" w:cs="Century Gothic"/>
          <w:sz w:val="24"/>
          <w:szCs w:val="24"/>
          <w:lang w:eastAsia="es-ES"/>
        </w:rPr>
        <w:tab/>
      </w:r>
      <w:r>
        <w:rPr>
          <w:rFonts w:ascii="Gadugi" w:eastAsia="Times New Roman" w:hAnsi="Gadugi" w:cs="Century Gothic"/>
          <w:sz w:val="24"/>
          <w:szCs w:val="24"/>
          <w:lang w:eastAsia="es-ES"/>
        </w:rPr>
        <w:tab/>
      </w:r>
      <w:r>
        <w:rPr>
          <w:rFonts w:ascii="Gadugi" w:eastAsia="Times New Roman" w:hAnsi="Gadugi" w:cs="Century Gothic"/>
          <w:sz w:val="24"/>
          <w:szCs w:val="24"/>
          <w:lang w:eastAsia="es-ES"/>
        </w:rPr>
        <w:tab/>
      </w:r>
      <w:r w:rsidR="000F7A50" w:rsidRPr="00F955AD">
        <w:rPr>
          <w:rFonts w:ascii="Gadugi" w:eastAsia="Times New Roman" w:hAnsi="Gadugi" w:cs="Century Gothic"/>
          <w:sz w:val="24"/>
          <w:szCs w:val="24"/>
          <w:lang w:eastAsia="es-ES"/>
        </w:rPr>
        <w:t xml:space="preserve">Javier Elías Arias Idárraga, quien actúa en su propio nombre, presentó acción de tutela por la presunta violación de los derechos que describe como </w:t>
      </w:r>
      <w:r w:rsidR="000F7A50" w:rsidRPr="00F955AD">
        <w:rPr>
          <w:rFonts w:ascii="Gadugi" w:eastAsia="Times New Roman" w:hAnsi="Gadugi" w:cs="Century Gothic"/>
          <w:i/>
          <w:sz w:val="24"/>
          <w:szCs w:val="24"/>
          <w:lang w:eastAsia="es-ES"/>
        </w:rPr>
        <w:t>“</w:t>
      </w:r>
      <w:r>
        <w:rPr>
          <w:rFonts w:ascii="Gadugi" w:eastAsia="Times New Roman" w:hAnsi="Gadugi" w:cs="Century Gothic"/>
          <w:i/>
          <w:sz w:val="24"/>
          <w:szCs w:val="24"/>
          <w:lang w:eastAsia="es-ES"/>
        </w:rPr>
        <w:t>art. 13</w:t>
      </w:r>
      <w:r w:rsidR="007D4A72">
        <w:rPr>
          <w:rFonts w:ascii="Gadugi" w:eastAsia="Times New Roman" w:hAnsi="Gadugi" w:cs="Century Gothic"/>
          <w:i/>
          <w:sz w:val="24"/>
          <w:szCs w:val="24"/>
          <w:lang w:eastAsia="es-ES"/>
        </w:rPr>
        <w:t>, 29, 83</w:t>
      </w:r>
      <w:r>
        <w:rPr>
          <w:rFonts w:ascii="Gadugi" w:eastAsia="Times New Roman" w:hAnsi="Gadugi" w:cs="Century Gothic"/>
          <w:i/>
          <w:sz w:val="24"/>
          <w:szCs w:val="24"/>
          <w:lang w:eastAsia="es-ES"/>
        </w:rPr>
        <w:t xml:space="preserve"> CN”</w:t>
      </w:r>
      <w:r w:rsidR="000F7A50" w:rsidRPr="00F955AD">
        <w:rPr>
          <w:rFonts w:ascii="Gadugi" w:eastAsia="Times New Roman" w:hAnsi="Gadugi" w:cs="Century Gothic"/>
          <w:sz w:val="24"/>
          <w:szCs w:val="24"/>
          <w:lang w:eastAsia="es-ES"/>
        </w:rPr>
        <w:t xml:space="preserve">, </w:t>
      </w:r>
      <w:r>
        <w:rPr>
          <w:rFonts w:ascii="Gadugi" w:eastAsia="Times New Roman" w:hAnsi="Gadugi" w:cs="Century Gothic"/>
          <w:sz w:val="24"/>
          <w:szCs w:val="24"/>
          <w:lang w:eastAsia="es-ES"/>
        </w:rPr>
        <w:t>en la acción popular con radicado “</w:t>
      </w:r>
      <w:r w:rsidRPr="0096757F">
        <w:rPr>
          <w:rFonts w:ascii="Gadugi" w:eastAsia="Times New Roman" w:hAnsi="Gadugi" w:cs="Century Gothic"/>
          <w:i/>
          <w:sz w:val="24"/>
          <w:szCs w:val="24"/>
          <w:lang w:eastAsia="es-ES"/>
        </w:rPr>
        <w:t>201</w:t>
      </w:r>
      <w:r w:rsidR="007D4A72">
        <w:rPr>
          <w:rFonts w:ascii="Gadugi" w:eastAsia="Times New Roman" w:hAnsi="Gadugi" w:cs="Century Gothic"/>
          <w:i/>
          <w:sz w:val="24"/>
          <w:szCs w:val="24"/>
          <w:lang w:eastAsia="es-ES"/>
        </w:rPr>
        <w:t>7</w:t>
      </w:r>
      <w:r w:rsidR="006523B9">
        <w:rPr>
          <w:rFonts w:ascii="Gadugi" w:eastAsia="Times New Roman" w:hAnsi="Gadugi" w:cs="Century Gothic"/>
          <w:i/>
          <w:sz w:val="24"/>
          <w:szCs w:val="24"/>
          <w:lang w:eastAsia="es-ES"/>
        </w:rPr>
        <w:t>-</w:t>
      </w:r>
      <w:r w:rsidR="007D4A72">
        <w:rPr>
          <w:rFonts w:ascii="Gadugi" w:eastAsia="Times New Roman" w:hAnsi="Gadugi" w:cs="Century Gothic"/>
          <w:i/>
          <w:sz w:val="24"/>
          <w:szCs w:val="24"/>
          <w:lang w:eastAsia="es-ES"/>
        </w:rPr>
        <w:t>274</w:t>
      </w:r>
      <w:r w:rsidR="00952C45">
        <w:rPr>
          <w:rFonts w:ascii="Gadugi" w:eastAsia="Times New Roman" w:hAnsi="Gadugi" w:cs="Century Gothic"/>
          <w:sz w:val="24"/>
          <w:szCs w:val="24"/>
          <w:lang w:eastAsia="es-ES"/>
        </w:rPr>
        <w:t xml:space="preserve">”, </w:t>
      </w:r>
      <w:r>
        <w:rPr>
          <w:rFonts w:ascii="Gadugi" w:eastAsia="Times New Roman" w:hAnsi="Gadugi" w:cs="Century Gothic"/>
          <w:sz w:val="24"/>
          <w:szCs w:val="24"/>
          <w:lang w:eastAsia="es-ES"/>
        </w:rPr>
        <w:t xml:space="preserve">acumulada con </w:t>
      </w:r>
      <w:r w:rsidR="007D4A72">
        <w:rPr>
          <w:rFonts w:ascii="Gadugi" w:eastAsia="Times New Roman" w:hAnsi="Gadugi" w:cs="Century Gothic"/>
          <w:sz w:val="24"/>
          <w:szCs w:val="24"/>
          <w:lang w:eastAsia="es-ES"/>
        </w:rPr>
        <w:t>otras 18</w:t>
      </w:r>
      <w:r w:rsidR="00952C45">
        <w:rPr>
          <w:rFonts w:ascii="Gadugi" w:eastAsia="Times New Roman" w:hAnsi="Gadugi" w:cs="Century Gothic"/>
          <w:sz w:val="24"/>
          <w:szCs w:val="24"/>
          <w:lang w:eastAsia="es-ES"/>
        </w:rPr>
        <w:t xml:space="preserve"> (f.3v)</w:t>
      </w:r>
      <w:r>
        <w:rPr>
          <w:rFonts w:ascii="Gadugi" w:eastAsia="Times New Roman" w:hAnsi="Gadugi" w:cs="Century Gothic"/>
          <w:sz w:val="24"/>
          <w:szCs w:val="24"/>
          <w:lang w:eastAsia="es-ES"/>
        </w:rPr>
        <w:t xml:space="preserve">, </w:t>
      </w:r>
      <w:r w:rsidR="00952C45">
        <w:rPr>
          <w:rFonts w:ascii="Gadugi" w:eastAsia="Times New Roman" w:hAnsi="Gadugi" w:cs="Century Gothic"/>
          <w:sz w:val="24"/>
          <w:szCs w:val="24"/>
          <w:lang w:eastAsia="es-ES"/>
        </w:rPr>
        <w:t>en la que</w:t>
      </w:r>
      <w:r w:rsidR="00F302C2">
        <w:rPr>
          <w:rFonts w:ascii="Gadugi" w:eastAsia="Times New Roman" w:hAnsi="Gadugi" w:cs="Century Gothic"/>
          <w:sz w:val="24"/>
          <w:szCs w:val="24"/>
          <w:lang w:eastAsia="es-ES"/>
        </w:rPr>
        <w:t xml:space="preserve"> el</w:t>
      </w:r>
      <w:r w:rsidR="000F7A50">
        <w:rPr>
          <w:rFonts w:ascii="Gadugi" w:eastAsia="Times New Roman" w:hAnsi="Gadugi" w:cs="Century Gothic"/>
          <w:sz w:val="24"/>
          <w:szCs w:val="24"/>
          <w:lang w:eastAsia="es-ES"/>
        </w:rPr>
        <w:t xml:space="preserve"> despacho</w:t>
      </w:r>
      <w:r w:rsidR="00F302C2">
        <w:rPr>
          <w:rFonts w:ascii="Gadugi" w:eastAsia="Times New Roman" w:hAnsi="Gadugi" w:cs="Century Gothic"/>
          <w:sz w:val="24"/>
          <w:szCs w:val="24"/>
          <w:lang w:eastAsia="es-ES"/>
        </w:rPr>
        <w:t xml:space="preserve"> </w:t>
      </w:r>
      <w:r w:rsidR="007D4A72" w:rsidRPr="007D4A72">
        <w:rPr>
          <w:rFonts w:ascii="Gadugi" w:eastAsia="Times New Roman" w:hAnsi="Gadugi" w:cs="Century Gothic"/>
          <w:i/>
          <w:sz w:val="24"/>
          <w:szCs w:val="24"/>
          <w:lang w:eastAsia="es-ES"/>
        </w:rPr>
        <w:t>“dilata el trámite preferente al vincular a la acción a los propietarios de los inmuebles, pese q no existe pretensión alguna q requiera del propietario del inmueble pa garantizar el debido proceso</w:t>
      </w:r>
      <w:r w:rsidRPr="007D4A72">
        <w:rPr>
          <w:rFonts w:ascii="Gadugi" w:eastAsia="Times New Roman" w:hAnsi="Gadugi" w:cs="Century Gothic"/>
          <w:i/>
          <w:sz w:val="24"/>
          <w:szCs w:val="24"/>
          <w:lang w:eastAsia="es-ES"/>
        </w:rPr>
        <w:t>”</w:t>
      </w:r>
      <w:r w:rsidR="007D4A72" w:rsidRPr="006523B9">
        <w:rPr>
          <w:rFonts w:ascii="Gadugi" w:eastAsia="Times New Roman" w:hAnsi="Gadugi" w:cs="Century Gothic"/>
          <w:sz w:val="24"/>
          <w:szCs w:val="24"/>
          <w:lang w:eastAsia="es-ES"/>
        </w:rPr>
        <w:t>(sic)</w:t>
      </w:r>
      <w:r w:rsidRPr="006523B9">
        <w:rPr>
          <w:rFonts w:ascii="Gadugi" w:eastAsia="Times New Roman" w:hAnsi="Gadugi" w:cs="Century Gothic"/>
          <w:sz w:val="24"/>
          <w:szCs w:val="24"/>
          <w:lang w:eastAsia="es-ES"/>
        </w:rPr>
        <w:t>.</w:t>
      </w:r>
    </w:p>
    <w:p w:rsidR="000F7A50" w:rsidRDefault="000F7A50" w:rsidP="00F302C2">
      <w:pPr>
        <w:spacing w:after="0" w:line="276" w:lineRule="auto"/>
        <w:ind w:firstLine="2835"/>
        <w:jc w:val="both"/>
        <w:rPr>
          <w:rFonts w:ascii="Gadugi" w:eastAsia="Times New Roman" w:hAnsi="Gadugi" w:cs="Century Gothic"/>
          <w:sz w:val="24"/>
          <w:szCs w:val="24"/>
          <w:lang w:eastAsia="es-ES"/>
        </w:rPr>
      </w:pPr>
    </w:p>
    <w:p w:rsidR="000F7A50" w:rsidRPr="00F955AD" w:rsidRDefault="000F7A50" w:rsidP="00F302C2">
      <w:pPr>
        <w:spacing w:after="0" w:line="276" w:lineRule="auto"/>
        <w:ind w:firstLine="2835"/>
        <w:jc w:val="both"/>
        <w:rPr>
          <w:rFonts w:ascii="Gadugi" w:eastAsia="Times New Roman" w:hAnsi="Gadugi" w:cs="Century Gothic"/>
          <w:sz w:val="24"/>
          <w:szCs w:val="24"/>
          <w:lang w:eastAsia="es-ES"/>
        </w:rPr>
      </w:pPr>
      <w:r w:rsidRPr="00F955AD">
        <w:rPr>
          <w:rFonts w:ascii="Gadugi" w:eastAsia="Times New Roman" w:hAnsi="Gadugi" w:cs="Century Gothic"/>
          <w:sz w:val="24"/>
          <w:szCs w:val="24"/>
          <w:lang w:eastAsia="es-ES"/>
        </w:rPr>
        <w:t xml:space="preserve">Pidió, por tanto, </w:t>
      </w:r>
      <w:r>
        <w:rPr>
          <w:rFonts w:ascii="Gadugi" w:eastAsia="Times New Roman" w:hAnsi="Gadugi" w:cs="Century Gothic"/>
          <w:sz w:val="24"/>
          <w:szCs w:val="24"/>
          <w:lang w:eastAsia="es-ES"/>
        </w:rPr>
        <w:t>ordenar</w:t>
      </w:r>
      <w:r w:rsidRPr="00F955AD">
        <w:rPr>
          <w:rFonts w:ascii="Gadugi" w:eastAsia="Times New Roman" w:hAnsi="Gadugi" w:cs="Century Gothic"/>
          <w:sz w:val="24"/>
          <w:szCs w:val="24"/>
          <w:lang w:eastAsia="es-ES"/>
        </w:rPr>
        <w:t xml:space="preserve"> al Juzgado</w:t>
      </w:r>
      <w:r>
        <w:rPr>
          <w:rFonts w:ascii="Gadugi" w:eastAsia="Times New Roman" w:hAnsi="Gadugi" w:cs="Century Gothic"/>
          <w:sz w:val="24"/>
          <w:szCs w:val="24"/>
          <w:lang w:val="es-CO" w:eastAsia="es-ES"/>
        </w:rPr>
        <w:t xml:space="preserve"> </w:t>
      </w:r>
      <w:r w:rsidR="007D4A72">
        <w:rPr>
          <w:rFonts w:ascii="Gadugi" w:eastAsia="Times New Roman" w:hAnsi="Gadugi" w:cs="Century Gothic"/>
          <w:sz w:val="24"/>
          <w:szCs w:val="24"/>
          <w:lang w:val="es-CO" w:eastAsia="es-ES"/>
        </w:rPr>
        <w:t>(i) decretar nulo el</w:t>
      </w:r>
      <w:r w:rsidR="00637B14">
        <w:rPr>
          <w:rFonts w:ascii="Gadugi" w:eastAsia="Times New Roman" w:hAnsi="Gadugi" w:cs="Century Gothic"/>
          <w:sz w:val="24"/>
          <w:szCs w:val="24"/>
          <w:lang w:val="es-CO" w:eastAsia="es-ES"/>
        </w:rPr>
        <w:t xml:space="preserve"> auto</w:t>
      </w:r>
      <w:r w:rsidR="007D4A72">
        <w:rPr>
          <w:rFonts w:ascii="Gadugi" w:eastAsia="Times New Roman" w:hAnsi="Gadugi" w:cs="Century Gothic"/>
          <w:sz w:val="24"/>
          <w:szCs w:val="24"/>
          <w:lang w:val="es-CO" w:eastAsia="es-ES"/>
        </w:rPr>
        <w:t xml:space="preserve"> que vincula a los propietarios de los inmuebles donde opera la entidad accionada, pues para con</w:t>
      </w:r>
      <w:r w:rsidR="009522F4">
        <w:rPr>
          <w:rFonts w:ascii="Gadugi" w:eastAsia="Times New Roman" w:hAnsi="Gadugi" w:cs="Century Gothic"/>
          <w:sz w:val="24"/>
          <w:szCs w:val="24"/>
          <w:lang w:val="es-CO" w:eastAsia="es-ES"/>
        </w:rPr>
        <w:t>tratar un intérprete y guía inté</w:t>
      </w:r>
      <w:r w:rsidR="007D4A72">
        <w:rPr>
          <w:rFonts w:ascii="Gadugi" w:eastAsia="Times New Roman" w:hAnsi="Gadugi" w:cs="Century Gothic"/>
          <w:sz w:val="24"/>
          <w:szCs w:val="24"/>
          <w:lang w:val="es-CO" w:eastAsia="es-ES"/>
        </w:rPr>
        <w:t>rprete</w:t>
      </w:r>
      <w:r w:rsidR="009522F4">
        <w:rPr>
          <w:rFonts w:ascii="Gadugi" w:eastAsia="Times New Roman" w:hAnsi="Gadugi" w:cs="Century Gothic"/>
          <w:sz w:val="24"/>
          <w:szCs w:val="24"/>
          <w:lang w:val="es-CO" w:eastAsia="es-ES"/>
        </w:rPr>
        <w:t>, no es necesaria la vinculación de aquellos; (ii) justificar “en derecho</w:t>
      </w:r>
      <w:r w:rsidR="00637B14">
        <w:rPr>
          <w:rFonts w:ascii="Gadugi" w:eastAsia="Times New Roman" w:hAnsi="Gadugi" w:cs="Century Gothic"/>
          <w:sz w:val="24"/>
          <w:szCs w:val="24"/>
          <w:lang w:val="es-CO" w:eastAsia="es-ES"/>
        </w:rPr>
        <w:t>”</w:t>
      </w:r>
      <w:r w:rsidR="009522F4">
        <w:rPr>
          <w:rFonts w:ascii="Gadugi" w:eastAsia="Times New Roman" w:hAnsi="Gadugi" w:cs="Century Gothic"/>
          <w:sz w:val="24"/>
          <w:szCs w:val="24"/>
          <w:lang w:val="es-CO" w:eastAsia="es-ES"/>
        </w:rPr>
        <w:t xml:space="preserve"> </w:t>
      </w:r>
      <w:r w:rsidR="00637B14">
        <w:rPr>
          <w:rFonts w:ascii="Gadugi" w:eastAsia="Times New Roman" w:hAnsi="Gadugi" w:cs="Century Gothic"/>
          <w:sz w:val="24"/>
          <w:szCs w:val="24"/>
          <w:lang w:val="es-CO" w:eastAsia="es-ES"/>
        </w:rPr>
        <w:t xml:space="preserve">la acumulación pese a ser diferentes sedes </w:t>
      </w:r>
      <w:r w:rsidR="0061115D">
        <w:rPr>
          <w:rFonts w:ascii="Gadugi" w:eastAsia="Times New Roman" w:hAnsi="Gadugi" w:cs="Century Gothic"/>
          <w:sz w:val="24"/>
          <w:szCs w:val="24"/>
          <w:lang w:val="es-CO" w:eastAsia="es-ES"/>
        </w:rPr>
        <w:t>en</w:t>
      </w:r>
      <w:r w:rsidR="00637B14">
        <w:rPr>
          <w:rFonts w:ascii="Gadugi" w:eastAsia="Times New Roman" w:hAnsi="Gadugi" w:cs="Century Gothic"/>
          <w:sz w:val="24"/>
          <w:szCs w:val="24"/>
          <w:lang w:val="es-CO" w:eastAsia="es-ES"/>
        </w:rPr>
        <w:t xml:space="preserve"> diferentes sitios geográficos y con qué sentido legal vincula a los propietarios de los inmuebles. </w:t>
      </w:r>
    </w:p>
    <w:p w:rsidR="000F7A50" w:rsidRPr="00F955AD" w:rsidRDefault="000F7A50" w:rsidP="00F302C2">
      <w:pPr>
        <w:spacing w:after="0" w:line="276" w:lineRule="auto"/>
        <w:ind w:firstLine="2835"/>
        <w:jc w:val="both"/>
        <w:rPr>
          <w:rFonts w:ascii="Gadugi" w:eastAsia="Times New Roman" w:hAnsi="Gadugi" w:cs="Century Gothic"/>
          <w:sz w:val="24"/>
          <w:szCs w:val="24"/>
          <w:lang w:eastAsia="es-ES"/>
        </w:rPr>
      </w:pPr>
    </w:p>
    <w:p w:rsidR="000F7A50" w:rsidRPr="00F955AD" w:rsidRDefault="000F7A50" w:rsidP="00F302C2">
      <w:pPr>
        <w:spacing w:after="0" w:line="276" w:lineRule="auto"/>
        <w:ind w:firstLine="2835"/>
        <w:jc w:val="both"/>
        <w:rPr>
          <w:rFonts w:ascii="Gadugi" w:eastAsia="Times New Roman" w:hAnsi="Gadugi" w:cs="Century Gothic"/>
          <w:sz w:val="24"/>
          <w:szCs w:val="24"/>
          <w:lang w:eastAsia="es-ES"/>
        </w:rPr>
      </w:pPr>
      <w:r>
        <w:rPr>
          <w:rFonts w:ascii="Gadugi" w:eastAsia="Times New Roman" w:hAnsi="Gadugi" w:cs="Century Gothic"/>
          <w:sz w:val="24"/>
          <w:szCs w:val="24"/>
          <w:lang w:eastAsia="es-ES"/>
        </w:rPr>
        <w:t xml:space="preserve">Con auto del </w:t>
      </w:r>
      <w:r w:rsidR="00637B14">
        <w:rPr>
          <w:rFonts w:ascii="Gadugi" w:eastAsia="Times New Roman" w:hAnsi="Gadugi" w:cs="Century Gothic"/>
          <w:sz w:val="24"/>
          <w:szCs w:val="24"/>
          <w:lang w:val="es-CO" w:eastAsia="es-ES"/>
        </w:rPr>
        <w:t>3</w:t>
      </w:r>
      <w:r>
        <w:rPr>
          <w:rFonts w:ascii="Gadugi" w:eastAsia="Times New Roman" w:hAnsi="Gadugi" w:cs="Century Gothic"/>
          <w:sz w:val="24"/>
          <w:szCs w:val="24"/>
          <w:lang w:val="es-CO" w:eastAsia="es-ES"/>
        </w:rPr>
        <w:t xml:space="preserve"> de </w:t>
      </w:r>
      <w:r w:rsidR="00637B14">
        <w:rPr>
          <w:rFonts w:ascii="Gadugi" w:eastAsia="Times New Roman" w:hAnsi="Gadugi" w:cs="Century Gothic"/>
          <w:sz w:val="24"/>
          <w:szCs w:val="24"/>
          <w:lang w:val="es-CO" w:eastAsia="es-ES"/>
        </w:rPr>
        <w:t>julio</w:t>
      </w:r>
      <w:r>
        <w:rPr>
          <w:rFonts w:ascii="Gadugi" w:eastAsia="Times New Roman" w:hAnsi="Gadugi" w:cs="Century Gothic"/>
          <w:sz w:val="24"/>
          <w:szCs w:val="24"/>
          <w:lang w:val="es-CO" w:eastAsia="es-ES"/>
        </w:rPr>
        <w:t xml:space="preserve">, </w:t>
      </w:r>
      <w:r w:rsidRPr="00F955AD">
        <w:rPr>
          <w:rFonts w:ascii="Gadugi" w:eastAsia="Times New Roman" w:hAnsi="Gadugi" w:cs="Century Gothic"/>
          <w:sz w:val="24"/>
          <w:szCs w:val="24"/>
          <w:lang w:eastAsia="es-ES"/>
        </w:rPr>
        <w:t xml:space="preserve">se le dio impulso </w:t>
      </w:r>
      <w:r>
        <w:rPr>
          <w:rFonts w:ascii="Gadugi" w:eastAsia="Times New Roman" w:hAnsi="Gadugi" w:cs="Century Gothic"/>
          <w:sz w:val="24"/>
          <w:szCs w:val="24"/>
          <w:lang w:eastAsia="es-ES"/>
        </w:rPr>
        <w:t>al trámite</w:t>
      </w:r>
      <w:r w:rsidRPr="00F955AD">
        <w:rPr>
          <w:rFonts w:ascii="Gadugi" w:eastAsia="Times New Roman" w:hAnsi="Gadugi" w:cs="Century Gothic"/>
          <w:sz w:val="24"/>
          <w:szCs w:val="24"/>
          <w:lang w:eastAsia="es-ES"/>
        </w:rPr>
        <w:t xml:space="preserve"> con la</w:t>
      </w:r>
      <w:r>
        <w:rPr>
          <w:rFonts w:ascii="Gadugi" w:eastAsia="Times New Roman" w:hAnsi="Gadugi" w:cs="Century Gothic"/>
          <w:sz w:val="24"/>
          <w:szCs w:val="24"/>
          <w:lang w:eastAsia="es-ES"/>
        </w:rPr>
        <w:t xml:space="preserve">s mencionadas citaciones y se ordenó al juzgado encartado la remisión de las piezas procesales que estimara pertinentes para resolver la </w:t>
      </w:r>
      <w:r w:rsidR="005B1B7F">
        <w:rPr>
          <w:rFonts w:ascii="Gadugi" w:eastAsia="Times New Roman" w:hAnsi="Gadugi" w:cs="Century Gothic"/>
          <w:sz w:val="24"/>
          <w:szCs w:val="24"/>
          <w:lang w:eastAsia="es-ES"/>
        </w:rPr>
        <w:t>acción</w:t>
      </w:r>
      <w:r>
        <w:rPr>
          <w:rFonts w:ascii="Gadugi" w:eastAsia="Times New Roman" w:hAnsi="Gadugi" w:cs="Century Gothic"/>
          <w:sz w:val="24"/>
          <w:szCs w:val="24"/>
          <w:lang w:eastAsia="es-ES"/>
        </w:rPr>
        <w:t xml:space="preserve"> de tutela.</w:t>
      </w:r>
      <w:r w:rsidRPr="00F955AD">
        <w:rPr>
          <w:rFonts w:ascii="Gadugi" w:eastAsia="Times New Roman" w:hAnsi="Gadugi" w:cs="Century Gothic"/>
          <w:sz w:val="24"/>
          <w:szCs w:val="24"/>
          <w:lang w:eastAsia="es-ES"/>
        </w:rPr>
        <w:t xml:space="preserve"> </w:t>
      </w:r>
    </w:p>
    <w:p w:rsidR="00FA4311" w:rsidRDefault="00FA4311" w:rsidP="00F302C2">
      <w:pPr>
        <w:spacing w:after="0" w:line="276" w:lineRule="auto"/>
        <w:ind w:firstLine="2835"/>
        <w:jc w:val="both"/>
        <w:rPr>
          <w:rFonts w:ascii="Gadugi" w:hAnsi="Gadugi" w:cs="Century Gothic"/>
          <w:bCs/>
          <w:sz w:val="24"/>
          <w:szCs w:val="24"/>
          <w:lang w:val="es-CO"/>
        </w:rPr>
      </w:pPr>
    </w:p>
    <w:p w:rsidR="005B1B7F" w:rsidRDefault="005B1B7F" w:rsidP="00F302C2">
      <w:pPr>
        <w:spacing w:after="0" w:line="276" w:lineRule="auto"/>
        <w:ind w:firstLine="2835"/>
        <w:jc w:val="both"/>
        <w:rPr>
          <w:rFonts w:ascii="Gadugi" w:hAnsi="Gadugi" w:cs="Century Gothic"/>
          <w:bCs/>
          <w:sz w:val="24"/>
          <w:szCs w:val="24"/>
          <w:lang w:val="es-CO"/>
        </w:rPr>
      </w:pPr>
    </w:p>
    <w:p w:rsidR="000F7A50" w:rsidRPr="00FD73C8" w:rsidRDefault="009D19F9" w:rsidP="00F302C2">
      <w:pPr>
        <w:spacing w:after="0" w:line="276" w:lineRule="auto"/>
        <w:ind w:firstLine="2835"/>
        <w:jc w:val="both"/>
        <w:rPr>
          <w:rFonts w:ascii="Gadugi" w:hAnsi="Gadugi" w:cs="Century Gothic"/>
          <w:bCs/>
          <w:sz w:val="24"/>
          <w:szCs w:val="24"/>
        </w:rPr>
      </w:pPr>
      <w:r>
        <w:rPr>
          <w:rFonts w:ascii="Gadugi" w:hAnsi="Gadugi" w:cs="Century Gothic"/>
          <w:bCs/>
          <w:sz w:val="24"/>
          <w:szCs w:val="24"/>
        </w:rPr>
        <w:t xml:space="preserve">La Procuraduría regional de Santander </w:t>
      </w:r>
      <w:r w:rsidR="00A147DD">
        <w:rPr>
          <w:rFonts w:ascii="Gadugi" w:hAnsi="Gadugi" w:cs="Century Gothic"/>
          <w:bCs/>
          <w:sz w:val="24"/>
          <w:szCs w:val="24"/>
        </w:rPr>
        <w:t>solicitó su desvinculación, por carecer</w:t>
      </w:r>
      <w:r>
        <w:rPr>
          <w:rFonts w:ascii="Gadugi" w:hAnsi="Gadugi" w:cs="Century Gothic"/>
          <w:bCs/>
          <w:sz w:val="24"/>
          <w:szCs w:val="24"/>
        </w:rPr>
        <w:t xml:space="preserve"> de legitimación en la causa por pasiva.</w:t>
      </w:r>
      <w:r w:rsidR="005B1B7F">
        <w:rPr>
          <w:rFonts w:ascii="Gadugi" w:hAnsi="Gadugi" w:cs="Century Gothic"/>
          <w:bCs/>
          <w:sz w:val="24"/>
          <w:szCs w:val="24"/>
        </w:rPr>
        <w:t xml:space="preserve"> (f. </w:t>
      </w:r>
      <w:r>
        <w:rPr>
          <w:rFonts w:ascii="Gadugi" w:hAnsi="Gadugi" w:cs="Century Gothic"/>
          <w:bCs/>
          <w:sz w:val="24"/>
          <w:szCs w:val="24"/>
        </w:rPr>
        <w:t>8</w:t>
      </w:r>
      <w:r w:rsidR="005B1B7F">
        <w:rPr>
          <w:rFonts w:ascii="Gadugi" w:hAnsi="Gadugi" w:cs="Century Gothic"/>
          <w:bCs/>
          <w:sz w:val="24"/>
          <w:szCs w:val="24"/>
        </w:rPr>
        <w:t>)</w:t>
      </w:r>
    </w:p>
    <w:p w:rsidR="000F7A50" w:rsidRDefault="000F7A50" w:rsidP="00F302C2">
      <w:pPr>
        <w:spacing w:after="0" w:line="276" w:lineRule="auto"/>
        <w:ind w:firstLine="2835"/>
        <w:jc w:val="both"/>
        <w:rPr>
          <w:rFonts w:ascii="Gadugi" w:hAnsi="Gadugi" w:cs="Arial"/>
          <w:b/>
          <w:sz w:val="24"/>
          <w:szCs w:val="24"/>
        </w:rPr>
      </w:pPr>
    </w:p>
    <w:p w:rsidR="009D19F9" w:rsidRDefault="009D19F9" w:rsidP="00F302C2">
      <w:pPr>
        <w:spacing w:after="0" w:line="276" w:lineRule="auto"/>
        <w:ind w:firstLine="2835"/>
        <w:jc w:val="both"/>
        <w:rPr>
          <w:rFonts w:ascii="Gadugi" w:hAnsi="Gadugi" w:cs="Arial"/>
          <w:sz w:val="24"/>
          <w:szCs w:val="24"/>
        </w:rPr>
      </w:pPr>
      <w:r w:rsidRPr="00D92993">
        <w:rPr>
          <w:rFonts w:ascii="Gadugi" w:hAnsi="Gadugi" w:cs="Arial"/>
          <w:sz w:val="24"/>
          <w:szCs w:val="24"/>
        </w:rPr>
        <w:t>El Defensor del Pueblo regional Bogotá</w:t>
      </w:r>
      <w:r w:rsidR="00D92993" w:rsidRPr="00D92993">
        <w:rPr>
          <w:rFonts w:ascii="Gadugi" w:hAnsi="Gadugi" w:cs="Arial"/>
          <w:sz w:val="24"/>
          <w:szCs w:val="24"/>
        </w:rPr>
        <w:t xml:space="preserve">, indicó </w:t>
      </w:r>
      <w:r w:rsidR="009C43B3">
        <w:rPr>
          <w:rFonts w:ascii="Gadugi" w:hAnsi="Gadugi" w:cs="Arial"/>
          <w:sz w:val="24"/>
          <w:szCs w:val="24"/>
          <w:lang w:val="es-419"/>
        </w:rPr>
        <w:t xml:space="preserve">que carece de </w:t>
      </w:r>
      <w:r w:rsidR="00D92993" w:rsidRPr="00D92993">
        <w:rPr>
          <w:rFonts w:ascii="Gadugi" w:hAnsi="Gadugi" w:cs="Arial"/>
          <w:sz w:val="24"/>
          <w:szCs w:val="24"/>
        </w:rPr>
        <w:t>registros relacionados con peticiones en las acciones populares mencionadas en la acción de tutela; solicitó su desvinculación (f. 12).</w:t>
      </w:r>
    </w:p>
    <w:p w:rsidR="008D1CEF" w:rsidRDefault="008D1CEF" w:rsidP="008D1CEF">
      <w:pPr>
        <w:spacing w:after="0" w:line="276" w:lineRule="auto"/>
        <w:ind w:firstLine="2835"/>
        <w:jc w:val="both"/>
        <w:rPr>
          <w:rFonts w:ascii="Gadugi" w:hAnsi="Gadugi" w:cs="Arial"/>
          <w:b/>
          <w:sz w:val="24"/>
          <w:szCs w:val="24"/>
        </w:rPr>
      </w:pPr>
    </w:p>
    <w:p w:rsidR="008D1CEF" w:rsidRPr="00FD73C8" w:rsidRDefault="008D1CEF" w:rsidP="008D1CEF">
      <w:pPr>
        <w:spacing w:after="0" w:line="276" w:lineRule="auto"/>
        <w:ind w:firstLine="2835"/>
        <w:jc w:val="both"/>
        <w:rPr>
          <w:rFonts w:ascii="Gadugi" w:hAnsi="Gadugi" w:cs="Century Gothic"/>
          <w:bCs/>
          <w:sz w:val="24"/>
          <w:szCs w:val="24"/>
        </w:rPr>
      </w:pPr>
      <w:r>
        <w:rPr>
          <w:rFonts w:ascii="Gadugi" w:hAnsi="Gadugi" w:cs="Century Gothic"/>
          <w:bCs/>
          <w:sz w:val="24"/>
          <w:szCs w:val="24"/>
        </w:rPr>
        <w:lastRenderedPageBreak/>
        <w:t xml:space="preserve">El Procurador regional de Antioquia manifestó </w:t>
      </w:r>
      <w:r w:rsidR="009C43B3">
        <w:rPr>
          <w:rFonts w:ascii="Gadugi" w:hAnsi="Gadugi" w:cs="Century Gothic"/>
          <w:bCs/>
          <w:sz w:val="24"/>
          <w:szCs w:val="24"/>
          <w:lang w:val="es-419"/>
        </w:rPr>
        <w:t xml:space="preserve">que no ha </w:t>
      </w:r>
      <w:r>
        <w:rPr>
          <w:rFonts w:ascii="Gadugi" w:hAnsi="Gadugi" w:cs="Century Gothic"/>
          <w:bCs/>
          <w:sz w:val="24"/>
          <w:szCs w:val="24"/>
        </w:rPr>
        <w:t>transgredido los derechos fundamentales invocados por el accionante. (f. 19)</w:t>
      </w:r>
    </w:p>
    <w:p w:rsidR="008D1CEF" w:rsidRPr="00D92993" w:rsidRDefault="008D1CEF" w:rsidP="00F302C2">
      <w:pPr>
        <w:spacing w:after="0" w:line="276" w:lineRule="auto"/>
        <w:ind w:firstLine="2835"/>
        <w:jc w:val="both"/>
        <w:rPr>
          <w:rFonts w:ascii="Gadugi" w:hAnsi="Gadugi" w:cs="Arial"/>
          <w:sz w:val="24"/>
          <w:szCs w:val="24"/>
        </w:rPr>
      </w:pPr>
    </w:p>
    <w:p w:rsidR="008D1CEF" w:rsidRDefault="008D1CEF" w:rsidP="008D1CEF">
      <w:pPr>
        <w:spacing w:after="0" w:line="276" w:lineRule="auto"/>
        <w:ind w:firstLine="2835"/>
        <w:jc w:val="both"/>
        <w:rPr>
          <w:rFonts w:ascii="Gadugi" w:hAnsi="Gadugi" w:cs="Century Gothic"/>
          <w:bCs/>
          <w:sz w:val="24"/>
          <w:szCs w:val="24"/>
          <w:lang w:val="es-CO"/>
        </w:rPr>
      </w:pPr>
      <w:r>
        <w:rPr>
          <w:rFonts w:ascii="Gadugi" w:hAnsi="Gadugi" w:cs="Century Gothic"/>
          <w:bCs/>
          <w:sz w:val="24"/>
          <w:szCs w:val="24"/>
          <w:lang w:val="es-CO"/>
        </w:rPr>
        <w:t>El Juzgado remitió copia de las diligencias solicitadas (f. 22).</w:t>
      </w:r>
    </w:p>
    <w:p w:rsidR="00D92993" w:rsidRDefault="00D92993" w:rsidP="00F302C2">
      <w:pPr>
        <w:spacing w:after="0" w:line="276" w:lineRule="auto"/>
        <w:ind w:firstLine="2835"/>
        <w:jc w:val="both"/>
        <w:rPr>
          <w:rFonts w:ascii="Gadugi" w:hAnsi="Gadugi" w:cs="Arial"/>
          <w:b/>
          <w:sz w:val="24"/>
          <w:szCs w:val="24"/>
        </w:rPr>
      </w:pPr>
    </w:p>
    <w:p w:rsidR="00D92993" w:rsidRPr="008D1CEF" w:rsidRDefault="008D1CEF" w:rsidP="00F302C2">
      <w:pPr>
        <w:spacing w:after="0" w:line="276" w:lineRule="auto"/>
        <w:ind w:firstLine="2835"/>
        <w:jc w:val="both"/>
        <w:rPr>
          <w:rFonts w:ascii="Gadugi" w:hAnsi="Gadugi" w:cs="Arial"/>
          <w:sz w:val="24"/>
          <w:szCs w:val="24"/>
        </w:rPr>
      </w:pPr>
      <w:r w:rsidRPr="008D1CEF">
        <w:rPr>
          <w:rFonts w:ascii="Gadugi" w:hAnsi="Gadugi" w:cs="Arial"/>
          <w:sz w:val="24"/>
          <w:szCs w:val="24"/>
        </w:rPr>
        <w:t>Audifarma SA, por conducto de su representante legal judicial, estimó improcedente e irracional el presente amparo, habida cuenta de que el accionante contrapone dos acciones constitucionales</w:t>
      </w:r>
      <w:r w:rsidR="006523B9">
        <w:rPr>
          <w:rStyle w:val="Refdenotaalpie"/>
          <w:rFonts w:ascii="Gadugi" w:hAnsi="Gadugi"/>
          <w:sz w:val="24"/>
          <w:szCs w:val="24"/>
        </w:rPr>
        <w:footnoteReference w:id="1"/>
      </w:r>
      <w:r w:rsidRPr="008D1CEF">
        <w:rPr>
          <w:rFonts w:ascii="Gadugi" w:hAnsi="Gadugi" w:cs="Arial"/>
          <w:sz w:val="24"/>
          <w:szCs w:val="24"/>
        </w:rPr>
        <w:t xml:space="preserve"> con la única intención de eludir las cargas procesales que le asisten (f.</w:t>
      </w:r>
      <w:r>
        <w:rPr>
          <w:rFonts w:ascii="Gadugi" w:hAnsi="Gadugi" w:cs="Arial"/>
          <w:sz w:val="24"/>
          <w:szCs w:val="24"/>
        </w:rPr>
        <w:t xml:space="preserve"> </w:t>
      </w:r>
      <w:r w:rsidRPr="008D1CEF">
        <w:rPr>
          <w:rFonts w:ascii="Gadugi" w:hAnsi="Gadugi" w:cs="Arial"/>
          <w:sz w:val="24"/>
          <w:szCs w:val="24"/>
        </w:rPr>
        <w:t>46).</w:t>
      </w:r>
    </w:p>
    <w:p w:rsidR="008D1CEF" w:rsidRDefault="008D1CEF" w:rsidP="00F302C2">
      <w:pPr>
        <w:spacing w:after="0" w:line="276" w:lineRule="auto"/>
        <w:ind w:firstLine="2835"/>
        <w:jc w:val="both"/>
        <w:rPr>
          <w:rFonts w:ascii="Gadugi" w:hAnsi="Gadugi" w:cs="Arial"/>
          <w:b/>
          <w:sz w:val="24"/>
          <w:szCs w:val="24"/>
        </w:rPr>
      </w:pPr>
    </w:p>
    <w:p w:rsidR="008D1CEF" w:rsidRPr="00F955AD" w:rsidRDefault="008D1CEF" w:rsidP="00F302C2">
      <w:pPr>
        <w:spacing w:after="0" w:line="276" w:lineRule="auto"/>
        <w:ind w:firstLine="2835"/>
        <w:jc w:val="both"/>
        <w:rPr>
          <w:rFonts w:ascii="Gadugi" w:hAnsi="Gadugi" w:cs="Arial"/>
          <w:b/>
          <w:sz w:val="24"/>
          <w:szCs w:val="24"/>
        </w:rPr>
      </w:pPr>
    </w:p>
    <w:p w:rsidR="000F7A50" w:rsidRPr="00F955AD" w:rsidRDefault="000F7A50" w:rsidP="00F302C2">
      <w:pPr>
        <w:spacing w:after="0" w:line="276" w:lineRule="auto"/>
        <w:ind w:firstLine="2835"/>
        <w:jc w:val="both"/>
        <w:rPr>
          <w:rFonts w:ascii="Gadugi" w:hAnsi="Gadugi" w:cs="Arial"/>
          <w:b/>
          <w:sz w:val="24"/>
          <w:szCs w:val="24"/>
        </w:rPr>
      </w:pPr>
      <w:r w:rsidRPr="00F955AD">
        <w:rPr>
          <w:rFonts w:ascii="Gadugi" w:hAnsi="Gadugi" w:cs="Arial"/>
          <w:b/>
          <w:sz w:val="24"/>
          <w:szCs w:val="24"/>
        </w:rPr>
        <w:t>CONSIDERACIONES</w:t>
      </w:r>
    </w:p>
    <w:p w:rsidR="000F7A50" w:rsidRPr="00F955AD" w:rsidRDefault="000F7A50" w:rsidP="00F302C2">
      <w:pPr>
        <w:spacing w:after="0" w:line="276" w:lineRule="auto"/>
        <w:ind w:firstLine="2835"/>
        <w:jc w:val="both"/>
        <w:rPr>
          <w:rFonts w:ascii="Gadugi" w:hAnsi="Gadugi"/>
          <w:sz w:val="24"/>
          <w:szCs w:val="24"/>
        </w:rPr>
      </w:pPr>
    </w:p>
    <w:p w:rsidR="000F7A50" w:rsidRPr="00F955AD" w:rsidRDefault="000F7A50" w:rsidP="00F302C2">
      <w:pPr>
        <w:spacing w:after="0" w:line="276" w:lineRule="auto"/>
        <w:ind w:firstLine="2835"/>
        <w:jc w:val="both"/>
        <w:rPr>
          <w:rFonts w:ascii="Gadugi" w:hAnsi="Gadugi"/>
          <w:sz w:val="24"/>
          <w:szCs w:val="24"/>
        </w:rPr>
      </w:pPr>
    </w:p>
    <w:p w:rsidR="000F7A50" w:rsidRPr="00F955AD" w:rsidRDefault="000F7A50" w:rsidP="00F302C2">
      <w:pPr>
        <w:spacing w:after="0" w:line="276" w:lineRule="auto"/>
        <w:ind w:firstLine="2835"/>
        <w:jc w:val="both"/>
        <w:rPr>
          <w:rFonts w:ascii="Gadugi" w:hAnsi="Gadugi"/>
          <w:sz w:val="24"/>
          <w:szCs w:val="24"/>
        </w:rPr>
      </w:pPr>
      <w:r>
        <w:rPr>
          <w:rFonts w:ascii="Gadugi" w:hAnsi="Gadugi"/>
          <w:sz w:val="24"/>
          <w:szCs w:val="24"/>
        </w:rPr>
        <w:t>L</w:t>
      </w:r>
      <w:r w:rsidRPr="00F955AD">
        <w:rPr>
          <w:rFonts w:ascii="Gadugi" w:hAnsi="Gadugi"/>
          <w:sz w:val="24"/>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0F7A50" w:rsidRPr="00F955AD" w:rsidRDefault="000F7A50" w:rsidP="00F302C2">
      <w:pPr>
        <w:spacing w:after="0" w:line="276" w:lineRule="auto"/>
        <w:ind w:firstLine="2835"/>
        <w:jc w:val="both"/>
        <w:rPr>
          <w:rFonts w:ascii="Gadugi" w:hAnsi="Gadugi"/>
          <w:sz w:val="24"/>
          <w:szCs w:val="24"/>
        </w:rPr>
      </w:pPr>
    </w:p>
    <w:p w:rsidR="000F7A50" w:rsidRPr="009B50FE" w:rsidRDefault="000F7A50" w:rsidP="00F302C2">
      <w:pPr>
        <w:spacing w:after="0" w:line="276" w:lineRule="auto"/>
        <w:ind w:firstLine="2835"/>
        <w:jc w:val="both"/>
        <w:rPr>
          <w:rFonts w:ascii="Gadugi" w:eastAsia="Times New Roman" w:hAnsi="Gadugi" w:cs="Century Gothic"/>
          <w:sz w:val="24"/>
          <w:szCs w:val="24"/>
          <w:lang w:eastAsia="es-ES"/>
        </w:rPr>
      </w:pPr>
      <w:r w:rsidRPr="009B50FE">
        <w:rPr>
          <w:rFonts w:ascii="Gadugi" w:hAnsi="Gadugi"/>
          <w:sz w:val="24"/>
          <w:szCs w:val="24"/>
        </w:rPr>
        <w:t xml:space="preserve">Se acude en esta oportunidad </w:t>
      </w:r>
      <w:r w:rsidRPr="009B50FE">
        <w:rPr>
          <w:rFonts w:ascii="Gadugi" w:hAnsi="Gadugi" w:cs="Arial"/>
          <w:sz w:val="24"/>
          <w:szCs w:val="24"/>
        </w:rPr>
        <w:t xml:space="preserve">en procura de la protección de los derechos arriba señalados, para que se le ordene </w:t>
      </w:r>
      <w:r w:rsidR="009B50FE">
        <w:rPr>
          <w:rFonts w:ascii="Gadugi" w:hAnsi="Gadugi" w:cs="Arial"/>
          <w:sz w:val="24"/>
          <w:szCs w:val="24"/>
        </w:rPr>
        <w:t>al Juzgado</w:t>
      </w:r>
      <w:r w:rsidR="00BA306C">
        <w:rPr>
          <w:rFonts w:ascii="Gadugi" w:hAnsi="Gadugi" w:cs="Arial"/>
          <w:sz w:val="24"/>
          <w:szCs w:val="24"/>
        </w:rPr>
        <w:t xml:space="preserve"> accionado</w:t>
      </w:r>
      <w:r w:rsidR="009B50FE">
        <w:rPr>
          <w:rFonts w:ascii="Gadugi" w:hAnsi="Gadugi" w:cs="Arial"/>
          <w:sz w:val="24"/>
          <w:szCs w:val="24"/>
        </w:rPr>
        <w:t xml:space="preserve"> </w:t>
      </w:r>
      <w:r w:rsidR="0061115D">
        <w:rPr>
          <w:rFonts w:ascii="Gadugi" w:hAnsi="Gadugi" w:cs="Arial"/>
          <w:sz w:val="24"/>
          <w:szCs w:val="24"/>
        </w:rPr>
        <w:t xml:space="preserve">(i) declarar la nulidad de un auto mediante el cual vinculó a los propietarios de los diferentes inmuebles donde opera la entidad demandada en las acciones populares ya referenciadas y (ii) Justificar “en derecho” una decisión relacionada con la acumulación de demandas. </w:t>
      </w:r>
    </w:p>
    <w:p w:rsidR="000F7A50" w:rsidRPr="00B23A50" w:rsidRDefault="000F7A50" w:rsidP="00F302C2">
      <w:pPr>
        <w:spacing w:after="0" w:line="276" w:lineRule="auto"/>
        <w:jc w:val="both"/>
        <w:rPr>
          <w:rFonts w:ascii="Gadugi" w:hAnsi="Gadugi" w:cs="Arial"/>
          <w:sz w:val="24"/>
          <w:szCs w:val="24"/>
        </w:rPr>
      </w:pPr>
    </w:p>
    <w:p w:rsidR="000F7A50" w:rsidRPr="00F955AD" w:rsidRDefault="000F7A50" w:rsidP="00F302C2">
      <w:pPr>
        <w:spacing w:after="0" w:line="276" w:lineRule="auto"/>
        <w:jc w:val="both"/>
        <w:rPr>
          <w:rFonts w:ascii="Gadugi" w:hAnsi="Gadugi" w:cs="Arial"/>
          <w:sz w:val="24"/>
          <w:szCs w:val="24"/>
        </w:rPr>
      </w:pPr>
      <w:r w:rsidRPr="00F955AD">
        <w:rPr>
          <w:rFonts w:ascii="Gadugi" w:eastAsia="Dotum" w:hAnsi="Gadugi"/>
          <w:sz w:val="24"/>
          <w:szCs w:val="24"/>
        </w:rPr>
        <w:tab/>
      </w:r>
      <w:r w:rsidRPr="00F955AD">
        <w:rPr>
          <w:rFonts w:ascii="Gadugi" w:eastAsia="Dotum" w:hAnsi="Gadugi"/>
          <w:sz w:val="24"/>
          <w:szCs w:val="24"/>
        </w:rPr>
        <w:tab/>
      </w:r>
      <w:r w:rsidRPr="00F955AD">
        <w:rPr>
          <w:rFonts w:ascii="Gadugi" w:eastAsia="Dotum" w:hAnsi="Gadugi"/>
          <w:sz w:val="24"/>
          <w:szCs w:val="24"/>
        </w:rPr>
        <w:tab/>
      </w:r>
      <w:r w:rsidRPr="00F955AD">
        <w:rPr>
          <w:rFonts w:ascii="Gadugi" w:eastAsia="Dotum" w:hAnsi="Gadugi"/>
          <w:sz w:val="24"/>
          <w:szCs w:val="24"/>
        </w:rPr>
        <w:tab/>
        <w:t>S</w:t>
      </w:r>
      <w:r w:rsidRPr="00F955AD">
        <w:rPr>
          <w:rFonts w:ascii="Gadugi" w:hAnsi="Gadugi" w:cs="Arial"/>
          <w:sz w:val="24"/>
          <w:szCs w:val="24"/>
        </w:rPr>
        <w:t xml:space="preserve">e recuerda que </w:t>
      </w:r>
      <w:r w:rsidRPr="00F955AD">
        <w:rPr>
          <w:rFonts w:ascii="Gadugi" w:hAnsi="Gadugi"/>
          <w:sz w:val="24"/>
          <w:szCs w:val="24"/>
        </w:rPr>
        <w:t>a pesar de la inexequibilidad de las normas que en el Decreto 2591 de 1991 preveían la acción de tutela contra providencias judiciales</w:t>
      </w:r>
      <w:r w:rsidRPr="00F955AD">
        <w:rPr>
          <w:rStyle w:val="Refdenotaalpie"/>
          <w:rFonts w:ascii="Gadugi" w:hAnsi="Gadugi"/>
          <w:sz w:val="24"/>
          <w:szCs w:val="24"/>
        </w:rPr>
        <w:footnoteReference w:id="2"/>
      </w:r>
      <w:r w:rsidRPr="00F955AD">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F955AD">
        <w:rPr>
          <w:rFonts w:ascii="Gadugi" w:hAnsi="Gadugi" w:cs="Arial"/>
          <w:sz w:val="24"/>
          <w:szCs w:val="24"/>
        </w:rPr>
        <w:t xml:space="preserve"> en múltiples ocasiones. Sobre ellas, recientemente, en la</w:t>
      </w:r>
      <w:r w:rsidR="00DC48D1">
        <w:rPr>
          <w:rFonts w:ascii="Gadugi" w:hAnsi="Gadugi" w:cs="Arial"/>
          <w:sz w:val="24"/>
          <w:szCs w:val="24"/>
          <w:lang w:val="es-419"/>
        </w:rPr>
        <w:t>s</w:t>
      </w:r>
      <w:r w:rsidRPr="00F955AD">
        <w:rPr>
          <w:rFonts w:ascii="Gadugi" w:hAnsi="Gadugi" w:cs="Arial"/>
          <w:sz w:val="24"/>
          <w:szCs w:val="24"/>
        </w:rPr>
        <w:t xml:space="preserve"> sentencia</w:t>
      </w:r>
      <w:r w:rsidR="00DC48D1">
        <w:rPr>
          <w:rFonts w:ascii="Gadugi" w:hAnsi="Gadugi" w:cs="Arial"/>
          <w:sz w:val="24"/>
          <w:szCs w:val="24"/>
          <w:lang w:val="es-419"/>
        </w:rPr>
        <w:t>s</w:t>
      </w:r>
      <w:r w:rsidRPr="00F955AD">
        <w:rPr>
          <w:rFonts w:ascii="Gadugi" w:hAnsi="Gadugi" w:cs="Arial"/>
          <w:sz w:val="24"/>
          <w:szCs w:val="24"/>
        </w:rPr>
        <w:t xml:space="preserve"> </w:t>
      </w:r>
      <w:r w:rsidR="00DC48D1" w:rsidRPr="005F6F25">
        <w:rPr>
          <w:rFonts w:ascii="Gadugi" w:hAnsi="Gadugi" w:cs="Arial"/>
          <w:sz w:val="24"/>
          <w:szCs w:val="24"/>
        </w:rPr>
        <w:t>SU-222 de 2016, SU573 de 2017</w:t>
      </w:r>
      <w:r w:rsidR="00DC48D1" w:rsidRPr="005F6F25">
        <w:rPr>
          <w:rFonts w:ascii="Gadugi" w:hAnsi="Gadugi" w:cs="Arial"/>
          <w:sz w:val="24"/>
          <w:szCs w:val="24"/>
          <w:lang w:val="es-419"/>
        </w:rPr>
        <w:t xml:space="preserve"> y SU004 de 2018</w:t>
      </w:r>
      <w:r w:rsidRPr="00F955AD">
        <w:rPr>
          <w:rFonts w:ascii="Gadugi" w:hAnsi="Gadugi" w:cs="Arial"/>
          <w:sz w:val="24"/>
          <w:szCs w:val="24"/>
        </w:rPr>
        <w:t xml:space="preserve">, recordó que las primeras obedecen a que (i) el asunto tenga </w:t>
      </w:r>
      <w:r w:rsidRPr="00F955AD">
        <w:rPr>
          <w:rFonts w:ascii="Gadugi" w:hAnsi="Gadugi" w:cs="Arial"/>
          <w:sz w:val="24"/>
          <w:szCs w:val="24"/>
        </w:rPr>
        <w:lastRenderedPageBreak/>
        <w:t xml:space="preserve">relevancia constitucional; (ii) que se hayan agotado los recursos judiciales ordinarios y extraordinarios; (iii) que se cumpla el requisito de la inmediatez; (iv) que la irregularidad procesal tenga incidencia en la decisión de fondo; (v) que </w:t>
      </w:r>
      <w:r w:rsidRPr="00F955AD">
        <w:rPr>
          <w:rFonts w:ascii="Gadugi" w:hAnsi="Gadugi"/>
          <w:sz w:val="24"/>
          <w:szCs w:val="24"/>
        </w:rPr>
        <w:t>la parte actora identifique de manera razonable tanto los hechos que generaron la vulneración como los derechos vulnerados</w:t>
      </w:r>
      <w:r w:rsidRPr="00F955AD">
        <w:rPr>
          <w:rFonts w:ascii="Gadugi" w:hAnsi="Gadugi" w:cs="Arial"/>
          <w:sz w:val="24"/>
          <w:szCs w:val="24"/>
        </w:rPr>
        <w:t xml:space="preserve"> y los hechos hayan sido cuestionados dentro del proceso; y (vi) que el fallo censurado no sea de tutela. 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0F7A50" w:rsidRDefault="000F7A50" w:rsidP="00F302C2">
      <w:pPr>
        <w:spacing w:after="0" w:line="276" w:lineRule="auto"/>
        <w:jc w:val="both"/>
        <w:rPr>
          <w:rFonts w:ascii="Gadugi" w:hAnsi="Gadugi" w:cs="Arial"/>
          <w:sz w:val="24"/>
          <w:szCs w:val="24"/>
        </w:rPr>
      </w:pPr>
      <w:r w:rsidRPr="00F955AD">
        <w:rPr>
          <w:rFonts w:ascii="Gadugi" w:hAnsi="Gadugi" w:cs="Arial"/>
          <w:sz w:val="24"/>
          <w:szCs w:val="24"/>
        </w:rPr>
        <w:t xml:space="preserve">  </w:t>
      </w:r>
    </w:p>
    <w:p w:rsidR="00FC072F" w:rsidRPr="003A3DB8" w:rsidRDefault="00FC072F" w:rsidP="00FC072F">
      <w:pPr>
        <w:pStyle w:val="Sinespaciado2"/>
        <w:spacing w:line="276" w:lineRule="auto"/>
        <w:ind w:right="51" w:firstLine="2835"/>
        <w:jc w:val="both"/>
        <w:rPr>
          <w:rFonts w:ascii="Gadugi" w:hAnsi="Gadugi"/>
          <w:i/>
        </w:rPr>
      </w:pPr>
      <w:r>
        <w:rPr>
          <w:rFonts w:ascii="Gadugi" w:hAnsi="Gadugi"/>
          <w:lang w:val="es-MX"/>
        </w:rPr>
        <w:t xml:space="preserve">Con ese derrotero, en el caso concreto, se puede ver que la </w:t>
      </w:r>
      <w:r w:rsidR="00DC48D1">
        <w:rPr>
          <w:rFonts w:ascii="Gadugi" w:hAnsi="Gadugi"/>
          <w:lang w:val="es-MX"/>
        </w:rPr>
        <w:t>segunda pretensión</w:t>
      </w:r>
      <w:r>
        <w:rPr>
          <w:rFonts w:ascii="Gadugi" w:hAnsi="Gadugi"/>
          <w:lang w:val="es-MX"/>
        </w:rPr>
        <w:t>, cuyo fin es que el despacho justifique “en derecho” la decisión en torno a la acumulación de acciones populares, es abiertamente improcedente</w:t>
      </w:r>
      <w:r w:rsidRPr="003A3DB8">
        <w:rPr>
          <w:rFonts w:ascii="Gadugi" w:hAnsi="Gadugi" w:cs="Arial"/>
          <w:lang w:val="es-CO"/>
        </w:rPr>
        <w:t xml:space="preserve">. Así se afirma, porque acorde con lo que señala el numeral 1º del artículo 6º del Decreto 2591 de 1991, por medio del cual se reglamente la acción de tutela, esta no puede abrirse paso </w:t>
      </w:r>
      <w:r w:rsidRPr="003A3DB8">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FC072F" w:rsidRPr="003A3DB8" w:rsidRDefault="00FC072F" w:rsidP="00FC072F">
      <w:pPr>
        <w:pStyle w:val="Sinespaciado2"/>
        <w:spacing w:line="276" w:lineRule="auto"/>
        <w:ind w:right="51"/>
        <w:jc w:val="both"/>
        <w:rPr>
          <w:rFonts w:ascii="Gadugi" w:hAnsi="Gadugi"/>
          <w:lang w:val="es-CO"/>
        </w:rPr>
      </w:pPr>
      <w:r w:rsidRPr="003A3DB8">
        <w:rPr>
          <w:rFonts w:ascii="Gadugi" w:hAnsi="Gadugi"/>
          <w:lang w:val="es-CO"/>
        </w:rPr>
        <w:t xml:space="preserve"> </w:t>
      </w:r>
      <w:r w:rsidRPr="003A3DB8">
        <w:rPr>
          <w:rFonts w:ascii="Gadugi" w:hAnsi="Gadugi"/>
          <w:lang w:val="es-CO"/>
        </w:rPr>
        <w:tab/>
      </w:r>
      <w:r w:rsidRPr="003A3DB8">
        <w:rPr>
          <w:rFonts w:ascii="Gadugi" w:hAnsi="Gadugi"/>
          <w:lang w:val="es-CO"/>
        </w:rPr>
        <w:tab/>
      </w:r>
      <w:r>
        <w:rPr>
          <w:rFonts w:ascii="Gadugi" w:hAnsi="Gadugi"/>
          <w:lang w:val="es-CO"/>
        </w:rPr>
        <w:tab/>
      </w:r>
      <w:r>
        <w:rPr>
          <w:rFonts w:ascii="Gadugi" w:hAnsi="Gadugi"/>
          <w:lang w:val="es-CO"/>
        </w:rPr>
        <w:tab/>
      </w:r>
    </w:p>
    <w:p w:rsidR="00F95B26" w:rsidRDefault="00FC072F" w:rsidP="00FC072F">
      <w:pPr>
        <w:pStyle w:val="Sinespaciado2"/>
        <w:spacing w:line="276" w:lineRule="auto"/>
        <w:ind w:right="51"/>
        <w:jc w:val="both"/>
        <w:rPr>
          <w:rFonts w:ascii="Gadugi" w:hAnsi="Gadugi"/>
          <w:lang w:val="es-419"/>
        </w:rPr>
      </w:pPr>
      <w:r w:rsidRPr="003A3DB8">
        <w:rPr>
          <w:rFonts w:ascii="Gadugi" w:hAnsi="Gadugi"/>
          <w:lang w:val="es-CO"/>
        </w:rPr>
        <w:tab/>
      </w:r>
      <w:r w:rsidRPr="003A3DB8">
        <w:rPr>
          <w:rFonts w:ascii="Gadugi" w:hAnsi="Gadugi"/>
          <w:lang w:val="es-CO"/>
        </w:rPr>
        <w:tab/>
        <w:t xml:space="preserve"> </w:t>
      </w:r>
      <w:r w:rsidRPr="003A3DB8">
        <w:rPr>
          <w:rFonts w:ascii="Gadugi" w:hAnsi="Gadugi"/>
          <w:lang w:val="es-CO"/>
        </w:rPr>
        <w:tab/>
      </w:r>
      <w:r w:rsidRPr="003A3DB8">
        <w:rPr>
          <w:rFonts w:ascii="Gadugi" w:hAnsi="Gadugi"/>
          <w:lang w:val="es-CO"/>
        </w:rPr>
        <w:tab/>
      </w:r>
      <w:r w:rsidRPr="003A3DB8">
        <w:rPr>
          <w:rFonts w:ascii="Gadugi" w:hAnsi="Gadugi"/>
          <w:lang w:val="es-419"/>
        </w:rPr>
        <w:t>Y</w:t>
      </w:r>
      <w:r w:rsidRPr="003A3DB8">
        <w:rPr>
          <w:rFonts w:ascii="Gadugi" w:hAnsi="Gadugi"/>
          <w:lang w:val="es-CO"/>
        </w:rPr>
        <w:t xml:space="preserve"> es que</w:t>
      </w:r>
      <w:r w:rsidR="00F95B26">
        <w:rPr>
          <w:rFonts w:ascii="Gadugi" w:hAnsi="Gadugi"/>
          <w:lang w:val="es-419"/>
        </w:rPr>
        <w:t xml:space="preserve">, en el caso de ahora, el auto del 19 de febrero de 2018 que dispuso la acumulación de acciones, no fue recurrido oportunamente por el actor popular; y si bien el coadyuvante recurrió en reposición, lo hizo por fuera del término legal, por lo que le fue negada su intervención (f. 37). </w:t>
      </w:r>
    </w:p>
    <w:p w:rsidR="00F95B26" w:rsidRDefault="00F95B26" w:rsidP="00FC072F">
      <w:pPr>
        <w:pStyle w:val="Sinespaciado2"/>
        <w:spacing w:line="276" w:lineRule="auto"/>
        <w:ind w:right="51"/>
        <w:jc w:val="both"/>
        <w:rPr>
          <w:rFonts w:ascii="Gadugi" w:hAnsi="Gadugi"/>
          <w:lang w:val="es-419"/>
        </w:rPr>
      </w:pPr>
    </w:p>
    <w:p w:rsidR="00F95B26" w:rsidRDefault="00F95B26" w:rsidP="00FC072F">
      <w:pPr>
        <w:pStyle w:val="Sinespaciado2"/>
        <w:spacing w:line="276" w:lineRule="auto"/>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 xml:space="preserve">No sobra decir, sin embargo, que en el auto mencionado, el Juzgado explicó con suficiencia las razones jurídicas para proceder a la acumulación. </w:t>
      </w:r>
    </w:p>
    <w:p w:rsidR="0060383B" w:rsidRDefault="00FC072F" w:rsidP="00F302C2">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419" w:eastAsia="es-ES"/>
        </w:rPr>
      </w:pPr>
      <w:r>
        <w:rPr>
          <w:rFonts w:ascii="Gadugi" w:eastAsia="Times New Roman" w:hAnsi="Gadugi" w:cs="Verdana"/>
          <w:sz w:val="24"/>
          <w:szCs w:val="24"/>
          <w:lang w:eastAsia="es-ES"/>
        </w:rPr>
        <w:t>Por otra parte, en lo que toca con la primera pretensión</w:t>
      </w:r>
      <w:r w:rsidR="00DE08BD">
        <w:rPr>
          <w:rFonts w:ascii="Gadugi" w:eastAsia="Times New Roman" w:hAnsi="Gadugi" w:cs="Verdana"/>
          <w:sz w:val="24"/>
          <w:szCs w:val="24"/>
          <w:lang w:eastAsia="es-ES"/>
        </w:rPr>
        <w:t xml:space="preserve">, aquella que ataca la vinculación de los propietarios de los distintos inmuebles de la entidad demandada, </w:t>
      </w:r>
      <w:r>
        <w:rPr>
          <w:rFonts w:ascii="Gadugi" w:eastAsia="Times New Roman" w:hAnsi="Gadugi" w:cs="Verdana"/>
          <w:sz w:val="24"/>
          <w:szCs w:val="24"/>
          <w:lang w:eastAsia="es-ES"/>
        </w:rPr>
        <w:t>halla la</w:t>
      </w:r>
      <w:r w:rsidR="00BA306C" w:rsidRPr="00E70710">
        <w:rPr>
          <w:rFonts w:ascii="Gadugi" w:eastAsia="Times New Roman" w:hAnsi="Gadugi" w:cs="Verdana"/>
          <w:sz w:val="24"/>
          <w:szCs w:val="24"/>
          <w:lang w:eastAsia="es-ES"/>
        </w:rPr>
        <w:t xml:space="preserve"> Sala</w:t>
      </w:r>
      <w:r>
        <w:rPr>
          <w:rFonts w:ascii="Gadugi" w:eastAsia="Times New Roman" w:hAnsi="Gadugi" w:cs="Verdana"/>
          <w:sz w:val="24"/>
          <w:szCs w:val="24"/>
          <w:lang w:eastAsia="es-ES"/>
        </w:rPr>
        <w:t xml:space="preserve"> </w:t>
      </w:r>
      <w:r w:rsidR="007862F8">
        <w:rPr>
          <w:rFonts w:ascii="Gadugi" w:eastAsia="Times New Roman" w:hAnsi="Gadugi" w:cs="Verdana"/>
          <w:sz w:val="24"/>
          <w:szCs w:val="24"/>
          <w:lang w:val="es-419" w:eastAsia="es-ES"/>
        </w:rPr>
        <w:t xml:space="preserve">una situación particular, porque la orden se impartió en el mismo proveído del 19 de abril (f. 37), y aunque el coadyuvante interpuso recurso de reposición, incluso por esa decisión, </w:t>
      </w:r>
      <w:r w:rsidR="0060383B">
        <w:rPr>
          <w:rFonts w:ascii="Gadugi" w:eastAsia="Times New Roman" w:hAnsi="Gadugi" w:cs="Verdana"/>
          <w:sz w:val="24"/>
          <w:szCs w:val="24"/>
          <w:lang w:val="es-419" w:eastAsia="es-ES"/>
        </w:rPr>
        <w:t xml:space="preserve">el </w:t>
      </w:r>
      <w:r w:rsidR="00A042D3">
        <w:rPr>
          <w:rFonts w:ascii="Gadugi" w:eastAsia="Times New Roman" w:hAnsi="Gadugi" w:cs="Verdana"/>
          <w:sz w:val="24"/>
          <w:szCs w:val="24"/>
          <w:lang w:val="es-419" w:eastAsia="es-ES"/>
        </w:rPr>
        <w:t>Juzgado decidió agregar al expediente esa nueva intervención, sin darle trámite por improcedente y dilatori</w:t>
      </w:r>
      <w:r w:rsidR="009E5CCE">
        <w:rPr>
          <w:rFonts w:ascii="Gadugi" w:eastAsia="Times New Roman" w:hAnsi="Gadugi" w:cs="Verdana"/>
          <w:sz w:val="24"/>
          <w:szCs w:val="24"/>
          <w:lang w:val="es-419" w:eastAsia="es-ES"/>
        </w:rPr>
        <w:t>a</w:t>
      </w:r>
      <w:r w:rsidR="00A042D3">
        <w:rPr>
          <w:rFonts w:ascii="Gadugi" w:eastAsia="Times New Roman" w:hAnsi="Gadugi" w:cs="Verdana"/>
          <w:sz w:val="24"/>
          <w:szCs w:val="24"/>
          <w:lang w:val="es-419" w:eastAsia="es-ES"/>
        </w:rPr>
        <w:t>, lo que no fue motivo de réplica por los afectados</w:t>
      </w:r>
      <w:r w:rsidR="009E5CCE">
        <w:rPr>
          <w:rFonts w:ascii="Gadugi" w:eastAsia="Times New Roman" w:hAnsi="Gadugi" w:cs="Verdana"/>
          <w:sz w:val="24"/>
          <w:szCs w:val="24"/>
          <w:lang w:val="es-419" w:eastAsia="es-ES"/>
        </w:rPr>
        <w:t>,</w:t>
      </w:r>
      <w:r w:rsidR="00A042D3">
        <w:rPr>
          <w:rFonts w:ascii="Gadugi" w:eastAsia="Times New Roman" w:hAnsi="Gadugi" w:cs="Verdana"/>
          <w:sz w:val="24"/>
          <w:szCs w:val="24"/>
          <w:lang w:val="es-419" w:eastAsia="es-ES"/>
        </w:rPr>
        <w:t xml:space="preserve"> con </w:t>
      </w:r>
      <w:r w:rsidR="009E5CCE">
        <w:rPr>
          <w:rFonts w:ascii="Gadugi" w:eastAsia="Times New Roman" w:hAnsi="Gadugi" w:cs="Verdana"/>
          <w:sz w:val="24"/>
          <w:szCs w:val="24"/>
          <w:lang w:val="es-419" w:eastAsia="es-ES"/>
        </w:rPr>
        <w:t xml:space="preserve">lo cual dejó de lado también el reclamo que dentro del mismo proceso ha podido intentar y con ello se abre paso la señalada causal de improcedencia de este amparo. </w:t>
      </w:r>
    </w:p>
    <w:p w:rsidR="0060383B" w:rsidRDefault="0060383B" w:rsidP="00F302C2">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419" w:eastAsia="es-ES"/>
        </w:rPr>
      </w:pPr>
    </w:p>
    <w:p w:rsidR="00BA306C" w:rsidRPr="00E70710" w:rsidRDefault="00B70379" w:rsidP="00B70379">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Pr>
          <w:rFonts w:ascii="Gadugi" w:eastAsia="Times New Roman" w:hAnsi="Gadugi" w:cs="Verdana"/>
          <w:sz w:val="24"/>
          <w:szCs w:val="24"/>
          <w:lang w:val="es-419" w:eastAsia="es-ES"/>
        </w:rPr>
        <w:t xml:space="preserve">Y si, en gracia de discusión, se dieran </w:t>
      </w:r>
      <w:r w:rsidR="00BA306C" w:rsidRPr="00E70710">
        <w:rPr>
          <w:rFonts w:ascii="Gadugi" w:eastAsia="Times New Roman" w:hAnsi="Gadugi" w:cs="Verdana"/>
          <w:sz w:val="24"/>
          <w:szCs w:val="24"/>
          <w:lang w:val="es-CO" w:eastAsia="es-ES"/>
        </w:rPr>
        <w:t xml:space="preserve">por satisfechos los requisitos generales anunciados, en cuanto se </w:t>
      </w:r>
      <w:r w:rsidR="00BA306C" w:rsidRPr="00E70710">
        <w:rPr>
          <w:rFonts w:ascii="Gadugi" w:eastAsia="Times New Roman" w:hAnsi="Gadugi" w:cs="Verdana"/>
          <w:sz w:val="24"/>
          <w:szCs w:val="24"/>
          <w:lang w:eastAsia="es-ES"/>
        </w:rPr>
        <w:t>busca</w:t>
      </w:r>
      <w:r w:rsidR="00BA306C" w:rsidRPr="00E70710">
        <w:rPr>
          <w:rFonts w:ascii="Gadugi" w:eastAsia="Times New Roman" w:hAnsi="Gadugi" w:cs="Verdana"/>
          <w:sz w:val="24"/>
          <w:szCs w:val="24"/>
          <w:lang w:val="es-CO" w:eastAsia="es-ES"/>
        </w:rPr>
        <w:t xml:space="preserve"> la protección </w:t>
      </w:r>
      <w:r w:rsidR="00BA306C">
        <w:rPr>
          <w:rFonts w:ascii="Gadugi" w:eastAsia="Times New Roman" w:hAnsi="Gadugi" w:cs="Verdana"/>
          <w:sz w:val="24"/>
          <w:szCs w:val="24"/>
          <w:lang w:val="es-CO" w:eastAsia="es-ES"/>
        </w:rPr>
        <w:t>constitucional anunciada, se interpus</w:t>
      </w:r>
      <w:r>
        <w:rPr>
          <w:rFonts w:ascii="Gadugi" w:eastAsia="Times New Roman" w:hAnsi="Gadugi" w:cs="Verdana"/>
          <w:sz w:val="24"/>
          <w:szCs w:val="24"/>
          <w:lang w:val="es-419" w:eastAsia="es-ES"/>
        </w:rPr>
        <w:t xml:space="preserve">o ese recurso, </w:t>
      </w:r>
      <w:r w:rsidR="00BA306C" w:rsidRPr="00E70710">
        <w:rPr>
          <w:rFonts w:ascii="Gadugi" w:eastAsia="Times New Roman" w:hAnsi="Gadugi" w:cs="Verdana"/>
          <w:sz w:val="24"/>
          <w:szCs w:val="24"/>
          <w:lang w:val="es-CO" w:eastAsia="es-ES"/>
        </w:rPr>
        <w:t>la</w:t>
      </w:r>
      <w:r w:rsidR="00BA306C">
        <w:rPr>
          <w:rFonts w:ascii="Gadugi" w:eastAsia="Times New Roman" w:hAnsi="Gadugi" w:cs="Verdana"/>
          <w:sz w:val="24"/>
          <w:szCs w:val="24"/>
          <w:lang w:val="es-CO" w:eastAsia="es-ES"/>
        </w:rPr>
        <w:t>s</w:t>
      </w:r>
      <w:r w:rsidR="00BA306C" w:rsidRPr="00E70710">
        <w:rPr>
          <w:rFonts w:ascii="Gadugi" w:eastAsia="Times New Roman" w:hAnsi="Gadugi" w:cs="Verdana"/>
          <w:sz w:val="24"/>
          <w:szCs w:val="24"/>
          <w:lang w:val="es-CO" w:eastAsia="es-ES"/>
        </w:rPr>
        <w:t xml:space="preserve"> providencia</w:t>
      </w:r>
      <w:r w:rsidR="00BA306C">
        <w:rPr>
          <w:rFonts w:ascii="Gadugi" w:eastAsia="Times New Roman" w:hAnsi="Gadugi" w:cs="Verdana"/>
          <w:sz w:val="24"/>
          <w:szCs w:val="24"/>
          <w:lang w:val="es-CO" w:eastAsia="es-ES"/>
        </w:rPr>
        <w:t xml:space="preserve">s que se atacan </w:t>
      </w:r>
      <w:r w:rsidR="00BA306C" w:rsidRPr="00E70710">
        <w:rPr>
          <w:rFonts w:ascii="Gadugi" w:eastAsia="Times New Roman" w:hAnsi="Gadugi" w:cs="Verdana"/>
          <w:sz w:val="24"/>
          <w:szCs w:val="24"/>
          <w:lang w:val="es-CO" w:eastAsia="es-ES"/>
        </w:rPr>
        <w:t>data</w:t>
      </w:r>
      <w:r w:rsidR="00BA306C">
        <w:rPr>
          <w:rFonts w:ascii="Gadugi" w:eastAsia="Times New Roman" w:hAnsi="Gadugi" w:cs="Verdana"/>
          <w:sz w:val="24"/>
          <w:szCs w:val="24"/>
          <w:lang w:val="es-CO" w:eastAsia="es-ES"/>
        </w:rPr>
        <w:t>n</w:t>
      </w:r>
      <w:r w:rsidR="00BA306C" w:rsidRPr="00E70710">
        <w:rPr>
          <w:rFonts w:ascii="Gadugi" w:eastAsia="Times New Roman" w:hAnsi="Gadugi" w:cs="Verdana"/>
          <w:sz w:val="24"/>
          <w:szCs w:val="24"/>
          <w:lang w:val="es-CO" w:eastAsia="es-ES"/>
        </w:rPr>
        <w:t xml:space="preserve"> de m</w:t>
      </w:r>
      <w:r w:rsidR="00BA306C">
        <w:rPr>
          <w:rFonts w:ascii="Gadugi" w:eastAsia="Times New Roman" w:hAnsi="Gadugi" w:cs="Verdana"/>
          <w:sz w:val="24"/>
          <w:szCs w:val="24"/>
          <w:lang w:val="es-CO" w:eastAsia="es-ES"/>
        </w:rPr>
        <w:t>enos de seis meses</w:t>
      </w:r>
      <w:r>
        <w:rPr>
          <w:rFonts w:ascii="Gadugi" w:eastAsia="Times New Roman" w:hAnsi="Gadugi" w:cs="Verdana"/>
          <w:sz w:val="24"/>
          <w:szCs w:val="24"/>
          <w:lang w:val="es-419" w:eastAsia="es-ES"/>
        </w:rPr>
        <w:t xml:space="preserve">, </w:t>
      </w:r>
      <w:r w:rsidR="00BA306C">
        <w:rPr>
          <w:rFonts w:ascii="Gadugi" w:eastAsia="Times New Roman" w:hAnsi="Gadugi" w:cs="Verdana"/>
          <w:sz w:val="24"/>
          <w:szCs w:val="24"/>
          <w:lang w:val="es-CO" w:eastAsia="es-ES"/>
        </w:rPr>
        <w:t>la situación</w:t>
      </w:r>
      <w:r w:rsidR="00BA306C" w:rsidRPr="00E70710">
        <w:rPr>
          <w:rFonts w:ascii="Gadugi" w:eastAsia="Times New Roman" w:hAnsi="Gadugi" w:cs="Verdana"/>
          <w:sz w:val="24"/>
          <w:szCs w:val="24"/>
          <w:lang w:val="es-CO" w:eastAsia="es-ES"/>
        </w:rPr>
        <w:t xml:space="preserve"> fue ventilada dentro de</w:t>
      </w:r>
      <w:r w:rsidR="00BA306C">
        <w:rPr>
          <w:rFonts w:ascii="Gadugi" w:eastAsia="Times New Roman" w:hAnsi="Gadugi" w:cs="Verdana"/>
          <w:sz w:val="24"/>
          <w:szCs w:val="24"/>
          <w:lang w:val="es-CO" w:eastAsia="es-ES"/>
        </w:rPr>
        <w:t xml:space="preserve"> </w:t>
      </w:r>
      <w:r w:rsidR="00BA306C" w:rsidRPr="00E70710">
        <w:rPr>
          <w:rFonts w:ascii="Gadugi" w:eastAsia="Times New Roman" w:hAnsi="Gadugi" w:cs="Verdana"/>
          <w:sz w:val="24"/>
          <w:szCs w:val="24"/>
          <w:lang w:val="es-CO" w:eastAsia="es-ES"/>
        </w:rPr>
        <w:t>l</w:t>
      </w:r>
      <w:r w:rsidR="00BA306C">
        <w:rPr>
          <w:rFonts w:ascii="Gadugi" w:eastAsia="Times New Roman" w:hAnsi="Gadugi" w:cs="Verdana"/>
          <w:sz w:val="24"/>
          <w:szCs w:val="24"/>
          <w:lang w:val="es-CO" w:eastAsia="es-ES"/>
        </w:rPr>
        <w:t>os mismos asuntos</w:t>
      </w:r>
      <w:r w:rsidR="00BA306C" w:rsidRPr="00E70710">
        <w:rPr>
          <w:rFonts w:ascii="Gadugi" w:eastAsia="Times New Roman" w:hAnsi="Gadugi" w:cs="Verdana"/>
          <w:sz w:val="24"/>
          <w:szCs w:val="24"/>
          <w:lang w:val="es-CO" w:eastAsia="es-ES"/>
        </w:rPr>
        <w:t>, y no se trata de otra</w:t>
      </w:r>
      <w:r w:rsidR="00BA306C">
        <w:rPr>
          <w:rFonts w:ascii="Gadugi" w:eastAsia="Times New Roman" w:hAnsi="Gadugi" w:cs="Verdana"/>
          <w:sz w:val="24"/>
          <w:szCs w:val="24"/>
          <w:lang w:val="es-CO" w:eastAsia="es-ES"/>
        </w:rPr>
        <w:t>s acciones</w:t>
      </w:r>
      <w:r w:rsidR="00BA306C" w:rsidRPr="00E70710">
        <w:rPr>
          <w:rFonts w:ascii="Gadugi" w:eastAsia="Times New Roman" w:hAnsi="Gadugi" w:cs="Verdana"/>
          <w:sz w:val="24"/>
          <w:szCs w:val="24"/>
          <w:lang w:val="es-CO" w:eastAsia="es-ES"/>
        </w:rPr>
        <w:t xml:space="preserve"> de tutela</w:t>
      </w:r>
      <w:r>
        <w:rPr>
          <w:rFonts w:ascii="Gadugi" w:eastAsia="Times New Roman" w:hAnsi="Gadugi" w:cs="Verdana"/>
          <w:sz w:val="24"/>
          <w:szCs w:val="24"/>
          <w:lang w:val="es-419" w:eastAsia="es-ES"/>
        </w:rPr>
        <w:t xml:space="preserve">, dentro de los postulados específicos, habría que aludir a un </w:t>
      </w:r>
      <w:r w:rsidR="00BA306C" w:rsidRPr="00E70710">
        <w:rPr>
          <w:rFonts w:ascii="Gadugi" w:eastAsia="Times New Roman" w:hAnsi="Gadugi"/>
          <w:sz w:val="24"/>
          <w:szCs w:val="24"/>
          <w:lang w:eastAsia="es-ES"/>
        </w:rPr>
        <w:t>defecto material o sustantivo, del que se ha dicho “</w:t>
      </w:r>
      <w:r w:rsidR="00BA306C" w:rsidRPr="00E70710">
        <w:rPr>
          <w:rFonts w:ascii="Gadugi" w:eastAsia="Times New Roman" w:hAnsi="Gadugi"/>
          <w:i/>
          <w:sz w:val="24"/>
          <w:szCs w:val="24"/>
          <w:bdr w:val="none" w:sz="0" w:space="0" w:color="auto" w:frame="1"/>
          <w:lang w:eastAsia="es-ES"/>
        </w:rPr>
        <w:t>que</w:t>
      </w:r>
      <w:r w:rsidR="00BA306C" w:rsidRPr="00E70710">
        <w:rPr>
          <w:rFonts w:ascii="Gadugi" w:eastAsia="Times New Roman" w:hAnsi="Gadugi"/>
          <w:sz w:val="24"/>
          <w:szCs w:val="24"/>
          <w:bdr w:val="none" w:sz="0" w:space="0" w:color="auto" w:frame="1"/>
          <w:lang w:eastAsia="es-ES"/>
        </w:rPr>
        <w:t xml:space="preserve"> </w:t>
      </w:r>
      <w:r w:rsidR="00BA306C" w:rsidRPr="00E70710">
        <w:rPr>
          <w:rFonts w:ascii="Gadugi" w:eastAsia="Times New Roman" w:hAnsi="Gadugi"/>
          <w:i/>
          <w:iCs/>
          <w:sz w:val="24"/>
          <w:szCs w:val="24"/>
          <w:bdr w:val="none" w:sz="0" w:space="0" w:color="auto" w:frame="1"/>
          <w:lang w:eastAsia="es-ES"/>
        </w:rPr>
        <w:t>se configura cuando la decisión judicial se apoya en una norma evidentemente inaplicable al caso concreto, bien sea por que ha sido derogada, porque ella o su aplicación al caso concreto es inconstitucional o, porque, a pesar de estar vigente y ser constitucional, no se adecua a la circunstancia fáctica a la cual se ha aplicado</w:t>
      </w:r>
      <w:r w:rsidR="00BA306C" w:rsidRPr="00E70710">
        <w:rPr>
          <w:rFonts w:ascii="Gadugi" w:eastAsia="Times New Roman" w:hAnsi="Gadugi"/>
          <w:sz w:val="24"/>
          <w:szCs w:val="24"/>
          <w:bdr w:val="none" w:sz="0" w:space="0" w:color="auto" w:frame="1"/>
          <w:lang w:eastAsia="es-ES"/>
        </w:rPr>
        <w:t>”</w:t>
      </w:r>
      <w:r w:rsidR="00BA306C" w:rsidRPr="00E70710">
        <w:rPr>
          <w:rFonts w:ascii="Gadugi" w:eastAsia="Times New Roman" w:hAnsi="Gadugi"/>
          <w:sz w:val="24"/>
          <w:szCs w:val="24"/>
          <w:bdr w:val="none" w:sz="0" w:space="0" w:color="auto" w:frame="1"/>
          <w:vertAlign w:val="superscript"/>
          <w:lang w:eastAsia="es-ES"/>
        </w:rPr>
        <w:footnoteReference w:id="3"/>
      </w:r>
      <w:r w:rsidR="00BA306C" w:rsidRPr="00E70710">
        <w:rPr>
          <w:rFonts w:ascii="Gadugi" w:eastAsia="Times New Roman" w:hAnsi="Gadugi"/>
          <w:sz w:val="24"/>
          <w:szCs w:val="24"/>
          <w:bdr w:val="none" w:sz="0" w:space="0" w:color="auto" w:frame="1"/>
          <w:vertAlign w:val="superscript"/>
          <w:lang w:eastAsia="es-ES"/>
        </w:rPr>
        <w:t>-</w:t>
      </w:r>
      <w:r w:rsidR="00BA306C" w:rsidRPr="00E70710">
        <w:rPr>
          <w:rFonts w:ascii="Gadugi" w:eastAsia="Times New Roman" w:hAnsi="Gadugi"/>
          <w:sz w:val="24"/>
          <w:szCs w:val="24"/>
          <w:bdr w:val="none" w:sz="0" w:space="0" w:color="auto" w:frame="1"/>
          <w:vertAlign w:val="superscript"/>
          <w:lang w:eastAsia="es-ES"/>
        </w:rPr>
        <w:footnoteReference w:id="4"/>
      </w:r>
      <w:r w:rsidR="00BA306C" w:rsidRPr="00E70710">
        <w:rPr>
          <w:rFonts w:ascii="Gadugi" w:eastAsia="Times New Roman" w:hAnsi="Gadugi"/>
          <w:sz w:val="24"/>
          <w:szCs w:val="24"/>
          <w:lang w:eastAsia="es-ES"/>
        </w:rPr>
        <w:t>, como quiera que se pone en entredicho la posición de</w:t>
      </w:r>
      <w:r w:rsidR="00BA306C">
        <w:rPr>
          <w:rFonts w:ascii="Gadugi" w:eastAsia="Times New Roman" w:hAnsi="Gadugi"/>
          <w:sz w:val="24"/>
          <w:szCs w:val="24"/>
          <w:lang w:eastAsia="es-ES"/>
        </w:rPr>
        <w:t>l funcionario</w:t>
      </w:r>
      <w:r w:rsidR="00BA306C" w:rsidRPr="00E70710">
        <w:rPr>
          <w:rFonts w:ascii="Gadugi" w:eastAsia="Times New Roman" w:hAnsi="Gadugi"/>
          <w:sz w:val="24"/>
          <w:szCs w:val="24"/>
          <w:lang w:eastAsia="es-ES"/>
        </w:rPr>
        <w:t xml:space="preserve"> </w:t>
      </w:r>
      <w:r w:rsidR="004F1A4B">
        <w:rPr>
          <w:rFonts w:ascii="Gadugi" w:eastAsia="Times New Roman" w:hAnsi="Gadugi"/>
          <w:sz w:val="24"/>
          <w:szCs w:val="24"/>
          <w:lang w:eastAsia="es-ES"/>
        </w:rPr>
        <w:t>al</w:t>
      </w:r>
      <w:r w:rsidR="00BA306C" w:rsidRPr="00E70710">
        <w:rPr>
          <w:rFonts w:ascii="Gadugi" w:eastAsia="Times New Roman" w:hAnsi="Gadugi"/>
          <w:sz w:val="24"/>
          <w:szCs w:val="24"/>
          <w:lang w:eastAsia="es-ES"/>
        </w:rPr>
        <w:t xml:space="preserve"> </w:t>
      </w:r>
      <w:r w:rsidR="00FC072F">
        <w:rPr>
          <w:rFonts w:ascii="Gadugi" w:eastAsia="Times New Roman" w:hAnsi="Gadugi"/>
          <w:sz w:val="24"/>
          <w:szCs w:val="24"/>
          <w:lang w:eastAsia="es-ES"/>
        </w:rPr>
        <w:t xml:space="preserve">vincular a otras personas, que a su juicio, podrían menoscabar los derechos colectivos invocados en las demandas. </w:t>
      </w:r>
    </w:p>
    <w:p w:rsidR="00BA306C" w:rsidRPr="00E70710" w:rsidRDefault="00BA306C"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MX" w:eastAsia="es-ES"/>
        </w:rPr>
      </w:pPr>
    </w:p>
    <w:p w:rsidR="00DE08BD" w:rsidRDefault="00BA306C"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MX" w:eastAsia="es-ES"/>
        </w:rPr>
      </w:pPr>
      <w:r w:rsidRPr="00E70710">
        <w:rPr>
          <w:rFonts w:ascii="Gadugi" w:eastAsia="Times New Roman" w:hAnsi="Gadugi"/>
          <w:sz w:val="24"/>
          <w:szCs w:val="24"/>
          <w:lang w:val="es-MX" w:eastAsia="es-ES"/>
        </w:rPr>
        <w:t>En efecto</w:t>
      </w:r>
      <w:r w:rsidR="00BE616E">
        <w:rPr>
          <w:rFonts w:ascii="Gadugi" w:eastAsia="Times New Roman" w:hAnsi="Gadugi"/>
          <w:sz w:val="24"/>
          <w:szCs w:val="24"/>
          <w:lang w:val="es-MX" w:eastAsia="es-ES"/>
        </w:rPr>
        <w:t>, mediante proveído del 19 de abril de 2018 (f. 37)</w:t>
      </w:r>
      <w:r w:rsidR="00DE08BD">
        <w:rPr>
          <w:rFonts w:ascii="Gadugi" w:eastAsia="Times New Roman" w:hAnsi="Gadugi"/>
          <w:sz w:val="24"/>
          <w:szCs w:val="24"/>
          <w:lang w:val="es-MX" w:eastAsia="es-ES"/>
        </w:rPr>
        <w:t xml:space="preserve"> el juzgado decidió</w:t>
      </w:r>
      <w:r w:rsidR="0061115D">
        <w:rPr>
          <w:rFonts w:ascii="Gadugi" w:eastAsia="Times New Roman" w:hAnsi="Gadugi"/>
          <w:sz w:val="24"/>
          <w:szCs w:val="24"/>
          <w:lang w:val="es-MX" w:eastAsia="es-ES"/>
        </w:rPr>
        <w:t xml:space="preserve"> vincular a los propietarios de los inmuebles de la entidad accionada, donde presuntamente ocurre la vulneración de derechos colectivos denunciada en cad</w:t>
      </w:r>
      <w:r w:rsidR="00BE616E">
        <w:rPr>
          <w:rFonts w:ascii="Gadugi" w:eastAsia="Times New Roman" w:hAnsi="Gadugi"/>
          <w:sz w:val="24"/>
          <w:szCs w:val="24"/>
          <w:lang w:val="es-MX" w:eastAsia="es-ES"/>
        </w:rPr>
        <w:t xml:space="preserve">a una de las demandas populares, </w:t>
      </w:r>
      <w:r>
        <w:rPr>
          <w:rFonts w:ascii="Gadugi" w:eastAsia="Times New Roman" w:hAnsi="Gadugi"/>
          <w:sz w:val="24"/>
          <w:szCs w:val="24"/>
          <w:lang w:val="es-MX" w:eastAsia="es-ES"/>
        </w:rPr>
        <w:t xml:space="preserve">sobre el </w:t>
      </w:r>
      <w:r w:rsidRPr="00E70710">
        <w:rPr>
          <w:rFonts w:ascii="Gadugi" w:eastAsia="Times New Roman" w:hAnsi="Gadugi"/>
          <w:sz w:val="24"/>
          <w:szCs w:val="24"/>
          <w:lang w:val="es-MX" w:eastAsia="es-ES"/>
        </w:rPr>
        <w:t xml:space="preserve">que interpuso </w:t>
      </w:r>
      <w:r>
        <w:rPr>
          <w:rFonts w:ascii="Gadugi" w:eastAsia="Times New Roman" w:hAnsi="Gadugi"/>
          <w:sz w:val="24"/>
          <w:szCs w:val="24"/>
          <w:lang w:val="es-MX" w:eastAsia="es-ES"/>
        </w:rPr>
        <w:t xml:space="preserve">recurso de reposición y en subsidio </w:t>
      </w:r>
      <w:r w:rsidR="004F1A4B">
        <w:rPr>
          <w:rFonts w:ascii="Gadugi" w:eastAsia="Times New Roman" w:hAnsi="Gadugi"/>
          <w:sz w:val="24"/>
          <w:szCs w:val="24"/>
          <w:lang w:val="es-MX" w:eastAsia="es-ES"/>
        </w:rPr>
        <w:t>apelación</w:t>
      </w:r>
      <w:r>
        <w:rPr>
          <w:rFonts w:ascii="Gadugi" w:eastAsia="Times New Roman" w:hAnsi="Gadugi"/>
          <w:sz w:val="24"/>
          <w:szCs w:val="24"/>
          <w:lang w:val="es-MX" w:eastAsia="es-ES"/>
        </w:rPr>
        <w:t>,</w:t>
      </w:r>
      <w:r w:rsidRPr="00E70710">
        <w:rPr>
          <w:rFonts w:ascii="Gadugi" w:eastAsia="Times New Roman" w:hAnsi="Gadugi"/>
          <w:sz w:val="24"/>
          <w:szCs w:val="24"/>
          <w:lang w:val="es-MX" w:eastAsia="es-ES"/>
        </w:rPr>
        <w:t xml:space="preserve"> sin resultados positivos</w:t>
      </w:r>
      <w:r w:rsidR="00DE08BD">
        <w:rPr>
          <w:rFonts w:ascii="Gadugi" w:eastAsia="Times New Roman" w:hAnsi="Gadugi"/>
          <w:sz w:val="24"/>
          <w:szCs w:val="24"/>
          <w:lang w:val="es-MX" w:eastAsia="es-ES"/>
        </w:rPr>
        <w:t>.</w:t>
      </w:r>
    </w:p>
    <w:p w:rsidR="00DE08BD" w:rsidRDefault="00DE08BD"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MX" w:eastAsia="es-ES"/>
        </w:rPr>
      </w:pPr>
    </w:p>
    <w:p w:rsidR="00DE08BD" w:rsidRDefault="00DE08BD"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MX" w:eastAsia="es-ES"/>
        </w:rPr>
      </w:pPr>
      <w:r>
        <w:rPr>
          <w:rFonts w:ascii="Gadugi" w:eastAsia="Times New Roman" w:hAnsi="Gadugi"/>
          <w:sz w:val="24"/>
          <w:szCs w:val="24"/>
          <w:lang w:val="es-MX" w:eastAsia="es-ES"/>
        </w:rPr>
        <w:t xml:space="preserve">En ese auto se dijo </w:t>
      </w:r>
      <w:r w:rsidRPr="00DE08BD">
        <w:rPr>
          <w:rFonts w:ascii="Gadugi" w:eastAsia="Times New Roman" w:hAnsi="Gadugi"/>
          <w:i/>
          <w:sz w:val="24"/>
          <w:szCs w:val="24"/>
          <w:lang w:val="es-MX" w:eastAsia="es-ES"/>
        </w:rPr>
        <w:t>“Como se advirtió en el auto admisorio de la demanda, podrían existir otros posibles responsables de la vulneración que se alega, se ordenará vincular a estas diligencias a los propietarios de los inmuebles en los que funcionan los establecimientos de la entidad demandada”</w:t>
      </w:r>
      <w:r>
        <w:rPr>
          <w:rFonts w:ascii="Gadugi" w:eastAsia="Times New Roman" w:hAnsi="Gadugi"/>
          <w:sz w:val="24"/>
          <w:szCs w:val="24"/>
          <w:lang w:val="es-MX" w:eastAsia="es-ES"/>
        </w:rPr>
        <w:t xml:space="preserve"> y en el que admitió las demandas</w:t>
      </w:r>
      <w:r w:rsidR="003D478B">
        <w:rPr>
          <w:rFonts w:ascii="Gadugi" w:eastAsia="Times New Roman" w:hAnsi="Gadugi"/>
          <w:sz w:val="24"/>
          <w:szCs w:val="24"/>
          <w:lang w:val="es-MX" w:eastAsia="es-ES"/>
        </w:rPr>
        <w:t xml:space="preserve"> (f. 24)</w:t>
      </w:r>
      <w:r>
        <w:rPr>
          <w:rFonts w:ascii="Gadugi" w:eastAsia="Times New Roman" w:hAnsi="Gadugi"/>
          <w:sz w:val="24"/>
          <w:szCs w:val="24"/>
          <w:lang w:val="es-MX" w:eastAsia="es-ES"/>
        </w:rPr>
        <w:t xml:space="preserve"> se dispuso </w:t>
      </w:r>
      <w:r w:rsidRPr="00DE08BD">
        <w:rPr>
          <w:rFonts w:ascii="Gadugi" w:eastAsia="Times New Roman" w:hAnsi="Gadugi"/>
          <w:i/>
          <w:sz w:val="24"/>
          <w:szCs w:val="24"/>
          <w:lang w:val="es-MX" w:eastAsia="es-ES"/>
        </w:rPr>
        <w:t>“Conforme lo dispone el último inciso del artículo 18 de la ley 472 de 1998, en este caso de existir otros posibles responsables de la vulneración alegada, se ordenará su citación”.</w:t>
      </w:r>
    </w:p>
    <w:p w:rsidR="00DE08BD" w:rsidRDefault="00DE08BD"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MX" w:eastAsia="es-ES"/>
        </w:rPr>
      </w:pPr>
    </w:p>
    <w:p w:rsidR="00BA306C" w:rsidRPr="00E70710" w:rsidRDefault="00DE08BD" w:rsidP="00F302C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MX" w:eastAsia="es-ES"/>
        </w:rPr>
      </w:pPr>
      <w:r>
        <w:rPr>
          <w:rFonts w:ascii="Gadugi" w:eastAsia="Times New Roman" w:hAnsi="Gadugi"/>
          <w:sz w:val="24"/>
          <w:szCs w:val="24"/>
          <w:lang w:val="es-MX" w:eastAsia="es-ES"/>
        </w:rPr>
        <w:t>Así que, a</w:t>
      </w:r>
      <w:r w:rsidRPr="00E70710">
        <w:rPr>
          <w:rFonts w:ascii="Gadugi" w:eastAsia="Times New Roman" w:hAnsi="Gadugi"/>
          <w:sz w:val="24"/>
          <w:szCs w:val="24"/>
          <w:lang w:val="es-MX" w:eastAsia="es-ES"/>
        </w:rPr>
        <w:t xml:space="preserve"> pesar de las explicaciones que blande</w:t>
      </w:r>
      <w:r w:rsidRPr="00E70710">
        <w:rPr>
          <w:rFonts w:ascii="Gadugi" w:eastAsia="Times New Roman" w:hAnsi="Gadugi"/>
          <w:sz w:val="24"/>
          <w:szCs w:val="24"/>
          <w:lang w:eastAsia="es-ES"/>
        </w:rPr>
        <w:t xml:space="preserve"> </w:t>
      </w:r>
      <w:r w:rsidRPr="00E70710">
        <w:rPr>
          <w:rFonts w:ascii="Gadugi" w:eastAsia="Times New Roman" w:hAnsi="Gadugi"/>
          <w:sz w:val="24"/>
          <w:szCs w:val="24"/>
          <w:lang w:val="es-MX" w:eastAsia="es-ES"/>
        </w:rPr>
        <w:t>el accionante,</w:t>
      </w:r>
      <w:r>
        <w:rPr>
          <w:rFonts w:ascii="Gadugi" w:eastAsia="Times New Roman" w:hAnsi="Gadugi"/>
          <w:sz w:val="24"/>
          <w:szCs w:val="24"/>
          <w:lang w:val="es-MX" w:eastAsia="es-ES"/>
        </w:rPr>
        <w:t xml:space="preserve"> para la Sala que</w:t>
      </w:r>
      <w:r w:rsidRPr="00E70710">
        <w:rPr>
          <w:rFonts w:ascii="Gadugi" w:eastAsia="Times New Roman" w:hAnsi="Gadugi"/>
          <w:sz w:val="24"/>
          <w:szCs w:val="24"/>
          <w:lang w:val="es-MX" w:eastAsia="es-ES"/>
        </w:rPr>
        <w:t xml:space="preserve"> no hay</w:t>
      </w:r>
      <w:r w:rsidRPr="00E70710">
        <w:rPr>
          <w:rFonts w:ascii="Gadugi" w:eastAsia="Times New Roman" w:hAnsi="Gadugi"/>
          <w:sz w:val="24"/>
          <w:szCs w:val="24"/>
          <w:lang w:eastAsia="es-ES"/>
        </w:rPr>
        <w:t xml:space="preserve"> </w:t>
      </w:r>
      <w:r w:rsidRPr="00E70710">
        <w:rPr>
          <w:rFonts w:ascii="Gadugi" w:eastAsia="Times New Roman" w:hAnsi="Gadugi"/>
          <w:sz w:val="24"/>
          <w:szCs w:val="24"/>
          <w:lang w:val="es-MX" w:eastAsia="es-ES"/>
        </w:rPr>
        <w:t xml:space="preserve">criterios constitucionales que permitan deducir el resquebrajamiento de los derechos fundamentales invocados. </w:t>
      </w:r>
      <w:r>
        <w:rPr>
          <w:rFonts w:ascii="Gadugi" w:eastAsia="Times New Roman" w:hAnsi="Gadugi"/>
          <w:sz w:val="24"/>
          <w:szCs w:val="24"/>
          <w:lang w:eastAsia="es-ES"/>
        </w:rPr>
        <w:t>E</w:t>
      </w:r>
      <w:r w:rsidR="00BA306C" w:rsidRPr="00E70710">
        <w:rPr>
          <w:rFonts w:ascii="Gadugi" w:eastAsia="Times New Roman" w:hAnsi="Gadugi"/>
          <w:sz w:val="24"/>
          <w:szCs w:val="24"/>
          <w:lang w:val="es-MX" w:eastAsia="es-ES"/>
        </w:rPr>
        <w:t>sa</w:t>
      </w:r>
      <w:r w:rsidR="003D478B">
        <w:rPr>
          <w:rFonts w:ascii="Gadugi" w:eastAsia="Times New Roman" w:hAnsi="Gadugi"/>
          <w:sz w:val="24"/>
          <w:szCs w:val="24"/>
          <w:lang w:val="es-MX" w:eastAsia="es-ES"/>
        </w:rPr>
        <w:t>s</w:t>
      </w:r>
      <w:r w:rsidR="00BE616E">
        <w:rPr>
          <w:rFonts w:ascii="Gadugi" w:eastAsia="Times New Roman" w:hAnsi="Gadugi"/>
          <w:sz w:val="24"/>
          <w:szCs w:val="24"/>
          <w:lang w:val="es-MX" w:eastAsia="es-ES"/>
        </w:rPr>
        <w:t xml:space="preserve"> resoluci</w:t>
      </w:r>
      <w:r w:rsidR="003D478B">
        <w:rPr>
          <w:rFonts w:ascii="Gadugi" w:eastAsia="Times New Roman" w:hAnsi="Gadugi"/>
          <w:sz w:val="24"/>
          <w:szCs w:val="24"/>
          <w:lang w:val="es-MX" w:eastAsia="es-ES"/>
        </w:rPr>
        <w:t>ones</w:t>
      </w:r>
      <w:r w:rsidR="00BA306C" w:rsidRPr="00E70710">
        <w:rPr>
          <w:rFonts w:ascii="Gadugi" w:eastAsia="Times New Roman" w:hAnsi="Gadugi"/>
          <w:sz w:val="24"/>
          <w:szCs w:val="24"/>
          <w:lang w:val="es-MX" w:eastAsia="es-ES"/>
        </w:rPr>
        <w:t>, por sí sola</w:t>
      </w:r>
      <w:r w:rsidR="003D478B">
        <w:rPr>
          <w:rFonts w:ascii="Gadugi" w:eastAsia="Times New Roman" w:hAnsi="Gadugi"/>
          <w:sz w:val="24"/>
          <w:szCs w:val="24"/>
          <w:lang w:val="es-MX" w:eastAsia="es-ES"/>
        </w:rPr>
        <w:t>s</w:t>
      </w:r>
      <w:r w:rsidR="00BA306C" w:rsidRPr="00E70710">
        <w:rPr>
          <w:rFonts w:ascii="Gadugi" w:eastAsia="Times New Roman" w:hAnsi="Gadugi"/>
          <w:sz w:val="24"/>
          <w:szCs w:val="24"/>
          <w:lang w:val="es-MX" w:eastAsia="es-ES"/>
        </w:rPr>
        <w:t>, no alcanza</w:t>
      </w:r>
      <w:r w:rsidR="003D478B">
        <w:rPr>
          <w:rFonts w:ascii="Gadugi" w:eastAsia="Times New Roman" w:hAnsi="Gadugi"/>
          <w:sz w:val="24"/>
          <w:szCs w:val="24"/>
          <w:lang w:val="es-MX" w:eastAsia="es-ES"/>
        </w:rPr>
        <w:t>n</w:t>
      </w:r>
      <w:r w:rsidR="00BA306C" w:rsidRPr="00E70710">
        <w:rPr>
          <w:rFonts w:ascii="Gadugi" w:eastAsia="Times New Roman" w:hAnsi="Gadugi"/>
          <w:sz w:val="24"/>
          <w:szCs w:val="24"/>
          <w:lang w:val="es-MX" w:eastAsia="es-ES"/>
        </w:rPr>
        <w:t xml:space="preserve"> a trasgredir los derechos de aquel, porque la</w:t>
      </w:r>
      <w:r w:rsidR="00BA306C">
        <w:rPr>
          <w:rFonts w:ascii="Gadugi" w:eastAsia="Times New Roman" w:hAnsi="Gadugi"/>
          <w:sz w:val="24"/>
          <w:szCs w:val="24"/>
          <w:lang w:val="es-MX" w:eastAsia="es-ES"/>
        </w:rPr>
        <w:t xml:space="preserve"> intelección que </w:t>
      </w:r>
      <w:r w:rsidR="00BE616E">
        <w:rPr>
          <w:rFonts w:ascii="Gadugi" w:eastAsia="Times New Roman" w:hAnsi="Gadugi"/>
          <w:sz w:val="24"/>
          <w:szCs w:val="24"/>
          <w:lang w:val="es-MX" w:eastAsia="es-ES"/>
        </w:rPr>
        <w:t>al</w:t>
      </w:r>
      <w:r w:rsidR="00BA306C">
        <w:rPr>
          <w:rFonts w:ascii="Gadugi" w:eastAsia="Times New Roman" w:hAnsi="Gadugi"/>
          <w:sz w:val="24"/>
          <w:szCs w:val="24"/>
          <w:lang w:val="es-MX" w:eastAsia="es-ES"/>
        </w:rPr>
        <w:t xml:space="preserve"> </w:t>
      </w:r>
      <w:r w:rsidR="00BA306C" w:rsidRPr="00E70710">
        <w:rPr>
          <w:rFonts w:ascii="Gadugi" w:eastAsia="Times New Roman" w:hAnsi="Gadugi"/>
          <w:sz w:val="24"/>
          <w:szCs w:val="24"/>
          <w:lang w:val="es-MX" w:eastAsia="es-ES"/>
        </w:rPr>
        <w:t>asunto</w:t>
      </w:r>
      <w:r w:rsidR="00BA306C">
        <w:rPr>
          <w:rFonts w:ascii="Gadugi" w:eastAsia="Times New Roman" w:hAnsi="Gadugi"/>
          <w:sz w:val="24"/>
          <w:szCs w:val="24"/>
          <w:lang w:val="es-MX" w:eastAsia="es-ES"/>
        </w:rPr>
        <w:t xml:space="preserve"> </w:t>
      </w:r>
      <w:r w:rsidR="00BA306C" w:rsidRPr="00E70710">
        <w:rPr>
          <w:rFonts w:ascii="Gadugi" w:eastAsia="Times New Roman" w:hAnsi="Gadugi"/>
          <w:sz w:val="24"/>
          <w:szCs w:val="24"/>
          <w:lang w:val="es-MX" w:eastAsia="es-ES"/>
        </w:rPr>
        <w:t xml:space="preserve">le dio </w:t>
      </w:r>
      <w:r w:rsidR="00BE616E">
        <w:rPr>
          <w:rFonts w:ascii="Gadugi" w:eastAsia="Times New Roman" w:hAnsi="Gadugi"/>
          <w:sz w:val="24"/>
          <w:szCs w:val="24"/>
          <w:lang w:val="es-MX" w:eastAsia="es-ES"/>
        </w:rPr>
        <w:t>la funcionaria</w:t>
      </w:r>
      <w:r w:rsidR="00BA306C">
        <w:rPr>
          <w:rFonts w:ascii="Gadugi" w:eastAsia="Times New Roman" w:hAnsi="Gadugi"/>
          <w:sz w:val="24"/>
          <w:szCs w:val="24"/>
          <w:lang w:val="es-MX" w:eastAsia="es-ES"/>
        </w:rPr>
        <w:t xml:space="preserve"> </w:t>
      </w:r>
      <w:r w:rsidR="00BA306C" w:rsidRPr="00E70710">
        <w:rPr>
          <w:rFonts w:ascii="Gadugi" w:eastAsia="Times New Roman" w:hAnsi="Gadugi"/>
          <w:sz w:val="24"/>
          <w:szCs w:val="24"/>
          <w:lang w:val="es-MX" w:eastAsia="es-ES"/>
        </w:rPr>
        <w:t xml:space="preserve">de la causa, por más discutible que le parezca al accionante, y aun si pudiera admitir otras posiciones, no lleva inserta </w:t>
      </w:r>
      <w:r w:rsidR="00BA306C" w:rsidRPr="00E70710">
        <w:rPr>
          <w:rFonts w:ascii="Gadugi" w:eastAsia="Times New Roman" w:hAnsi="Gadugi"/>
          <w:sz w:val="24"/>
          <w:szCs w:val="24"/>
          <w:lang w:eastAsia="es-ES"/>
        </w:rPr>
        <w:t xml:space="preserve">tal </w:t>
      </w:r>
      <w:r w:rsidR="00BA306C" w:rsidRPr="00E70710">
        <w:rPr>
          <w:rFonts w:ascii="Gadugi" w:eastAsia="Times New Roman" w:hAnsi="Gadugi"/>
          <w:sz w:val="24"/>
          <w:szCs w:val="24"/>
          <w:lang w:val="es-MX" w:eastAsia="es-ES"/>
        </w:rPr>
        <w:t>vulneración, que es lo que por est</w:t>
      </w:r>
      <w:r w:rsidR="00BA306C">
        <w:rPr>
          <w:rFonts w:ascii="Gadugi" w:eastAsia="Times New Roman" w:hAnsi="Gadugi"/>
          <w:sz w:val="24"/>
          <w:szCs w:val="24"/>
          <w:lang w:val="es-MX" w:eastAsia="es-ES"/>
        </w:rPr>
        <w:t>a vía se puede proteger. Apoyado</w:t>
      </w:r>
      <w:r w:rsidR="00BA306C" w:rsidRPr="00E70710">
        <w:rPr>
          <w:rFonts w:ascii="Gadugi" w:eastAsia="Times New Roman" w:hAnsi="Gadugi"/>
          <w:sz w:val="24"/>
          <w:szCs w:val="24"/>
          <w:lang w:val="es-MX" w:eastAsia="es-ES"/>
        </w:rPr>
        <w:t xml:space="preserve"> en fundamento</w:t>
      </w:r>
      <w:r w:rsidR="00BA306C">
        <w:rPr>
          <w:rFonts w:ascii="Gadugi" w:eastAsia="Times New Roman" w:hAnsi="Gadugi"/>
          <w:sz w:val="24"/>
          <w:szCs w:val="24"/>
          <w:lang w:val="es-MX" w:eastAsia="es-ES"/>
        </w:rPr>
        <w:t>s</w:t>
      </w:r>
      <w:r w:rsidR="00BA306C" w:rsidRPr="00E70710">
        <w:rPr>
          <w:rFonts w:ascii="Gadugi" w:eastAsia="Times New Roman" w:hAnsi="Gadugi"/>
          <w:sz w:val="24"/>
          <w:szCs w:val="24"/>
          <w:lang w:val="es-MX" w:eastAsia="es-ES"/>
        </w:rPr>
        <w:t xml:space="preserve"> de orden legal y con el criterio que sobre el </w:t>
      </w:r>
      <w:r w:rsidR="00BA306C">
        <w:rPr>
          <w:rFonts w:ascii="Gadugi" w:eastAsia="Times New Roman" w:hAnsi="Gadugi"/>
          <w:sz w:val="24"/>
          <w:szCs w:val="24"/>
          <w:lang w:val="es-MX" w:eastAsia="es-ES"/>
        </w:rPr>
        <w:t>caso</w:t>
      </w:r>
      <w:r w:rsidR="00BA306C" w:rsidRPr="00E70710">
        <w:rPr>
          <w:rFonts w:ascii="Gadugi" w:eastAsia="Times New Roman" w:hAnsi="Gadugi"/>
          <w:sz w:val="24"/>
          <w:szCs w:val="24"/>
          <w:lang w:val="es-MX" w:eastAsia="es-ES"/>
        </w:rPr>
        <w:t xml:space="preserve"> estima aplicable, precedid</w:t>
      </w:r>
      <w:r w:rsidR="00BA306C">
        <w:rPr>
          <w:rFonts w:ascii="Gadugi" w:eastAsia="Times New Roman" w:hAnsi="Gadugi"/>
          <w:sz w:val="24"/>
          <w:szCs w:val="24"/>
          <w:lang w:val="es-MX" w:eastAsia="es-ES"/>
        </w:rPr>
        <w:t>o</w:t>
      </w:r>
      <w:r w:rsidR="00BA306C" w:rsidRPr="00E70710">
        <w:rPr>
          <w:rFonts w:ascii="Gadugi" w:eastAsia="Times New Roman" w:hAnsi="Gadugi"/>
          <w:sz w:val="24"/>
          <w:szCs w:val="24"/>
          <w:lang w:val="es-MX" w:eastAsia="es-ES"/>
        </w:rPr>
        <w:t xml:space="preserve"> de argumentos en torno a la carga que le incumbe al interesado, nada de arbitrario o antojadizo se </w:t>
      </w:r>
      <w:r w:rsidR="00BA306C" w:rsidRPr="00E70710">
        <w:rPr>
          <w:rFonts w:ascii="Gadugi" w:eastAsia="Times New Roman" w:hAnsi="Gadugi"/>
          <w:sz w:val="24"/>
          <w:szCs w:val="24"/>
          <w:lang w:val="es-MX" w:eastAsia="es-ES"/>
        </w:rPr>
        <w:lastRenderedPageBreak/>
        <w:t xml:space="preserve">advierte en </w:t>
      </w:r>
      <w:r w:rsidR="00BA306C">
        <w:rPr>
          <w:rFonts w:ascii="Gadugi" w:eastAsia="Times New Roman" w:hAnsi="Gadugi"/>
          <w:sz w:val="24"/>
          <w:szCs w:val="24"/>
          <w:lang w:eastAsia="es-ES"/>
        </w:rPr>
        <w:t>la decisión del juzgado</w:t>
      </w:r>
      <w:r w:rsidR="00BA306C" w:rsidRPr="00E70710">
        <w:rPr>
          <w:rFonts w:ascii="Gadugi" w:eastAsia="Times New Roman" w:hAnsi="Gadugi"/>
          <w:sz w:val="24"/>
          <w:szCs w:val="24"/>
          <w:lang w:eastAsia="es-ES"/>
        </w:rPr>
        <w:t>,</w:t>
      </w:r>
      <w:r w:rsidR="00BA306C" w:rsidRPr="00E70710">
        <w:rPr>
          <w:rFonts w:ascii="Gadugi" w:eastAsia="Times New Roman" w:hAnsi="Gadugi"/>
          <w:sz w:val="24"/>
          <w:szCs w:val="24"/>
          <w:lang w:val="es-MX" w:eastAsia="es-ES"/>
        </w:rPr>
        <w:t xml:space="preserve"> con lo que al juez de tutela le está vedado intervenir, pues tiene dicho sobre el particular la jurisprudencia</w:t>
      </w:r>
      <w:r w:rsidR="00BA306C" w:rsidRPr="00E70710">
        <w:rPr>
          <w:rFonts w:ascii="Gadugi" w:eastAsia="Times New Roman" w:hAnsi="Gadugi"/>
          <w:sz w:val="24"/>
          <w:szCs w:val="24"/>
          <w:vertAlign w:val="superscript"/>
          <w:lang w:val="es-MX" w:eastAsia="es-ES"/>
        </w:rPr>
        <w:footnoteReference w:id="5"/>
      </w:r>
      <w:r w:rsidR="00BA306C" w:rsidRPr="00E70710">
        <w:rPr>
          <w:rFonts w:ascii="Gadugi" w:eastAsia="Times New Roman" w:hAnsi="Gadugi"/>
          <w:sz w:val="24"/>
          <w:szCs w:val="24"/>
          <w:lang w:val="es-MX" w:eastAsia="es-ES"/>
        </w:rPr>
        <w:t xml:space="preserve"> que:</w:t>
      </w:r>
    </w:p>
    <w:p w:rsidR="00BA306C" w:rsidRPr="00E70710" w:rsidRDefault="00BA306C" w:rsidP="00F302C2">
      <w:pPr>
        <w:overflowPunct w:val="0"/>
        <w:autoSpaceDE w:val="0"/>
        <w:autoSpaceDN w:val="0"/>
        <w:adjustRightInd w:val="0"/>
        <w:spacing w:after="0" w:line="276" w:lineRule="auto"/>
        <w:ind w:left="1134" w:right="902" w:firstLine="1701"/>
        <w:jc w:val="both"/>
        <w:textAlignment w:val="baseline"/>
        <w:rPr>
          <w:rFonts w:ascii="Century Gothic" w:eastAsia="Times New Roman" w:hAnsi="Century Gothic"/>
          <w:b/>
          <w:sz w:val="24"/>
          <w:szCs w:val="24"/>
          <w:lang w:val="es-CO" w:eastAsia="es-ES"/>
        </w:rPr>
      </w:pPr>
    </w:p>
    <w:p w:rsidR="00BA306C" w:rsidRPr="00E70710" w:rsidRDefault="00BA306C" w:rsidP="0072465C">
      <w:pPr>
        <w:overflowPunct w:val="0"/>
        <w:autoSpaceDE w:val="0"/>
        <w:autoSpaceDN w:val="0"/>
        <w:adjustRightInd w:val="0"/>
        <w:spacing w:after="0" w:line="276" w:lineRule="auto"/>
        <w:ind w:left="567" w:right="618" w:firstLine="2268"/>
        <w:jc w:val="both"/>
        <w:textAlignment w:val="baseline"/>
        <w:rPr>
          <w:rFonts w:ascii="Arial Narrow" w:eastAsia="Times New Roman" w:hAnsi="Arial Narrow"/>
          <w:iCs/>
          <w:sz w:val="24"/>
          <w:szCs w:val="24"/>
          <w:lang w:eastAsia="es-ES"/>
        </w:rPr>
      </w:pPr>
      <w:r w:rsidRPr="00E70710">
        <w:rPr>
          <w:rFonts w:ascii="Arial Narrow" w:eastAsia="Times New Roman" w:hAnsi="Arial Narrow"/>
          <w:iCs/>
          <w:sz w:val="24"/>
          <w:szCs w:val="24"/>
          <w:lang w:eastAsia="es-ES"/>
        </w:rPr>
        <w:t>“Sólo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contra el principio de la 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BA306C" w:rsidRPr="00E70710" w:rsidRDefault="00BA306C" w:rsidP="00F302C2">
      <w:pPr>
        <w:overflowPunct w:val="0"/>
        <w:autoSpaceDE w:val="0"/>
        <w:autoSpaceDN w:val="0"/>
        <w:adjustRightInd w:val="0"/>
        <w:spacing w:after="0" w:line="276" w:lineRule="auto"/>
        <w:ind w:left="567" w:right="618" w:firstLine="1701"/>
        <w:jc w:val="both"/>
        <w:textAlignment w:val="baseline"/>
        <w:rPr>
          <w:rFonts w:ascii="Arial Narrow" w:eastAsia="Times New Roman" w:hAnsi="Arial Narrow"/>
          <w:iCs/>
          <w:sz w:val="24"/>
          <w:szCs w:val="24"/>
          <w:lang w:eastAsia="es-ES"/>
        </w:rPr>
      </w:pPr>
    </w:p>
    <w:p w:rsidR="00BA306C" w:rsidRPr="00E70710" w:rsidRDefault="00BA306C" w:rsidP="0072465C">
      <w:pPr>
        <w:overflowPunct w:val="0"/>
        <w:autoSpaceDE w:val="0"/>
        <w:autoSpaceDN w:val="0"/>
        <w:adjustRightInd w:val="0"/>
        <w:spacing w:after="0" w:line="276" w:lineRule="auto"/>
        <w:ind w:left="567" w:right="618" w:firstLine="2268"/>
        <w:jc w:val="both"/>
        <w:textAlignment w:val="baseline"/>
        <w:rPr>
          <w:rFonts w:ascii="Arial Narrow" w:eastAsia="Times New Roman" w:hAnsi="Arial Narrow"/>
          <w:iCs/>
          <w:sz w:val="24"/>
          <w:szCs w:val="24"/>
          <w:lang w:eastAsia="es-ES"/>
        </w:rPr>
      </w:pPr>
      <w:r w:rsidRPr="00E70710">
        <w:rPr>
          <w:rFonts w:ascii="Arial Narrow" w:eastAsia="Times New Roman" w:hAnsi="Arial Narrow"/>
          <w:iCs/>
          <w:sz w:val="24"/>
          <w:szCs w:val="24"/>
          <w:lang w:eastAsia="es-ES"/>
        </w:rPr>
        <w:t>[...]La vía de hecho -excepcional,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w:t>
      </w:r>
      <w:r w:rsidRPr="00E70710">
        <w:rPr>
          <w:rFonts w:ascii="Arial Narrow" w:eastAsia="Times New Roman" w:hAnsi="Arial Narrow"/>
          <w:sz w:val="24"/>
          <w:szCs w:val="24"/>
          <w:lang w:eastAsia="es-ES"/>
        </w:rPr>
        <w:t>”</w:t>
      </w:r>
    </w:p>
    <w:p w:rsidR="00BA306C" w:rsidRPr="00E70710" w:rsidRDefault="00BA306C" w:rsidP="00F302C2">
      <w:pPr>
        <w:overflowPunct w:val="0"/>
        <w:autoSpaceDE w:val="0"/>
        <w:autoSpaceDN w:val="0"/>
        <w:adjustRightInd w:val="0"/>
        <w:spacing w:after="0" w:line="276" w:lineRule="auto"/>
        <w:jc w:val="both"/>
        <w:textAlignment w:val="baseline"/>
        <w:rPr>
          <w:rFonts w:ascii="Arial Narrow" w:eastAsia="Times New Roman" w:hAnsi="Arial Narrow"/>
          <w:b/>
          <w:sz w:val="24"/>
          <w:szCs w:val="24"/>
          <w:lang w:val="es-MX" w:eastAsia="es-ES"/>
        </w:rPr>
      </w:pPr>
    </w:p>
    <w:p w:rsidR="00BA306C" w:rsidRDefault="00BA306C" w:rsidP="00F302C2">
      <w:pPr>
        <w:overflowPunct w:val="0"/>
        <w:autoSpaceDE w:val="0"/>
        <w:autoSpaceDN w:val="0"/>
        <w:adjustRightInd w:val="0"/>
        <w:spacing w:after="0" w:line="276" w:lineRule="auto"/>
        <w:ind w:firstLine="2835"/>
        <w:jc w:val="both"/>
        <w:textAlignment w:val="baseline"/>
        <w:rPr>
          <w:rFonts w:ascii="Gadugi" w:eastAsia="Times New Roman" w:hAnsi="Gadugi" w:cs="Century Gothic"/>
          <w:b/>
          <w:sz w:val="24"/>
          <w:szCs w:val="24"/>
          <w:lang w:eastAsia="es-ES"/>
        </w:rPr>
      </w:pPr>
      <w:r w:rsidRPr="00E70710">
        <w:rPr>
          <w:rFonts w:ascii="Gadugi" w:eastAsia="Times New Roman" w:hAnsi="Gadugi"/>
          <w:sz w:val="24"/>
          <w:szCs w:val="24"/>
          <w:lang w:eastAsia="es-ES"/>
        </w:rPr>
        <w:t>No se olvide, adicionalmente, que la acción de tutela no ha sido erigida como una instancia adicional con la que se pueda controvertir una decisión judicial; al contrario, su alcance es restringido y, por ello, se insiste, no permite cuestionar la interpretación que un juez realiza de un determinado asunto, a menos que ella sea tan absurda o antojadiza, que desborde la lógica, o cercene una evidente oportunidad procesal, situaciones que no acontecen, según viene de verse, en el presente asunto, con lo cual</w:t>
      </w:r>
      <w:r w:rsidRPr="00E70710">
        <w:rPr>
          <w:rFonts w:ascii="Gadugi" w:eastAsia="Times New Roman" w:hAnsi="Gadugi"/>
          <w:sz w:val="24"/>
          <w:szCs w:val="24"/>
          <w:lang w:val="es-MX" w:eastAsia="es-ES"/>
        </w:rPr>
        <w:t xml:space="preserve">, </w:t>
      </w:r>
      <w:r>
        <w:rPr>
          <w:rFonts w:ascii="Gadugi" w:eastAsia="Times New Roman" w:hAnsi="Gadugi"/>
          <w:sz w:val="24"/>
          <w:szCs w:val="24"/>
          <w:lang w:val="es-MX" w:eastAsia="es-ES"/>
        </w:rPr>
        <w:t>el amparo se negará</w:t>
      </w:r>
      <w:r w:rsidRPr="00E70710">
        <w:rPr>
          <w:rFonts w:ascii="Gadugi" w:eastAsia="Times New Roman" w:hAnsi="Gadugi"/>
          <w:sz w:val="24"/>
          <w:szCs w:val="24"/>
          <w:lang w:val="es-MX" w:eastAsia="es-ES"/>
        </w:rPr>
        <w:t>.</w:t>
      </w:r>
      <w:r w:rsidRPr="00E70710">
        <w:rPr>
          <w:rFonts w:ascii="Gadugi" w:eastAsia="Times New Roman" w:hAnsi="Gadugi" w:cs="Century Gothic"/>
          <w:b/>
          <w:sz w:val="24"/>
          <w:szCs w:val="24"/>
          <w:lang w:eastAsia="es-ES"/>
        </w:rPr>
        <w:t xml:space="preserve"> </w:t>
      </w:r>
    </w:p>
    <w:p w:rsidR="006116BC" w:rsidRDefault="006116BC" w:rsidP="00F302C2">
      <w:pPr>
        <w:overflowPunct w:val="0"/>
        <w:autoSpaceDE w:val="0"/>
        <w:autoSpaceDN w:val="0"/>
        <w:adjustRightInd w:val="0"/>
        <w:spacing w:after="0" w:line="276" w:lineRule="auto"/>
        <w:ind w:right="51"/>
        <w:jc w:val="both"/>
        <w:textAlignment w:val="baseline"/>
        <w:rPr>
          <w:rFonts w:ascii="Gadugi" w:eastAsia="Times New Roman" w:hAnsi="Gadugi" w:cs="Arial"/>
          <w:sz w:val="24"/>
          <w:szCs w:val="24"/>
          <w:lang w:eastAsia="es-ES"/>
        </w:rPr>
      </w:pPr>
    </w:p>
    <w:p w:rsidR="000E09B7" w:rsidRDefault="000D64A3" w:rsidP="000D64A3">
      <w:pPr>
        <w:overflowPunct w:val="0"/>
        <w:autoSpaceDE w:val="0"/>
        <w:autoSpaceDN w:val="0"/>
        <w:adjustRightInd w:val="0"/>
        <w:spacing w:after="0" w:line="276" w:lineRule="auto"/>
        <w:ind w:right="51"/>
        <w:jc w:val="both"/>
        <w:textAlignment w:val="baseline"/>
        <w:rPr>
          <w:rFonts w:ascii="Gadugi" w:eastAsia="Times New Roman" w:hAnsi="Gadugi"/>
          <w:color w:val="FF0000"/>
          <w:sz w:val="24"/>
          <w:szCs w:val="24"/>
          <w:lang w:val="es-MX" w:eastAsia="es-ES"/>
        </w:rPr>
      </w:pPr>
      <w:r>
        <w:rPr>
          <w:rFonts w:ascii="Gadugi" w:eastAsia="Times New Roman" w:hAnsi="Gadugi"/>
          <w:sz w:val="24"/>
          <w:szCs w:val="24"/>
          <w:lang w:val="es-MX" w:eastAsia="es-ES"/>
        </w:rPr>
        <w:tab/>
      </w:r>
      <w:r>
        <w:rPr>
          <w:rFonts w:ascii="Gadugi" w:eastAsia="Times New Roman" w:hAnsi="Gadugi"/>
          <w:sz w:val="24"/>
          <w:szCs w:val="24"/>
          <w:lang w:val="es-MX" w:eastAsia="es-ES"/>
        </w:rPr>
        <w:tab/>
      </w:r>
      <w:r>
        <w:rPr>
          <w:rFonts w:ascii="Gadugi" w:eastAsia="Times New Roman" w:hAnsi="Gadugi"/>
          <w:sz w:val="24"/>
          <w:szCs w:val="24"/>
          <w:lang w:val="es-MX" w:eastAsia="es-ES"/>
        </w:rPr>
        <w:tab/>
      </w:r>
      <w:r w:rsidRPr="00A147DD">
        <w:rPr>
          <w:rFonts w:ascii="Gadugi" w:eastAsia="Times New Roman" w:hAnsi="Gadugi"/>
          <w:color w:val="000000" w:themeColor="text1"/>
          <w:sz w:val="24"/>
          <w:szCs w:val="24"/>
          <w:lang w:val="es-MX" w:eastAsia="es-ES"/>
        </w:rPr>
        <w:tab/>
      </w:r>
      <w:r w:rsidR="00B70379">
        <w:rPr>
          <w:rFonts w:ascii="Gadugi" w:eastAsia="Times New Roman" w:hAnsi="Gadugi"/>
          <w:color w:val="000000" w:themeColor="text1"/>
          <w:sz w:val="24"/>
          <w:szCs w:val="24"/>
          <w:lang w:val="es-419" w:eastAsia="es-ES"/>
        </w:rPr>
        <w:t xml:space="preserve">No puede concluirse esta providencia sin aludir a </w:t>
      </w:r>
      <w:r w:rsidRPr="00A147DD">
        <w:rPr>
          <w:rFonts w:ascii="Gadugi" w:eastAsia="Times New Roman" w:hAnsi="Gadugi"/>
          <w:color w:val="000000" w:themeColor="text1"/>
          <w:sz w:val="24"/>
          <w:szCs w:val="24"/>
          <w:lang w:val="es-MX" w:eastAsia="es-ES"/>
        </w:rPr>
        <w:t>la caprichosa actitud del accionante</w:t>
      </w:r>
      <w:r w:rsidR="00B70379">
        <w:rPr>
          <w:rFonts w:ascii="Gadugi" w:eastAsia="Times New Roman" w:hAnsi="Gadugi"/>
          <w:color w:val="000000" w:themeColor="text1"/>
          <w:sz w:val="24"/>
          <w:szCs w:val="24"/>
          <w:lang w:val="es-419" w:eastAsia="es-ES"/>
        </w:rPr>
        <w:t>,</w:t>
      </w:r>
      <w:r w:rsidR="000E09B7" w:rsidRPr="00A147DD">
        <w:rPr>
          <w:rFonts w:ascii="Gadugi" w:eastAsia="Times New Roman" w:hAnsi="Gadugi"/>
          <w:color w:val="000000" w:themeColor="text1"/>
          <w:sz w:val="24"/>
          <w:szCs w:val="24"/>
          <w:lang w:val="es-MX" w:eastAsia="es-ES"/>
        </w:rPr>
        <w:t xml:space="preserve"> quien en escritos precedentes (f. 33 y 35) conminó con ahínco al Juzgado l</w:t>
      </w:r>
      <w:r w:rsidR="00B70379">
        <w:rPr>
          <w:rFonts w:ascii="Gadugi" w:eastAsia="Times New Roman" w:hAnsi="Gadugi"/>
          <w:color w:val="000000" w:themeColor="text1"/>
          <w:sz w:val="24"/>
          <w:szCs w:val="24"/>
          <w:lang w:val="es-419" w:eastAsia="es-ES"/>
        </w:rPr>
        <w:t xml:space="preserve">a vinculación de los propietarios de los inmuebles, </w:t>
      </w:r>
      <w:r w:rsidR="000E09B7" w:rsidRPr="00A147DD">
        <w:rPr>
          <w:rFonts w:ascii="Gadugi" w:eastAsia="Times New Roman" w:hAnsi="Gadugi"/>
          <w:color w:val="000000" w:themeColor="text1"/>
          <w:sz w:val="24"/>
          <w:szCs w:val="24"/>
          <w:lang w:val="es-MX" w:eastAsia="es-ES"/>
        </w:rPr>
        <w:t xml:space="preserve">que ahora, por medio de esta especial senda, reprocha; su actuar desvela, sin duda, </w:t>
      </w:r>
      <w:r w:rsidR="00A147DD" w:rsidRPr="00A147DD">
        <w:rPr>
          <w:rFonts w:ascii="Gadugi" w:eastAsia="Times New Roman" w:hAnsi="Gadugi"/>
          <w:color w:val="000000" w:themeColor="text1"/>
          <w:sz w:val="24"/>
          <w:szCs w:val="24"/>
          <w:lang w:val="es-MX" w:eastAsia="es-ES"/>
        </w:rPr>
        <w:t xml:space="preserve">su falta de respeto </w:t>
      </w:r>
      <w:r w:rsidR="00B70379">
        <w:rPr>
          <w:rFonts w:ascii="Gadugi" w:eastAsia="Times New Roman" w:hAnsi="Gadugi"/>
          <w:color w:val="000000" w:themeColor="text1"/>
          <w:sz w:val="24"/>
          <w:szCs w:val="24"/>
          <w:lang w:val="es-419" w:eastAsia="es-ES"/>
        </w:rPr>
        <w:t xml:space="preserve">frente a la </w:t>
      </w:r>
      <w:r w:rsidR="006523B9">
        <w:rPr>
          <w:rFonts w:ascii="Gadugi" w:eastAsia="Times New Roman" w:hAnsi="Gadugi"/>
          <w:color w:val="000000" w:themeColor="text1"/>
          <w:sz w:val="24"/>
          <w:szCs w:val="24"/>
          <w:lang w:val="es-MX" w:eastAsia="es-ES"/>
        </w:rPr>
        <w:t>administración de justicia</w:t>
      </w:r>
      <w:r w:rsidR="00A147DD" w:rsidRPr="00A147DD">
        <w:rPr>
          <w:rFonts w:ascii="Gadugi" w:eastAsia="Times New Roman" w:hAnsi="Gadugi"/>
          <w:color w:val="000000" w:themeColor="text1"/>
          <w:sz w:val="24"/>
          <w:szCs w:val="24"/>
          <w:lang w:val="es-MX" w:eastAsia="es-ES"/>
        </w:rPr>
        <w:t>.</w:t>
      </w:r>
    </w:p>
    <w:p w:rsidR="000F7A50" w:rsidRPr="00F955AD" w:rsidRDefault="000F7A50" w:rsidP="00F302C2">
      <w:pPr>
        <w:shd w:val="clear" w:color="auto" w:fill="FFFFFF"/>
        <w:spacing w:after="0" w:line="276" w:lineRule="auto"/>
        <w:jc w:val="both"/>
        <w:rPr>
          <w:rFonts w:ascii="Gadugi" w:hAnsi="Gadugi"/>
          <w:sz w:val="24"/>
          <w:szCs w:val="24"/>
          <w:lang w:val="es-CO"/>
        </w:rPr>
      </w:pPr>
      <w:r w:rsidRPr="00F955AD">
        <w:rPr>
          <w:rFonts w:ascii="Gadugi" w:hAnsi="Gadugi"/>
          <w:sz w:val="24"/>
          <w:szCs w:val="24"/>
        </w:rPr>
        <w:tab/>
      </w:r>
      <w:r w:rsidRPr="00F955AD">
        <w:rPr>
          <w:rFonts w:ascii="Gadugi" w:hAnsi="Gadugi"/>
          <w:sz w:val="24"/>
          <w:szCs w:val="24"/>
        </w:rPr>
        <w:tab/>
      </w:r>
      <w:r w:rsidRPr="00F955AD">
        <w:rPr>
          <w:rFonts w:ascii="Gadugi" w:hAnsi="Gadugi"/>
          <w:sz w:val="24"/>
          <w:szCs w:val="24"/>
        </w:rPr>
        <w:tab/>
      </w:r>
    </w:p>
    <w:p w:rsidR="001B7AB0" w:rsidRDefault="001B7AB0" w:rsidP="001B7AB0">
      <w:pPr>
        <w:overflowPunct w:val="0"/>
        <w:autoSpaceDE w:val="0"/>
        <w:autoSpaceDN w:val="0"/>
        <w:adjustRightInd w:val="0"/>
        <w:spacing w:after="0" w:line="276" w:lineRule="auto"/>
        <w:ind w:right="51"/>
        <w:jc w:val="both"/>
        <w:textAlignment w:val="baseline"/>
        <w:rPr>
          <w:rFonts w:ascii="Gadugi" w:hAnsi="Gadugi"/>
          <w:sz w:val="24"/>
          <w:szCs w:val="24"/>
          <w:lang w:val="es-CO"/>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sidR="000279C8">
        <w:rPr>
          <w:rFonts w:ascii="Gadugi" w:hAnsi="Gadugi"/>
          <w:sz w:val="24"/>
          <w:szCs w:val="24"/>
        </w:rPr>
        <w:t>Finalmente, s</w:t>
      </w:r>
      <w:r w:rsidRPr="00F955AD">
        <w:rPr>
          <w:rFonts w:ascii="Gadugi" w:hAnsi="Gadugi"/>
          <w:sz w:val="24"/>
          <w:szCs w:val="24"/>
        </w:rPr>
        <w:t>obra decir</w:t>
      </w:r>
      <w:r w:rsidRPr="00F955AD">
        <w:rPr>
          <w:rFonts w:ascii="Gadugi" w:hAnsi="Gadugi"/>
          <w:sz w:val="24"/>
          <w:szCs w:val="24"/>
          <w:lang w:val="es-CO"/>
        </w:rPr>
        <w:t xml:space="preserve"> </w:t>
      </w:r>
      <w:r w:rsidRPr="00F955AD">
        <w:rPr>
          <w:rFonts w:ascii="Gadugi" w:hAnsi="Gadugi"/>
          <w:sz w:val="24"/>
          <w:szCs w:val="24"/>
        </w:rPr>
        <w:t>que ningún perjuicio irremediable se ha invocado, y menos se ha demostrado, que permita la intrusión de la Sala en aquella actuación</w:t>
      </w:r>
      <w:r>
        <w:rPr>
          <w:rFonts w:ascii="Gadugi" w:hAnsi="Gadugi"/>
          <w:sz w:val="24"/>
          <w:szCs w:val="24"/>
          <w:lang w:val="es-CO"/>
        </w:rPr>
        <w:t>.</w:t>
      </w:r>
    </w:p>
    <w:p w:rsidR="000F7A50" w:rsidRPr="003B0785" w:rsidRDefault="000F7A50" w:rsidP="00F302C2">
      <w:pPr>
        <w:shd w:val="clear" w:color="auto" w:fill="FFFFFF"/>
        <w:spacing w:after="0" w:line="276" w:lineRule="auto"/>
        <w:jc w:val="both"/>
        <w:rPr>
          <w:rFonts w:ascii="Gadugi" w:hAnsi="Gadugi"/>
          <w:sz w:val="24"/>
          <w:szCs w:val="24"/>
        </w:rPr>
      </w:pPr>
    </w:p>
    <w:p w:rsidR="000F7A50" w:rsidRDefault="000F7A50" w:rsidP="00F302C2">
      <w:pPr>
        <w:shd w:val="clear" w:color="auto" w:fill="FFFFFF"/>
        <w:spacing w:after="0" w:line="276" w:lineRule="auto"/>
        <w:jc w:val="both"/>
        <w:rPr>
          <w:rFonts w:ascii="Gadugi" w:hAnsi="Gadugi"/>
          <w:sz w:val="24"/>
          <w:szCs w:val="24"/>
        </w:rPr>
      </w:pPr>
      <w:r w:rsidRPr="003B0785">
        <w:rPr>
          <w:rFonts w:ascii="Gadugi" w:hAnsi="Gadugi"/>
          <w:sz w:val="24"/>
          <w:szCs w:val="24"/>
        </w:rPr>
        <w:lastRenderedPageBreak/>
        <w:tab/>
      </w:r>
      <w:r w:rsidRPr="003B0785">
        <w:rPr>
          <w:rFonts w:ascii="Gadugi" w:hAnsi="Gadugi"/>
          <w:sz w:val="24"/>
          <w:szCs w:val="24"/>
        </w:rPr>
        <w:tab/>
      </w:r>
      <w:r w:rsidRPr="003B0785">
        <w:rPr>
          <w:rFonts w:ascii="Gadugi" w:hAnsi="Gadugi"/>
          <w:sz w:val="24"/>
          <w:szCs w:val="24"/>
        </w:rPr>
        <w:tab/>
      </w:r>
      <w:r w:rsidRPr="003B0785">
        <w:rPr>
          <w:rFonts w:ascii="Gadugi" w:hAnsi="Gadugi"/>
          <w:sz w:val="24"/>
          <w:szCs w:val="24"/>
        </w:rPr>
        <w:tab/>
      </w:r>
      <w:r w:rsidR="000E09B7">
        <w:rPr>
          <w:rFonts w:ascii="Gadugi" w:hAnsi="Gadugi"/>
          <w:sz w:val="24"/>
          <w:szCs w:val="24"/>
        </w:rPr>
        <w:t xml:space="preserve">Así que, como viene de verse, se declarará improcedente la </w:t>
      </w:r>
      <w:r w:rsidR="00B70379">
        <w:rPr>
          <w:rFonts w:ascii="Gadugi" w:hAnsi="Gadugi"/>
          <w:sz w:val="24"/>
          <w:szCs w:val="24"/>
          <w:lang w:val="es-419"/>
        </w:rPr>
        <w:t>acción. S</w:t>
      </w:r>
      <w:r w:rsidRPr="003B0785">
        <w:rPr>
          <w:rFonts w:ascii="Gadugi" w:hAnsi="Gadugi"/>
          <w:sz w:val="24"/>
          <w:szCs w:val="24"/>
        </w:rPr>
        <w:t>e absolverá a los demás vinculados, por no hallarse de su parte vulneración alguna de los derechos invocados.</w:t>
      </w:r>
    </w:p>
    <w:p w:rsidR="000F7A50" w:rsidRDefault="00703C6E" w:rsidP="00F302C2">
      <w:pPr>
        <w:shd w:val="clear" w:color="auto" w:fill="FFFFFF"/>
        <w:spacing w:after="0" w:line="276" w:lineRule="auto"/>
        <w:jc w:val="both"/>
        <w:rPr>
          <w:rFonts w:ascii="Gadugi" w:hAnsi="Gadugi"/>
          <w:sz w:val="24"/>
          <w:szCs w:val="24"/>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0F7A50" w:rsidRPr="00F955AD" w:rsidRDefault="00703C6E" w:rsidP="00F302C2">
      <w:pPr>
        <w:spacing w:after="0" w:line="276" w:lineRule="auto"/>
        <w:jc w:val="both"/>
        <w:rPr>
          <w:rFonts w:ascii="Gadugi" w:hAnsi="Gadugi" w:cs="Arial"/>
          <w:b/>
          <w:sz w:val="24"/>
          <w:szCs w:val="24"/>
        </w:rPr>
      </w:pP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p>
    <w:p w:rsidR="000F7A50" w:rsidRPr="00F955AD" w:rsidRDefault="000F7A50" w:rsidP="00F302C2">
      <w:pPr>
        <w:spacing w:after="0" w:line="276" w:lineRule="auto"/>
        <w:ind w:firstLine="2835"/>
        <w:jc w:val="both"/>
        <w:rPr>
          <w:rFonts w:ascii="Gadugi" w:hAnsi="Gadugi" w:cs="Arial"/>
          <w:b/>
          <w:sz w:val="24"/>
          <w:szCs w:val="24"/>
        </w:rPr>
      </w:pPr>
      <w:r w:rsidRPr="00F955AD">
        <w:rPr>
          <w:rFonts w:ascii="Gadugi" w:hAnsi="Gadugi" w:cs="Arial"/>
          <w:b/>
          <w:sz w:val="24"/>
          <w:szCs w:val="24"/>
        </w:rPr>
        <w:t>DECISIÓN</w:t>
      </w:r>
    </w:p>
    <w:p w:rsidR="000F7A50" w:rsidRDefault="00703C6E" w:rsidP="00F302C2">
      <w:pPr>
        <w:spacing w:after="0" w:line="276" w:lineRule="auto"/>
        <w:jc w:val="both"/>
        <w:rPr>
          <w:rFonts w:ascii="Gadugi" w:hAnsi="Gadugi"/>
          <w:sz w:val="24"/>
          <w:szCs w:val="24"/>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0F7A50" w:rsidRPr="00F955AD" w:rsidRDefault="000F7A50" w:rsidP="00F302C2">
      <w:pPr>
        <w:spacing w:after="0" w:line="276" w:lineRule="auto"/>
        <w:jc w:val="both"/>
        <w:rPr>
          <w:rFonts w:ascii="Gadugi" w:hAnsi="Gadugi"/>
          <w:sz w:val="24"/>
          <w:szCs w:val="24"/>
        </w:rPr>
      </w:pPr>
      <w:r w:rsidRPr="00F955AD">
        <w:rPr>
          <w:rFonts w:ascii="Gadugi" w:hAnsi="Gadugi"/>
          <w:sz w:val="24"/>
          <w:szCs w:val="24"/>
        </w:rPr>
        <w:t xml:space="preserve">  </w:t>
      </w:r>
      <w:r w:rsidRPr="00F955AD">
        <w:rPr>
          <w:rFonts w:ascii="Gadugi" w:hAnsi="Gadugi"/>
          <w:sz w:val="24"/>
          <w:szCs w:val="24"/>
        </w:rPr>
        <w:tab/>
      </w:r>
      <w:r w:rsidRPr="00F955AD">
        <w:rPr>
          <w:rFonts w:ascii="Gadugi" w:hAnsi="Gadugi"/>
          <w:sz w:val="24"/>
          <w:szCs w:val="24"/>
        </w:rPr>
        <w:tab/>
      </w:r>
      <w:r w:rsidRPr="00F955AD">
        <w:rPr>
          <w:rFonts w:ascii="Gadugi" w:hAnsi="Gadugi"/>
          <w:sz w:val="24"/>
          <w:szCs w:val="24"/>
        </w:rPr>
        <w:tab/>
      </w:r>
      <w:r w:rsidR="00703C6E">
        <w:rPr>
          <w:rFonts w:ascii="Gadugi" w:hAnsi="Gadugi"/>
          <w:sz w:val="24"/>
          <w:szCs w:val="24"/>
        </w:rPr>
        <w:tab/>
      </w:r>
    </w:p>
    <w:p w:rsidR="001B7AB0"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Century Gothic"/>
          <w:b/>
          <w:sz w:val="24"/>
          <w:szCs w:val="24"/>
          <w:lang w:val="es-419" w:eastAsia="es-ES"/>
        </w:rPr>
      </w:pPr>
      <w:r w:rsidRPr="00B865E2">
        <w:rPr>
          <w:rFonts w:ascii="Gadugi" w:eastAsia="Times New Roman" w:hAnsi="Gadugi" w:cs="Arial"/>
          <w:sz w:val="24"/>
          <w:szCs w:val="24"/>
          <w:lang w:eastAsia="es-ES"/>
        </w:rPr>
        <w:t xml:space="preserve">En armonía con lo dicho, la Sala Civil Familia del Tribunal Superior de Pereira, administrando justicia en nombre de la República y por autoridad de la Ley, </w:t>
      </w:r>
      <w:r w:rsidR="009D01E9">
        <w:rPr>
          <w:rFonts w:ascii="Gadugi" w:eastAsia="Times New Roman" w:hAnsi="Gadugi" w:cs="Arial"/>
          <w:sz w:val="24"/>
          <w:szCs w:val="24"/>
          <w:lang w:val="es-419" w:eastAsia="es-ES"/>
        </w:rPr>
        <w:t xml:space="preserve">declara </w:t>
      </w:r>
      <w:r w:rsidR="009D01E9" w:rsidRPr="009D01E9">
        <w:rPr>
          <w:rFonts w:ascii="Gadugi" w:eastAsia="Times New Roman" w:hAnsi="Gadugi" w:cs="Arial"/>
          <w:b/>
          <w:sz w:val="24"/>
          <w:szCs w:val="24"/>
          <w:lang w:val="es-419" w:eastAsia="es-ES"/>
        </w:rPr>
        <w:t>IMPROCEDENTE</w:t>
      </w:r>
      <w:r>
        <w:rPr>
          <w:rFonts w:ascii="Gadugi" w:eastAsia="Times New Roman" w:hAnsi="Gadugi" w:cs="Arial"/>
          <w:sz w:val="24"/>
          <w:szCs w:val="24"/>
          <w:lang w:eastAsia="es-ES"/>
        </w:rPr>
        <w:t xml:space="preserve"> el </w:t>
      </w:r>
      <w:r w:rsidRPr="00B865E2">
        <w:rPr>
          <w:rFonts w:ascii="Gadugi" w:eastAsia="Times New Roman" w:hAnsi="Gadugi" w:cs="Arial"/>
          <w:sz w:val="24"/>
          <w:szCs w:val="24"/>
          <w:lang w:eastAsia="es-ES"/>
        </w:rPr>
        <w:t>amparo impetrado por</w:t>
      </w:r>
      <w:r w:rsidRPr="00B865E2">
        <w:rPr>
          <w:rFonts w:ascii="Gadugi" w:eastAsia="Times New Roman" w:hAnsi="Gadugi" w:cs="Century Gothic"/>
          <w:b/>
          <w:sz w:val="24"/>
          <w:szCs w:val="24"/>
          <w:lang w:eastAsia="es-ES"/>
        </w:rPr>
        <w:t xml:space="preserve"> Javier Elías Arias Idárraga </w:t>
      </w:r>
      <w:r w:rsidRPr="00B865E2">
        <w:rPr>
          <w:rFonts w:ascii="Gadugi" w:eastAsia="Times New Roman" w:hAnsi="Gadugi" w:cs="Century Gothic"/>
          <w:bCs/>
          <w:sz w:val="24"/>
          <w:szCs w:val="24"/>
          <w:lang w:eastAsia="es-ES"/>
        </w:rPr>
        <w:t>contra</w:t>
      </w:r>
      <w:r w:rsidRPr="00B865E2">
        <w:rPr>
          <w:rFonts w:ascii="Gadugi" w:eastAsia="Times New Roman" w:hAnsi="Gadugi" w:cs="Century Gothic"/>
          <w:sz w:val="24"/>
          <w:szCs w:val="24"/>
          <w:lang w:eastAsia="es-ES"/>
        </w:rPr>
        <w:t xml:space="preserve"> el </w:t>
      </w:r>
      <w:r w:rsidR="002048CF">
        <w:rPr>
          <w:rFonts w:ascii="Gadugi" w:eastAsia="Times New Roman" w:hAnsi="Gadugi" w:cs="Century Gothic"/>
          <w:b/>
          <w:sz w:val="24"/>
          <w:szCs w:val="24"/>
          <w:lang w:eastAsia="es-ES"/>
        </w:rPr>
        <w:t xml:space="preserve">Juzgado </w:t>
      </w:r>
      <w:r w:rsidR="009D01E9">
        <w:rPr>
          <w:rFonts w:ascii="Gadugi" w:eastAsia="Times New Roman" w:hAnsi="Gadugi" w:cs="Century Gothic"/>
          <w:b/>
          <w:sz w:val="24"/>
          <w:szCs w:val="24"/>
          <w:lang w:val="es-419" w:eastAsia="es-ES"/>
        </w:rPr>
        <w:t>Cuarto</w:t>
      </w:r>
      <w:r w:rsidR="002048CF">
        <w:rPr>
          <w:rFonts w:ascii="Gadugi" w:eastAsia="Times New Roman" w:hAnsi="Gadugi" w:cs="Century Gothic"/>
          <w:b/>
          <w:sz w:val="24"/>
          <w:szCs w:val="24"/>
          <w:lang w:eastAsia="es-ES"/>
        </w:rPr>
        <w:t xml:space="preserve"> Civil del Circuito </w:t>
      </w:r>
      <w:r w:rsidR="002048CF" w:rsidRPr="009D01E9">
        <w:rPr>
          <w:rFonts w:ascii="Gadugi" w:eastAsia="Times New Roman" w:hAnsi="Gadugi" w:cs="Century Gothic"/>
          <w:sz w:val="24"/>
          <w:szCs w:val="24"/>
          <w:lang w:eastAsia="es-ES"/>
        </w:rPr>
        <w:t>local</w:t>
      </w:r>
      <w:r w:rsidR="009D01E9" w:rsidRPr="009D01E9">
        <w:rPr>
          <w:rFonts w:ascii="Gadugi" w:eastAsia="Times New Roman" w:hAnsi="Gadugi" w:cs="Century Gothic"/>
          <w:sz w:val="24"/>
          <w:szCs w:val="24"/>
          <w:lang w:val="es-419" w:eastAsia="es-ES"/>
        </w:rPr>
        <w:t>.</w:t>
      </w:r>
      <w:r w:rsidR="009D01E9">
        <w:rPr>
          <w:rFonts w:ascii="Gadugi" w:eastAsia="Times New Roman" w:hAnsi="Gadugi" w:cs="Century Gothic"/>
          <w:b/>
          <w:sz w:val="24"/>
          <w:szCs w:val="24"/>
          <w:lang w:val="es-419" w:eastAsia="es-ES"/>
        </w:rPr>
        <w:t xml:space="preserve"> </w:t>
      </w:r>
    </w:p>
    <w:p w:rsidR="009D01E9" w:rsidRDefault="009D01E9" w:rsidP="00F302C2">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9D01E9"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B865E2">
        <w:rPr>
          <w:rFonts w:ascii="Gadugi" w:eastAsia="Times New Roman" w:hAnsi="Gadugi" w:cs="Arial"/>
          <w:sz w:val="24"/>
          <w:szCs w:val="24"/>
          <w:lang w:eastAsia="es-ES"/>
        </w:rPr>
        <w:t>Se absuelve a las demás entidades involucradas</w:t>
      </w:r>
      <w:r w:rsidR="009D01E9">
        <w:rPr>
          <w:rFonts w:ascii="Gadugi" w:eastAsia="Times New Roman" w:hAnsi="Gadugi" w:cs="Arial"/>
          <w:sz w:val="24"/>
          <w:szCs w:val="24"/>
          <w:lang w:val="es-419" w:eastAsia="es-ES"/>
        </w:rPr>
        <w:t xml:space="preserve">. </w:t>
      </w:r>
      <w:r w:rsidRPr="00B865E2">
        <w:rPr>
          <w:rFonts w:ascii="Gadugi" w:eastAsia="Times New Roman" w:hAnsi="Gadugi" w:cs="Arial"/>
          <w:sz w:val="24"/>
          <w:szCs w:val="24"/>
          <w:lang w:eastAsia="es-ES"/>
        </w:rPr>
        <w:t xml:space="preserve"> </w:t>
      </w:r>
    </w:p>
    <w:p w:rsidR="009D01E9" w:rsidRDefault="009D01E9" w:rsidP="00F302C2">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67573F"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B865E2">
        <w:rPr>
          <w:rFonts w:ascii="Gadugi" w:eastAsia="Times New Roman" w:hAnsi="Gadugi" w:cs="Arial"/>
          <w:sz w:val="24"/>
          <w:szCs w:val="24"/>
          <w:lang w:eastAsia="es-ES"/>
        </w:rPr>
        <w:t xml:space="preserve">Notifíquese la decisión a las partes en la forma prevista en el artículo 5º del Decreto 306 de 1992 y si no es impugnada remítase a la Corte Constitucional para su eventual revisión. </w:t>
      </w:r>
      <w:r>
        <w:rPr>
          <w:rFonts w:ascii="Gadugi" w:eastAsia="Times New Roman" w:hAnsi="Gadugi" w:cs="Arial"/>
          <w:sz w:val="24"/>
          <w:szCs w:val="24"/>
          <w:lang w:eastAsia="es-ES"/>
        </w:rPr>
        <w:t xml:space="preserve"> </w:t>
      </w:r>
    </w:p>
    <w:p w:rsidR="0067573F" w:rsidRDefault="0067573F" w:rsidP="00F302C2">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703C6E"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Pr>
          <w:rFonts w:ascii="Gadugi" w:eastAsia="Times New Roman" w:hAnsi="Gadugi" w:cs="Arial"/>
          <w:sz w:val="24"/>
          <w:szCs w:val="24"/>
          <w:lang w:eastAsia="es-ES"/>
        </w:rPr>
        <w:t>A su regreso archívese el expediente.</w:t>
      </w:r>
    </w:p>
    <w:p w:rsidR="00703C6E"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703C6E" w:rsidRPr="00B865E2"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Arial"/>
          <w:bCs/>
          <w:sz w:val="24"/>
          <w:szCs w:val="24"/>
          <w:lang w:eastAsia="es-ES"/>
        </w:rPr>
      </w:pPr>
      <w:r w:rsidRPr="00B865E2">
        <w:rPr>
          <w:rFonts w:ascii="Gadugi" w:eastAsia="Times New Roman" w:hAnsi="Gadugi" w:cs="Arial"/>
          <w:bCs/>
          <w:sz w:val="24"/>
          <w:szCs w:val="24"/>
          <w:lang w:eastAsia="es-ES"/>
        </w:rPr>
        <w:t>Los Magistrados,</w:t>
      </w:r>
    </w:p>
    <w:p w:rsidR="00703C6E" w:rsidRPr="00B865E2" w:rsidRDefault="00703C6E" w:rsidP="00F302C2">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703C6E" w:rsidRPr="00B865E2"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p>
    <w:p w:rsidR="00703C6E" w:rsidRPr="00B865E2" w:rsidRDefault="00703C6E" w:rsidP="00F302C2">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B865E2">
        <w:rPr>
          <w:rFonts w:ascii="Gadugi" w:eastAsia="Times New Roman" w:hAnsi="Gadugi" w:cs="Arial"/>
          <w:b/>
          <w:sz w:val="24"/>
          <w:szCs w:val="24"/>
          <w:lang w:eastAsia="es-ES"/>
        </w:rPr>
        <w:t>JAIME ALBERTO SARAZA NARANJO</w:t>
      </w:r>
    </w:p>
    <w:p w:rsidR="00703C6E" w:rsidRPr="00B865E2" w:rsidRDefault="00703C6E" w:rsidP="00F302C2">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703C6E" w:rsidRPr="00B865E2" w:rsidRDefault="00703C6E" w:rsidP="00F302C2">
      <w:pPr>
        <w:overflowPunct w:val="0"/>
        <w:autoSpaceDE w:val="0"/>
        <w:autoSpaceDN w:val="0"/>
        <w:adjustRightInd w:val="0"/>
        <w:spacing w:after="0" w:line="276" w:lineRule="auto"/>
        <w:jc w:val="both"/>
        <w:textAlignment w:val="baseline"/>
        <w:rPr>
          <w:rFonts w:ascii="Gadugi" w:eastAsia="Times New Roman" w:hAnsi="Gadugi" w:cs="Arial"/>
          <w:b/>
          <w:sz w:val="24"/>
          <w:szCs w:val="24"/>
          <w:lang w:eastAsia="es-ES"/>
        </w:rPr>
      </w:pPr>
    </w:p>
    <w:p w:rsidR="00DF65D9" w:rsidRDefault="00703C6E" w:rsidP="009D01E9">
      <w:pPr>
        <w:overflowPunct w:val="0"/>
        <w:autoSpaceDE w:val="0"/>
        <w:autoSpaceDN w:val="0"/>
        <w:adjustRightInd w:val="0"/>
        <w:spacing w:after="0" w:line="276" w:lineRule="auto"/>
        <w:jc w:val="both"/>
        <w:textAlignment w:val="baseline"/>
      </w:pPr>
      <w:r w:rsidRPr="00B865E2">
        <w:rPr>
          <w:rFonts w:ascii="Gadugi" w:eastAsia="Times New Roman" w:hAnsi="Gadugi" w:cs="Arial"/>
          <w:b/>
          <w:sz w:val="24"/>
          <w:szCs w:val="24"/>
          <w:lang w:val="es-ES_tradnl" w:eastAsia="es-ES"/>
        </w:rPr>
        <w:t xml:space="preserve">CLAUDIA MARÍA ARCILA RÍOS  </w:t>
      </w:r>
      <w:r w:rsidRPr="00B865E2">
        <w:rPr>
          <w:rFonts w:ascii="Gadugi" w:eastAsia="Times New Roman" w:hAnsi="Gadugi" w:cs="Arial"/>
          <w:b/>
          <w:sz w:val="24"/>
          <w:szCs w:val="24"/>
          <w:lang w:val="es-ES_tradnl" w:eastAsia="es-ES"/>
        </w:rPr>
        <w:tab/>
      </w:r>
      <w:r w:rsidRPr="00B865E2">
        <w:rPr>
          <w:rFonts w:ascii="Gadugi" w:eastAsia="Times New Roman" w:hAnsi="Gadugi" w:cs="Arial"/>
          <w:b/>
          <w:sz w:val="24"/>
          <w:szCs w:val="24"/>
          <w:lang w:val="es-ES_tradnl" w:eastAsia="es-ES"/>
        </w:rPr>
        <w:tab/>
        <w:t xml:space="preserve">  DUBERNEY GRISALES HERRERA     </w:t>
      </w:r>
    </w:p>
    <w:sectPr w:rsidR="00DF65D9" w:rsidSect="0026410E">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EC" w:rsidRDefault="003D7CEC" w:rsidP="000F7A50">
      <w:pPr>
        <w:spacing w:after="0" w:line="240" w:lineRule="auto"/>
      </w:pPr>
      <w:r>
        <w:separator/>
      </w:r>
    </w:p>
  </w:endnote>
  <w:endnote w:type="continuationSeparator" w:id="0">
    <w:p w:rsidR="003D7CEC" w:rsidRDefault="003D7CEC" w:rsidP="000F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0E" w:rsidRDefault="006334E0">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5AAC">
      <w:rPr>
        <w:rStyle w:val="Nmerodepgina"/>
        <w:noProof/>
      </w:rPr>
      <w:t>2</w:t>
    </w:r>
    <w:r>
      <w:rPr>
        <w:rStyle w:val="Nmerodepgina"/>
      </w:rPr>
      <w:fldChar w:fldCharType="end"/>
    </w:r>
  </w:p>
  <w:p w:rsidR="0026410E" w:rsidRDefault="003D7CE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EC" w:rsidRDefault="003D7CEC" w:rsidP="000F7A50">
      <w:pPr>
        <w:spacing w:after="0" w:line="240" w:lineRule="auto"/>
      </w:pPr>
      <w:r>
        <w:separator/>
      </w:r>
    </w:p>
  </w:footnote>
  <w:footnote w:type="continuationSeparator" w:id="0">
    <w:p w:rsidR="003D7CEC" w:rsidRDefault="003D7CEC" w:rsidP="000F7A50">
      <w:pPr>
        <w:spacing w:after="0" w:line="240" w:lineRule="auto"/>
      </w:pPr>
      <w:r>
        <w:continuationSeparator/>
      </w:r>
    </w:p>
  </w:footnote>
  <w:footnote w:id="1">
    <w:p w:rsidR="006523B9" w:rsidRPr="006523B9" w:rsidRDefault="006523B9">
      <w:pPr>
        <w:pStyle w:val="Textonotapie"/>
        <w:rPr>
          <w:rFonts w:ascii="Agency FB" w:hAnsi="Agency FB"/>
          <w:sz w:val="24"/>
          <w:szCs w:val="24"/>
          <w:lang w:val="es-MX"/>
        </w:rPr>
      </w:pPr>
      <w:r w:rsidRPr="006523B9">
        <w:rPr>
          <w:rStyle w:val="Refdenotaalpie"/>
          <w:rFonts w:ascii="Agency FB" w:hAnsi="Agency FB"/>
          <w:sz w:val="24"/>
          <w:szCs w:val="24"/>
        </w:rPr>
        <w:footnoteRef/>
      </w:r>
      <w:r w:rsidRPr="006523B9">
        <w:rPr>
          <w:rFonts w:ascii="Agency FB" w:hAnsi="Agency FB"/>
          <w:sz w:val="24"/>
          <w:szCs w:val="24"/>
        </w:rPr>
        <w:t xml:space="preserve"> </w:t>
      </w:r>
      <w:r w:rsidRPr="006523B9">
        <w:rPr>
          <w:rFonts w:ascii="Agency FB" w:hAnsi="Agency FB"/>
          <w:sz w:val="24"/>
          <w:szCs w:val="24"/>
          <w:lang w:val="es-MX"/>
        </w:rPr>
        <w:t>Se refiere la libelista a la acción popular y la acción de tutela.</w:t>
      </w:r>
    </w:p>
  </w:footnote>
  <w:footnote w:id="2">
    <w:p w:rsidR="000F7A50" w:rsidRPr="00B52D8B" w:rsidRDefault="000F7A50" w:rsidP="000F7A50">
      <w:pPr>
        <w:pStyle w:val="Textonotapie"/>
        <w:tabs>
          <w:tab w:val="left" w:pos="142"/>
        </w:tabs>
        <w:rPr>
          <w:rFonts w:ascii="Agency FB" w:hAnsi="Agency FB"/>
          <w:sz w:val="24"/>
          <w:szCs w:val="24"/>
        </w:rPr>
      </w:pPr>
      <w:r w:rsidRPr="00B52D8B">
        <w:rPr>
          <w:rStyle w:val="Refdenotaalpie"/>
          <w:rFonts w:ascii="Agency FB" w:hAnsi="Agency FB"/>
          <w:sz w:val="24"/>
          <w:szCs w:val="24"/>
        </w:rPr>
        <w:footnoteRef/>
      </w:r>
      <w:r w:rsidRPr="00B52D8B">
        <w:rPr>
          <w:rFonts w:ascii="Agency FB" w:hAnsi="Agency FB"/>
          <w:sz w:val="24"/>
          <w:szCs w:val="24"/>
          <w:vertAlign w:val="superscript"/>
        </w:rPr>
        <w:t xml:space="preserve"> </w:t>
      </w:r>
      <w:r>
        <w:rPr>
          <w:rFonts w:ascii="Agency FB" w:hAnsi="Agency FB"/>
          <w:sz w:val="24"/>
          <w:szCs w:val="24"/>
          <w:vertAlign w:val="superscript"/>
        </w:rPr>
        <w:tab/>
      </w:r>
      <w:r w:rsidRPr="00B52D8B">
        <w:rPr>
          <w:rFonts w:ascii="Agency FB" w:hAnsi="Agency FB"/>
          <w:sz w:val="24"/>
          <w:szCs w:val="24"/>
        </w:rPr>
        <w:t>Sentencia C-543-92</w:t>
      </w:r>
    </w:p>
  </w:footnote>
  <w:footnote w:id="3">
    <w:p w:rsidR="00BA306C" w:rsidRPr="00F67DA6" w:rsidRDefault="00BA306C" w:rsidP="00BA306C">
      <w:pPr>
        <w:pStyle w:val="Textonotapie"/>
        <w:rPr>
          <w:rFonts w:ascii="Agency FB" w:hAnsi="Agency FB"/>
          <w:sz w:val="24"/>
          <w:szCs w:val="24"/>
          <w:lang w:val="es-CO"/>
        </w:rPr>
      </w:pPr>
      <w:r w:rsidRPr="00F67DA6">
        <w:rPr>
          <w:rStyle w:val="Refdenotaalpie"/>
          <w:rFonts w:ascii="Agency FB" w:hAnsi="Agency FB"/>
          <w:sz w:val="24"/>
          <w:szCs w:val="24"/>
        </w:rPr>
        <w:footnoteRef/>
      </w:r>
      <w:r w:rsidRPr="00F67DA6">
        <w:rPr>
          <w:rFonts w:ascii="Agency FB" w:hAnsi="Agency FB"/>
          <w:sz w:val="24"/>
          <w:szCs w:val="24"/>
        </w:rPr>
        <w:t xml:space="preserve"> </w:t>
      </w:r>
      <w:r w:rsidRPr="00F67DA6">
        <w:rPr>
          <w:rFonts w:ascii="Agency FB" w:hAnsi="Agency FB"/>
          <w:sz w:val="24"/>
          <w:szCs w:val="24"/>
          <w:lang w:val="es-CO"/>
        </w:rPr>
        <w:t>Sentencia T-781/2011</w:t>
      </w:r>
    </w:p>
  </w:footnote>
  <w:footnote w:id="4">
    <w:p w:rsidR="00BA306C" w:rsidRPr="00F67DA6" w:rsidRDefault="00BA306C" w:rsidP="00BA306C">
      <w:pPr>
        <w:pStyle w:val="Textonotapie"/>
        <w:rPr>
          <w:rFonts w:ascii="Agency FB" w:hAnsi="Agency FB"/>
          <w:sz w:val="24"/>
          <w:szCs w:val="24"/>
        </w:rPr>
      </w:pPr>
      <w:r w:rsidRPr="00F67DA6">
        <w:rPr>
          <w:rStyle w:val="Refdenotaalpie"/>
          <w:rFonts w:ascii="Agency FB" w:hAnsi="Agency FB"/>
          <w:sz w:val="24"/>
          <w:szCs w:val="24"/>
        </w:rPr>
        <w:footnoteRef/>
      </w:r>
      <w:r w:rsidRPr="00F67DA6">
        <w:rPr>
          <w:rFonts w:ascii="Agency FB" w:hAnsi="Agency FB"/>
          <w:sz w:val="24"/>
          <w:szCs w:val="24"/>
        </w:rPr>
        <w:t xml:space="preserve"> </w:t>
      </w:r>
      <w:r>
        <w:rPr>
          <w:rFonts w:ascii="Agency FB" w:hAnsi="Agency FB"/>
          <w:sz w:val="24"/>
          <w:szCs w:val="24"/>
        </w:rPr>
        <w:t>Se reitera en la s</w:t>
      </w:r>
      <w:r w:rsidRPr="00F67DA6">
        <w:rPr>
          <w:rFonts w:ascii="Agency FB" w:hAnsi="Agency FB"/>
          <w:sz w:val="24"/>
          <w:szCs w:val="24"/>
        </w:rPr>
        <w:t xml:space="preserve">entencia </w:t>
      </w:r>
      <w:r>
        <w:rPr>
          <w:rFonts w:ascii="Agency FB" w:hAnsi="Agency FB"/>
          <w:sz w:val="24"/>
          <w:szCs w:val="24"/>
        </w:rPr>
        <w:t>T-</w:t>
      </w:r>
      <w:r w:rsidRPr="00F67DA6">
        <w:rPr>
          <w:rFonts w:ascii="Agency FB" w:hAnsi="Agency FB"/>
          <w:sz w:val="24"/>
          <w:szCs w:val="24"/>
        </w:rPr>
        <w:t>528 de 2016</w:t>
      </w:r>
    </w:p>
  </w:footnote>
  <w:footnote w:id="5">
    <w:p w:rsidR="00BA306C" w:rsidRPr="00BA4F6E" w:rsidRDefault="00BA306C" w:rsidP="00BA306C">
      <w:pPr>
        <w:ind w:right="475"/>
        <w:jc w:val="both"/>
        <w:rPr>
          <w:rFonts w:ascii="Agency FB" w:hAnsi="Agency FB"/>
          <w:sz w:val="24"/>
          <w:szCs w:val="24"/>
        </w:rPr>
      </w:pPr>
      <w:r w:rsidRPr="00F67DA6">
        <w:rPr>
          <w:rStyle w:val="Refdenotaalpie"/>
          <w:rFonts w:ascii="Agency FB" w:hAnsi="Agency FB"/>
          <w:sz w:val="24"/>
          <w:szCs w:val="24"/>
        </w:rPr>
        <w:footnoteRef/>
      </w:r>
      <w:r w:rsidRPr="00F67DA6">
        <w:rPr>
          <w:rFonts w:ascii="Agency FB" w:hAnsi="Agency FB"/>
          <w:sz w:val="24"/>
          <w:szCs w:val="24"/>
        </w:rPr>
        <w:t xml:space="preserve"> Sentencia T-388/06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0E" w:rsidRDefault="006334E0" w:rsidP="0026410E">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50"/>
    <w:rsid w:val="00007ABE"/>
    <w:rsid w:val="000279C8"/>
    <w:rsid w:val="000D64A3"/>
    <w:rsid w:val="000E09B7"/>
    <w:rsid w:val="000F7A50"/>
    <w:rsid w:val="00166EBA"/>
    <w:rsid w:val="001A3632"/>
    <w:rsid w:val="001B7AB0"/>
    <w:rsid w:val="001F58E6"/>
    <w:rsid w:val="002048CF"/>
    <w:rsid w:val="002C194E"/>
    <w:rsid w:val="00317ECA"/>
    <w:rsid w:val="0033771C"/>
    <w:rsid w:val="003D478B"/>
    <w:rsid w:val="003D7CEC"/>
    <w:rsid w:val="00430CE5"/>
    <w:rsid w:val="00495AAC"/>
    <w:rsid w:val="004F1A4B"/>
    <w:rsid w:val="00542260"/>
    <w:rsid w:val="005B1B7F"/>
    <w:rsid w:val="0060383B"/>
    <w:rsid w:val="0061115D"/>
    <w:rsid w:val="006116BC"/>
    <w:rsid w:val="006334E0"/>
    <w:rsid w:val="00637B14"/>
    <w:rsid w:val="006523B9"/>
    <w:rsid w:val="0067573F"/>
    <w:rsid w:val="006A1346"/>
    <w:rsid w:val="00703C6E"/>
    <w:rsid w:val="0072465C"/>
    <w:rsid w:val="007862F8"/>
    <w:rsid w:val="007D4A72"/>
    <w:rsid w:val="00843E5A"/>
    <w:rsid w:val="008670C2"/>
    <w:rsid w:val="008D1CEF"/>
    <w:rsid w:val="009522F4"/>
    <w:rsid w:val="00952C45"/>
    <w:rsid w:val="0096757F"/>
    <w:rsid w:val="00977ACD"/>
    <w:rsid w:val="009B50FE"/>
    <w:rsid w:val="009C43B3"/>
    <w:rsid w:val="009D01E9"/>
    <w:rsid w:val="009D19F9"/>
    <w:rsid w:val="009D6797"/>
    <w:rsid w:val="009E5CCE"/>
    <w:rsid w:val="009F3EBA"/>
    <w:rsid w:val="00A042D3"/>
    <w:rsid w:val="00A147DD"/>
    <w:rsid w:val="00A63816"/>
    <w:rsid w:val="00B02CB9"/>
    <w:rsid w:val="00B61CC3"/>
    <w:rsid w:val="00B70379"/>
    <w:rsid w:val="00B85213"/>
    <w:rsid w:val="00BA306C"/>
    <w:rsid w:val="00BB49DE"/>
    <w:rsid w:val="00BE093D"/>
    <w:rsid w:val="00BE616E"/>
    <w:rsid w:val="00C105BB"/>
    <w:rsid w:val="00C630EB"/>
    <w:rsid w:val="00C84D79"/>
    <w:rsid w:val="00D77399"/>
    <w:rsid w:val="00D92993"/>
    <w:rsid w:val="00DC48D1"/>
    <w:rsid w:val="00DE08BD"/>
    <w:rsid w:val="00DF65D9"/>
    <w:rsid w:val="00EA6746"/>
    <w:rsid w:val="00F302C2"/>
    <w:rsid w:val="00F404BC"/>
    <w:rsid w:val="00F95B26"/>
    <w:rsid w:val="00FA4311"/>
    <w:rsid w:val="00FC072F"/>
    <w:rsid w:val="00FD7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2D359-525C-4761-AE2F-8A500B8B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5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
    <w:uiPriority w:val="99"/>
    <w:unhideWhenUsed/>
    <w:qFormat/>
    <w:rsid w:val="000F7A5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ar,texto de nota al pie Car,Footnote Text Char Car,Footnote referenc Car"/>
    <w:basedOn w:val="Fuentedeprrafopredeter"/>
    <w:link w:val="Textonotapie"/>
    <w:uiPriority w:val="99"/>
    <w:rsid w:val="000F7A50"/>
    <w:rPr>
      <w:rFonts w:ascii="Calibri" w:eastAsia="Calibri" w:hAnsi="Calibri" w:cs="Times New Roman"/>
      <w:sz w:val="20"/>
      <w:szCs w:val="20"/>
    </w:rPr>
  </w:style>
  <w:style w:type="paragraph" w:styleId="Piedepgina">
    <w:name w:val="footer"/>
    <w:aliases w:val="aaPie de página,Pie de página Car Car"/>
    <w:basedOn w:val="Normal"/>
    <w:link w:val="PiedepginaCar"/>
    <w:unhideWhenUsed/>
    <w:rsid w:val="000F7A50"/>
    <w:pPr>
      <w:tabs>
        <w:tab w:val="center" w:pos="4252"/>
        <w:tab w:val="right" w:pos="8504"/>
      </w:tabs>
      <w:spacing w:after="0" w:line="240" w:lineRule="auto"/>
    </w:pPr>
  </w:style>
  <w:style w:type="character" w:customStyle="1" w:styleId="PiedepginaCar">
    <w:name w:val="Pie de página Car"/>
    <w:aliases w:val="aaPie de página Car,Pie de página Car Car Car"/>
    <w:basedOn w:val="Fuentedeprrafopredeter"/>
    <w:link w:val="Piedepgina"/>
    <w:rsid w:val="000F7A50"/>
    <w:rPr>
      <w:rFonts w:ascii="Calibri" w:eastAsia="Calibri" w:hAnsi="Calibri" w:cs="Times New Roman"/>
    </w:rPr>
  </w:style>
  <w:style w:type="character" w:styleId="Nmerodepgina">
    <w:name w:val="page number"/>
    <w:rsid w:val="000F7A50"/>
    <w:rPr>
      <w:rFonts w:cs="Times New Roman"/>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qFormat/>
    <w:rsid w:val="000F7A50"/>
    <w:rPr>
      <w:rFonts w:cs="Times New Roman"/>
      <w:vertAlign w:val="superscript"/>
    </w:rPr>
  </w:style>
  <w:style w:type="paragraph" w:customStyle="1" w:styleId="Sinespaciado1">
    <w:name w:val="Sin espaciado1"/>
    <w:rsid w:val="000F7A50"/>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0F7A50"/>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eastAsia="es-ES"/>
    </w:rPr>
  </w:style>
  <w:style w:type="paragraph" w:styleId="Textoindependiente">
    <w:name w:val="Body Text"/>
    <w:basedOn w:val="Normal"/>
    <w:link w:val="TextoindependienteCar"/>
    <w:uiPriority w:val="99"/>
    <w:unhideWhenUsed/>
    <w:rsid w:val="000F7A50"/>
    <w:pPr>
      <w:spacing w:after="120"/>
    </w:pPr>
  </w:style>
  <w:style w:type="character" w:customStyle="1" w:styleId="TextoindependienteCar">
    <w:name w:val="Texto independiente Car"/>
    <w:basedOn w:val="Fuentedeprrafopredeter"/>
    <w:link w:val="Textoindependiente"/>
    <w:uiPriority w:val="99"/>
    <w:rsid w:val="000F7A50"/>
    <w:rPr>
      <w:rFonts w:ascii="Calibri" w:eastAsia="Calibri" w:hAnsi="Calibri" w:cs="Times New Roman"/>
    </w:rPr>
  </w:style>
  <w:style w:type="paragraph" w:styleId="Textodeglobo">
    <w:name w:val="Balloon Text"/>
    <w:basedOn w:val="Normal"/>
    <w:link w:val="TextodegloboCar"/>
    <w:uiPriority w:val="99"/>
    <w:semiHidden/>
    <w:unhideWhenUsed/>
    <w:rsid w:val="005B1B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1B7F"/>
    <w:rPr>
      <w:rFonts w:ascii="Segoe UI" w:eastAsia="Calibri" w:hAnsi="Segoe UI" w:cs="Segoe UI"/>
      <w:sz w:val="18"/>
      <w:szCs w:val="18"/>
    </w:rPr>
  </w:style>
  <w:style w:type="paragraph" w:customStyle="1" w:styleId="Sinespaciado2">
    <w:name w:val="Sin espaciado2"/>
    <w:rsid w:val="001B7AB0"/>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BD097-0EFA-4AF1-B8A0-E2B66188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2376</Words>
  <Characters>13070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Ernesto Garzón Álvarez</dc:creator>
  <cp:lastModifiedBy>Henry Lora Rodriguez</cp:lastModifiedBy>
  <cp:revision>5</cp:revision>
  <cp:lastPrinted>2018-07-11T19:53:00Z</cp:lastPrinted>
  <dcterms:created xsi:type="dcterms:W3CDTF">2018-07-11T20:42:00Z</dcterms:created>
  <dcterms:modified xsi:type="dcterms:W3CDTF">2018-08-15T21:14:00Z</dcterms:modified>
</cp:coreProperties>
</file>