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73" w:rsidRDefault="00C37B73" w:rsidP="00C37B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37B73" w:rsidRPr="007E39CC" w:rsidRDefault="00C37B73" w:rsidP="00C37B73">
      <w:pPr>
        <w:jc w:val="both"/>
        <w:rPr>
          <w:rFonts w:ascii="Arial" w:hAnsi="Arial" w:cs="Arial"/>
        </w:rPr>
      </w:pPr>
    </w:p>
    <w:p w:rsidR="00C37B73" w:rsidRPr="00BC6225" w:rsidRDefault="00C37B73" w:rsidP="00C37B73">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sidR="00A43080">
        <w:rPr>
          <w:rFonts w:ascii="Arial" w:hAnsi="Arial" w:cs="Arial"/>
          <w:b/>
          <w:bCs/>
          <w:iCs/>
          <w:lang w:eastAsia="fr-FR"/>
        </w:rPr>
        <w:t>TUTELA CONTRA DECISIÓN JUDICIAL / REQUISITOS GENERALES Y ESPECIALES DE PROCEDIBILIDAD / NO SE CUMPLE REQUISITO DE SUBSIDIARIEDAD FRENTE A PRUEBAS EXTRA PROCESALES PORQUE SU VALORACIÓN SE HACE EN EL PROCESO EN EL QUE SE PRETENDAN HACER VALER.</w:t>
      </w:r>
    </w:p>
    <w:p w:rsidR="00C37B73" w:rsidRDefault="00C37B73" w:rsidP="00C37B73">
      <w:pPr>
        <w:jc w:val="both"/>
        <w:rPr>
          <w:rFonts w:ascii="Arial" w:hAnsi="Arial" w:cs="Arial"/>
        </w:rPr>
      </w:pPr>
    </w:p>
    <w:p w:rsidR="0072218E" w:rsidRPr="00054BB6" w:rsidRDefault="0072218E" w:rsidP="00054BB6">
      <w:pPr>
        <w:jc w:val="both"/>
        <w:rPr>
          <w:rFonts w:ascii="Arial" w:hAnsi="Arial" w:cs="Arial"/>
        </w:rPr>
      </w:pPr>
      <w:r w:rsidRPr="00054BB6">
        <w:rPr>
          <w:rFonts w:ascii="Arial" w:hAnsi="Arial" w:cs="Arial"/>
        </w:rPr>
        <w:t>…</w:t>
      </w:r>
      <w:r w:rsidRPr="00054BB6">
        <w:rPr>
          <w:rFonts w:ascii="Arial" w:hAnsi="Arial" w:cs="Arial"/>
        </w:rPr>
        <w:t xml:space="preserve"> 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SU573 de 2017 y SU004 de 2018,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la parte actora identifique de manera razonable tanto los hechos que generaron la vulneración como los derechos vulnerados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72218E" w:rsidRDefault="0072218E" w:rsidP="00C37B73">
      <w:pPr>
        <w:jc w:val="both"/>
        <w:rPr>
          <w:rFonts w:ascii="Arial" w:hAnsi="Arial" w:cs="Arial"/>
        </w:rPr>
      </w:pPr>
    </w:p>
    <w:p w:rsidR="0072218E" w:rsidRPr="00054BB6" w:rsidRDefault="0072218E" w:rsidP="00054BB6">
      <w:pPr>
        <w:jc w:val="both"/>
        <w:rPr>
          <w:rFonts w:ascii="Arial" w:hAnsi="Arial" w:cs="Arial"/>
        </w:rPr>
      </w:pPr>
      <w:r w:rsidRPr="00054BB6">
        <w:rPr>
          <w:rFonts w:ascii="Arial" w:hAnsi="Arial" w:cs="Arial"/>
        </w:rPr>
        <w:t>…</w:t>
      </w:r>
      <w:r w:rsidRPr="00054BB6">
        <w:rPr>
          <w:rFonts w:ascii="Arial" w:hAnsi="Arial" w:cs="Arial"/>
        </w:rPr>
        <w:t xml:space="preserv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00054BB6" w:rsidRPr="00054BB6">
        <w:rPr>
          <w:rFonts w:ascii="Arial" w:hAnsi="Arial" w:cs="Arial"/>
        </w:rPr>
        <w:t xml:space="preserve"> (…)</w:t>
      </w:r>
    </w:p>
    <w:p w:rsidR="00054BB6" w:rsidRDefault="00054BB6" w:rsidP="00054BB6">
      <w:pPr>
        <w:jc w:val="both"/>
        <w:rPr>
          <w:rFonts w:ascii="Arial" w:hAnsi="Arial" w:cs="Arial"/>
        </w:rPr>
      </w:pPr>
    </w:p>
    <w:p w:rsidR="00054BB6" w:rsidRPr="00054BB6" w:rsidRDefault="00054BB6" w:rsidP="00054BB6">
      <w:pPr>
        <w:jc w:val="both"/>
        <w:rPr>
          <w:rFonts w:ascii="Arial" w:hAnsi="Arial" w:cs="Arial"/>
        </w:rPr>
      </w:pPr>
      <w:r w:rsidRPr="00054BB6">
        <w:rPr>
          <w:rFonts w:ascii="Arial" w:hAnsi="Arial" w:cs="Arial"/>
        </w:rPr>
        <w:t xml:space="preserve">Es pertinente lo explicado porque en este concreto caso, se trae a debate constitucional, lo </w:t>
      </w:r>
      <w:bookmarkStart w:id="0" w:name="_GoBack"/>
      <w:bookmarkEnd w:id="0"/>
      <w:r w:rsidRPr="00054BB6">
        <w:rPr>
          <w:rFonts w:ascii="Arial" w:hAnsi="Arial" w:cs="Arial"/>
        </w:rPr>
        <w:t>acontecido durante el trámite de una diligencia derivada de una solicitud de prueba extraprocesal.</w:t>
      </w:r>
    </w:p>
    <w:p w:rsidR="00054BB6" w:rsidRPr="00054BB6" w:rsidRDefault="00054BB6" w:rsidP="00054BB6">
      <w:pPr>
        <w:jc w:val="both"/>
        <w:rPr>
          <w:rFonts w:ascii="Arial" w:hAnsi="Arial" w:cs="Arial"/>
        </w:rPr>
      </w:pPr>
    </w:p>
    <w:p w:rsidR="00054BB6" w:rsidRPr="00054BB6" w:rsidRDefault="00054BB6" w:rsidP="00054BB6">
      <w:pPr>
        <w:jc w:val="both"/>
        <w:rPr>
          <w:rFonts w:ascii="Arial" w:hAnsi="Arial" w:cs="Arial"/>
        </w:rPr>
      </w:pPr>
      <w:r w:rsidRPr="00054BB6">
        <w:rPr>
          <w:rFonts w:ascii="Arial" w:hAnsi="Arial" w:cs="Arial"/>
        </w:rPr>
        <w:t xml:space="preserve">Como así es, resulta indispensable recordar que el legislador se encargó de establecer, expresamente, el momento en el cual, esa prueba, debe ser valorada y en consecuencia controvertida: </w:t>
      </w:r>
    </w:p>
    <w:p w:rsidR="00054BB6" w:rsidRPr="00054BB6" w:rsidRDefault="00054BB6" w:rsidP="00054BB6">
      <w:pPr>
        <w:jc w:val="both"/>
        <w:rPr>
          <w:rFonts w:ascii="Arial" w:hAnsi="Arial" w:cs="Arial"/>
        </w:rPr>
      </w:pPr>
    </w:p>
    <w:p w:rsidR="0072218E" w:rsidRDefault="00054BB6" w:rsidP="00054BB6">
      <w:pPr>
        <w:jc w:val="both"/>
        <w:rPr>
          <w:rFonts w:ascii="Arial" w:hAnsi="Arial" w:cs="Arial"/>
        </w:rPr>
      </w:pPr>
      <w:r w:rsidRPr="00054BB6">
        <w:rPr>
          <w:rFonts w:ascii="Arial" w:hAnsi="Arial" w:cs="Arial"/>
        </w:rPr>
        <w:t>“ARTÍCULO 174.</w:t>
      </w:r>
      <w:r w:rsidRPr="00054BB6">
        <w:rPr>
          <w:rFonts w:ascii="Arial" w:hAnsi="Arial" w:cs="Arial"/>
        </w:rPr>
        <w:t xml:space="preserve"> (…) </w:t>
      </w:r>
      <w:r w:rsidRPr="00054BB6">
        <w:rPr>
          <w:rFonts w:ascii="Arial" w:hAnsi="Arial" w:cs="Arial"/>
        </w:rPr>
        <w:t>La valoración de las pruebas trasladadas o extraprocesales y la definición de sus consecuencias jurídicas corresponderán al juez ante quien se aduzcan.”</w:t>
      </w:r>
    </w:p>
    <w:p w:rsidR="0072218E" w:rsidRPr="007E39CC" w:rsidRDefault="0072218E" w:rsidP="00C37B73">
      <w:pPr>
        <w:jc w:val="both"/>
        <w:rPr>
          <w:rFonts w:ascii="Arial" w:hAnsi="Arial" w:cs="Arial"/>
        </w:rPr>
      </w:pPr>
    </w:p>
    <w:p w:rsidR="00C37B73" w:rsidRDefault="00C37B73" w:rsidP="00C37B73">
      <w:pPr>
        <w:jc w:val="both"/>
        <w:rPr>
          <w:rFonts w:ascii="Arial" w:hAnsi="Arial" w:cs="Arial"/>
        </w:rPr>
      </w:pPr>
    </w:p>
    <w:p w:rsidR="00C37B73" w:rsidRPr="007E39CC" w:rsidRDefault="00C37B73" w:rsidP="00C37B73">
      <w:pPr>
        <w:jc w:val="both"/>
        <w:rPr>
          <w:rFonts w:ascii="Arial" w:hAnsi="Arial" w:cs="Arial"/>
        </w:rPr>
      </w:pPr>
    </w:p>
    <w:p w:rsidR="002D5848" w:rsidRPr="00C37B73" w:rsidRDefault="002D5848" w:rsidP="009F00F4">
      <w:pPr>
        <w:spacing w:line="276" w:lineRule="auto"/>
        <w:ind w:firstLine="2835"/>
        <w:jc w:val="both"/>
        <w:rPr>
          <w:rFonts w:ascii="Gadugi" w:hAnsi="Gadugi"/>
          <w:b/>
          <w:sz w:val="24"/>
          <w:szCs w:val="26"/>
        </w:rPr>
      </w:pPr>
      <w:r w:rsidRPr="00C37B73">
        <w:rPr>
          <w:rFonts w:ascii="Gadugi" w:hAnsi="Gadugi"/>
          <w:b/>
          <w:sz w:val="24"/>
          <w:szCs w:val="26"/>
        </w:rPr>
        <w:t xml:space="preserve">TRIBUNAL SUPERIOR DEL DISTRITO JUDICIAL </w:t>
      </w:r>
    </w:p>
    <w:p w:rsidR="002D5848" w:rsidRPr="00C37B73" w:rsidRDefault="002D5848" w:rsidP="009F00F4">
      <w:pPr>
        <w:spacing w:line="276" w:lineRule="auto"/>
        <w:ind w:firstLine="2835"/>
        <w:jc w:val="both"/>
        <w:rPr>
          <w:rFonts w:ascii="Gadugi" w:hAnsi="Gadugi"/>
          <w:b/>
          <w:sz w:val="24"/>
          <w:szCs w:val="26"/>
        </w:rPr>
      </w:pPr>
      <w:r w:rsidRPr="00C37B73">
        <w:rPr>
          <w:rFonts w:ascii="Gadugi" w:hAnsi="Gadugi"/>
          <w:b/>
          <w:sz w:val="24"/>
          <w:szCs w:val="26"/>
        </w:rPr>
        <w:t xml:space="preserve">           SALA DE DECISIÓN CIVIL FAMILIA </w:t>
      </w:r>
    </w:p>
    <w:p w:rsidR="002D5848" w:rsidRPr="00C37B73" w:rsidRDefault="002D5848" w:rsidP="009F00F4">
      <w:pPr>
        <w:spacing w:line="276" w:lineRule="auto"/>
        <w:ind w:firstLine="2835"/>
        <w:jc w:val="both"/>
        <w:rPr>
          <w:rFonts w:ascii="Gadugi" w:hAnsi="Gadugi"/>
          <w:sz w:val="24"/>
          <w:szCs w:val="26"/>
        </w:rPr>
      </w:pPr>
    </w:p>
    <w:p w:rsidR="002D5848" w:rsidRPr="00C37B73" w:rsidRDefault="002D5848" w:rsidP="009F00F4">
      <w:pPr>
        <w:spacing w:line="276" w:lineRule="auto"/>
        <w:ind w:firstLine="2835"/>
        <w:jc w:val="both"/>
        <w:rPr>
          <w:rFonts w:ascii="Gadugi" w:hAnsi="Gadugi"/>
          <w:sz w:val="24"/>
          <w:szCs w:val="26"/>
        </w:rPr>
      </w:pPr>
    </w:p>
    <w:p w:rsidR="002D5848" w:rsidRPr="00C37B73" w:rsidRDefault="002D5848" w:rsidP="009F00F4">
      <w:pPr>
        <w:spacing w:line="276" w:lineRule="auto"/>
        <w:ind w:firstLine="2835"/>
        <w:jc w:val="both"/>
        <w:rPr>
          <w:rFonts w:ascii="Gadugi" w:hAnsi="Gadugi"/>
          <w:sz w:val="24"/>
          <w:szCs w:val="26"/>
        </w:rPr>
      </w:pPr>
      <w:r w:rsidRPr="00C37B73">
        <w:rPr>
          <w:rFonts w:ascii="Gadugi" w:hAnsi="Gadugi"/>
          <w:sz w:val="24"/>
          <w:szCs w:val="26"/>
        </w:rPr>
        <w:t>Magistrado: Jaime Alberto Saraza Naranjo</w:t>
      </w:r>
    </w:p>
    <w:p w:rsidR="002D5848" w:rsidRPr="00C37B73" w:rsidRDefault="002D5848" w:rsidP="009F00F4">
      <w:pPr>
        <w:spacing w:line="276" w:lineRule="auto"/>
        <w:ind w:firstLine="2835"/>
        <w:jc w:val="both"/>
        <w:rPr>
          <w:rFonts w:ascii="Gadugi" w:hAnsi="Gadugi"/>
          <w:sz w:val="24"/>
          <w:szCs w:val="26"/>
          <w:lang w:val="es-419"/>
        </w:rPr>
      </w:pPr>
      <w:r w:rsidRPr="00C37B73">
        <w:rPr>
          <w:rFonts w:ascii="Gadugi" w:hAnsi="Gadugi"/>
          <w:sz w:val="24"/>
          <w:szCs w:val="26"/>
        </w:rPr>
        <w:t xml:space="preserve">Pereira, </w:t>
      </w:r>
      <w:r w:rsidR="00A237BA" w:rsidRPr="00C37B73">
        <w:rPr>
          <w:rFonts w:ascii="Gadugi" w:hAnsi="Gadugi"/>
          <w:sz w:val="24"/>
          <w:szCs w:val="26"/>
        </w:rPr>
        <w:t xml:space="preserve">noviembre siete de dos mil dieciocho </w:t>
      </w:r>
    </w:p>
    <w:p w:rsidR="002D5848" w:rsidRPr="00C37B73" w:rsidRDefault="002D5848" w:rsidP="009F00F4">
      <w:pPr>
        <w:spacing w:line="276" w:lineRule="auto"/>
        <w:ind w:firstLine="2835"/>
        <w:jc w:val="both"/>
        <w:rPr>
          <w:rFonts w:ascii="Gadugi" w:hAnsi="Gadugi"/>
          <w:sz w:val="24"/>
          <w:szCs w:val="26"/>
        </w:rPr>
      </w:pPr>
      <w:r w:rsidRPr="00C37B73">
        <w:rPr>
          <w:rFonts w:ascii="Gadugi" w:hAnsi="Gadugi"/>
          <w:sz w:val="24"/>
          <w:szCs w:val="26"/>
        </w:rPr>
        <w:t>Expediente 66</w:t>
      </w:r>
      <w:r w:rsidR="001D665E" w:rsidRPr="00C37B73">
        <w:rPr>
          <w:rFonts w:ascii="Gadugi" w:hAnsi="Gadugi"/>
          <w:sz w:val="24"/>
          <w:szCs w:val="26"/>
        </w:rPr>
        <w:t>001-31-03</w:t>
      </w:r>
      <w:r w:rsidRPr="00C37B73">
        <w:rPr>
          <w:rFonts w:ascii="Gadugi" w:hAnsi="Gadugi"/>
          <w:sz w:val="24"/>
          <w:szCs w:val="26"/>
        </w:rPr>
        <w:t>-00</w:t>
      </w:r>
      <w:r w:rsidR="009A4604" w:rsidRPr="00C37B73">
        <w:rPr>
          <w:rFonts w:ascii="Gadugi" w:hAnsi="Gadugi"/>
          <w:sz w:val="24"/>
          <w:szCs w:val="26"/>
        </w:rPr>
        <w:t>5</w:t>
      </w:r>
      <w:r w:rsidRPr="00C37B73">
        <w:rPr>
          <w:rFonts w:ascii="Gadugi" w:hAnsi="Gadugi"/>
          <w:sz w:val="24"/>
          <w:szCs w:val="26"/>
        </w:rPr>
        <w:t>-2018-00</w:t>
      </w:r>
      <w:r w:rsidR="009A4604" w:rsidRPr="00C37B73">
        <w:rPr>
          <w:rFonts w:ascii="Gadugi" w:hAnsi="Gadugi"/>
          <w:sz w:val="24"/>
          <w:szCs w:val="26"/>
        </w:rPr>
        <w:t>777</w:t>
      </w:r>
      <w:r w:rsidR="001D665E" w:rsidRPr="00C37B73">
        <w:rPr>
          <w:rFonts w:ascii="Gadugi" w:hAnsi="Gadugi"/>
          <w:sz w:val="24"/>
          <w:szCs w:val="26"/>
        </w:rPr>
        <w:t>-01</w:t>
      </w:r>
    </w:p>
    <w:p w:rsidR="002D5848" w:rsidRPr="00C37B73" w:rsidRDefault="002D5848" w:rsidP="009F00F4">
      <w:pPr>
        <w:spacing w:line="276" w:lineRule="auto"/>
        <w:ind w:firstLine="2835"/>
        <w:jc w:val="both"/>
        <w:rPr>
          <w:rFonts w:ascii="Gadugi" w:hAnsi="Gadugi"/>
          <w:sz w:val="24"/>
          <w:szCs w:val="26"/>
          <w:lang w:val="es-419"/>
        </w:rPr>
      </w:pPr>
      <w:r w:rsidRPr="00C37B73">
        <w:rPr>
          <w:rFonts w:ascii="Gadugi" w:hAnsi="Gadugi"/>
          <w:sz w:val="24"/>
          <w:szCs w:val="26"/>
        </w:rPr>
        <w:t>Acta N°</w:t>
      </w:r>
      <w:r w:rsidR="00097B1E" w:rsidRPr="00C37B73">
        <w:rPr>
          <w:rFonts w:ascii="Gadugi" w:hAnsi="Gadugi"/>
          <w:sz w:val="24"/>
          <w:szCs w:val="26"/>
          <w:lang w:val="es-419"/>
        </w:rPr>
        <w:t xml:space="preserve"> </w:t>
      </w:r>
      <w:r w:rsidR="00A237BA" w:rsidRPr="00C37B73">
        <w:rPr>
          <w:rFonts w:ascii="Gadugi" w:hAnsi="Gadugi"/>
          <w:sz w:val="24"/>
          <w:szCs w:val="26"/>
          <w:lang w:val="es-419"/>
        </w:rPr>
        <w:t>436 del 7 de noviembre del 2018</w:t>
      </w:r>
      <w:r w:rsidR="00D26AA8" w:rsidRPr="00C37B73">
        <w:rPr>
          <w:rFonts w:ascii="Gadugi" w:hAnsi="Gadugi"/>
          <w:sz w:val="24"/>
          <w:szCs w:val="26"/>
          <w:lang w:val="es-419"/>
        </w:rPr>
        <w:t xml:space="preserve"> </w:t>
      </w:r>
      <w:r w:rsidR="004A51B1" w:rsidRPr="00C37B73">
        <w:rPr>
          <w:rFonts w:ascii="Gadugi" w:hAnsi="Gadugi"/>
          <w:sz w:val="24"/>
          <w:szCs w:val="26"/>
          <w:lang w:val="es-419"/>
        </w:rPr>
        <w:t xml:space="preserve"> </w:t>
      </w:r>
    </w:p>
    <w:p w:rsidR="002D5848" w:rsidRPr="00C37B73" w:rsidRDefault="002D5848" w:rsidP="009F00F4">
      <w:pPr>
        <w:spacing w:line="276" w:lineRule="auto"/>
        <w:ind w:firstLine="2835"/>
        <w:jc w:val="both"/>
        <w:rPr>
          <w:rFonts w:ascii="Gadugi" w:hAnsi="Gadugi"/>
          <w:sz w:val="24"/>
          <w:szCs w:val="26"/>
        </w:rPr>
      </w:pPr>
    </w:p>
    <w:p w:rsidR="002D5848" w:rsidRPr="00C37B73" w:rsidRDefault="002D5848" w:rsidP="009F00F4">
      <w:pPr>
        <w:spacing w:line="276" w:lineRule="auto"/>
        <w:ind w:firstLine="2835"/>
        <w:jc w:val="both"/>
        <w:rPr>
          <w:rFonts w:ascii="Gadugi" w:hAnsi="Gadugi"/>
          <w:sz w:val="24"/>
          <w:szCs w:val="26"/>
        </w:rPr>
      </w:pPr>
    </w:p>
    <w:p w:rsidR="00D26AA8" w:rsidRPr="00C37B73" w:rsidRDefault="002D5848" w:rsidP="009F00F4">
      <w:pPr>
        <w:spacing w:line="276" w:lineRule="auto"/>
        <w:ind w:firstLine="2835"/>
        <w:jc w:val="both"/>
        <w:rPr>
          <w:rFonts w:ascii="Gadugi" w:hAnsi="Gadugi"/>
          <w:sz w:val="24"/>
          <w:szCs w:val="26"/>
        </w:rPr>
      </w:pPr>
      <w:r w:rsidRPr="00C37B73">
        <w:rPr>
          <w:rFonts w:ascii="Gadugi" w:hAnsi="Gadugi"/>
          <w:sz w:val="24"/>
          <w:szCs w:val="26"/>
        </w:rPr>
        <w:t xml:space="preserve">Procede la Sala a decidir la </w:t>
      </w:r>
      <w:r w:rsidRPr="00C37B73">
        <w:rPr>
          <w:rFonts w:ascii="Gadugi" w:hAnsi="Gadugi"/>
          <w:bCs/>
          <w:sz w:val="24"/>
          <w:szCs w:val="26"/>
        </w:rPr>
        <w:t>impugnación contra</w:t>
      </w:r>
      <w:r w:rsidRPr="00C37B73">
        <w:rPr>
          <w:rFonts w:ascii="Gadugi" w:hAnsi="Gadugi"/>
          <w:sz w:val="24"/>
          <w:szCs w:val="26"/>
        </w:rPr>
        <w:t xml:space="preserve"> </w:t>
      </w:r>
      <w:r w:rsidR="00D26AA8" w:rsidRPr="00C37B73">
        <w:rPr>
          <w:rFonts w:ascii="Gadugi" w:hAnsi="Gadugi" w:cs="Arial"/>
          <w:sz w:val="24"/>
          <w:szCs w:val="26"/>
        </w:rPr>
        <w:t>la sentencia dictada el 18</w:t>
      </w:r>
      <w:r w:rsidRPr="00C37B73">
        <w:rPr>
          <w:rFonts w:ascii="Gadugi" w:hAnsi="Gadugi" w:cs="Arial"/>
          <w:sz w:val="24"/>
          <w:szCs w:val="26"/>
        </w:rPr>
        <w:t xml:space="preserve"> de </w:t>
      </w:r>
      <w:r w:rsidR="00D26AA8" w:rsidRPr="00C37B73">
        <w:rPr>
          <w:rFonts w:ascii="Gadugi" w:hAnsi="Gadugi" w:cs="Arial"/>
          <w:sz w:val="24"/>
          <w:szCs w:val="26"/>
        </w:rPr>
        <w:t xml:space="preserve">septiembre </w:t>
      </w:r>
      <w:r w:rsidRPr="00C37B73">
        <w:rPr>
          <w:rFonts w:ascii="Gadugi" w:hAnsi="Gadugi" w:cs="Arial"/>
          <w:sz w:val="24"/>
          <w:szCs w:val="26"/>
        </w:rPr>
        <w:t xml:space="preserve">del presente año </w:t>
      </w:r>
      <w:r w:rsidRPr="00C37B73">
        <w:rPr>
          <w:rFonts w:ascii="Gadugi" w:hAnsi="Gadugi"/>
          <w:sz w:val="24"/>
          <w:szCs w:val="26"/>
        </w:rPr>
        <w:t xml:space="preserve">por el </w:t>
      </w:r>
      <w:r w:rsidR="004A51B1" w:rsidRPr="00C37B73">
        <w:rPr>
          <w:rFonts w:ascii="Gadugi" w:hAnsi="Gadugi"/>
          <w:sz w:val="24"/>
          <w:szCs w:val="26"/>
        </w:rPr>
        <w:t xml:space="preserve">Juzgado Quinto </w:t>
      </w:r>
      <w:r w:rsidR="00D26AA8" w:rsidRPr="00C37B73">
        <w:rPr>
          <w:rFonts w:ascii="Gadugi" w:hAnsi="Gadugi"/>
          <w:sz w:val="24"/>
          <w:szCs w:val="26"/>
        </w:rPr>
        <w:t>Civil del Circuito local</w:t>
      </w:r>
      <w:r w:rsidRPr="00C37B73">
        <w:rPr>
          <w:rFonts w:ascii="Gadugi" w:hAnsi="Gadugi"/>
          <w:sz w:val="24"/>
          <w:szCs w:val="26"/>
        </w:rPr>
        <w:t xml:space="preserve">, </w:t>
      </w:r>
      <w:r w:rsidRPr="00C37B73">
        <w:rPr>
          <w:rFonts w:ascii="Gadugi" w:hAnsi="Gadugi" w:cs="Arial"/>
          <w:sz w:val="24"/>
          <w:szCs w:val="26"/>
        </w:rPr>
        <w:t>en la presente acción de tutela promovida por</w:t>
      </w:r>
      <w:r w:rsidR="00A13431" w:rsidRPr="00C37B73">
        <w:rPr>
          <w:rFonts w:ascii="Gadugi" w:hAnsi="Gadugi" w:cs="Arial"/>
          <w:b/>
          <w:sz w:val="24"/>
          <w:szCs w:val="26"/>
        </w:rPr>
        <w:t xml:space="preserve"> </w:t>
      </w:r>
      <w:r w:rsidR="004A51B1" w:rsidRPr="00C37B73">
        <w:rPr>
          <w:rFonts w:ascii="Gadugi" w:hAnsi="Gadugi" w:cs="Arial"/>
          <w:b/>
          <w:sz w:val="24"/>
          <w:szCs w:val="26"/>
        </w:rPr>
        <w:t>Héctor Ayala Pérez</w:t>
      </w:r>
      <w:r w:rsidR="00C82B68" w:rsidRPr="00C37B73">
        <w:rPr>
          <w:rFonts w:ascii="Gadugi" w:hAnsi="Gadugi" w:cs="Arial"/>
          <w:b/>
          <w:sz w:val="24"/>
          <w:szCs w:val="26"/>
          <w:lang w:val="es-419"/>
        </w:rPr>
        <w:t xml:space="preserve"> </w:t>
      </w:r>
      <w:r w:rsidRPr="00C37B73">
        <w:rPr>
          <w:rFonts w:ascii="Gadugi" w:hAnsi="Gadugi"/>
          <w:sz w:val="24"/>
          <w:szCs w:val="26"/>
        </w:rPr>
        <w:lastRenderedPageBreak/>
        <w:t xml:space="preserve">frente al </w:t>
      </w:r>
      <w:r w:rsidR="004A51B1" w:rsidRPr="00C37B73">
        <w:rPr>
          <w:rFonts w:ascii="Gadugi" w:hAnsi="Gadugi"/>
          <w:b/>
          <w:sz w:val="24"/>
          <w:szCs w:val="26"/>
        </w:rPr>
        <w:t xml:space="preserve">Juzgado </w:t>
      </w:r>
      <w:r w:rsidR="00641BF6" w:rsidRPr="00C37B73">
        <w:rPr>
          <w:rFonts w:ascii="Gadugi" w:hAnsi="Gadugi"/>
          <w:b/>
          <w:sz w:val="24"/>
          <w:szCs w:val="26"/>
        </w:rPr>
        <w:t xml:space="preserve">Sexto Civil Municipal </w:t>
      </w:r>
      <w:r w:rsidR="00D26AA8" w:rsidRPr="00C37B73">
        <w:rPr>
          <w:rFonts w:ascii="Gadugi" w:hAnsi="Gadugi"/>
          <w:b/>
          <w:sz w:val="24"/>
          <w:szCs w:val="26"/>
        </w:rPr>
        <w:t xml:space="preserve"> </w:t>
      </w:r>
      <w:r w:rsidR="000765E0" w:rsidRPr="00C37B73">
        <w:rPr>
          <w:rFonts w:ascii="Gadugi" w:hAnsi="Gadugi"/>
          <w:b/>
          <w:sz w:val="24"/>
          <w:szCs w:val="26"/>
        </w:rPr>
        <w:t xml:space="preserve">de Pereira </w:t>
      </w:r>
      <w:r w:rsidR="00D26AA8" w:rsidRPr="00C37B73">
        <w:rPr>
          <w:rFonts w:ascii="Gadugi" w:hAnsi="Gadugi"/>
          <w:sz w:val="24"/>
          <w:szCs w:val="26"/>
        </w:rPr>
        <w:t xml:space="preserve">y </w:t>
      </w:r>
      <w:r w:rsidR="008139C0" w:rsidRPr="00C37B73">
        <w:rPr>
          <w:rFonts w:ascii="Gadugi" w:hAnsi="Gadugi"/>
          <w:sz w:val="24"/>
          <w:szCs w:val="26"/>
        </w:rPr>
        <w:t>la</w:t>
      </w:r>
      <w:r w:rsidR="008139C0" w:rsidRPr="00C37B73">
        <w:rPr>
          <w:rFonts w:ascii="Gadugi" w:hAnsi="Gadugi"/>
          <w:b/>
          <w:sz w:val="24"/>
          <w:szCs w:val="26"/>
        </w:rPr>
        <w:t xml:space="preserve"> Organización Sayco y Acinpro, </w:t>
      </w:r>
      <w:r w:rsidR="008139C0" w:rsidRPr="00C37B73">
        <w:rPr>
          <w:rFonts w:ascii="Gadugi" w:hAnsi="Gadugi"/>
          <w:sz w:val="24"/>
          <w:szCs w:val="26"/>
        </w:rPr>
        <w:t xml:space="preserve">a la que fue vinculada la </w:t>
      </w:r>
      <w:r w:rsidR="008139C0" w:rsidRPr="00C37B73">
        <w:rPr>
          <w:rFonts w:ascii="Gadugi" w:hAnsi="Gadugi"/>
          <w:b/>
          <w:sz w:val="24"/>
          <w:szCs w:val="26"/>
        </w:rPr>
        <w:t>“Asociación Garrido Abad”.</w:t>
      </w:r>
    </w:p>
    <w:p w:rsidR="00D26AA8" w:rsidRPr="00C37B73" w:rsidRDefault="00D26AA8" w:rsidP="009F00F4">
      <w:pPr>
        <w:spacing w:line="276" w:lineRule="auto"/>
        <w:ind w:firstLine="2835"/>
        <w:jc w:val="both"/>
        <w:rPr>
          <w:rFonts w:ascii="Gadugi" w:hAnsi="Gadugi"/>
          <w:b/>
          <w:sz w:val="24"/>
          <w:szCs w:val="26"/>
        </w:rPr>
      </w:pPr>
    </w:p>
    <w:p w:rsidR="00D26AA8" w:rsidRPr="00C37B73" w:rsidRDefault="00D26AA8" w:rsidP="009F00F4">
      <w:pPr>
        <w:spacing w:line="276" w:lineRule="auto"/>
        <w:ind w:left="2124" w:firstLine="708"/>
        <w:rPr>
          <w:rFonts w:ascii="Gadugi" w:hAnsi="Gadugi"/>
          <w:b/>
          <w:sz w:val="24"/>
          <w:szCs w:val="26"/>
        </w:rPr>
      </w:pPr>
    </w:p>
    <w:p w:rsidR="002D5848" w:rsidRPr="00C37B73" w:rsidRDefault="002D5848" w:rsidP="009F00F4">
      <w:pPr>
        <w:spacing w:line="276" w:lineRule="auto"/>
        <w:ind w:left="2124" w:firstLine="708"/>
        <w:rPr>
          <w:rFonts w:ascii="Gadugi" w:hAnsi="Gadugi"/>
          <w:b/>
          <w:sz w:val="24"/>
          <w:szCs w:val="26"/>
        </w:rPr>
      </w:pPr>
      <w:r w:rsidRPr="00C37B73">
        <w:rPr>
          <w:rFonts w:ascii="Gadugi" w:hAnsi="Gadugi"/>
          <w:b/>
          <w:sz w:val="24"/>
          <w:szCs w:val="26"/>
        </w:rPr>
        <w:t>ANTECEDENTES</w:t>
      </w:r>
    </w:p>
    <w:p w:rsidR="002D5848" w:rsidRPr="00C37B73" w:rsidRDefault="002D5848" w:rsidP="009F00F4">
      <w:pPr>
        <w:spacing w:line="276" w:lineRule="auto"/>
        <w:ind w:left="2124" w:firstLine="708"/>
        <w:rPr>
          <w:rFonts w:ascii="Gadugi" w:hAnsi="Gadugi"/>
          <w:b/>
          <w:sz w:val="24"/>
          <w:szCs w:val="26"/>
        </w:rPr>
      </w:pPr>
    </w:p>
    <w:p w:rsidR="00A90D03" w:rsidRPr="00C37B73" w:rsidRDefault="00A90D03" w:rsidP="009F00F4">
      <w:pPr>
        <w:spacing w:line="276" w:lineRule="auto"/>
        <w:ind w:left="2124" w:firstLine="708"/>
        <w:rPr>
          <w:rFonts w:ascii="Gadugi" w:hAnsi="Gadugi"/>
          <w:b/>
          <w:sz w:val="24"/>
          <w:szCs w:val="26"/>
        </w:rPr>
      </w:pPr>
    </w:p>
    <w:p w:rsidR="003B62AD" w:rsidRPr="00C37B73" w:rsidRDefault="00381ABB" w:rsidP="009F00F4">
      <w:pPr>
        <w:spacing w:line="276" w:lineRule="auto"/>
        <w:ind w:firstLine="2835"/>
        <w:jc w:val="both"/>
        <w:rPr>
          <w:rFonts w:ascii="Gadugi" w:hAnsi="Gadugi"/>
          <w:sz w:val="24"/>
          <w:szCs w:val="26"/>
        </w:rPr>
      </w:pPr>
      <w:r w:rsidRPr="00C37B73">
        <w:rPr>
          <w:rFonts w:ascii="Gadugi" w:hAnsi="Gadugi"/>
          <w:sz w:val="24"/>
          <w:szCs w:val="26"/>
        </w:rPr>
        <w:t xml:space="preserve">Con el fin de lograr la protección de los derechos </w:t>
      </w:r>
      <w:r w:rsidR="00D26AA8" w:rsidRPr="00C37B73">
        <w:rPr>
          <w:rFonts w:ascii="Gadugi" w:hAnsi="Gadugi"/>
          <w:i/>
          <w:sz w:val="24"/>
          <w:szCs w:val="26"/>
        </w:rPr>
        <w:t>“al debido proceso y a la intimidad respecto de la reserva de documentos contables”</w:t>
      </w:r>
      <w:r w:rsidRPr="00C37B73">
        <w:rPr>
          <w:rFonts w:ascii="Gadugi" w:hAnsi="Gadugi"/>
          <w:sz w:val="24"/>
          <w:szCs w:val="26"/>
        </w:rPr>
        <w:t xml:space="preserve">, </w:t>
      </w:r>
      <w:r w:rsidR="004A51B1" w:rsidRPr="00C37B73">
        <w:rPr>
          <w:rFonts w:ascii="Gadugi" w:hAnsi="Gadugi" w:cs="Arial"/>
          <w:sz w:val="24"/>
          <w:szCs w:val="26"/>
        </w:rPr>
        <w:t>Héctor Ayala Pérez</w:t>
      </w:r>
      <w:r w:rsidR="00D26AA8" w:rsidRPr="00C37B73">
        <w:rPr>
          <w:rFonts w:ascii="Gadugi" w:hAnsi="Gadugi" w:cs="Arial"/>
          <w:sz w:val="24"/>
          <w:szCs w:val="26"/>
        </w:rPr>
        <w:t xml:space="preserve">, en calidad de propietario del </w:t>
      </w:r>
      <w:r w:rsidR="000765E0" w:rsidRPr="00C37B73">
        <w:rPr>
          <w:rFonts w:ascii="Gadugi" w:hAnsi="Gadugi" w:cs="Arial"/>
          <w:sz w:val="24"/>
          <w:szCs w:val="26"/>
        </w:rPr>
        <w:t>establecimiento</w:t>
      </w:r>
      <w:r w:rsidR="00D26AA8" w:rsidRPr="00C37B73">
        <w:rPr>
          <w:rFonts w:ascii="Gadugi" w:hAnsi="Gadugi" w:cs="Arial"/>
          <w:sz w:val="24"/>
          <w:szCs w:val="26"/>
        </w:rPr>
        <w:t xml:space="preserve"> de comercio denominado </w:t>
      </w:r>
      <w:r w:rsidR="00D26AA8" w:rsidRPr="00C37B73">
        <w:rPr>
          <w:rFonts w:ascii="Gadugi" w:hAnsi="Gadugi" w:cs="Arial"/>
          <w:i/>
          <w:sz w:val="24"/>
          <w:szCs w:val="26"/>
        </w:rPr>
        <w:t>“</w:t>
      </w:r>
      <w:r w:rsidR="00641BF6" w:rsidRPr="00C37B73">
        <w:rPr>
          <w:rFonts w:ascii="Gadugi" w:hAnsi="Gadugi" w:cs="Arial"/>
          <w:i/>
          <w:sz w:val="24"/>
          <w:szCs w:val="26"/>
        </w:rPr>
        <w:t>Hotel Casamelh</w:t>
      </w:r>
      <w:r w:rsidR="00D26AA8" w:rsidRPr="00C37B73">
        <w:rPr>
          <w:rFonts w:ascii="Gadugi" w:hAnsi="Gadugi" w:cs="Arial"/>
          <w:i/>
          <w:sz w:val="24"/>
          <w:szCs w:val="26"/>
        </w:rPr>
        <w:t>”</w:t>
      </w:r>
      <w:r w:rsidR="00373743" w:rsidRPr="00C37B73">
        <w:rPr>
          <w:rFonts w:ascii="Gadugi" w:hAnsi="Gadugi" w:cs="Arial"/>
          <w:sz w:val="24"/>
          <w:szCs w:val="26"/>
        </w:rPr>
        <w:t xml:space="preserve">, </w:t>
      </w:r>
      <w:r w:rsidR="00641BF6" w:rsidRPr="00C37B73">
        <w:rPr>
          <w:rFonts w:ascii="Gadugi" w:hAnsi="Gadugi" w:cs="Arial"/>
          <w:sz w:val="24"/>
          <w:szCs w:val="26"/>
        </w:rPr>
        <w:t>promovió</w:t>
      </w:r>
      <w:r w:rsidR="00D26AA8" w:rsidRPr="00C37B73">
        <w:rPr>
          <w:rFonts w:ascii="Gadugi" w:hAnsi="Gadugi" w:cs="Arial"/>
          <w:sz w:val="24"/>
          <w:szCs w:val="26"/>
        </w:rPr>
        <w:t xml:space="preserve"> </w:t>
      </w:r>
      <w:r w:rsidRPr="00C37B73">
        <w:rPr>
          <w:rFonts w:ascii="Gadugi" w:hAnsi="Gadugi"/>
          <w:sz w:val="24"/>
          <w:szCs w:val="26"/>
        </w:rPr>
        <w:t xml:space="preserve">la presente acción de tutela </w:t>
      </w:r>
      <w:r w:rsidR="00537E49" w:rsidRPr="00C37B73">
        <w:rPr>
          <w:rFonts w:ascii="Gadugi" w:hAnsi="Gadugi"/>
          <w:sz w:val="24"/>
          <w:szCs w:val="26"/>
        </w:rPr>
        <w:t xml:space="preserve">en contra del </w:t>
      </w:r>
      <w:r w:rsidR="004A51B1" w:rsidRPr="00C37B73">
        <w:rPr>
          <w:rFonts w:ascii="Gadugi" w:hAnsi="Gadugi"/>
          <w:sz w:val="24"/>
          <w:szCs w:val="26"/>
        </w:rPr>
        <w:t xml:space="preserve">Juzgado </w:t>
      </w:r>
      <w:r w:rsidR="00641BF6" w:rsidRPr="00C37B73">
        <w:rPr>
          <w:rFonts w:ascii="Gadugi" w:hAnsi="Gadugi"/>
          <w:sz w:val="24"/>
          <w:szCs w:val="26"/>
        </w:rPr>
        <w:t xml:space="preserve">Sexto Civil Municipal </w:t>
      </w:r>
      <w:r w:rsidR="00373743" w:rsidRPr="00C37B73">
        <w:rPr>
          <w:rFonts w:ascii="Gadugi" w:hAnsi="Gadugi"/>
          <w:sz w:val="24"/>
          <w:szCs w:val="26"/>
        </w:rPr>
        <w:t xml:space="preserve"> local</w:t>
      </w:r>
      <w:r w:rsidR="003B62AD" w:rsidRPr="00C37B73">
        <w:rPr>
          <w:rFonts w:ascii="Gadugi" w:hAnsi="Gadugi"/>
          <w:sz w:val="24"/>
          <w:szCs w:val="26"/>
        </w:rPr>
        <w:t xml:space="preserve"> </w:t>
      </w:r>
      <w:r w:rsidR="00AF2615" w:rsidRPr="00C37B73">
        <w:rPr>
          <w:rFonts w:ascii="Gadugi" w:hAnsi="Gadugi"/>
          <w:sz w:val="24"/>
          <w:szCs w:val="26"/>
        </w:rPr>
        <w:t>y la Organización Sayco y Acinpro.</w:t>
      </w:r>
    </w:p>
    <w:p w:rsidR="003B62AD" w:rsidRPr="00C37B73" w:rsidRDefault="003B62AD" w:rsidP="009F00F4">
      <w:pPr>
        <w:spacing w:line="276" w:lineRule="auto"/>
        <w:ind w:firstLine="2835"/>
        <w:jc w:val="both"/>
        <w:rPr>
          <w:rFonts w:ascii="Gadugi" w:hAnsi="Gadugi"/>
          <w:sz w:val="24"/>
          <w:szCs w:val="26"/>
        </w:rPr>
      </w:pPr>
    </w:p>
    <w:p w:rsidR="00C32A48" w:rsidRPr="00C37B73" w:rsidRDefault="00641BF6" w:rsidP="009F00F4">
      <w:pPr>
        <w:spacing w:line="276" w:lineRule="auto"/>
        <w:ind w:firstLine="2835"/>
        <w:jc w:val="both"/>
        <w:rPr>
          <w:rFonts w:ascii="Gadugi" w:hAnsi="Gadugi"/>
          <w:sz w:val="24"/>
          <w:szCs w:val="26"/>
        </w:rPr>
      </w:pPr>
      <w:r w:rsidRPr="00C37B73">
        <w:rPr>
          <w:rFonts w:ascii="Gadugi" w:hAnsi="Gadugi"/>
          <w:sz w:val="24"/>
          <w:szCs w:val="26"/>
        </w:rPr>
        <w:t>E</w:t>
      </w:r>
      <w:r w:rsidR="00373743" w:rsidRPr="00C37B73">
        <w:rPr>
          <w:rFonts w:ascii="Gadugi" w:hAnsi="Gadugi"/>
          <w:sz w:val="24"/>
          <w:szCs w:val="26"/>
        </w:rPr>
        <w:t xml:space="preserve">xpuso que </w:t>
      </w:r>
      <w:r w:rsidRPr="00C37B73">
        <w:rPr>
          <w:rFonts w:ascii="Gadugi" w:hAnsi="Gadugi"/>
          <w:sz w:val="24"/>
          <w:szCs w:val="26"/>
        </w:rPr>
        <w:t>el 29 de junio</w:t>
      </w:r>
      <w:r w:rsidR="00373743" w:rsidRPr="00C37B73">
        <w:rPr>
          <w:rFonts w:ascii="Gadugi" w:hAnsi="Gadugi"/>
          <w:sz w:val="24"/>
          <w:szCs w:val="26"/>
        </w:rPr>
        <w:t xml:space="preserve"> de este año, por solicitud de</w:t>
      </w:r>
      <w:r w:rsidRPr="00C37B73">
        <w:rPr>
          <w:rFonts w:ascii="Gadugi" w:hAnsi="Gadugi"/>
          <w:sz w:val="24"/>
          <w:szCs w:val="26"/>
        </w:rPr>
        <w:t xml:space="preserve"> la organización privada</w:t>
      </w:r>
      <w:r w:rsidR="00373743" w:rsidRPr="00C37B73">
        <w:rPr>
          <w:rFonts w:ascii="Gadugi" w:hAnsi="Gadugi"/>
          <w:sz w:val="24"/>
          <w:szCs w:val="26"/>
        </w:rPr>
        <w:t xml:space="preserve"> Sayco y Acinpro, el Juzgado accionado practicó una inspección judicial extra procesal en las instalaciones del establecimiento de comercio “</w:t>
      </w:r>
      <w:r w:rsidRPr="00C37B73">
        <w:rPr>
          <w:rFonts w:ascii="Gadugi" w:hAnsi="Gadugi"/>
          <w:i/>
          <w:sz w:val="24"/>
          <w:szCs w:val="26"/>
        </w:rPr>
        <w:t>Hotel Casamelh</w:t>
      </w:r>
      <w:r w:rsidR="00373743" w:rsidRPr="00C37B73">
        <w:rPr>
          <w:rFonts w:ascii="Gadugi" w:hAnsi="Gadugi"/>
          <w:sz w:val="24"/>
          <w:szCs w:val="26"/>
        </w:rPr>
        <w:t>”</w:t>
      </w:r>
      <w:r w:rsidR="00C32A48" w:rsidRPr="00C37B73">
        <w:rPr>
          <w:rFonts w:ascii="Gadugi" w:hAnsi="Gadugi"/>
          <w:sz w:val="24"/>
          <w:szCs w:val="26"/>
        </w:rPr>
        <w:t>; d</w:t>
      </w:r>
      <w:r w:rsidRPr="00C37B73">
        <w:rPr>
          <w:rFonts w:ascii="Gadugi" w:hAnsi="Gadugi"/>
          <w:sz w:val="24"/>
          <w:szCs w:val="26"/>
        </w:rPr>
        <w:t>icha diligencia versó sobre televisores, libros y papeles de</w:t>
      </w:r>
      <w:r w:rsidR="00C32A48" w:rsidRPr="00C37B73">
        <w:rPr>
          <w:rFonts w:ascii="Gadugi" w:hAnsi="Gadugi"/>
          <w:sz w:val="24"/>
          <w:szCs w:val="26"/>
        </w:rPr>
        <w:t>l</w:t>
      </w:r>
      <w:r w:rsidRPr="00C37B73">
        <w:rPr>
          <w:rFonts w:ascii="Gadugi" w:hAnsi="Gadugi"/>
          <w:sz w:val="24"/>
          <w:szCs w:val="26"/>
        </w:rPr>
        <w:t xml:space="preserve"> comerciante, </w:t>
      </w:r>
      <w:r w:rsidR="00C32A48" w:rsidRPr="00C37B73">
        <w:rPr>
          <w:rFonts w:ascii="Gadugi" w:hAnsi="Gadugi"/>
          <w:sz w:val="24"/>
          <w:szCs w:val="26"/>
        </w:rPr>
        <w:t xml:space="preserve">también el Juzgado solicitó copia de los cobros de telefonía, internet y televisión que se le hacían al hotel. </w:t>
      </w:r>
    </w:p>
    <w:p w:rsidR="00C32A48" w:rsidRPr="00C37B73" w:rsidRDefault="00C32A48" w:rsidP="009F00F4">
      <w:pPr>
        <w:spacing w:line="276" w:lineRule="auto"/>
        <w:ind w:firstLine="2835"/>
        <w:jc w:val="both"/>
        <w:rPr>
          <w:rFonts w:ascii="Gadugi" w:hAnsi="Gadugi"/>
          <w:sz w:val="24"/>
          <w:szCs w:val="26"/>
        </w:rPr>
      </w:pPr>
    </w:p>
    <w:p w:rsidR="00641BF6" w:rsidRPr="00C37B73" w:rsidRDefault="00C32A48" w:rsidP="009F00F4">
      <w:pPr>
        <w:spacing w:line="276" w:lineRule="auto"/>
        <w:ind w:firstLine="2835"/>
        <w:jc w:val="both"/>
        <w:rPr>
          <w:rFonts w:ascii="Gadugi" w:hAnsi="Gadugi"/>
          <w:sz w:val="24"/>
          <w:szCs w:val="26"/>
        </w:rPr>
      </w:pPr>
      <w:r w:rsidRPr="00C37B73">
        <w:rPr>
          <w:rFonts w:ascii="Gadugi" w:hAnsi="Gadugi"/>
          <w:sz w:val="24"/>
          <w:szCs w:val="26"/>
        </w:rPr>
        <w:t xml:space="preserve">Denunció que los </w:t>
      </w:r>
      <w:r w:rsidR="000D05F2" w:rsidRPr="00C37B73">
        <w:rPr>
          <w:rFonts w:ascii="Gadugi" w:hAnsi="Gadugi"/>
          <w:sz w:val="24"/>
          <w:szCs w:val="26"/>
        </w:rPr>
        <w:t>televisores estaban apagados en el momento</w:t>
      </w:r>
      <w:r w:rsidRPr="00C37B73">
        <w:rPr>
          <w:rFonts w:ascii="Gadugi" w:hAnsi="Gadugi"/>
          <w:sz w:val="24"/>
          <w:szCs w:val="26"/>
        </w:rPr>
        <w:t xml:space="preserve"> de la inspección y el despacho ordenó, no solamente encenderlos, sino también sintonizarlos en</w:t>
      </w:r>
      <w:r w:rsidR="000D05F2" w:rsidRPr="00C37B73">
        <w:rPr>
          <w:rFonts w:ascii="Gadugi" w:hAnsi="Gadugi"/>
          <w:sz w:val="24"/>
          <w:szCs w:val="26"/>
        </w:rPr>
        <w:t xml:space="preserve"> un</w:t>
      </w:r>
      <w:r w:rsidRPr="00C37B73">
        <w:rPr>
          <w:rFonts w:ascii="Gadugi" w:hAnsi="Gadugi"/>
          <w:sz w:val="24"/>
          <w:szCs w:val="26"/>
        </w:rPr>
        <w:t xml:space="preserve"> canal musical. </w:t>
      </w:r>
    </w:p>
    <w:p w:rsidR="00C32A48" w:rsidRPr="00C37B73" w:rsidRDefault="00C32A48" w:rsidP="009F00F4">
      <w:pPr>
        <w:spacing w:line="276" w:lineRule="auto"/>
        <w:ind w:firstLine="2835"/>
        <w:jc w:val="both"/>
        <w:rPr>
          <w:rFonts w:ascii="Gadugi" w:hAnsi="Gadugi"/>
          <w:sz w:val="24"/>
          <w:szCs w:val="26"/>
        </w:rPr>
      </w:pPr>
    </w:p>
    <w:p w:rsidR="00C32A48" w:rsidRPr="00C37B73" w:rsidRDefault="000D05F2" w:rsidP="009F00F4">
      <w:pPr>
        <w:spacing w:line="276" w:lineRule="auto"/>
        <w:ind w:firstLine="2835"/>
        <w:jc w:val="both"/>
        <w:rPr>
          <w:rFonts w:ascii="Gadugi" w:hAnsi="Gadugi"/>
          <w:sz w:val="24"/>
          <w:szCs w:val="26"/>
        </w:rPr>
      </w:pPr>
      <w:r w:rsidRPr="00C37B73">
        <w:rPr>
          <w:rFonts w:ascii="Gadugi" w:hAnsi="Gadugi"/>
          <w:sz w:val="24"/>
          <w:szCs w:val="26"/>
        </w:rPr>
        <w:t>Frente a la diligencia presentó recurso de reposición</w:t>
      </w:r>
      <w:r w:rsidR="00C32A48" w:rsidRPr="00C37B73">
        <w:rPr>
          <w:rFonts w:ascii="Gadugi" w:hAnsi="Gadugi"/>
          <w:sz w:val="24"/>
          <w:szCs w:val="26"/>
        </w:rPr>
        <w:t xml:space="preserve"> en el mes de julio de este año, </w:t>
      </w:r>
      <w:r w:rsidRPr="00C37B73">
        <w:rPr>
          <w:rFonts w:ascii="Gadugi" w:hAnsi="Gadugi"/>
          <w:sz w:val="24"/>
          <w:szCs w:val="26"/>
        </w:rPr>
        <w:t>el</w:t>
      </w:r>
      <w:r w:rsidR="00C32A48" w:rsidRPr="00C37B73">
        <w:rPr>
          <w:rFonts w:ascii="Gadugi" w:hAnsi="Gadugi"/>
          <w:sz w:val="24"/>
          <w:szCs w:val="26"/>
        </w:rPr>
        <w:t xml:space="preserve"> que fue de</w:t>
      </w:r>
      <w:r w:rsidRPr="00C37B73">
        <w:rPr>
          <w:rFonts w:ascii="Gadugi" w:hAnsi="Gadugi"/>
          <w:sz w:val="24"/>
          <w:szCs w:val="26"/>
        </w:rPr>
        <w:t>negado con auto del 9 de agosto.</w:t>
      </w:r>
    </w:p>
    <w:p w:rsidR="00A237BA" w:rsidRPr="00C37B73" w:rsidRDefault="00A237BA" w:rsidP="009F00F4">
      <w:pPr>
        <w:spacing w:line="276" w:lineRule="auto"/>
        <w:ind w:firstLine="2835"/>
        <w:jc w:val="both"/>
        <w:rPr>
          <w:rFonts w:ascii="Gadugi" w:hAnsi="Gadugi"/>
          <w:sz w:val="24"/>
          <w:szCs w:val="26"/>
        </w:rPr>
      </w:pPr>
    </w:p>
    <w:p w:rsidR="000D05F2" w:rsidRPr="00C37B73" w:rsidRDefault="000D05F2" w:rsidP="009F00F4">
      <w:pPr>
        <w:spacing w:line="276" w:lineRule="auto"/>
        <w:ind w:firstLine="2835"/>
        <w:jc w:val="both"/>
        <w:rPr>
          <w:rFonts w:ascii="Gadugi" w:hAnsi="Gadugi"/>
          <w:sz w:val="24"/>
          <w:szCs w:val="26"/>
        </w:rPr>
      </w:pPr>
      <w:r w:rsidRPr="00C37B73">
        <w:rPr>
          <w:rFonts w:ascii="Gadugi" w:hAnsi="Gadugi"/>
          <w:sz w:val="24"/>
          <w:szCs w:val="26"/>
        </w:rPr>
        <w:t>D</w:t>
      </w:r>
      <w:r w:rsidR="009668EB" w:rsidRPr="00C37B73">
        <w:rPr>
          <w:rFonts w:ascii="Gadugi" w:hAnsi="Gadugi"/>
          <w:sz w:val="24"/>
          <w:szCs w:val="26"/>
        </w:rPr>
        <w:t xml:space="preserve">enuncia que </w:t>
      </w:r>
      <w:r w:rsidRPr="00C37B73">
        <w:rPr>
          <w:rFonts w:ascii="Gadugi" w:hAnsi="Gadugi"/>
          <w:sz w:val="24"/>
          <w:szCs w:val="26"/>
        </w:rPr>
        <w:t>el juzgado</w:t>
      </w:r>
      <w:r w:rsidR="009668EB" w:rsidRPr="00C37B73">
        <w:rPr>
          <w:rFonts w:ascii="Gadugi" w:hAnsi="Gadugi"/>
          <w:sz w:val="24"/>
          <w:szCs w:val="26"/>
        </w:rPr>
        <w:t xml:space="preserve"> </w:t>
      </w:r>
      <w:r w:rsidRPr="00C37B73">
        <w:rPr>
          <w:rFonts w:ascii="Gadugi" w:hAnsi="Gadugi"/>
          <w:sz w:val="24"/>
          <w:szCs w:val="26"/>
        </w:rPr>
        <w:t>vulneró su derecho fundamental al</w:t>
      </w:r>
      <w:r w:rsidR="009668EB" w:rsidRPr="00C37B73">
        <w:rPr>
          <w:rFonts w:ascii="Gadugi" w:hAnsi="Gadugi"/>
          <w:sz w:val="24"/>
          <w:szCs w:val="26"/>
        </w:rPr>
        <w:t xml:space="preserve"> debido proceso porque (i) </w:t>
      </w:r>
      <w:r w:rsidRPr="00C37B73">
        <w:rPr>
          <w:rFonts w:ascii="Gadugi" w:hAnsi="Gadugi"/>
          <w:sz w:val="24"/>
          <w:szCs w:val="26"/>
        </w:rPr>
        <w:t xml:space="preserve">adujo que negaba el recurso de reposición por no haberse presentado durante la </w:t>
      </w:r>
      <w:r w:rsidR="00926912" w:rsidRPr="00C37B73">
        <w:rPr>
          <w:rFonts w:ascii="Gadugi" w:hAnsi="Gadugi"/>
          <w:sz w:val="24"/>
          <w:szCs w:val="26"/>
        </w:rPr>
        <w:t>inspección</w:t>
      </w:r>
      <w:r w:rsidRPr="00C37B73">
        <w:rPr>
          <w:rFonts w:ascii="Gadugi" w:hAnsi="Gadugi"/>
          <w:sz w:val="24"/>
          <w:szCs w:val="26"/>
        </w:rPr>
        <w:t xml:space="preserve">, situación en extremo difícil, pues quien atendió </w:t>
      </w:r>
      <w:r w:rsidR="00926912" w:rsidRPr="00C37B73">
        <w:rPr>
          <w:rFonts w:ascii="Gadugi" w:hAnsi="Gadugi"/>
          <w:sz w:val="24"/>
          <w:szCs w:val="26"/>
        </w:rPr>
        <w:t>la diligencia</w:t>
      </w:r>
      <w:r w:rsidRPr="00C37B73">
        <w:rPr>
          <w:rFonts w:ascii="Gadugi" w:hAnsi="Gadugi"/>
          <w:sz w:val="24"/>
          <w:szCs w:val="26"/>
        </w:rPr>
        <w:t xml:space="preserve"> fue una empleada del hotel sin conocimiento jur</w:t>
      </w:r>
      <w:r w:rsidR="00926912" w:rsidRPr="00C37B73">
        <w:rPr>
          <w:rFonts w:ascii="Gadugi" w:hAnsi="Gadugi"/>
          <w:sz w:val="24"/>
          <w:szCs w:val="26"/>
        </w:rPr>
        <w:t xml:space="preserve">ídico alguno y porque (ii) irregularmente se </w:t>
      </w:r>
      <w:r w:rsidR="00F04960" w:rsidRPr="00C37B73">
        <w:rPr>
          <w:rFonts w:ascii="Gadugi" w:hAnsi="Gadugi"/>
          <w:sz w:val="24"/>
          <w:szCs w:val="26"/>
        </w:rPr>
        <w:t>manipuló la prueba en tanto al encontrar televisores apagados se ordenó encenderlos y sintonizarlos en canales musicales.</w:t>
      </w:r>
    </w:p>
    <w:p w:rsidR="009668EB" w:rsidRPr="00C37B73" w:rsidRDefault="009668EB" w:rsidP="009F00F4">
      <w:pPr>
        <w:spacing w:line="276" w:lineRule="auto"/>
        <w:ind w:firstLine="2835"/>
        <w:jc w:val="both"/>
        <w:rPr>
          <w:rFonts w:ascii="Gadugi" w:hAnsi="Gadugi"/>
          <w:sz w:val="24"/>
          <w:szCs w:val="26"/>
        </w:rPr>
      </w:pPr>
    </w:p>
    <w:p w:rsidR="000357AC" w:rsidRPr="00C37B73" w:rsidRDefault="000357AC" w:rsidP="009F00F4">
      <w:pPr>
        <w:spacing w:line="276" w:lineRule="auto"/>
        <w:ind w:firstLine="2835"/>
        <w:jc w:val="both"/>
        <w:rPr>
          <w:rFonts w:ascii="Gadugi" w:hAnsi="Gadugi"/>
          <w:sz w:val="24"/>
          <w:szCs w:val="26"/>
        </w:rPr>
      </w:pPr>
      <w:r w:rsidRPr="00C37B73">
        <w:rPr>
          <w:rFonts w:ascii="Gadugi" w:hAnsi="Gadugi"/>
          <w:sz w:val="24"/>
          <w:szCs w:val="26"/>
        </w:rPr>
        <w:t xml:space="preserve">También </w:t>
      </w:r>
      <w:r w:rsidR="00F04960" w:rsidRPr="00C37B73">
        <w:rPr>
          <w:rFonts w:ascii="Gadugi" w:hAnsi="Gadugi"/>
          <w:sz w:val="24"/>
          <w:szCs w:val="26"/>
        </w:rPr>
        <w:t>manifestó</w:t>
      </w:r>
      <w:r w:rsidRPr="00C37B73">
        <w:rPr>
          <w:rFonts w:ascii="Gadugi" w:hAnsi="Gadugi"/>
          <w:sz w:val="24"/>
          <w:szCs w:val="26"/>
        </w:rPr>
        <w:t xml:space="preserve"> que hubo una violación a la intimidad en la reserva de documentos de comercio</w:t>
      </w:r>
      <w:r w:rsidR="00C82B68" w:rsidRPr="00C37B73">
        <w:rPr>
          <w:rFonts w:ascii="Gadugi" w:hAnsi="Gadugi"/>
          <w:sz w:val="24"/>
          <w:szCs w:val="26"/>
          <w:lang w:val="es-419"/>
        </w:rPr>
        <w:t>,</w:t>
      </w:r>
      <w:r w:rsidRPr="00C37B73">
        <w:rPr>
          <w:rFonts w:ascii="Gadugi" w:hAnsi="Gadugi"/>
          <w:sz w:val="24"/>
          <w:szCs w:val="26"/>
        </w:rPr>
        <w:t xml:space="preserve"> comoquiera que se tomaron fotografías de un comprobante de pago de derechos de autor expedido por la Asociación Garrido Abad que estaba pegado en la vitrina principal del establecimiento, que si bien podía ser visto por el público, no podía ser objeto de fotografías, pues para ello debía, previamente, decretarse la prueba al tenor de lo reglado en el artículo 189 del C.G.P., ya que los libros y papeles del comerciante son materia de reserva constitucional, lo que también </w:t>
      </w:r>
      <w:r w:rsidR="004C28EB" w:rsidRPr="00C37B73">
        <w:rPr>
          <w:rFonts w:ascii="Gadugi" w:hAnsi="Gadugi"/>
          <w:sz w:val="24"/>
          <w:szCs w:val="26"/>
        </w:rPr>
        <w:t>encuentra</w:t>
      </w:r>
      <w:r w:rsidRPr="00C37B73">
        <w:rPr>
          <w:rFonts w:ascii="Gadugi" w:hAnsi="Gadugi"/>
          <w:sz w:val="24"/>
          <w:szCs w:val="26"/>
        </w:rPr>
        <w:t xml:space="preserve"> sustento en el canon 51 del Código de </w:t>
      </w:r>
      <w:r w:rsidRPr="00C37B73">
        <w:rPr>
          <w:rFonts w:ascii="Gadugi" w:hAnsi="Gadugi"/>
          <w:sz w:val="24"/>
          <w:szCs w:val="26"/>
        </w:rPr>
        <w:lastRenderedPageBreak/>
        <w:t xml:space="preserve">Comercio, que dispone que harán parte integrante de la contabilidad todos los comprobantes que sirvan de respaldo a las partidas asentadas. </w:t>
      </w:r>
    </w:p>
    <w:p w:rsidR="00C617DE" w:rsidRPr="00C37B73" w:rsidRDefault="00C617DE" w:rsidP="009F00F4">
      <w:pPr>
        <w:spacing w:line="276" w:lineRule="auto"/>
        <w:ind w:firstLine="2835"/>
        <w:jc w:val="both"/>
        <w:rPr>
          <w:rFonts w:ascii="Gadugi" w:hAnsi="Gadugi"/>
          <w:sz w:val="24"/>
          <w:szCs w:val="26"/>
        </w:rPr>
      </w:pPr>
    </w:p>
    <w:p w:rsidR="003F7D0A" w:rsidRPr="00C37B73" w:rsidRDefault="004C28EB" w:rsidP="009F00F4">
      <w:pPr>
        <w:spacing w:line="276" w:lineRule="auto"/>
        <w:ind w:firstLine="2835"/>
        <w:jc w:val="both"/>
        <w:rPr>
          <w:rFonts w:ascii="Gadugi" w:hAnsi="Gadugi"/>
          <w:sz w:val="24"/>
          <w:szCs w:val="26"/>
        </w:rPr>
      </w:pPr>
      <w:r w:rsidRPr="00C37B73">
        <w:rPr>
          <w:rFonts w:ascii="Gadugi" w:hAnsi="Gadugi"/>
          <w:sz w:val="24"/>
          <w:szCs w:val="26"/>
        </w:rPr>
        <w:t xml:space="preserve">Corolario de lo dicho, </w:t>
      </w:r>
      <w:r w:rsidR="003F7D0A" w:rsidRPr="00C37B73">
        <w:rPr>
          <w:rFonts w:ascii="Gadugi" w:hAnsi="Gadugi"/>
          <w:sz w:val="24"/>
          <w:szCs w:val="26"/>
        </w:rPr>
        <w:t>solicitó declarar violentados los derechos fundamentales invocados y</w:t>
      </w:r>
      <w:r w:rsidR="00C82B68" w:rsidRPr="00C37B73">
        <w:rPr>
          <w:rFonts w:ascii="Gadugi" w:hAnsi="Gadugi"/>
          <w:sz w:val="24"/>
          <w:szCs w:val="26"/>
          <w:lang w:val="es-419"/>
        </w:rPr>
        <w:t>,</w:t>
      </w:r>
      <w:r w:rsidR="003F7D0A" w:rsidRPr="00C37B73">
        <w:rPr>
          <w:rFonts w:ascii="Gadugi" w:hAnsi="Gadugi"/>
          <w:sz w:val="24"/>
          <w:szCs w:val="26"/>
        </w:rPr>
        <w:t xml:space="preserve"> en consecuencia</w:t>
      </w:r>
      <w:r w:rsidR="00C82B68" w:rsidRPr="00C37B73">
        <w:rPr>
          <w:rFonts w:ascii="Gadugi" w:hAnsi="Gadugi"/>
          <w:sz w:val="24"/>
          <w:szCs w:val="26"/>
          <w:lang w:val="es-419"/>
        </w:rPr>
        <w:t>,</w:t>
      </w:r>
      <w:r w:rsidR="003F7D0A" w:rsidRPr="00C37B73">
        <w:rPr>
          <w:rFonts w:ascii="Gadugi" w:hAnsi="Gadugi"/>
          <w:sz w:val="24"/>
          <w:szCs w:val="26"/>
        </w:rPr>
        <w:t xml:space="preserve"> dejar sin efecto la prue</w:t>
      </w:r>
      <w:r w:rsidRPr="00C37B73">
        <w:rPr>
          <w:rFonts w:ascii="Gadugi" w:hAnsi="Gadugi"/>
          <w:sz w:val="24"/>
          <w:szCs w:val="26"/>
        </w:rPr>
        <w:t>ba practicada</w:t>
      </w:r>
      <w:r w:rsidR="00B64000" w:rsidRPr="00C37B73">
        <w:rPr>
          <w:rFonts w:ascii="Gadugi" w:hAnsi="Gadugi"/>
          <w:sz w:val="24"/>
          <w:szCs w:val="26"/>
          <w:lang w:val="es-419"/>
        </w:rPr>
        <w:t>.</w:t>
      </w:r>
      <w:r w:rsidR="003F7D0A" w:rsidRPr="00C37B73">
        <w:rPr>
          <w:rFonts w:ascii="Gadugi" w:hAnsi="Gadugi"/>
          <w:sz w:val="24"/>
          <w:szCs w:val="26"/>
        </w:rPr>
        <w:t xml:space="preserve"> </w:t>
      </w:r>
      <w:r w:rsidRPr="00C37B73">
        <w:rPr>
          <w:rFonts w:ascii="Gadugi" w:hAnsi="Gadugi"/>
          <w:sz w:val="24"/>
          <w:szCs w:val="26"/>
        </w:rPr>
        <w:t>También pidió compulsar</w:t>
      </w:r>
      <w:r w:rsidR="003F7D0A" w:rsidRPr="00C37B73">
        <w:rPr>
          <w:rFonts w:ascii="Gadugi" w:hAnsi="Gadugi"/>
          <w:sz w:val="24"/>
          <w:szCs w:val="26"/>
        </w:rPr>
        <w:t xml:space="preserve"> copia de lo actuado al Consejo Seccional de la Judicatura de Risaralda. </w:t>
      </w:r>
    </w:p>
    <w:p w:rsidR="003F7D0A" w:rsidRPr="00C37B73" w:rsidRDefault="003F7D0A" w:rsidP="009F00F4">
      <w:pPr>
        <w:spacing w:line="276" w:lineRule="auto"/>
        <w:ind w:firstLine="2835"/>
        <w:jc w:val="both"/>
        <w:rPr>
          <w:rFonts w:ascii="Gadugi" w:hAnsi="Gadugi"/>
          <w:sz w:val="24"/>
          <w:szCs w:val="26"/>
        </w:rPr>
      </w:pPr>
    </w:p>
    <w:p w:rsidR="003F7D0A" w:rsidRPr="00C37B73" w:rsidRDefault="00AC6DEB" w:rsidP="009F00F4">
      <w:pPr>
        <w:spacing w:line="276" w:lineRule="auto"/>
        <w:ind w:firstLine="2835"/>
        <w:jc w:val="both"/>
        <w:rPr>
          <w:rFonts w:ascii="Gadugi" w:hAnsi="Gadugi"/>
          <w:sz w:val="24"/>
          <w:szCs w:val="26"/>
          <w:lang w:val="es-CO"/>
        </w:rPr>
      </w:pPr>
      <w:r w:rsidRPr="00C37B73">
        <w:rPr>
          <w:rFonts w:ascii="Gadugi" w:hAnsi="Gadugi"/>
          <w:sz w:val="24"/>
          <w:szCs w:val="26"/>
          <w:lang w:val="es-CO"/>
        </w:rPr>
        <w:t xml:space="preserve">El </w:t>
      </w:r>
      <w:r w:rsidR="00576EE2" w:rsidRPr="00C37B73">
        <w:rPr>
          <w:rFonts w:ascii="Gadugi" w:hAnsi="Gadugi"/>
          <w:sz w:val="24"/>
          <w:szCs w:val="26"/>
          <w:lang w:val="es-CO"/>
        </w:rPr>
        <w:t>J</w:t>
      </w:r>
      <w:r w:rsidRPr="00C37B73">
        <w:rPr>
          <w:rFonts w:ascii="Gadugi" w:hAnsi="Gadugi"/>
          <w:sz w:val="24"/>
          <w:szCs w:val="26"/>
          <w:lang w:val="es-CO"/>
        </w:rPr>
        <w:t>uzgado de primera instancia dio trámite a la acción</w:t>
      </w:r>
      <w:r w:rsidR="003F7D0A" w:rsidRPr="00C37B73">
        <w:rPr>
          <w:rFonts w:ascii="Gadugi" w:hAnsi="Gadugi"/>
          <w:sz w:val="24"/>
          <w:szCs w:val="26"/>
          <w:lang w:val="es-CO"/>
        </w:rPr>
        <w:t xml:space="preserve">, </w:t>
      </w:r>
      <w:r w:rsidR="00BF2B05" w:rsidRPr="00C37B73">
        <w:rPr>
          <w:rFonts w:ascii="Gadugi" w:hAnsi="Gadugi"/>
          <w:sz w:val="24"/>
          <w:szCs w:val="26"/>
          <w:lang w:val="es-CO"/>
        </w:rPr>
        <w:t xml:space="preserve">con las ya citadas vinculaciones, </w:t>
      </w:r>
      <w:r w:rsidR="003F7D0A" w:rsidRPr="00C37B73">
        <w:rPr>
          <w:rFonts w:ascii="Gadugi" w:hAnsi="Gadugi"/>
          <w:sz w:val="24"/>
          <w:szCs w:val="26"/>
          <w:lang w:val="es-CO"/>
        </w:rPr>
        <w:t>ordenó como prueba la práctica de una inspección judicial en relación con el expediente de la prueba extraprocesal y anexó copia al plenario de las piezas procesales pertinentes para desatar el am</w:t>
      </w:r>
      <w:r w:rsidR="004C28EB" w:rsidRPr="00C37B73">
        <w:rPr>
          <w:rFonts w:ascii="Gadugi" w:hAnsi="Gadugi"/>
          <w:sz w:val="24"/>
          <w:szCs w:val="26"/>
          <w:lang w:val="es-CO"/>
        </w:rPr>
        <w:t xml:space="preserve">paro (f. </w:t>
      </w:r>
      <w:r w:rsidR="00F04960" w:rsidRPr="00C37B73">
        <w:rPr>
          <w:rFonts w:ascii="Gadugi" w:hAnsi="Gadugi"/>
          <w:sz w:val="24"/>
          <w:szCs w:val="26"/>
          <w:lang w:val="es-CO"/>
        </w:rPr>
        <w:t>13</w:t>
      </w:r>
      <w:r w:rsidR="004C28EB" w:rsidRPr="00C37B73">
        <w:rPr>
          <w:rFonts w:ascii="Gadugi" w:hAnsi="Gadugi"/>
          <w:sz w:val="24"/>
          <w:szCs w:val="26"/>
          <w:lang w:val="es-CO"/>
        </w:rPr>
        <w:t>, c. 1).</w:t>
      </w:r>
    </w:p>
    <w:p w:rsidR="003F7D0A" w:rsidRPr="00C37B73" w:rsidRDefault="003F7D0A" w:rsidP="009F00F4">
      <w:pPr>
        <w:spacing w:line="276" w:lineRule="auto"/>
        <w:ind w:firstLine="2835"/>
        <w:jc w:val="both"/>
        <w:rPr>
          <w:rFonts w:ascii="Gadugi" w:hAnsi="Gadugi"/>
          <w:sz w:val="24"/>
          <w:szCs w:val="26"/>
          <w:lang w:val="es-CO"/>
        </w:rPr>
      </w:pPr>
    </w:p>
    <w:p w:rsidR="00BF2B05" w:rsidRPr="00C37B73" w:rsidRDefault="00BF2B05" w:rsidP="009F00F4">
      <w:pPr>
        <w:spacing w:line="276" w:lineRule="auto"/>
        <w:ind w:firstLine="2835"/>
        <w:jc w:val="both"/>
        <w:rPr>
          <w:rFonts w:ascii="Gadugi" w:hAnsi="Gadugi"/>
          <w:sz w:val="24"/>
          <w:szCs w:val="26"/>
          <w:lang w:val="es-CO"/>
        </w:rPr>
      </w:pPr>
      <w:r w:rsidRPr="00C37B73">
        <w:rPr>
          <w:rFonts w:ascii="Gadugi" w:hAnsi="Gadugi"/>
          <w:sz w:val="24"/>
          <w:szCs w:val="26"/>
          <w:lang w:val="es-CO"/>
        </w:rPr>
        <w:t>Compareció Jorge Alonso Garrido Abad, para solicitar, también, el amparo de su derecho fundamental a “</w:t>
      </w:r>
      <w:r w:rsidRPr="00C37B73">
        <w:rPr>
          <w:rFonts w:ascii="Gadugi" w:hAnsi="Gadugi"/>
          <w:i/>
          <w:sz w:val="24"/>
          <w:szCs w:val="26"/>
          <w:lang w:val="es-CO"/>
        </w:rPr>
        <w:t>la reserva de documentos contables</w:t>
      </w:r>
      <w:r w:rsidRPr="00C37B73">
        <w:rPr>
          <w:rFonts w:ascii="Gadugi" w:hAnsi="Gadugi"/>
          <w:sz w:val="24"/>
          <w:szCs w:val="26"/>
          <w:lang w:val="es-CO"/>
        </w:rPr>
        <w:t>”</w:t>
      </w:r>
      <w:r w:rsidR="00B64000" w:rsidRPr="00C37B73">
        <w:rPr>
          <w:rFonts w:ascii="Gadugi" w:hAnsi="Gadugi"/>
          <w:sz w:val="24"/>
          <w:szCs w:val="26"/>
          <w:lang w:val="es-419"/>
        </w:rPr>
        <w:t>;</w:t>
      </w:r>
      <w:r w:rsidRPr="00C37B73">
        <w:rPr>
          <w:rFonts w:ascii="Gadugi" w:hAnsi="Gadugi"/>
          <w:sz w:val="24"/>
          <w:szCs w:val="26"/>
          <w:lang w:val="es-CO"/>
        </w:rPr>
        <w:t xml:space="preserve"> señaló que, aun cuando él es el representante legal de la asociación Garrido Abad, el comprobante de pago que se involucró dentro de la inspección fue expedido por él, como persona</w:t>
      </w:r>
      <w:r w:rsidR="00F274E0" w:rsidRPr="00C37B73">
        <w:rPr>
          <w:rFonts w:ascii="Gadugi" w:hAnsi="Gadugi"/>
          <w:sz w:val="24"/>
          <w:szCs w:val="26"/>
          <w:lang w:val="es-CO"/>
        </w:rPr>
        <w:t xml:space="preserve"> natural y que, por más que ese documento estuviera a la vis</w:t>
      </w:r>
      <w:r w:rsidR="00B64000" w:rsidRPr="00C37B73">
        <w:rPr>
          <w:rFonts w:ascii="Gadugi" w:hAnsi="Gadugi"/>
          <w:sz w:val="24"/>
          <w:szCs w:val="26"/>
          <w:lang w:val="es-419"/>
        </w:rPr>
        <w:t>t</w:t>
      </w:r>
      <w:r w:rsidR="00F274E0" w:rsidRPr="00C37B73">
        <w:rPr>
          <w:rFonts w:ascii="Gadugi" w:hAnsi="Gadugi"/>
          <w:sz w:val="24"/>
          <w:szCs w:val="26"/>
          <w:lang w:val="es-CO"/>
        </w:rPr>
        <w:t xml:space="preserve">a, para que pudiera fotografiarse debió procederse conforme </w:t>
      </w:r>
      <w:r w:rsidR="00B64000" w:rsidRPr="00C37B73">
        <w:rPr>
          <w:rFonts w:ascii="Gadugi" w:hAnsi="Gadugi"/>
          <w:sz w:val="24"/>
          <w:szCs w:val="26"/>
          <w:lang w:val="es-419"/>
        </w:rPr>
        <w:t xml:space="preserve">con </w:t>
      </w:r>
      <w:r w:rsidR="00F274E0" w:rsidRPr="00C37B73">
        <w:rPr>
          <w:rFonts w:ascii="Gadugi" w:hAnsi="Gadugi"/>
          <w:sz w:val="24"/>
          <w:szCs w:val="26"/>
          <w:lang w:val="es-CO"/>
        </w:rPr>
        <w:t xml:space="preserve">lo reglado por el artículo 189 del C.G.P., esto es informándole previamente al propietario del hotel, el día y la hora en la que iba a realizarse la inspección. </w:t>
      </w:r>
    </w:p>
    <w:p w:rsidR="00F274E0" w:rsidRPr="00C37B73" w:rsidRDefault="00F274E0" w:rsidP="009F00F4">
      <w:pPr>
        <w:spacing w:line="276" w:lineRule="auto"/>
        <w:ind w:firstLine="2835"/>
        <w:jc w:val="both"/>
        <w:rPr>
          <w:rFonts w:ascii="Gadugi" w:hAnsi="Gadugi"/>
          <w:sz w:val="24"/>
          <w:szCs w:val="26"/>
          <w:lang w:val="es-CO"/>
        </w:rPr>
      </w:pPr>
    </w:p>
    <w:p w:rsidR="00F274E0" w:rsidRPr="00C37B73" w:rsidRDefault="00F274E0" w:rsidP="009F00F4">
      <w:pPr>
        <w:spacing w:line="276" w:lineRule="auto"/>
        <w:ind w:firstLine="2835"/>
        <w:jc w:val="both"/>
        <w:rPr>
          <w:rFonts w:ascii="Gadugi" w:hAnsi="Gadugi"/>
          <w:sz w:val="24"/>
          <w:szCs w:val="26"/>
          <w:lang w:val="es-CO"/>
        </w:rPr>
      </w:pPr>
      <w:r w:rsidRPr="00C37B73">
        <w:rPr>
          <w:rFonts w:ascii="Gadugi" w:hAnsi="Gadugi"/>
          <w:sz w:val="24"/>
          <w:szCs w:val="26"/>
          <w:lang w:val="es-CO"/>
        </w:rPr>
        <w:t>También señaló que la diligencia se practicó sobre elementos diferentes a los solicitados, pues se pidió sobre obras musicales representadas por Sayco y Acinpro y se realizó sobre obras audiovisuales que se comunicaban por medio de los aparatos de televisión.</w:t>
      </w:r>
    </w:p>
    <w:p w:rsidR="00BF2B05" w:rsidRPr="00C37B73" w:rsidRDefault="00BF2B05" w:rsidP="009F00F4">
      <w:pPr>
        <w:spacing w:line="276" w:lineRule="auto"/>
        <w:ind w:firstLine="2835"/>
        <w:jc w:val="both"/>
        <w:rPr>
          <w:rFonts w:ascii="Gadugi" w:hAnsi="Gadugi"/>
          <w:sz w:val="24"/>
          <w:szCs w:val="26"/>
          <w:lang w:val="es-CO"/>
        </w:rPr>
      </w:pPr>
    </w:p>
    <w:p w:rsidR="00BF2B05" w:rsidRPr="00C37B73" w:rsidRDefault="007109CD" w:rsidP="009F00F4">
      <w:pPr>
        <w:spacing w:line="276" w:lineRule="auto"/>
        <w:ind w:firstLine="2835"/>
        <w:jc w:val="both"/>
        <w:rPr>
          <w:rFonts w:ascii="Gadugi" w:hAnsi="Gadugi"/>
          <w:sz w:val="24"/>
          <w:szCs w:val="26"/>
          <w:lang w:val="es-CO"/>
        </w:rPr>
      </w:pPr>
      <w:r w:rsidRPr="00C37B73">
        <w:rPr>
          <w:rFonts w:ascii="Gadugi" w:hAnsi="Gadugi"/>
          <w:sz w:val="24"/>
          <w:szCs w:val="26"/>
          <w:lang w:val="es-CO"/>
        </w:rPr>
        <w:t xml:space="preserve">Finalmente estimó irregular que el Juez hubiera </w:t>
      </w:r>
      <w:r w:rsidR="00380C6A" w:rsidRPr="00C37B73">
        <w:rPr>
          <w:rFonts w:ascii="Gadugi" w:hAnsi="Gadugi"/>
          <w:sz w:val="24"/>
          <w:szCs w:val="26"/>
          <w:lang w:val="es-CO"/>
        </w:rPr>
        <w:t>ordenado encender los televisores y sintonizar un canal de música, pues cuando se encendió no era eso lo que se estaba comunicando al p</w:t>
      </w:r>
      <w:r w:rsidR="00521119" w:rsidRPr="00C37B73">
        <w:rPr>
          <w:rFonts w:ascii="Gadugi" w:hAnsi="Gadugi"/>
          <w:sz w:val="24"/>
          <w:szCs w:val="26"/>
          <w:lang w:val="es-CO"/>
        </w:rPr>
        <w:t>úblico, además que el juez no debió decretar el peritaje, ni el auxilio de un auxiliar de la justicia, pues así le ayudó al solicitante a hacer más elaborada la prueba (f. 30, c.1)</w:t>
      </w:r>
    </w:p>
    <w:p w:rsidR="00521119" w:rsidRPr="00C37B73" w:rsidRDefault="00521119" w:rsidP="009F00F4">
      <w:pPr>
        <w:spacing w:line="276" w:lineRule="auto"/>
        <w:ind w:firstLine="2835"/>
        <w:jc w:val="both"/>
        <w:rPr>
          <w:rFonts w:ascii="Gadugi" w:hAnsi="Gadugi"/>
          <w:sz w:val="24"/>
          <w:szCs w:val="26"/>
          <w:lang w:val="es-CO"/>
        </w:rPr>
      </w:pPr>
    </w:p>
    <w:p w:rsidR="00AA716B" w:rsidRPr="00C37B73" w:rsidRDefault="00AA716B" w:rsidP="009F00F4">
      <w:pPr>
        <w:spacing w:line="276" w:lineRule="auto"/>
        <w:ind w:firstLine="2835"/>
        <w:jc w:val="both"/>
        <w:rPr>
          <w:rFonts w:ascii="Gadugi" w:hAnsi="Gadugi"/>
          <w:sz w:val="24"/>
          <w:szCs w:val="26"/>
          <w:lang w:val="es-CO"/>
        </w:rPr>
      </w:pPr>
      <w:r w:rsidRPr="00C37B73">
        <w:rPr>
          <w:rFonts w:ascii="Gadugi" w:hAnsi="Gadugi"/>
          <w:sz w:val="24"/>
          <w:szCs w:val="26"/>
          <w:lang w:val="es-CO"/>
        </w:rPr>
        <w:t xml:space="preserve">Compareció, por conducto de </w:t>
      </w:r>
      <w:r w:rsidR="00F04960" w:rsidRPr="00C37B73">
        <w:rPr>
          <w:rFonts w:ascii="Gadugi" w:hAnsi="Gadugi"/>
          <w:sz w:val="24"/>
          <w:szCs w:val="26"/>
          <w:lang w:val="es-CO"/>
        </w:rPr>
        <w:t>apoderado judicial</w:t>
      </w:r>
      <w:r w:rsidR="005638CA" w:rsidRPr="00C37B73">
        <w:rPr>
          <w:rFonts w:ascii="Gadugi" w:hAnsi="Gadugi"/>
          <w:sz w:val="24"/>
          <w:szCs w:val="26"/>
          <w:lang w:val="es-419"/>
        </w:rPr>
        <w:t>,</w:t>
      </w:r>
      <w:r w:rsidRPr="00C37B73">
        <w:rPr>
          <w:rFonts w:ascii="Gadugi" w:hAnsi="Gadugi"/>
          <w:sz w:val="24"/>
          <w:szCs w:val="26"/>
          <w:lang w:val="es-CO"/>
        </w:rPr>
        <w:t xml:space="preserve"> la Organización Sayco y Acinpro</w:t>
      </w:r>
      <w:r w:rsidR="006F6E3A" w:rsidRPr="00C37B73">
        <w:rPr>
          <w:rFonts w:ascii="Gadugi" w:hAnsi="Gadugi"/>
          <w:sz w:val="24"/>
          <w:szCs w:val="26"/>
          <w:lang w:val="es-CO"/>
        </w:rPr>
        <w:t xml:space="preserve"> quien</w:t>
      </w:r>
      <w:r w:rsidRPr="00C37B73">
        <w:rPr>
          <w:rFonts w:ascii="Gadugi" w:hAnsi="Gadugi"/>
          <w:sz w:val="24"/>
          <w:szCs w:val="26"/>
          <w:lang w:val="es-CO"/>
        </w:rPr>
        <w:t xml:space="preserve"> </w:t>
      </w:r>
      <w:r w:rsidR="006F6E3A" w:rsidRPr="00C37B73">
        <w:rPr>
          <w:rFonts w:ascii="Gadugi" w:hAnsi="Gadugi"/>
          <w:sz w:val="24"/>
          <w:szCs w:val="26"/>
          <w:lang w:val="es-CO"/>
        </w:rPr>
        <w:t xml:space="preserve">adujo sobre la improcedencia del amparo, indicó que al tenor del artículo 174 del Código General del Proceso, corresponde al juez ante quien se aduzca la valoración de la prueba extraprocesal y no al juez de tutela. </w:t>
      </w:r>
    </w:p>
    <w:p w:rsidR="006F6E3A" w:rsidRPr="00C37B73" w:rsidRDefault="006F6E3A" w:rsidP="009F00F4">
      <w:pPr>
        <w:spacing w:line="276" w:lineRule="auto"/>
        <w:ind w:firstLine="2835"/>
        <w:jc w:val="both"/>
        <w:rPr>
          <w:rFonts w:ascii="Gadugi" w:hAnsi="Gadugi"/>
          <w:sz w:val="24"/>
          <w:szCs w:val="26"/>
          <w:lang w:val="es-CO"/>
        </w:rPr>
      </w:pPr>
    </w:p>
    <w:p w:rsidR="004C28EB" w:rsidRPr="00C37B73" w:rsidRDefault="00BF7D91" w:rsidP="009F00F4">
      <w:pPr>
        <w:spacing w:line="276" w:lineRule="auto"/>
        <w:ind w:firstLine="2835"/>
        <w:jc w:val="both"/>
        <w:rPr>
          <w:rFonts w:ascii="Gadugi" w:hAnsi="Gadugi"/>
          <w:sz w:val="24"/>
          <w:szCs w:val="26"/>
          <w:lang w:val="es-CO"/>
        </w:rPr>
      </w:pPr>
      <w:r w:rsidRPr="00C37B73">
        <w:rPr>
          <w:rFonts w:ascii="Gadugi" w:hAnsi="Gadugi"/>
          <w:sz w:val="24"/>
          <w:szCs w:val="26"/>
          <w:lang w:val="es-CO"/>
        </w:rPr>
        <w:t>E</w:t>
      </w:r>
      <w:r w:rsidR="006F6E3A" w:rsidRPr="00C37B73">
        <w:rPr>
          <w:rFonts w:ascii="Gadugi" w:hAnsi="Gadugi"/>
          <w:sz w:val="24"/>
          <w:szCs w:val="26"/>
          <w:lang w:val="es-CO"/>
        </w:rPr>
        <w:t xml:space="preserve">stimó ajustada al debido proceso la diligencia adelantada por el juzgado y explicó que el diligenciamiento de un formato de </w:t>
      </w:r>
      <w:r w:rsidRPr="00C37B73">
        <w:rPr>
          <w:rFonts w:ascii="Gadugi" w:hAnsi="Gadugi"/>
          <w:sz w:val="24"/>
          <w:szCs w:val="26"/>
          <w:lang w:val="es-CO"/>
        </w:rPr>
        <w:t>auto</w:t>
      </w:r>
      <w:r w:rsidR="00B64000" w:rsidRPr="00C37B73">
        <w:rPr>
          <w:rFonts w:ascii="Gadugi" w:hAnsi="Gadugi"/>
          <w:sz w:val="24"/>
          <w:szCs w:val="26"/>
          <w:lang w:val="es-419"/>
        </w:rPr>
        <w:t>-</w:t>
      </w:r>
      <w:r w:rsidRPr="00C37B73">
        <w:rPr>
          <w:rFonts w:ascii="Gadugi" w:hAnsi="Gadugi"/>
          <w:sz w:val="24"/>
          <w:szCs w:val="26"/>
          <w:lang w:val="es-CO"/>
        </w:rPr>
        <w:t xml:space="preserve"> declaración</w:t>
      </w:r>
      <w:r w:rsidR="006F6E3A" w:rsidRPr="00C37B73">
        <w:rPr>
          <w:rFonts w:ascii="Gadugi" w:hAnsi="Gadugi"/>
          <w:sz w:val="24"/>
          <w:szCs w:val="26"/>
          <w:lang w:val="es-CO"/>
        </w:rPr>
        <w:t xml:space="preserve"> resulta pertinente</w:t>
      </w:r>
      <w:r w:rsidRPr="00C37B73">
        <w:rPr>
          <w:rFonts w:ascii="Gadugi" w:hAnsi="Gadugi"/>
          <w:sz w:val="24"/>
          <w:szCs w:val="26"/>
          <w:lang w:val="es-CO"/>
        </w:rPr>
        <w:t>,</w:t>
      </w:r>
      <w:r w:rsidR="006F6E3A" w:rsidRPr="00C37B73">
        <w:rPr>
          <w:rFonts w:ascii="Gadugi" w:hAnsi="Gadugi"/>
          <w:sz w:val="24"/>
          <w:szCs w:val="26"/>
          <w:lang w:val="es-CO"/>
        </w:rPr>
        <w:t xml:space="preserve"> pues su objeto es </w:t>
      </w:r>
      <w:r w:rsidRPr="00C37B73">
        <w:rPr>
          <w:rFonts w:ascii="Gadugi" w:hAnsi="Gadugi"/>
          <w:sz w:val="24"/>
          <w:szCs w:val="26"/>
          <w:lang w:val="es-CO"/>
        </w:rPr>
        <w:t xml:space="preserve">establecer el uso de obras musicales y la titularidad de sus autores, para efectos de que dicha prueba cumpla con los </w:t>
      </w:r>
      <w:r w:rsidRPr="00C37B73">
        <w:rPr>
          <w:rFonts w:ascii="Gadugi" w:hAnsi="Gadugi"/>
          <w:sz w:val="24"/>
          <w:szCs w:val="26"/>
          <w:lang w:val="es-CO"/>
        </w:rPr>
        <w:lastRenderedPageBreak/>
        <w:t>requisitos de utilidad en el futuro proceso verbal que se instaurará contra el establecimiento</w:t>
      </w:r>
      <w:r w:rsidR="004C28EB" w:rsidRPr="00C37B73">
        <w:rPr>
          <w:rFonts w:ascii="Gadugi" w:hAnsi="Gadugi"/>
          <w:sz w:val="24"/>
          <w:szCs w:val="26"/>
          <w:lang w:val="es-CO"/>
        </w:rPr>
        <w:t xml:space="preserve"> de comercio.</w:t>
      </w:r>
    </w:p>
    <w:p w:rsidR="00CE51CD" w:rsidRPr="00C37B73" w:rsidRDefault="00CE51CD" w:rsidP="009F00F4">
      <w:pPr>
        <w:spacing w:line="276" w:lineRule="auto"/>
        <w:ind w:firstLine="2835"/>
        <w:jc w:val="both"/>
        <w:rPr>
          <w:rFonts w:ascii="Gadugi" w:hAnsi="Gadugi"/>
          <w:sz w:val="24"/>
          <w:szCs w:val="26"/>
          <w:lang w:val="es-CO"/>
        </w:rPr>
      </w:pPr>
    </w:p>
    <w:p w:rsidR="00CE51CD" w:rsidRPr="00C37B73" w:rsidRDefault="00CE51CD" w:rsidP="009F00F4">
      <w:pPr>
        <w:spacing w:line="276" w:lineRule="auto"/>
        <w:ind w:firstLine="2835"/>
        <w:jc w:val="both"/>
        <w:rPr>
          <w:rFonts w:ascii="Gadugi" w:hAnsi="Gadugi"/>
          <w:sz w:val="24"/>
          <w:szCs w:val="26"/>
          <w:lang w:val="es-CO"/>
        </w:rPr>
      </w:pPr>
      <w:r w:rsidRPr="00C37B73">
        <w:rPr>
          <w:rFonts w:ascii="Gadugi" w:hAnsi="Gadugi"/>
          <w:sz w:val="24"/>
          <w:szCs w:val="26"/>
          <w:lang w:val="es-CO"/>
        </w:rPr>
        <w:t>En lo que toca con la reserva legal mencionada en la demanda</w:t>
      </w:r>
      <w:r w:rsidR="004C28EB" w:rsidRPr="00C37B73">
        <w:rPr>
          <w:rFonts w:ascii="Gadugi" w:hAnsi="Gadugi"/>
          <w:sz w:val="24"/>
          <w:szCs w:val="26"/>
          <w:lang w:val="es-CO"/>
        </w:rPr>
        <w:t>,</w:t>
      </w:r>
      <w:r w:rsidRPr="00C37B73">
        <w:rPr>
          <w:rFonts w:ascii="Gadugi" w:hAnsi="Gadugi"/>
          <w:sz w:val="24"/>
          <w:szCs w:val="26"/>
          <w:lang w:val="es-CO"/>
        </w:rPr>
        <w:t xml:space="preserve"> dijo que los comprobantes de pago de los derechos de autor, de conformidad con los artículos 87 y 92 de la ley 1801 del 2018, más allá de que sirvan para soportar costos y registros contables, se constituyen en requisitos de funcionamiento de los establecimientos de comercio, que deben ser expuestos a las autoridades </w:t>
      </w:r>
      <w:r w:rsidR="00470D4D" w:rsidRPr="00C37B73">
        <w:rPr>
          <w:rFonts w:ascii="Gadugi" w:hAnsi="Gadugi"/>
          <w:sz w:val="24"/>
          <w:szCs w:val="26"/>
          <w:lang w:val="es-CO"/>
        </w:rPr>
        <w:t>que los exijan; manifestó que es falso que exista alguna reserva lega</w:t>
      </w:r>
      <w:r w:rsidR="00E7076A" w:rsidRPr="00C37B73">
        <w:rPr>
          <w:rFonts w:ascii="Gadugi" w:hAnsi="Gadugi"/>
          <w:sz w:val="24"/>
          <w:szCs w:val="26"/>
          <w:lang w:val="es-CO"/>
        </w:rPr>
        <w:t>l en relación con ese documento (f. 33, c.1)</w:t>
      </w:r>
      <w:r w:rsidR="00B64000" w:rsidRPr="00C37B73">
        <w:rPr>
          <w:rFonts w:ascii="Gadugi" w:hAnsi="Gadugi"/>
          <w:sz w:val="24"/>
          <w:szCs w:val="26"/>
          <w:lang w:val="es-419"/>
        </w:rPr>
        <w:t>.</w:t>
      </w:r>
      <w:r w:rsidR="00470D4D" w:rsidRPr="00C37B73">
        <w:rPr>
          <w:rFonts w:ascii="Gadugi" w:hAnsi="Gadugi"/>
          <w:sz w:val="24"/>
          <w:szCs w:val="26"/>
          <w:lang w:val="es-CO"/>
        </w:rPr>
        <w:t xml:space="preserve"> </w:t>
      </w:r>
    </w:p>
    <w:p w:rsidR="003F7D0A" w:rsidRPr="00C37B73" w:rsidRDefault="003F7D0A" w:rsidP="009F00F4">
      <w:pPr>
        <w:spacing w:line="276" w:lineRule="auto"/>
        <w:ind w:firstLine="2835"/>
        <w:jc w:val="both"/>
        <w:rPr>
          <w:rFonts w:ascii="Gadugi" w:hAnsi="Gadugi"/>
          <w:sz w:val="24"/>
          <w:szCs w:val="26"/>
          <w:lang w:val="es-CO"/>
        </w:rPr>
      </w:pPr>
    </w:p>
    <w:p w:rsidR="00137BE4" w:rsidRPr="00C37B73" w:rsidRDefault="002D3AC6" w:rsidP="009F00F4">
      <w:pPr>
        <w:spacing w:line="276" w:lineRule="auto"/>
        <w:ind w:firstLine="2835"/>
        <w:jc w:val="both"/>
        <w:rPr>
          <w:rFonts w:ascii="Gadugi" w:hAnsi="Gadugi"/>
          <w:sz w:val="24"/>
          <w:szCs w:val="26"/>
          <w:lang w:val="es-CO"/>
        </w:rPr>
      </w:pPr>
      <w:r w:rsidRPr="00C37B73">
        <w:rPr>
          <w:rFonts w:ascii="Gadugi" w:hAnsi="Gadugi"/>
          <w:sz w:val="24"/>
          <w:szCs w:val="26"/>
          <w:lang w:val="es-CO"/>
        </w:rPr>
        <w:t>S</w:t>
      </w:r>
      <w:r w:rsidR="00AC6DEB" w:rsidRPr="00C37B73">
        <w:rPr>
          <w:rFonts w:ascii="Gadugi" w:hAnsi="Gadugi"/>
          <w:sz w:val="24"/>
          <w:szCs w:val="26"/>
          <w:lang w:val="es-CO"/>
        </w:rPr>
        <w:t xml:space="preserve">obrevino el </w:t>
      </w:r>
      <w:r w:rsidR="007A126E" w:rsidRPr="00C37B73">
        <w:rPr>
          <w:rFonts w:ascii="Gadugi" w:hAnsi="Gadugi"/>
          <w:sz w:val="24"/>
          <w:szCs w:val="26"/>
          <w:lang w:val="es-CO"/>
        </w:rPr>
        <w:t>fallo de primera instancia</w:t>
      </w:r>
      <w:r w:rsidR="005638CA" w:rsidRPr="00C37B73">
        <w:rPr>
          <w:rFonts w:ascii="Gadugi" w:hAnsi="Gadugi"/>
          <w:sz w:val="24"/>
          <w:szCs w:val="26"/>
          <w:lang w:val="es-419"/>
        </w:rPr>
        <w:t>;</w:t>
      </w:r>
      <w:r w:rsidR="00D70050" w:rsidRPr="00C37B73">
        <w:rPr>
          <w:rFonts w:ascii="Gadugi" w:hAnsi="Gadugi"/>
          <w:sz w:val="24"/>
          <w:szCs w:val="26"/>
          <w:lang w:val="es-419"/>
        </w:rPr>
        <w:t xml:space="preserve"> allí se consideraron superados los requisitos de procedibilidad de esta acción de tutela; adicionalmente </w:t>
      </w:r>
      <w:r w:rsidR="00137BE4" w:rsidRPr="00C37B73">
        <w:rPr>
          <w:rFonts w:ascii="Gadugi" w:hAnsi="Gadugi"/>
          <w:sz w:val="24"/>
          <w:szCs w:val="26"/>
          <w:lang w:val="es-CO"/>
        </w:rPr>
        <w:t>se estimó correcto el proceder del Juzgado accionado durante la inspección judicial</w:t>
      </w:r>
      <w:r w:rsidR="00E7076A" w:rsidRPr="00C37B73">
        <w:rPr>
          <w:rFonts w:ascii="Gadugi" w:hAnsi="Gadugi"/>
          <w:sz w:val="24"/>
          <w:szCs w:val="26"/>
          <w:lang w:val="es-CO"/>
        </w:rPr>
        <w:t xml:space="preserve"> (f. 59, c.1)</w:t>
      </w:r>
    </w:p>
    <w:p w:rsidR="00137BE4" w:rsidRPr="00C37B73" w:rsidRDefault="00137BE4" w:rsidP="009F00F4">
      <w:pPr>
        <w:spacing w:line="276" w:lineRule="auto"/>
        <w:ind w:firstLine="2835"/>
        <w:jc w:val="both"/>
        <w:rPr>
          <w:rFonts w:ascii="Gadugi" w:hAnsi="Gadugi"/>
          <w:sz w:val="24"/>
          <w:szCs w:val="26"/>
          <w:lang w:val="es-CO"/>
        </w:rPr>
      </w:pPr>
    </w:p>
    <w:p w:rsidR="007A126E" w:rsidRPr="00C37B73" w:rsidRDefault="00EB3DB0" w:rsidP="009F00F4">
      <w:pPr>
        <w:spacing w:line="276" w:lineRule="auto"/>
        <w:ind w:firstLine="2835"/>
        <w:jc w:val="both"/>
        <w:rPr>
          <w:rFonts w:ascii="Gadugi" w:hAnsi="Gadugi"/>
          <w:sz w:val="24"/>
          <w:szCs w:val="26"/>
          <w:lang w:val="es-CO"/>
        </w:rPr>
      </w:pPr>
      <w:r w:rsidRPr="00C37B73">
        <w:rPr>
          <w:rFonts w:ascii="Gadugi" w:hAnsi="Gadugi"/>
          <w:sz w:val="24"/>
          <w:szCs w:val="26"/>
          <w:lang w:val="es-CO"/>
        </w:rPr>
        <w:t>Impugnó el accionante,</w:t>
      </w:r>
      <w:r w:rsidR="00956302" w:rsidRPr="00C37B73">
        <w:rPr>
          <w:rFonts w:ascii="Gadugi" w:hAnsi="Gadugi"/>
          <w:sz w:val="24"/>
          <w:szCs w:val="26"/>
          <w:lang w:val="es-CO"/>
        </w:rPr>
        <w:t xml:space="preserve"> quien</w:t>
      </w:r>
      <w:r w:rsidRPr="00C37B73">
        <w:rPr>
          <w:rFonts w:ascii="Gadugi" w:hAnsi="Gadugi"/>
          <w:sz w:val="24"/>
          <w:szCs w:val="26"/>
          <w:lang w:val="es-CO"/>
        </w:rPr>
        <w:t xml:space="preserve"> </w:t>
      </w:r>
      <w:r w:rsidR="00137BE4" w:rsidRPr="00C37B73">
        <w:rPr>
          <w:rFonts w:ascii="Gadugi" w:hAnsi="Gadugi"/>
          <w:sz w:val="24"/>
          <w:szCs w:val="26"/>
          <w:lang w:val="es-CO"/>
        </w:rPr>
        <w:t xml:space="preserve">afincó su inconformidad en que el Juzgado de primera instancia </w:t>
      </w:r>
      <w:r w:rsidR="00956302" w:rsidRPr="00C37B73">
        <w:rPr>
          <w:rFonts w:ascii="Gadugi" w:hAnsi="Gadugi"/>
          <w:sz w:val="24"/>
          <w:szCs w:val="26"/>
          <w:lang w:val="es-CO"/>
        </w:rPr>
        <w:t xml:space="preserve">omitió referirse al punto central de la demanda, esto es que </w:t>
      </w:r>
      <w:r w:rsidR="00D70050" w:rsidRPr="00C37B73">
        <w:rPr>
          <w:rFonts w:ascii="Gadugi" w:hAnsi="Gadugi"/>
          <w:sz w:val="24"/>
          <w:szCs w:val="26"/>
          <w:lang w:val="es-CO"/>
        </w:rPr>
        <w:t xml:space="preserve">irregularmente se hubiera encendido el televisor y se hubiera sintonizado en canal de música, </w:t>
      </w:r>
      <w:r w:rsidR="00E7076A" w:rsidRPr="00C37B73">
        <w:rPr>
          <w:rFonts w:ascii="Gadugi" w:hAnsi="Gadugi"/>
          <w:sz w:val="24"/>
          <w:szCs w:val="26"/>
          <w:lang w:val="es-CO"/>
        </w:rPr>
        <w:t>porque con ello, de manera sesgada, la prueba qued</w:t>
      </w:r>
      <w:r w:rsidR="00A237BA" w:rsidRPr="00C37B73">
        <w:rPr>
          <w:rFonts w:ascii="Gadugi" w:hAnsi="Gadugi"/>
          <w:sz w:val="24"/>
          <w:szCs w:val="26"/>
          <w:lang w:val="es-CO"/>
        </w:rPr>
        <w:t>ó</w:t>
      </w:r>
      <w:r w:rsidR="00E7076A" w:rsidRPr="00C37B73">
        <w:rPr>
          <w:rFonts w:ascii="Gadugi" w:hAnsi="Gadugi"/>
          <w:sz w:val="24"/>
          <w:szCs w:val="26"/>
          <w:lang w:val="es-CO"/>
        </w:rPr>
        <w:t xml:space="preserve"> materializada (f. 68, c.1) </w:t>
      </w:r>
    </w:p>
    <w:p w:rsidR="00EB3DB0" w:rsidRPr="00C37B73" w:rsidRDefault="00EB3DB0" w:rsidP="009F00F4">
      <w:pPr>
        <w:spacing w:line="276" w:lineRule="auto"/>
        <w:rPr>
          <w:rFonts w:ascii="Gadugi" w:hAnsi="Gadugi"/>
          <w:sz w:val="24"/>
          <w:szCs w:val="26"/>
          <w:lang w:val="es-CO"/>
        </w:rPr>
      </w:pPr>
    </w:p>
    <w:p w:rsidR="00D950C6" w:rsidRPr="00C37B73" w:rsidRDefault="00D950C6" w:rsidP="009F00F4">
      <w:pPr>
        <w:spacing w:line="276" w:lineRule="auto"/>
        <w:rPr>
          <w:rFonts w:ascii="Gadugi" w:hAnsi="Gadugi"/>
          <w:sz w:val="24"/>
          <w:szCs w:val="26"/>
          <w:lang w:val="es-CO"/>
        </w:rPr>
      </w:pPr>
    </w:p>
    <w:p w:rsidR="00EC7541" w:rsidRPr="00C37B73" w:rsidRDefault="002F7A99" w:rsidP="002D60BA">
      <w:pPr>
        <w:spacing w:line="276" w:lineRule="auto"/>
        <w:ind w:left="2124" w:firstLine="708"/>
        <w:rPr>
          <w:rFonts w:ascii="Gadugi" w:hAnsi="Gadugi"/>
          <w:b/>
          <w:sz w:val="24"/>
          <w:szCs w:val="26"/>
        </w:rPr>
      </w:pPr>
      <w:r w:rsidRPr="00C37B73">
        <w:rPr>
          <w:rFonts w:ascii="Gadugi" w:hAnsi="Gadugi"/>
          <w:b/>
          <w:sz w:val="24"/>
          <w:szCs w:val="26"/>
        </w:rPr>
        <w:t>CONSIDERACIONES</w:t>
      </w:r>
    </w:p>
    <w:p w:rsidR="008D7491" w:rsidRPr="00C37B73" w:rsidRDefault="008D7491" w:rsidP="00F60649">
      <w:pPr>
        <w:spacing w:line="276" w:lineRule="auto"/>
        <w:rPr>
          <w:rFonts w:ascii="Gadugi" w:hAnsi="Gadugi"/>
          <w:b/>
          <w:sz w:val="24"/>
          <w:szCs w:val="26"/>
        </w:rPr>
      </w:pPr>
    </w:p>
    <w:p w:rsidR="00F60649" w:rsidRPr="00C37B73" w:rsidRDefault="00F60649" w:rsidP="00F60649">
      <w:pPr>
        <w:spacing w:line="276" w:lineRule="auto"/>
        <w:rPr>
          <w:rFonts w:ascii="Gadugi" w:hAnsi="Gadugi"/>
          <w:b/>
          <w:sz w:val="24"/>
          <w:szCs w:val="26"/>
        </w:rPr>
      </w:pPr>
    </w:p>
    <w:p w:rsidR="00BE2346" w:rsidRPr="00C37B73" w:rsidRDefault="00BE2346" w:rsidP="009F00F4">
      <w:pPr>
        <w:spacing w:line="276" w:lineRule="auto"/>
        <w:ind w:firstLine="2835"/>
        <w:jc w:val="both"/>
        <w:rPr>
          <w:rFonts w:ascii="Gadugi" w:hAnsi="Gadugi"/>
          <w:b/>
          <w:sz w:val="24"/>
          <w:szCs w:val="26"/>
        </w:rPr>
      </w:pPr>
      <w:r w:rsidRPr="00C37B73">
        <w:rPr>
          <w:rFonts w:ascii="Gadugi" w:hAnsi="Gadugi"/>
          <w:sz w:val="24"/>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C37B73" w:rsidRDefault="00BE2346" w:rsidP="009F00F4">
      <w:pPr>
        <w:spacing w:line="276" w:lineRule="auto"/>
        <w:ind w:firstLine="2835"/>
        <w:jc w:val="both"/>
        <w:rPr>
          <w:rFonts w:ascii="Gadugi" w:hAnsi="Gadugi"/>
          <w:sz w:val="24"/>
          <w:szCs w:val="26"/>
          <w:lang w:val="es-CO"/>
        </w:rPr>
      </w:pPr>
    </w:p>
    <w:p w:rsidR="00137BE4" w:rsidRPr="00C37B73" w:rsidRDefault="00BE2346" w:rsidP="009F00F4">
      <w:pPr>
        <w:spacing w:line="276" w:lineRule="auto"/>
        <w:ind w:firstLine="2835"/>
        <w:jc w:val="both"/>
        <w:rPr>
          <w:rFonts w:ascii="Gadugi" w:hAnsi="Gadugi"/>
          <w:sz w:val="24"/>
          <w:szCs w:val="26"/>
        </w:rPr>
      </w:pPr>
      <w:r w:rsidRPr="00C37B73">
        <w:rPr>
          <w:rFonts w:ascii="Gadugi" w:hAnsi="Gadugi"/>
          <w:sz w:val="24"/>
          <w:szCs w:val="26"/>
        </w:rPr>
        <w:t>Según se desprende de</w:t>
      </w:r>
      <w:r w:rsidR="005638CA" w:rsidRPr="00C37B73">
        <w:rPr>
          <w:rFonts w:ascii="Gadugi" w:hAnsi="Gadugi"/>
          <w:sz w:val="24"/>
          <w:szCs w:val="26"/>
          <w:lang w:val="es-419"/>
        </w:rPr>
        <w:t xml:space="preserve">l libelo </w:t>
      </w:r>
      <w:r w:rsidRPr="00C37B73">
        <w:rPr>
          <w:rFonts w:ascii="Gadugi" w:hAnsi="Gadugi"/>
          <w:sz w:val="24"/>
          <w:szCs w:val="26"/>
        </w:rPr>
        <w:t xml:space="preserve"> </w:t>
      </w:r>
      <w:r w:rsidR="005638CA" w:rsidRPr="00C37B73">
        <w:rPr>
          <w:rFonts w:ascii="Gadugi" w:hAnsi="Gadugi"/>
          <w:sz w:val="24"/>
          <w:szCs w:val="26"/>
          <w:lang w:val="es-419"/>
        </w:rPr>
        <w:t xml:space="preserve">inicial y del </w:t>
      </w:r>
      <w:r w:rsidR="00FE6299" w:rsidRPr="00C37B73">
        <w:rPr>
          <w:rFonts w:ascii="Gadugi" w:hAnsi="Gadugi"/>
          <w:sz w:val="24"/>
          <w:szCs w:val="26"/>
        </w:rPr>
        <w:t>escrito de impugnación</w:t>
      </w:r>
      <w:r w:rsidRPr="00C37B73">
        <w:rPr>
          <w:rFonts w:ascii="Gadugi" w:hAnsi="Gadugi"/>
          <w:sz w:val="24"/>
          <w:szCs w:val="26"/>
        </w:rPr>
        <w:t xml:space="preserve">, </w:t>
      </w:r>
      <w:r w:rsidR="00137BE4" w:rsidRPr="00C37B73">
        <w:rPr>
          <w:rFonts w:ascii="Gadugi" w:hAnsi="Gadugi"/>
          <w:sz w:val="24"/>
          <w:szCs w:val="26"/>
        </w:rPr>
        <w:t xml:space="preserve">acude </w:t>
      </w:r>
      <w:r w:rsidR="00E7076A" w:rsidRPr="00C37B73">
        <w:rPr>
          <w:rFonts w:ascii="Gadugi" w:hAnsi="Gadugi"/>
          <w:sz w:val="24"/>
          <w:szCs w:val="26"/>
        </w:rPr>
        <w:t>el accionante</w:t>
      </w:r>
      <w:r w:rsidR="00137BE4" w:rsidRPr="00C37B73">
        <w:rPr>
          <w:rFonts w:ascii="Gadugi" w:hAnsi="Gadugi"/>
          <w:sz w:val="24"/>
          <w:szCs w:val="26"/>
        </w:rPr>
        <w:t xml:space="preserve"> por la inconformidad que le causa</w:t>
      </w:r>
      <w:r w:rsidR="00E7076A" w:rsidRPr="00C37B73">
        <w:rPr>
          <w:rFonts w:ascii="Gadugi" w:hAnsi="Gadugi"/>
          <w:sz w:val="24"/>
          <w:szCs w:val="26"/>
        </w:rPr>
        <w:t>, en últimas,</w:t>
      </w:r>
      <w:r w:rsidR="00137BE4" w:rsidRPr="00C37B73">
        <w:rPr>
          <w:rFonts w:ascii="Gadugi" w:hAnsi="Gadugi"/>
          <w:sz w:val="24"/>
          <w:szCs w:val="26"/>
        </w:rPr>
        <w:t xml:space="preserve"> </w:t>
      </w:r>
      <w:r w:rsidR="00E7076A" w:rsidRPr="00C37B73">
        <w:rPr>
          <w:rFonts w:ascii="Gadugi" w:hAnsi="Gadugi"/>
          <w:sz w:val="24"/>
          <w:szCs w:val="26"/>
        </w:rPr>
        <w:t>el hecho de que el juzgado hubiera encendido un televisor que se encontraba apagado y, por contera, hubiera sintonizado un canal de música durante la inspección j</w:t>
      </w:r>
      <w:r w:rsidR="00F60649" w:rsidRPr="00C37B73">
        <w:rPr>
          <w:rFonts w:ascii="Gadugi" w:hAnsi="Gadugi"/>
          <w:sz w:val="24"/>
          <w:szCs w:val="26"/>
        </w:rPr>
        <w:t>udicial</w:t>
      </w:r>
      <w:r w:rsidR="00E7076A" w:rsidRPr="00C37B73">
        <w:rPr>
          <w:rFonts w:ascii="Gadugi" w:hAnsi="Gadugi"/>
          <w:sz w:val="24"/>
          <w:szCs w:val="26"/>
        </w:rPr>
        <w:t xml:space="preserve"> solicitada por Sayco y Acinpro,</w:t>
      </w:r>
      <w:r w:rsidR="00F60649" w:rsidRPr="00C37B73">
        <w:rPr>
          <w:rFonts w:ascii="Gadugi" w:hAnsi="Gadugi"/>
          <w:sz w:val="24"/>
          <w:szCs w:val="26"/>
        </w:rPr>
        <w:t xml:space="preserve"> que en este caso se estudia y las fotografías que se permitieron tomar sobre un </w:t>
      </w:r>
      <w:r w:rsidR="004C28EB" w:rsidRPr="00C37B73">
        <w:rPr>
          <w:rFonts w:ascii="Gadugi" w:hAnsi="Gadugi"/>
          <w:sz w:val="24"/>
          <w:szCs w:val="26"/>
        </w:rPr>
        <w:t>documento</w:t>
      </w:r>
      <w:r w:rsidR="00F60649" w:rsidRPr="00C37B73">
        <w:rPr>
          <w:rFonts w:ascii="Gadugi" w:hAnsi="Gadugi"/>
          <w:sz w:val="24"/>
          <w:szCs w:val="26"/>
        </w:rPr>
        <w:t xml:space="preserve"> </w:t>
      </w:r>
      <w:r w:rsidR="004C28EB" w:rsidRPr="00C37B73">
        <w:rPr>
          <w:rFonts w:ascii="Gadugi" w:hAnsi="Gadugi"/>
          <w:sz w:val="24"/>
          <w:szCs w:val="26"/>
        </w:rPr>
        <w:t>d</w:t>
      </w:r>
      <w:r w:rsidR="00F60649" w:rsidRPr="00C37B73">
        <w:rPr>
          <w:rFonts w:ascii="Gadugi" w:hAnsi="Gadugi"/>
          <w:sz w:val="24"/>
          <w:szCs w:val="26"/>
        </w:rPr>
        <w:t>el que</w:t>
      </w:r>
      <w:r w:rsidR="005638CA" w:rsidRPr="00C37B73">
        <w:rPr>
          <w:rFonts w:ascii="Gadugi" w:hAnsi="Gadugi"/>
          <w:sz w:val="24"/>
          <w:szCs w:val="26"/>
          <w:lang w:val="es-419"/>
        </w:rPr>
        <w:t>,</w:t>
      </w:r>
      <w:r w:rsidR="00F60649" w:rsidRPr="00C37B73">
        <w:rPr>
          <w:rFonts w:ascii="Gadugi" w:hAnsi="Gadugi"/>
          <w:sz w:val="24"/>
          <w:szCs w:val="26"/>
        </w:rPr>
        <w:t xml:space="preserve"> se dice</w:t>
      </w:r>
      <w:r w:rsidR="005638CA" w:rsidRPr="00C37B73">
        <w:rPr>
          <w:rFonts w:ascii="Gadugi" w:hAnsi="Gadugi"/>
          <w:sz w:val="24"/>
          <w:szCs w:val="26"/>
          <w:lang w:val="es-419"/>
        </w:rPr>
        <w:t>,</w:t>
      </w:r>
      <w:r w:rsidR="00F60649" w:rsidRPr="00C37B73">
        <w:rPr>
          <w:rFonts w:ascii="Gadugi" w:hAnsi="Gadugi"/>
          <w:sz w:val="24"/>
          <w:szCs w:val="26"/>
        </w:rPr>
        <w:t xml:space="preserve"> cuenta con </w:t>
      </w:r>
      <w:r w:rsidR="004C28EB" w:rsidRPr="00C37B73">
        <w:rPr>
          <w:rFonts w:ascii="Gadugi" w:hAnsi="Gadugi"/>
          <w:sz w:val="24"/>
          <w:szCs w:val="26"/>
        </w:rPr>
        <w:t>reserva</w:t>
      </w:r>
      <w:r w:rsidR="00F60649" w:rsidRPr="00C37B73">
        <w:rPr>
          <w:rFonts w:ascii="Gadugi" w:hAnsi="Gadugi"/>
          <w:sz w:val="24"/>
          <w:szCs w:val="26"/>
        </w:rPr>
        <w:t xml:space="preserve"> legal.</w:t>
      </w:r>
    </w:p>
    <w:p w:rsidR="00F80768" w:rsidRPr="00C37B73" w:rsidRDefault="00F80768" w:rsidP="009F00F4">
      <w:pPr>
        <w:spacing w:line="276" w:lineRule="auto"/>
        <w:ind w:firstLine="2835"/>
        <w:jc w:val="both"/>
        <w:rPr>
          <w:rFonts w:ascii="Gadugi" w:hAnsi="Gadugi" w:cs="Arial"/>
          <w:sz w:val="24"/>
          <w:szCs w:val="26"/>
        </w:rPr>
      </w:pPr>
    </w:p>
    <w:p w:rsidR="00E7076A" w:rsidRPr="00C37B73" w:rsidRDefault="00E7076A" w:rsidP="009F00F4">
      <w:pPr>
        <w:spacing w:line="276" w:lineRule="auto"/>
        <w:ind w:firstLine="2835"/>
        <w:jc w:val="both"/>
        <w:rPr>
          <w:rFonts w:ascii="Gadugi" w:hAnsi="Gadugi" w:cs="Arial"/>
          <w:sz w:val="24"/>
          <w:szCs w:val="26"/>
          <w:lang w:val="es-CO"/>
        </w:rPr>
      </w:pPr>
      <w:r w:rsidRPr="00C37B73">
        <w:rPr>
          <w:rFonts w:ascii="Gadugi" w:hAnsi="Gadugi" w:cs="Arial"/>
          <w:sz w:val="24"/>
          <w:szCs w:val="26"/>
          <w:lang w:val="es-CO"/>
        </w:rPr>
        <w:t xml:space="preserve">El Juzgado de instancia, se dijo, luego de analizar lo sucedido durante la inspección judicial, negó las suplicas del amparo </w:t>
      </w:r>
      <w:r w:rsidR="007025DF" w:rsidRPr="00C37B73">
        <w:rPr>
          <w:rFonts w:ascii="Gadugi" w:hAnsi="Gadugi" w:cs="Arial"/>
          <w:sz w:val="24"/>
          <w:szCs w:val="26"/>
          <w:lang w:val="es-CO"/>
        </w:rPr>
        <w:t xml:space="preserve">por considerar </w:t>
      </w:r>
      <w:r w:rsidR="007025DF" w:rsidRPr="00C37B73">
        <w:rPr>
          <w:rFonts w:ascii="Gadugi" w:hAnsi="Gadugi" w:cs="Arial"/>
          <w:sz w:val="24"/>
          <w:szCs w:val="26"/>
          <w:lang w:val="es-CO"/>
        </w:rPr>
        <w:lastRenderedPageBreak/>
        <w:t xml:space="preserve">que la diligencia se desarrolló conforme lo reglado en el artículo 189 del Código General del Proceso. </w:t>
      </w:r>
    </w:p>
    <w:p w:rsidR="007025DF" w:rsidRPr="00C37B73" w:rsidRDefault="007025DF" w:rsidP="009F00F4">
      <w:pPr>
        <w:spacing w:line="276" w:lineRule="auto"/>
        <w:ind w:firstLine="2835"/>
        <w:jc w:val="both"/>
        <w:rPr>
          <w:rFonts w:ascii="Gadugi" w:hAnsi="Gadugi" w:cs="Arial"/>
          <w:sz w:val="24"/>
          <w:szCs w:val="26"/>
          <w:lang w:val="es-CO"/>
        </w:rPr>
      </w:pPr>
    </w:p>
    <w:p w:rsidR="007025DF" w:rsidRPr="00C37B73" w:rsidRDefault="007025DF" w:rsidP="009F00F4">
      <w:pPr>
        <w:spacing w:line="276" w:lineRule="auto"/>
        <w:ind w:firstLine="2835"/>
        <w:jc w:val="both"/>
        <w:rPr>
          <w:rFonts w:ascii="Gadugi" w:hAnsi="Gadugi" w:cs="Arial"/>
          <w:sz w:val="24"/>
          <w:szCs w:val="26"/>
          <w:lang w:val="es-CO"/>
        </w:rPr>
      </w:pPr>
      <w:r w:rsidRPr="00C37B73">
        <w:rPr>
          <w:rFonts w:ascii="Gadugi" w:hAnsi="Gadugi" w:cs="Arial"/>
          <w:sz w:val="24"/>
          <w:szCs w:val="26"/>
          <w:lang w:val="es-CO"/>
        </w:rPr>
        <w:t xml:space="preserve">También indicó que </w:t>
      </w:r>
      <w:r w:rsidRPr="00C37B73">
        <w:rPr>
          <w:rFonts w:ascii="Gadugi" w:hAnsi="Gadugi" w:cs="Arial"/>
          <w:i/>
          <w:sz w:val="24"/>
          <w:szCs w:val="26"/>
          <w:lang w:val="es-CO"/>
        </w:rPr>
        <w:t>“es evidente que el valor probatorio de la evidencia recopilada tiene que darlo el juez ante quien se aduzca para acreditar un determinado hecho y esa es una cuestión que a estas alturas, en la que apenas se practicó una prueba extraprocesal no se ha dado”.</w:t>
      </w:r>
    </w:p>
    <w:p w:rsidR="00AF2615" w:rsidRPr="00C37B73" w:rsidRDefault="00AF2615" w:rsidP="009F00F4">
      <w:pPr>
        <w:spacing w:line="276" w:lineRule="auto"/>
        <w:ind w:firstLine="2835"/>
        <w:jc w:val="both"/>
        <w:rPr>
          <w:rFonts w:ascii="Gadugi" w:hAnsi="Gadugi" w:cs="Arial"/>
          <w:sz w:val="24"/>
          <w:szCs w:val="26"/>
          <w:lang w:val="es-CO"/>
        </w:rPr>
      </w:pPr>
    </w:p>
    <w:p w:rsidR="005575D9" w:rsidRPr="00C37B73" w:rsidRDefault="005575D9" w:rsidP="009F00F4">
      <w:pPr>
        <w:spacing w:line="276" w:lineRule="auto"/>
        <w:ind w:firstLine="2835"/>
        <w:jc w:val="both"/>
        <w:rPr>
          <w:rFonts w:ascii="Gadugi" w:hAnsi="Gadugi" w:cs="Arial"/>
          <w:sz w:val="24"/>
          <w:szCs w:val="26"/>
          <w:lang w:val="es-CO"/>
        </w:rPr>
      </w:pPr>
      <w:r w:rsidRPr="00C37B73">
        <w:rPr>
          <w:rFonts w:ascii="Gadugi" w:hAnsi="Gadugi" w:cs="Arial"/>
          <w:sz w:val="24"/>
          <w:szCs w:val="26"/>
          <w:lang w:val="es-CO"/>
        </w:rPr>
        <w:t>E</w:t>
      </w:r>
      <w:r w:rsidR="004C28EB" w:rsidRPr="00C37B73">
        <w:rPr>
          <w:rFonts w:ascii="Gadugi" w:hAnsi="Gadugi" w:cs="Arial"/>
          <w:sz w:val="24"/>
          <w:szCs w:val="26"/>
          <w:lang w:val="es-CO"/>
        </w:rPr>
        <w:t>sa</w:t>
      </w:r>
      <w:r w:rsidR="007025DF" w:rsidRPr="00C37B73">
        <w:rPr>
          <w:rFonts w:ascii="Gadugi" w:hAnsi="Gadugi" w:cs="Arial"/>
          <w:sz w:val="24"/>
          <w:szCs w:val="26"/>
          <w:lang w:val="es-CO"/>
        </w:rPr>
        <w:t xml:space="preserve"> última </w:t>
      </w:r>
      <w:r w:rsidR="004C28EB" w:rsidRPr="00C37B73">
        <w:rPr>
          <w:rFonts w:ascii="Gadugi" w:hAnsi="Gadugi" w:cs="Arial"/>
          <w:sz w:val="24"/>
          <w:szCs w:val="26"/>
          <w:lang w:val="es-CO"/>
        </w:rPr>
        <w:t>tesis la comparte la Sala</w:t>
      </w:r>
      <w:r w:rsidR="00AF2615" w:rsidRPr="00C37B73">
        <w:rPr>
          <w:rFonts w:ascii="Gadugi" w:hAnsi="Gadugi" w:cs="Arial"/>
          <w:sz w:val="24"/>
          <w:szCs w:val="26"/>
          <w:lang w:val="es-CO"/>
        </w:rPr>
        <w:t>,</w:t>
      </w:r>
      <w:r w:rsidR="004C28EB" w:rsidRPr="00C37B73">
        <w:rPr>
          <w:rFonts w:ascii="Gadugi" w:hAnsi="Gadugi" w:cs="Arial"/>
          <w:sz w:val="24"/>
          <w:szCs w:val="26"/>
          <w:lang w:val="es-CO"/>
        </w:rPr>
        <w:t xml:space="preserve"> y como se verá</w:t>
      </w:r>
      <w:r w:rsidR="00AF2615" w:rsidRPr="00C37B73">
        <w:rPr>
          <w:rFonts w:ascii="Gadugi" w:hAnsi="Gadugi" w:cs="Arial"/>
          <w:sz w:val="24"/>
          <w:szCs w:val="26"/>
          <w:lang w:val="es-CO"/>
        </w:rPr>
        <w:t>,</w:t>
      </w:r>
      <w:r w:rsidR="004C28EB" w:rsidRPr="00C37B73">
        <w:rPr>
          <w:rFonts w:ascii="Gadugi" w:hAnsi="Gadugi" w:cs="Arial"/>
          <w:sz w:val="24"/>
          <w:szCs w:val="26"/>
          <w:lang w:val="es-CO"/>
        </w:rPr>
        <w:t xml:space="preserve"> es el fundamento principal para abstenerse, en sede constitucional, de realizar cualquier valoración de lo acontecido en la diligencia que se cuestiona. </w:t>
      </w:r>
    </w:p>
    <w:p w:rsidR="00F80768" w:rsidRPr="00C37B73" w:rsidRDefault="00F80768" w:rsidP="009F00F4">
      <w:pPr>
        <w:spacing w:line="276" w:lineRule="auto"/>
        <w:ind w:firstLine="2835"/>
        <w:jc w:val="both"/>
        <w:rPr>
          <w:rFonts w:ascii="Gadugi" w:hAnsi="Gadugi" w:cs="Arial"/>
          <w:sz w:val="24"/>
          <w:szCs w:val="26"/>
        </w:rPr>
      </w:pPr>
    </w:p>
    <w:p w:rsidR="00906042" w:rsidRPr="00C37B73" w:rsidRDefault="005575D9" w:rsidP="009F00F4">
      <w:pPr>
        <w:spacing w:line="276" w:lineRule="auto"/>
        <w:ind w:firstLine="2835"/>
        <w:jc w:val="both"/>
        <w:rPr>
          <w:rFonts w:ascii="Gadugi" w:hAnsi="Gadugi" w:cs="Arial"/>
          <w:sz w:val="24"/>
          <w:szCs w:val="26"/>
        </w:rPr>
      </w:pPr>
      <w:r w:rsidRPr="00C37B73">
        <w:rPr>
          <w:rFonts w:ascii="Gadugi" w:hAnsi="Gadugi" w:cs="Arial"/>
          <w:sz w:val="24"/>
          <w:szCs w:val="26"/>
        </w:rPr>
        <w:t>Para el efecto</w:t>
      </w:r>
      <w:r w:rsidR="00B64000" w:rsidRPr="00C37B73">
        <w:rPr>
          <w:rFonts w:ascii="Gadugi" w:hAnsi="Gadugi" w:cs="Arial"/>
          <w:sz w:val="24"/>
          <w:szCs w:val="26"/>
          <w:lang w:val="es-419"/>
        </w:rPr>
        <w:t>,</w:t>
      </w:r>
      <w:r w:rsidRPr="00C37B73">
        <w:rPr>
          <w:rFonts w:ascii="Gadugi" w:hAnsi="Gadugi" w:cs="Arial"/>
          <w:sz w:val="24"/>
          <w:szCs w:val="26"/>
        </w:rPr>
        <w:t xml:space="preserve"> vale recordar que r</w:t>
      </w:r>
      <w:r w:rsidR="00906042" w:rsidRPr="00C37B73">
        <w:rPr>
          <w:rFonts w:ascii="Gadugi" w:hAnsi="Gadugi" w:cs="Arial"/>
          <w:sz w:val="24"/>
          <w:szCs w:val="26"/>
        </w:rPr>
        <w:t xml:space="preserve">eiteradamente se ha expuesto que </w:t>
      </w:r>
      <w:r w:rsidR="00906042" w:rsidRPr="00C37B73">
        <w:rPr>
          <w:rFonts w:ascii="Gadugi" w:hAnsi="Gadugi"/>
          <w:sz w:val="24"/>
          <w:szCs w:val="26"/>
        </w:rPr>
        <w:t>a pesar de la inexequibilidad de las normas que en el Decreto 2591 de 1991 preveían la acción de tutela contra providencias judiciales</w:t>
      </w:r>
      <w:r w:rsidR="00906042" w:rsidRPr="00C37B73">
        <w:rPr>
          <w:rStyle w:val="Refdenotaalpie"/>
          <w:rFonts w:ascii="Gadugi" w:hAnsi="Gadugi"/>
          <w:sz w:val="24"/>
          <w:szCs w:val="26"/>
        </w:rPr>
        <w:footnoteReference w:id="1"/>
      </w:r>
      <w:r w:rsidR="00906042" w:rsidRPr="00C37B73">
        <w:rPr>
          <w:rFonts w:ascii="Gadugi" w:hAnsi="Gadugi"/>
          <w:sz w:val="24"/>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906042" w:rsidRPr="00C37B73">
        <w:rPr>
          <w:rFonts w:ascii="Gadugi" w:hAnsi="Gadugi" w:cs="Arial"/>
          <w:sz w:val="24"/>
          <w:szCs w:val="26"/>
        </w:rPr>
        <w:t xml:space="preserve"> en múltiples ocasiones. Sobre ellas, recientemente, en la</w:t>
      </w:r>
      <w:r w:rsidR="003F1193" w:rsidRPr="00C37B73">
        <w:rPr>
          <w:rFonts w:ascii="Gadugi" w:hAnsi="Gadugi" w:cs="Arial"/>
          <w:sz w:val="24"/>
          <w:szCs w:val="26"/>
          <w:lang w:val="es-419"/>
        </w:rPr>
        <w:t>s</w:t>
      </w:r>
      <w:r w:rsidR="00906042" w:rsidRPr="00C37B73">
        <w:rPr>
          <w:rFonts w:ascii="Gadugi" w:hAnsi="Gadugi" w:cs="Arial"/>
          <w:sz w:val="24"/>
          <w:szCs w:val="26"/>
        </w:rPr>
        <w:t xml:space="preserve"> sentencia</w:t>
      </w:r>
      <w:r w:rsidR="003F1193" w:rsidRPr="00C37B73">
        <w:rPr>
          <w:rFonts w:ascii="Gadugi" w:hAnsi="Gadugi" w:cs="Arial"/>
          <w:sz w:val="24"/>
          <w:szCs w:val="26"/>
          <w:lang w:val="es-419"/>
        </w:rPr>
        <w:t>s</w:t>
      </w:r>
      <w:r w:rsidR="00906042" w:rsidRPr="00C37B73">
        <w:rPr>
          <w:rFonts w:ascii="Gadugi" w:hAnsi="Gadugi" w:cs="Arial"/>
          <w:sz w:val="24"/>
          <w:szCs w:val="26"/>
        </w:rPr>
        <w:t xml:space="preserve"> </w:t>
      </w:r>
      <w:r w:rsidR="003F1193" w:rsidRPr="00C37B73">
        <w:rPr>
          <w:rFonts w:ascii="Gadugi" w:hAnsi="Gadugi" w:cs="Arial"/>
          <w:sz w:val="24"/>
          <w:szCs w:val="26"/>
        </w:rPr>
        <w:t>SU573 de 2017 y SU004 de 2018, aludiendo a la C-590 de 2005</w:t>
      </w:r>
      <w:r w:rsidR="00906042" w:rsidRPr="00C37B73">
        <w:rPr>
          <w:rFonts w:ascii="Gadugi" w:hAnsi="Gadugi" w:cs="Arial"/>
          <w:sz w:val="24"/>
          <w:szCs w:val="26"/>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906042" w:rsidRPr="00C37B73">
        <w:rPr>
          <w:rFonts w:ascii="Gadugi" w:hAnsi="Gadugi"/>
          <w:sz w:val="24"/>
          <w:szCs w:val="26"/>
        </w:rPr>
        <w:t>la parte actora identifique de manera razonable tanto los hechos que generaron la vulneración como los derechos vulnerados</w:t>
      </w:r>
      <w:r w:rsidR="00906042" w:rsidRPr="00C37B73">
        <w:rPr>
          <w:rFonts w:ascii="Gadugi" w:hAnsi="Gadugi" w:cs="Arial"/>
          <w:sz w:val="24"/>
          <w:szCs w:val="26"/>
        </w:rPr>
        <w:t xml:space="preserve"> </w:t>
      </w:r>
      <w:r w:rsidR="00906042" w:rsidRPr="00C37B73">
        <w:rPr>
          <w:rFonts w:ascii="Gadugi" w:hAnsi="Gadugi" w:cs="Arial"/>
          <w:sz w:val="24"/>
          <w:szCs w:val="26"/>
          <w:lang w:val="es-419"/>
        </w:rPr>
        <w:t>y</w:t>
      </w:r>
      <w:r w:rsidR="00906042" w:rsidRPr="00C37B73">
        <w:rPr>
          <w:rFonts w:ascii="Gadugi" w:hAnsi="Gadugi" w:cs="Arial"/>
          <w:sz w:val="24"/>
          <w:szCs w:val="26"/>
        </w:rPr>
        <w:t xml:space="preserve"> los hechos hayan sido cuestionados dentro del proceso; y (vi) que el fallo censurado no sea de tutela.</w:t>
      </w:r>
      <w:r w:rsidR="00906042" w:rsidRPr="00C37B73">
        <w:rPr>
          <w:rFonts w:ascii="Gadugi" w:hAnsi="Gadugi" w:cs="Arial"/>
          <w:sz w:val="24"/>
          <w:szCs w:val="26"/>
          <w:lang w:val="es-419"/>
        </w:rPr>
        <w:t xml:space="preserve"> </w:t>
      </w:r>
      <w:r w:rsidR="00906042" w:rsidRPr="00C37B73">
        <w:rPr>
          <w:rFonts w:ascii="Gadugi" w:hAnsi="Gadugi" w:cs="Arial"/>
          <w:sz w:val="24"/>
          <w:szCs w:val="26"/>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4E199C" w:rsidRPr="00C37B73" w:rsidRDefault="004E199C" w:rsidP="009F00F4">
      <w:pPr>
        <w:spacing w:line="276" w:lineRule="auto"/>
        <w:ind w:firstLine="2835"/>
        <w:jc w:val="both"/>
        <w:rPr>
          <w:rFonts w:ascii="Gadugi" w:hAnsi="Gadugi" w:cs="Arial"/>
          <w:sz w:val="24"/>
          <w:szCs w:val="26"/>
        </w:rPr>
      </w:pPr>
    </w:p>
    <w:p w:rsidR="00F60649" w:rsidRPr="00C37B73" w:rsidRDefault="00F60649" w:rsidP="00F60649">
      <w:pPr>
        <w:spacing w:line="276" w:lineRule="auto"/>
        <w:ind w:firstLine="2835"/>
        <w:jc w:val="both"/>
        <w:rPr>
          <w:rFonts w:ascii="Gadugi" w:hAnsi="Gadugi" w:cs="Verdana"/>
          <w:sz w:val="24"/>
          <w:szCs w:val="26"/>
          <w:lang w:val="es-419"/>
        </w:rPr>
      </w:pPr>
      <w:r w:rsidRPr="00C37B73">
        <w:rPr>
          <w:rFonts w:ascii="Gadugi" w:hAnsi="Gadugi" w:cs="Verdana"/>
          <w:sz w:val="24"/>
          <w:szCs w:val="26"/>
          <w:lang w:val="es-419"/>
        </w:rPr>
        <w:t>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C37B73">
        <w:rPr>
          <w:rStyle w:val="Refdenotaalpie"/>
          <w:rFonts w:ascii="Arial Narrow" w:hAnsi="Arial Narrow"/>
          <w:sz w:val="24"/>
          <w:szCs w:val="26"/>
          <w:lang w:val="es-ES_tradnl"/>
        </w:rPr>
        <w:footnoteReference w:id="2"/>
      </w:r>
      <w:r w:rsidRPr="00C37B73">
        <w:rPr>
          <w:rFonts w:ascii="Gadugi" w:hAnsi="Gadugi" w:cs="Verdana"/>
          <w:sz w:val="24"/>
          <w:szCs w:val="26"/>
          <w:lang w:val="es-419"/>
        </w:rPr>
        <w:t>.</w:t>
      </w:r>
    </w:p>
    <w:p w:rsidR="00F60649" w:rsidRPr="00C37B73" w:rsidRDefault="00F60649" w:rsidP="009F00F4">
      <w:pPr>
        <w:spacing w:line="276" w:lineRule="auto"/>
        <w:ind w:firstLine="2835"/>
        <w:jc w:val="both"/>
        <w:rPr>
          <w:rFonts w:ascii="Gadugi" w:hAnsi="Gadugi" w:cs="Arial"/>
          <w:sz w:val="24"/>
          <w:szCs w:val="26"/>
        </w:rPr>
      </w:pPr>
    </w:p>
    <w:p w:rsidR="005B3BA9" w:rsidRPr="00C37B73" w:rsidRDefault="004C28EB" w:rsidP="009F00F4">
      <w:pPr>
        <w:spacing w:line="276" w:lineRule="auto"/>
        <w:ind w:firstLine="2835"/>
        <w:jc w:val="both"/>
        <w:rPr>
          <w:rFonts w:ascii="Gadugi" w:hAnsi="Gadugi" w:cs="Arial"/>
          <w:sz w:val="24"/>
          <w:szCs w:val="26"/>
        </w:rPr>
      </w:pPr>
      <w:r w:rsidRPr="00C37B73">
        <w:rPr>
          <w:rFonts w:ascii="Gadugi" w:hAnsi="Gadugi" w:cs="Arial"/>
          <w:sz w:val="24"/>
          <w:szCs w:val="26"/>
        </w:rPr>
        <w:t>Es pertinente lo explicado porque e</w:t>
      </w:r>
      <w:r w:rsidR="0060220D" w:rsidRPr="00C37B73">
        <w:rPr>
          <w:rFonts w:ascii="Gadugi" w:hAnsi="Gadugi" w:cs="Arial"/>
          <w:sz w:val="24"/>
          <w:szCs w:val="26"/>
        </w:rPr>
        <w:t>n este concreto caso</w:t>
      </w:r>
      <w:r w:rsidRPr="00C37B73">
        <w:rPr>
          <w:rFonts w:ascii="Gadugi" w:hAnsi="Gadugi" w:cs="Arial"/>
          <w:sz w:val="24"/>
          <w:szCs w:val="26"/>
        </w:rPr>
        <w:t>,</w:t>
      </w:r>
      <w:r w:rsidR="0060220D" w:rsidRPr="00C37B73">
        <w:rPr>
          <w:rFonts w:ascii="Gadugi" w:hAnsi="Gadugi" w:cs="Arial"/>
          <w:sz w:val="24"/>
          <w:szCs w:val="26"/>
        </w:rPr>
        <w:t xml:space="preserve"> se trae a debate</w:t>
      </w:r>
      <w:r w:rsidRPr="00C37B73">
        <w:rPr>
          <w:rFonts w:ascii="Gadugi" w:hAnsi="Gadugi" w:cs="Arial"/>
          <w:sz w:val="24"/>
          <w:szCs w:val="26"/>
        </w:rPr>
        <w:t xml:space="preserve"> constitucional,</w:t>
      </w:r>
      <w:r w:rsidR="0060220D" w:rsidRPr="00C37B73">
        <w:rPr>
          <w:rFonts w:ascii="Gadugi" w:hAnsi="Gadugi" w:cs="Arial"/>
          <w:sz w:val="24"/>
          <w:szCs w:val="26"/>
        </w:rPr>
        <w:t xml:space="preserve"> lo </w:t>
      </w:r>
      <w:r w:rsidR="000C45AE" w:rsidRPr="00C37B73">
        <w:rPr>
          <w:rFonts w:ascii="Gadugi" w:hAnsi="Gadugi" w:cs="Arial"/>
          <w:sz w:val="24"/>
          <w:szCs w:val="26"/>
        </w:rPr>
        <w:t>acontecido</w:t>
      </w:r>
      <w:r w:rsidR="0060220D" w:rsidRPr="00C37B73">
        <w:rPr>
          <w:rFonts w:ascii="Gadugi" w:hAnsi="Gadugi" w:cs="Arial"/>
          <w:sz w:val="24"/>
          <w:szCs w:val="26"/>
        </w:rPr>
        <w:t xml:space="preserve"> durante el trámite de una diligencia derivada de una solicitud de prueba extraprocesal</w:t>
      </w:r>
      <w:r w:rsidR="005B3BA9" w:rsidRPr="00C37B73">
        <w:rPr>
          <w:rFonts w:ascii="Gadugi" w:hAnsi="Gadugi" w:cs="Arial"/>
          <w:sz w:val="24"/>
          <w:szCs w:val="26"/>
        </w:rPr>
        <w:t>.</w:t>
      </w:r>
    </w:p>
    <w:p w:rsidR="005B3BA9" w:rsidRPr="00C37B73" w:rsidRDefault="005B3BA9" w:rsidP="009F00F4">
      <w:pPr>
        <w:spacing w:line="276" w:lineRule="auto"/>
        <w:ind w:firstLine="2835"/>
        <w:jc w:val="both"/>
        <w:rPr>
          <w:rFonts w:ascii="Gadugi" w:hAnsi="Gadugi" w:cs="Arial"/>
          <w:sz w:val="24"/>
          <w:szCs w:val="26"/>
        </w:rPr>
      </w:pPr>
    </w:p>
    <w:p w:rsidR="005B3BA9" w:rsidRPr="00C37B73" w:rsidRDefault="005B3BA9" w:rsidP="009F00F4">
      <w:pPr>
        <w:spacing w:line="276" w:lineRule="auto"/>
        <w:ind w:firstLine="2835"/>
        <w:jc w:val="both"/>
        <w:rPr>
          <w:rFonts w:ascii="Gadugi" w:hAnsi="Gadugi" w:cs="Arial"/>
          <w:sz w:val="24"/>
          <w:szCs w:val="26"/>
        </w:rPr>
      </w:pPr>
      <w:r w:rsidRPr="00C37B73">
        <w:rPr>
          <w:rFonts w:ascii="Gadugi" w:hAnsi="Gadugi" w:cs="Arial"/>
          <w:sz w:val="24"/>
          <w:szCs w:val="26"/>
        </w:rPr>
        <w:t xml:space="preserve">Como así es, resulta indispensable recordar que el legislador se encargó de </w:t>
      </w:r>
      <w:r w:rsidR="007025DF" w:rsidRPr="00C37B73">
        <w:rPr>
          <w:rFonts w:ascii="Gadugi" w:hAnsi="Gadugi" w:cs="Arial"/>
          <w:sz w:val="24"/>
          <w:szCs w:val="26"/>
        </w:rPr>
        <w:t>establecer</w:t>
      </w:r>
      <w:r w:rsidRPr="00C37B73">
        <w:rPr>
          <w:rFonts w:ascii="Gadugi" w:hAnsi="Gadugi" w:cs="Arial"/>
          <w:sz w:val="24"/>
          <w:szCs w:val="26"/>
        </w:rPr>
        <w:t xml:space="preserve">, expresamente, el momento en el cual, esa prueba, debe ser valorada y en consecuencia controvertida: </w:t>
      </w:r>
    </w:p>
    <w:p w:rsidR="0060220D" w:rsidRPr="00C37B73" w:rsidRDefault="0060220D" w:rsidP="0060220D">
      <w:pPr>
        <w:spacing w:line="276" w:lineRule="auto"/>
        <w:jc w:val="both"/>
        <w:rPr>
          <w:rFonts w:ascii="Gadugi" w:hAnsi="Gadugi" w:cs="Arial"/>
          <w:sz w:val="24"/>
          <w:szCs w:val="26"/>
        </w:rPr>
      </w:pPr>
    </w:p>
    <w:p w:rsidR="002213D6" w:rsidRPr="00C37B73" w:rsidRDefault="0060220D" w:rsidP="00C37B73">
      <w:pPr>
        <w:ind w:left="567" w:right="618"/>
        <w:jc w:val="both"/>
        <w:rPr>
          <w:rFonts w:ascii="Arial Narrow" w:hAnsi="Arial Narrow" w:cs="Arial"/>
          <w:sz w:val="22"/>
          <w:szCs w:val="26"/>
        </w:rPr>
      </w:pPr>
      <w:r w:rsidRPr="00C37B73">
        <w:rPr>
          <w:rFonts w:ascii="Gadugi" w:hAnsi="Gadugi" w:cs="Arial"/>
          <w:sz w:val="22"/>
          <w:szCs w:val="26"/>
        </w:rPr>
        <w:tab/>
      </w:r>
      <w:r w:rsidRPr="00C37B73">
        <w:rPr>
          <w:rFonts w:ascii="Gadugi" w:hAnsi="Gadugi" w:cs="Arial"/>
          <w:sz w:val="22"/>
          <w:szCs w:val="26"/>
        </w:rPr>
        <w:tab/>
      </w:r>
      <w:r w:rsidRPr="00C37B73">
        <w:rPr>
          <w:rFonts w:ascii="Gadugi" w:hAnsi="Gadugi" w:cs="Arial"/>
          <w:sz w:val="22"/>
          <w:szCs w:val="26"/>
        </w:rPr>
        <w:tab/>
      </w:r>
      <w:r w:rsidRPr="00C37B73">
        <w:rPr>
          <w:rFonts w:ascii="Gadugi" w:hAnsi="Gadugi" w:cs="Arial"/>
          <w:sz w:val="22"/>
          <w:szCs w:val="26"/>
        </w:rPr>
        <w:tab/>
      </w:r>
      <w:r w:rsidR="005B3BA9" w:rsidRPr="00C37B73">
        <w:rPr>
          <w:rFonts w:ascii="Gadugi" w:hAnsi="Gadugi" w:cs="Arial"/>
          <w:sz w:val="22"/>
          <w:szCs w:val="26"/>
        </w:rPr>
        <w:t>“</w:t>
      </w:r>
      <w:r w:rsidR="002213D6" w:rsidRPr="00C37B73">
        <w:rPr>
          <w:rFonts w:ascii="Arial Narrow" w:hAnsi="Arial Narrow" w:cs="Arial"/>
          <w:sz w:val="22"/>
          <w:szCs w:val="26"/>
        </w:rPr>
        <w:t>ARTÍCULO 174. PRUEBA TRASLADADA Y PRUEBA EXTRAPROCESAL. 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p>
    <w:p w:rsidR="0060220D" w:rsidRPr="00C37B73" w:rsidRDefault="0060220D" w:rsidP="00C37B73">
      <w:pPr>
        <w:ind w:left="567" w:right="618"/>
        <w:jc w:val="both"/>
        <w:rPr>
          <w:rFonts w:ascii="Arial Narrow" w:hAnsi="Arial Narrow" w:cs="Arial"/>
          <w:sz w:val="22"/>
          <w:szCs w:val="26"/>
        </w:rPr>
      </w:pPr>
    </w:p>
    <w:p w:rsidR="002213D6" w:rsidRPr="00C37B73" w:rsidRDefault="0060220D" w:rsidP="00C37B73">
      <w:pPr>
        <w:ind w:left="567" w:right="618"/>
        <w:jc w:val="both"/>
        <w:rPr>
          <w:rFonts w:ascii="Arial Narrow" w:hAnsi="Arial Narrow" w:cs="Arial"/>
          <w:sz w:val="24"/>
          <w:szCs w:val="26"/>
        </w:rPr>
      </w:pPr>
      <w:r w:rsidRPr="00C37B73">
        <w:rPr>
          <w:rFonts w:ascii="Arial Narrow" w:hAnsi="Arial Narrow" w:cs="Arial"/>
          <w:sz w:val="22"/>
          <w:szCs w:val="26"/>
        </w:rPr>
        <w:tab/>
      </w:r>
      <w:r w:rsidRPr="00C37B73">
        <w:rPr>
          <w:rFonts w:ascii="Arial Narrow" w:hAnsi="Arial Narrow" w:cs="Arial"/>
          <w:sz w:val="22"/>
          <w:szCs w:val="26"/>
        </w:rPr>
        <w:tab/>
      </w:r>
      <w:r w:rsidRPr="00C37B73">
        <w:rPr>
          <w:rFonts w:ascii="Arial Narrow" w:hAnsi="Arial Narrow" w:cs="Arial"/>
          <w:sz w:val="22"/>
          <w:szCs w:val="26"/>
        </w:rPr>
        <w:tab/>
      </w:r>
      <w:r w:rsidRPr="00C37B73">
        <w:rPr>
          <w:rFonts w:ascii="Arial Narrow" w:hAnsi="Arial Narrow" w:cs="Arial"/>
          <w:sz w:val="22"/>
          <w:szCs w:val="26"/>
        </w:rPr>
        <w:tab/>
      </w:r>
      <w:r w:rsidR="002213D6" w:rsidRPr="00C37B73">
        <w:rPr>
          <w:rFonts w:ascii="Arial Narrow" w:hAnsi="Arial Narrow" w:cs="Arial"/>
          <w:b/>
          <w:sz w:val="22"/>
          <w:szCs w:val="26"/>
        </w:rPr>
        <w:t>La valoración</w:t>
      </w:r>
      <w:r w:rsidR="002213D6" w:rsidRPr="00C37B73">
        <w:rPr>
          <w:rFonts w:ascii="Arial Narrow" w:hAnsi="Arial Narrow" w:cs="Arial"/>
          <w:sz w:val="22"/>
          <w:szCs w:val="26"/>
        </w:rPr>
        <w:t xml:space="preserve"> de las pruebas trasladadas o </w:t>
      </w:r>
      <w:r w:rsidR="002213D6" w:rsidRPr="00C37B73">
        <w:rPr>
          <w:rFonts w:ascii="Arial Narrow" w:hAnsi="Arial Narrow" w:cs="Arial"/>
          <w:b/>
          <w:sz w:val="22"/>
          <w:szCs w:val="26"/>
        </w:rPr>
        <w:t>extraprocesales y la definición de sus consecuencias jurídicas corresponderán al juez ante quien se aduzcan.</w:t>
      </w:r>
      <w:r w:rsidR="005B3BA9" w:rsidRPr="00C37B73">
        <w:rPr>
          <w:rFonts w:ascii="Arial Narrow" w:hAnsi="Arial Narrow" w:cs="Arial"/>
          <w:b/>
          <w:sz w:val="22"/>
          <w:szCs w:val="26"/>
        </w:rPr>
        <w:t>”</w:t>
      </w:r>
      <w:r w:rsidR="004E199C" w:rsidRPr="00C37B73">
        <w:rPr>
          <w:rFonts w:ascii="Arial Narrow" w:hAnsi="Arial Narrow" w:cs="Arial"/>
          <w:sz w:val="22"/>
          <w:szCs w:val="26"/>
        </w:rPr>
        <w:t xml:space="preserve"> </w:t>
      </w:r>
      <w:r w:rsidR="004E199C" w:rsidRPr="00C37B73">
        <w:rPr>
          <w:rFonts w:ascii="Arial Narrow" w:hAnsi="Arial Narrow" w:cs="Arial"/>
          <w:sz w:val="24"/>
          <w:szCs w:val="26"/>
        </w:rPr>
        <w:t>(Se destaca).</w:t>
      </w:r>
    </w:p>
    <w:p w:rsidR="002213D6" w:rsidRPr="00C37B73" w:rsidRDefault="002213D6" w:rsidP="009F00F4">
      <w:pPr>
        <w:spacing w:line="276" w:lineRule="auto"/>
        <w:ind w:firstLine="2835"/>
        <w:jc w:val="both"/>
        <w:rPr>
          <w:rFonts w:ascii="Gadugi" w:hAnsi="Gadugi" w:cs="Arial"/>
          <w:sz w:val="24"/>
          <w:szCs w:val="26"/>
        </w:rPr>
      </w:pPr>
    </w:p>
    <w:p w:rsidR="000C45AE" w:rsidRPr="00C37B73" w:rsidRDefault="005B3BA9" w:rsidP="000C45AE">
      <w:pPr>
        <w:spacing w:line="276" w:lineRule="auto"/>
        <w:ind w:firstLine="2835"/>
        <w:jc w:val="both"/>
        <w:rPr>
          <w:rFonts w:ascii="Gadugi" w:hAnsi="Gadugi" w:cs="Arial"/>
          <w:sz w:val="24"/>
          <w:szCs w:val="26"/>
        </w:rPr>
      </w:pPr>
      <w:r w:rsidRPr="00C37B73">
        <w:rPr>
          <w:rFonts w:ascii="Gadugi" w:hAnsi="Gadugi" w:cs="Arial"/>
          <w:sz w:val="24"/>
          <w:szCs w:val="26"/>
        </w:rPr>
        <w:t>Basta la lectura del resaltado para concluir que e</w:t>
      </w:r>
      <w:r w:rsidR="0060220D" w:rsidRPr="00C37B73">
        <w:rPr>
          <w:rFonts w:ascii="Gadugi" w:hAnsi="Gadugi" w:cs="Arial"/>
          <w:sz w:val="24"/>
          <w:szCs w:val="26"/>
        </w:rPr>
        <w:t>s</w:t>
      </w:r>
      <w:r w:rsidRPr="00C37B73">
        <w:rPr>
          <w:rFonts w:ascii="Gadugi" w:hAnsi="Gadugi" w:cs="Arial"/>
          <w:sz w:val="24"/>
          <w:szCs w:val="26"/>
        </w:rPr>
        <w:t xml:space="preserve"> </w:t>
      </w:r>
      <w:r w:rsidR="0060220D" w:rsidRPr="00C37B73">
        <w:rPr>
          <w:rFonts w:ascii="Gadugi" w:hAnsi="Gadugi" w:cs="Arial"/>
          <w:sz w:val="24"/>
          <w:szCs w:val="26"/>
        </w:rPr>
        <w:t xml:space="preserve">el eventual proceso que se inicie contra </w:t>
      </w:r>
      <w:r w:rsidR="000C45AE" w:rsidRPr="00C37B73">
        <w:rPr>
          <w:rFonts w:ascii="Gadugi" w:hAnsi="Gadugi" w:cs="Arial"/>
          <w:sz w:val="24"/>
          <w:szCs w:val="26"/>
        </w:rPr>
        <w:t>e</w:t>
      </w:r>
      <w:r w:rsidR="00D508A4" w:rsidRPr="00C37B73">
        <w:rPr>
          <w:rFonts w:ascii="Gadugi" w:hAnsi="Gadugi" w:cs="Arial"/>
          <w:sz w:val="24"/>
          <w:szCs w:val="26"/>
          <w:lang w:val="es-419"/>
        </w:rPr>
        <w:t xml:space="preserve">l propietario del </w:t>
      </w:r>
      <w:r w:rsidR="000C45AE" w:rsidRPr="00C37B73">
        <w:rPr>
          <w:rFonts w:ascii="Gadugi" w:hAnsi="Gadugi" w:cs="Arial"/>
          <w:sz w:val="24"/>
          <w:szCs w:val="26"/>
        </w:rPr>
        <w:t>establecimiento de comercio, el escenario en el cual tendrá que desplegarse el arsenal defensivo que ahora se exhibe</w:t>
      </w:r>
      <w:r w:rsidR="000253BF" w:rsidRPr="00C37B73">
        <w:rPr>
          <w:rFonts w:ascii="Gadugi" w:hAnsi="Gadugi" w:cs="Arial"/>
          <w:sz w:val="24"/>
          <w:szCs w:val="26"/>
          <w:lang w:val="es-419"/>
        </w:rPr>
        <w:t xml:space="preserve">. Por ello, es inviable que </w:t>
      </w:r>
      <w:r w:rsidR="000C45AE" w:rsidRPr="00C37B73">
        <w:rPr>
          <w:rFonts w:ascii="Gadugi" w:hAnsi="Gadugi" w:cs="Arial"/>
          <w:sz w:val="24"/>
          <w:szCs w:val="26"/>
        </w:rPr>
        <w:t>de manera anticipada</w:t>
      </w:r>
      <w:r w:rsidR="000253BF" w:rsidRPr="00C37B73">
        <w:rPr>
          <w:rFonts w:ascii="Gadugi" w:hAnsi="Gadugi" w:cs="Arial"/>
          <w:sz w:val="24"/>
          <w:szCs w:val="26"/>
          <w:lang w:val="es-419"/>
        </w:rPr>
        <w:t>,</w:t>
      </w:r>
      <w:r w:rsidR="000C45AE" w:rsidRPr="00C37B73">
        <w:rPr>
          <w:rFonts w:ascii="Gadugi" w:hAnsi="Gadugi" w:cs="Arial"/>
          <w:sz w:val="24"/>
          <w:szCs w:val="26"/>
        </w:rPr>
        <w:t xml:space="preserve"> en sede constitucional, se realice una valoración de lo recaudado durante la diligencia, máxime cuando la jurisprudencia</w:t>
      </w:r>
      <w:r w:rsidR="000C45AE" w:rsidRPr="00C37B73">
        <w:rPr>
          <w:rStyle w:val="Refdenotaalpie"/>
          <w:rFonts w:ascii="Gadugi" w:hAnsi="Gadugi"/>
          <w:sz w:val="24"/>
          <w:szCs w:val="26"/>
        </w:rPr>
        <w:footnoteReference w:id="3"/>
      </w:r>
      <w:r w:rsidR="000C45AE" w:rsidRPr="00C37B73">
        <w:rPr>
          <w:rFonts w:ascii="Gadugi" w:hAnsi="Gadugi" w:cs="Arial"/>
          <w:sz w:val="24"/>
          <w:szCs w:val="26"/>
        </w:rPr>
        <w:t xml:space="preserve"> ha </w:t>
      </w:r>
      <w:r w:rsidR="000253BF" w:rsidRPr="00C37B73">
        <w:rPr>
          <w:rFonts w:ascii="Gadugi" w:hAnsi="Gadugi" w:cs="Arial"/>
          <w:sz w:val="24"/>
          <w:szCs w:val="26"/>
          <w:lang w:val="es-419"/>
        </w:rPr>
        <w:t>ratificado</w:t>
      </w:r>
      <w:r w:rsidR="000C45AE" w:rsidRPr="00C37B73">
        <w:rPr>
          <w:rFonts w:ascii="Gadugi" w:hAnsi="Gadugi" w:cs="Arial"/>
          <w:sz w:val="24"/>
          <w:szCs w:val="26"/>
        </w:rPr>
        <w:t xml:space="preserve"> que el estudio de </w:t>
      </w:r>
      <w:r w:rsidR="004C00D6" w:rsidRPr="00C37B73">
        <w:rPr>
          <w:rFonts w:ascii="Gadugi" w:hAnsi="Gadugi" w:cs="Arial"/>
          <w:sz w:val="24"/>
          <w:szCs w:val="26"/>
        </w:rPr>
        <w:t xml:space="preserve">ese material probatorio </w:t>
      </w:r>
      <w:r w:rsidR="000C45AE" w:rsidRPr="00C37B73">
        <w:rPr>
          <w:rFonts w:ascii="Gadugi" w:hAnsi="Gadugi" w:cs="Arial"/>
          <w:sz w:val="24"/>
          <w:szCs w:val="26"/>
        </w:rPr>
        <w:t xml:space="preserve">está </w:t>
      </w:r>
      <w:r w:rsidR="004C00D6" w:rsidRPr="00C37B73">
        <w:rPr>
          <w:rFonts w:ascii="Gadugi" w:hAnsi="Gadugi" w:cs="Arial"/>
          <w:sz w:val="24"/>
          <w:szCs w:val="26"/>
        </w:rPr>
        <w:t xml:space="preserve">reservado </w:t>
      </w:r>
      <w:r w:rsidR="000C45AE" w:rsidRPr="00C37B73">
        <w:rPr>
          <w:rFonts w:ascii="Gadugi" w:hAnsi="Gadugi" w:cs="Arial"/>
          <w:sz w:val="24"/>
          <w:szCs w:val="26"/>
        </w:rPr>
        <w:t xml:space="preserve">al juez que en últimas </w:t>
      </w:r>
      <w:r w:rsidR="004C00D6" w:rsidRPr="00C37B73">
        <w:rPr>
          <w:rFonts w:ascii="Gadugi" w:hAnsi="Gadugi" w:cs="Arial"/>
          <w:sz w:val="24"/>
          <w:szCs w:val="26"/>
        </w:rPr>
        <w:t xml:space="preserve">conocerá </w:t>
      </w:r>
      <w:r w:rsidR="000C45AE" w:rsidRPr="00C37B73">
        <w:rPr>
          <w:rFonts w:ascii="Gadugi" w:hAnsi="Gadugi" w:cs="Arial"/>
          <w:sz w:val="24"/>
          <w:szCs w:val="26"/>
        </w:rPr>
        <w:t>del asunto</w:t>
      </w:r>
      <w:r w:rsidR="000253BF" w:rsidRPr="00C37B73">
        <w:rPr>
          <w:rFonts w:ascii="Gadugi" w:hAnsi="Gadugi" w:cs="Arial"/>
          <w:sz w:val="24"/>
          <w:szCs w:val="26"/>
          <w:lang w:val="es-419"/>
        </w:rPr>
        <w:t xml:space="preserve"> al que sea allegado</w:t>
      </w:r>
      <w:r w:rsidR="000C45AE" w:rsidRPr="00C37B73">
        <w:rPr>
          <w:rFonts w:ascii="Gadugi" w:hAnsi="Gadugi" w:cs="Arial"/>
          <w:sz w:val="24"/>
          <w:szCs w:val="26"/>
        </w:rPr>
        <w:t>:</w:t>
      </w:r>
    </w:p>
    <w:p w:rsidR="000C45AE" w:rsidRPr="00C37B73" w:rsidRDefault="000C45AE" w:rsidP="000C45AE">
      <w:pPr>
        <w:spacing w:line="276" w:lineRule="auto"/>
        <w:jc w:val="both"/>
        <w:rPr>
          <w:rFonts w:ascii="Gadugi" w:hAnsi="Gadugi" w:cs="Arial"/>
          <w:sz w:val="24"/>
          <w:szCs w:val="26"/>
        </w:rPr>
      </w:pPr>
    </w:p>
    <w:p w:rsidR="002213D6" w:rsidRPr="00C37B73" w:rsidRDefault="000C45AE" w:rsidP="00C37B73">
      <w:pPr>
        <w:ind w:left="567" w:right="618"/>
        <w:jc w:val="both"/>
        <w:rPr>
          <w:rFonts w:ascii="Arial Narrow" w:hAnsi="Arial Narrow" w:cs="Arial"/>
          <w:sz w:val="22"/>
          <w:szCs w:val="26"/>
        </w:rPr>
      </w:pPr>
      <w:r w:rsidRPr="00C37B73">
        <w:rPr>
          <w:rFonts w:ascii="Gadugi" w:hAnsi="Gadugi" w:cs="Arial"/>
          <w:sz w:val="22"/>
          <w:szCs w:val="26"/>
        </w:rPr>
        <w:tab/>
      </w:r>
      <w:r w:rsidRPr="00C37B73">
        <w:rPr>
          <w:rFonts w:ascii="Gadugi" w:hAnsi="Gadugi" w:cs="Arial"/>
          <w:sz w:val="22"/>
          <w:szCs w:val="26"/>
        </w:rPr>
        <w:tab/>
      </w:r>
      <w:r w:rsidRPr="00C37B73">
        <w:rPr>
          <w:rFonts w:ascii="Gadugi" w:hAnsi="Gadugi" w:cs="Arial"/>
          <w:sz w:val="22"/>
          <w:szCs w:val="26"/>
        </w:rPr>
        <w:tab/>
      </w:r>
      <w:r w:rsidRPr="00C37B73">
        <w:rPr>
          <w:rFonts w:ascii="Gadugi" w:hAnsi="Gadugi" w:cs="Arial"/>
          <w:sz w:val="22"/>
          <w:szCs w:val="26"/>
        </w:rPr>
        <w:tab/>
      </w:r>
      <w:r w:rsidR="002213D6" w:rsidRPr="00C37B73">
        <w:rPr>
          <w:rFonts w:ascii="Arial Narrow" w:hAnsi="Arial Narrow" w:cs="Arial"/>
          <w:sz w:val="22"/>
          <w:szCs w:val="26"/>
        </w:rPr>
        <w:t>26. En la sentencia C-830 de 2002, la Corte Constitucional hizo referencia, en los siguientes términos, a las pruebas anticipadas:</w:t>
      </w:r>
      <w:r w:rsidRPr="00C37B73">
        <w:rPr>
          <w:rFonts w:ascii="Arial Narrow" w:hAnsi="Arial Narrow" w:cs="Arial"/>
          <w:sz w:val="22"/>
          <w:szCs w:val="26"/>
        </w:rPr>
        <w:t xml:space="preserve"> </w:t>
      </w:r>
    </w:p>
    <w:p w:rsidR="004E199C" w:rsidRPr="00C37B73" w:rsidRDefault="004E199C" w:rsidP="00C37B73">
      <w:pPr>
        <w:ind w:left="567" w:right="618"/>
        <w:jc w:val="both"/>
        <w:rPr>
          <w:rFonts w:ascii="Arial Narrow" w:hAnsi="Arial Narrow" w:cs="Arial"/>
          <w:sz w:val="22"/>
          <w:szCs w:val="26"/>
        </w:rPr>
      </w:pPr>
    </w:p>
    <w:p w:rsidR="002213D6" w:rsidRPr="00C37B73" w:rsidRDefault="002213D6" w:rsidP="00C37B73">
      <w:pPr>
        <w:ind w:left="567" w:right="618" w:firstLine="2268"/>
        <w:jc w:val="both"/>
        <w:rPr>
          <w:rFonts w:ascii="Arial Narrow" w:hAnsi="Arial Narrow" w:cs="Arial"/>
          <w:sz w:val="22"/>
          <w:szCs w:val="26"/>
        </w:rPr>
      </w:pPr>
      <w:r w:rsidRPr="00C37B73">
        <w:rPr>
          <w:rFonts w:ascii="Arial Narrow" w:hAnsi="Arial Narrow" w:cs="Arial"/>
          <w:sz w:val="22"/>
          <w:szCs w:val="26"/>
        </w:rPr>
        <w:t>“Desde el punto de vista práctico las pruebas anticipadas con fines judiciales se explican por la necesidad de asegurar una prueba que después, al adelantarse el proceso correspondiente y por el transcurso del tiempo y el cambio de los hechos y situaciones, no podría practicarse, o su práctica no arrojaría los mismos resultados, como ocurre por ejemplo cuando una persona que debe rendir testimonio se encuentra gravemente enferma. Desde el punto de vista constitucional dichas pruebas tienen su fundamento en la garantía de los derechos fundamentales de acceso a la justicia, el debido proceso y el derecho de defensa o contradicción, contemplados en los Arts. 229 y 29 de la Constitución, en cuanto ellos implican, para las partes e intervinientes del proceso, no solamente la facultad de acudir a la jurisdicción y lograr que se cumpla la plenitud de  las formas propias del mismo, sino también la de aducir y pedir la práctica de las pruebas necesarias con el fin de controvertir las de la contraparte y alcanzar la prosperidad de sus pretensiones o defensas, de conformidad con las normas sustanciales”.</w:t>
      </w:r>
    </w:p>
    <w:p w:rsidR="002213D6" w:rsidRPr="00C37B73" w:rsidRDefault="002213D6" w:rsidP="00C37B73">
      <w:pPr>
        <w:ind w:left="567" w:right="618" w:firstLine="2268"/>
        <w:jc w:val="both"/>
        <w:rPr>
          <w:rFonts w:ascii="Arial Narrow" w:hAnsi="Arial Narrow" w:cs="Arial"/>
          <w:sz w:val="22"/>
          <w:szCs w:val="26"/>
        </w:rPr>
      </w:pPr>
    </w:p>
    <w:p w:rsidR="002213D6" w:rsidRPr="00C37B73" w:rsidRDefault="002213D6" w:rsidP="00C37B73">
      <w:pPr>
        <w:ind w:left="567" w:right="618" w:firstLine="2268"/>
        <w:jc w:val="both"/>
        <w:rPr>
          <w:rFonts w:ascii="Arial Narrow" w:hAnsi="Arial Narrow" w:cs="Arial"/>
          <w:sz w:val="22"/>
          <w:szCs w:val="26"/>
        </w:rPr>
      </w:pPr>
      <w:r w:rsidRPr="00C37B73">
        <w:rPr>
          <w:rFonts w:ascii="Arial Narrow" w:hAnsi="Arial Narrow" w:cs="Arial"/>
          <w:sz w:val="22"/>
          <w:szCs w:val="26"/>
        </w:rPr>
        <w:t>27. Ahora bien, en la sentencia C-798 de 2003, por la cual se decidió la exequibilidad del inciso tercero del artículo 28 de la Ley 794 de 2003 –que  modificó el artículo 300 del C. de P. C., por el cual se señala que con carácter de prueba anticipada, es posible pedir dictamen de peritos, con o sin inspección judicial y, con o sin citación de la parte contraria-, se estableció que para la validez y valoración de estas pruebas debe garantizarse a la contraparte el escenario para controvertirlas bien al momento de su práctica bien dentro del proceso en el cual se pretenda hacerlas valer.</w:t>
      </w:r>
    </w:p>
    <w:p w:rsidR="002213D6" w:rsidRPr="00C37B73" w:rsidRDefault="002213D6" w:rsidP="00C37B73">
      <w:pPr>
        <w:ind w:left="567" w:right="618" w:firstLine="2268"/>
        <w:jc w:val="both"/>
        <w:rPr>
          <w:rFonts w:ascii="Arial Narrow" w:hAnsi="Arial Narrow" w:cs="Arial"/>
          <w:b/>
          <w:sz w:val="22"/>
          <w:szCs w:val="26"/>
        </w:rPr>
      </w:pPr>
    </w:p>
    <w:p w:rsidR="002213D6" w:rsidRPr="00C37B73" w:rsidRDefault="002213D6" w:rsidP="00C37B73">
      <w:pPr>
        <w:ind w:left="567" w:right="618" w:firstLine="2268"/>
        <w:jc w:val="both"/>
        <w:rPr>
          <w:rFonts w:ascii="Arial Narrow" w:hAnsi="Arial Narrow" w:cs="Arial"/>
          <w:b/>
          <w:sz w:val="22"/>
          <w:szCs w:val="26"/>
        </w:rPr>
      </w:pPr>
      <w:r w:rsidRPr="00C37B73">
        <w:rPr>
          <w:rFonts w:ascii="Arial Narrow" w:hAnsi="Arial Narrow" w:cs="Arial"/>
          <w:b/>
          <w:sz w:val="22"/>
          <w:szCs w:val="26"/>
        </w:rPr>
        <w:t xml:space="preserve"> </w:t>
      </w:r>
      <w:r w:rsidRPr="00C37B73">
        <w:rPr>
          <w:rFonts w:ascii="Arial Narrow" w:hAnsi="Arial Narrow" w:cs="Arial"/>
          <w:sz w:val="22"/>
          <w:szCs w:val="26"/>
          <w:u w:val="single"/>
        </w:rPr>
        <w:t>De esta manera, la garantía de contradicción de la prueba se mantiene  respecto de la práctica de las pruebas anticipadas, aún si se obtuvieron sin la citación de la futura contraparte</w:t>
      </w:r>
      <w:r w:rsidRPr="00C37B73">
        <w:rPr>
          <w:rFonts w:ascii="Arial Narrow" w:hAnsi="Arial Narrow" w:cs="Arial"/>
          <w:b/>
          <w:sz w:val="22"/>
          <w:szCs w:val="26"/>
        </w:rPr>
        <w:t>, dado que la determinación de la validez y la eficacia de la prueba anticipada en últimas no corresponde al juez que la practica sino al juez que conoce de la controversia en la cual aquellas se pretendan hacer valer. Es decir que, en su momento procesal, la contraparte debe tener la oportunidad para controvertir las pruebas anticipadas dentro del trámite procesal en el cual se pretende su eficacia, lo cual no se opone al derecho de defensa ni al debido proceso que consagra el artículo 29 Superior.</w:t>
      </w:r>
    </w:p>
    <w:p w:rsidR="002213D6" w:rsidRPr="00C37B73" w:rsidRDefault="002213D6" w:rsidP="00C37B73">
      <w:pPr>
        <w:ind w:left="567" w:right="618" w:firstLine="2268"/>
        <w:jc w:val="both"/>
        <w:rPr>
          <w:rFonts w:ascii="Arial Narrow" w:hAnsi="Arial Narrow" w:cs="Arial"/>
          <w:sz w:val="22"/>
          <w:szCs w:val="26"/>
        </w:rPr>
      </w:pPr>
    </w:p>
    <w:p w:rsidR="002213D6" w:rsidRPr="00C37B73" w:rsidRDefault="002213D6" w:rsidP="00C37B73">
      <w:pPr>
        <w:ind w:left="567" w:right="618" w:firstLine="2268"/>
        <w:jc w:val="both"/>
        <w:rPr>
          <w:rFonts w:ascii="Arial Narrow" w:hAnsi="Arial Narrow" w:cs="Arial"/>
          <w:sz w:val="24"/>
          <w:szCs w:val="26"/>
        </w:rPr>
      </w:pPr>
      <w:r w:rsidRPr="00C37B73">
        <w:rPr>
          <w:rFonts w:ascii="Arial Narrow" w:hAnsi="Arial Narrow" w:cs="Arial"/>
          <w:sz w:val="22"/>
          <w:szCs w:val="26"/>
        </w:rPr>
        <w:t xml:space="preserve">Lo anterior ha sido corroborado por la doctrina al señalar que “… </w:t>
      </w:r>
      <w:r w:rsidRPr="00C37B73">
        <w:rPr>
          <w:rFonts w:ascii="Arial Narrow" w:hAnsi="Arial Narrow" w:cs="Arial"/>
          <w:i/>
          <w:sz w:val="22"/>
          <w:szCs w:val="26"/>
        </w:rPr>
        <w:t>concluye la intervención judicial extraproceso con el agotamiento del trámite, pero sin que haya decisión de fondo</w:t>
      </w:r>
      <w:r w:rsidRPr="00C37B73">
        <w:rPr>
          <w:rFonts w:ascii="Arial Narrow" w:hAnsi="Arial Narrow" w:cs="Arial"/>
          <w:sz w:val="22"/>
          <w:szCs w:val="26"/>
        </w:rPr>
        <w:t xml:space="preserve"> [frente a una posible objeción por error grave del dictamen] </w:t>
      </w:r>
      <w:r w:rsidRPr="00C37B73">
        <w:rPr>
          <w:rFonts w:ascii="Arial Narrow" w:hAnsi="Arial Narrow" w:cs="Arial"/>
          <w:b/>
          <w:i/>
          <w:sz w:val="22"/>
          <w:szCs w:val="26"/>
        </w:rPr>
        <w:t>pues ella queda reservada para el juez que, en un futuro, puede conocer el proceso para el cual se adelantó la práctica de la prueba, y en la sentencia que vaya a dictar dentro del mismo determinará a quién le asiste la razón, pues, además que carece de objeto que el juez que conoció el trámite extraprocesal declare o no probada la objeción porque esta decisión no vincula para el futuro</w:t>
      </w:r>
      <w:r w:rsidRPr="00C37B73">
        <w:rPr>
          <w:rFonts w:ascii="Arial Narrow" w:hAnsi="Arial Narrow" w:cs="Arial"/>
          <w:sz w:val="22"/>
          <w:szCs w:val="26"/>
        </w:rPr>
        <w:t>.</w:t>
      </w:r>
      <w:r w:rsidR="004C00D6" w:rsidRPr="00C37B73">
        <w:rPr>
          <w:rStyle w:val="Refdenotaalpie"/>
          <w:rFonts w:ascii="Arial Narrow" w:hAnsi="Arial Narrow"/>
          <w:sz w:val="22"/>
          <w:szCs w:val="26"/>
        </w:rPr>
        <w:footnoteReference w:id="4"/>
      </w:r>
      <w:r w:rsidR="004E199C" w:rsidRPr="00C37B73">
        <w:rPr>
          <w:rFonts w:ascii="Arial Narrow" w:hAnsi="Arial Narrow" w:cs="Arial"/>
          <w:sz w:val="22"/>
          <w:szCs w:val="26"/>
        </w:rPr>
        <w:t xml:space="preserve"> </w:t>
      </w:r>
      <w:r w:rsidR="004E199C" w:rsidRPr="00C37B73">
        <w:rPr>
          <w:rFonts w:ascii="Arial Narrow" w:hAnsi="Arial Narrow" w:cs="Arial"/>
          <w:sz w:val="24"/>
          <w:szCs w:val="26"/>
        </w:rPr>
        <w:t>(Se destaca).</w:t>
      </w:r>
    </w:p>
    <w:p w:rsidR="007025DF" w:rsidRPr="00C37B73" w:rsidRDefault="007025DF" w:rsidP="000C45AE">
      <w:pPr>
        <w:spacing w:line="276" w:lineRule="auto"/>
        <w:ind w:left="567" w:right="618" w:firstLine="2268"/>
        <w:jc w:val="both"/>
        <w:rPr>
          <w:rFonts w:ascii="Arial Narrow" w:hAnsi="Arial Narrow" w:cs="Arial"/>
          <w:sz w:val="24"/>
          <w:szCs w:val="26"/>
        </w:rPr>
      </w:pPr>
    </w:p>
    <w:p w:rsidR="00DF0460" w:rsidRPr="00C37B73" w:rsidRDefault="004C00D6" w:rsidP="005B3BA9">
      <w:pPr>
        <w:spacing w:line="276" w:lineRule="auto"/>
        <w:ind w:right="51" w:firstLine="2835"/>
        <w:jc w:val="both"/>
        <w:rPr>
          <w:rFonts w:ascii="Gadugi" w:hAnsi="Gadugi" w:cstheme="minorHAnsi"/>
          <w:sz w:val="24"/>
          <w:szCs w:val="26"/>
          <w:lang w:val="es-CO"/>
        </w:rPr>
      </w:pPr>
      <w:r w:rsidRPr="00C37B73">
        <w:rPr>
          <w:rFonts w:ascii="Gadugi" w:hAnsi="Gadugi" w:cstheme="minorHAnsi"/>
          <w:sz w:val="24"/>
          <w:szCs w:val="26"/>
        </w:rPr>
        <w:t xml:space="preserve">Como quedó visto, ningún análisis de fondo merece el presente asunto por su marcada improcedencia </w:t>
      </w:r>
      <w:r w:rsidRPr="00C37B73">
        <w:rPr>
          <w:rFonts w:ascii="Gadugi" w:hAnsi="Gadugi" w:cstheme="minorHAnsi"/>
          <w:sz w:val="24"/>
          <w:szCs w:val="26"/>
          <w:lang w:val="es-419"/>
        </w:rPr>
        <w:t xml:space="preserve">y </w:t>
      </w:r>
      <w:r w:rsidR="00CC349C" w:rsidRPr="00C37B73">
        <w:rPr>
          <w:rFonts w:ascii="Gadugi" w:hAnsi="Gadugi" w:cstheme="minorHAnsi"/>
          <w:sz w:val="24"/>
          <w:szCs w:val="26"/>
          <w:lang w:val="es-419"/>
        </w:rPr>
        <w:t xml:space="preserve">solo resta recordar que </w:t>
      </w:r>
      <w:r w:rsidR="00DF0460" w:rsidRPr="00C37B73">
        <w:rPr>
          <w:rFonts w:ascii="Gadugi" w:hAnsi="Gadugi" w:cstheme="minorHAnsi"/>
          <w:sz w:val="24"/>
          <w:szCs w:val="26"/>
          <w:lang w:val="es-419"/>
        </w:rPr>
        <w:t xml:space="preserve">la regla de la subsidiariedad </w:t>
      </w:r>
      <w:r w:rsidR="00DF0460" w:rsidRPr="00C37B73">
        <w:rPr>
          <w:rFonts w:ascii="Gadugi" w:hAnsi="Gadugi" w:cstheme="minorHAnsi"/>
          <w:sz w:val="24"/>
          <w:szCs w:val="26"/>
          <w:lang w:val="es-CO"/>
        </w:rPr>
        <w:t>puede romperse, cuando media un perjuicio irremediable</w:t>
      </w:r>
      <w:r w:rsidRPr="00C37B73">
        <w:rPr>
          <w:rFonts w:ascii="Gadugi" w:hAnsi="Gadugi" w:cstheme="minorHAnsi"/>
          <w:sz w:val="24"/>
          <w:szCs w:val="26"/>
          <w:lang w:val="es-419"/>
        </w:rPr>
        <w:t>, no obstante</w:t>
      </w:r>
      <w:r w:rsidR="00DF0460" w:rsidRPr="00C37B73">
        <w:rPr>
          <w:rFonts w:ascii="Gadugi" w:hAnsi="Gadugi" w:cstheme="minorHAnsi"/>
          <w:sz w:val="24"/>
          <w:szCs w:val="26"/>
          <w:lang w:val="es-419"/>
        </w:rPr>
        <w:t xml:space="preserve"> </w:t>
      </w:r>
      <w:r w:rsidRPr="00C37B73">
        <w:rPr>
          <w:rFonts w:ascii="Gadugi" w:hAnsi="Gadugi" w:cstheme="minorHAnsi"/>
          <w:sz w:val="24"/>
          <w:szCs w:val="26"/>
          <w:lang w:val="es-419"/>
        </w:rPr>
        <w:t>d</w:t>
      </w:r>
      <w:r w:rsidR="00DF0460" w:rsidRPr="00C37B73">
        <w:rPr>
          <w:rFonts w:ascii="Gadugi" w:hAnsi="Gadugi" w:cstheme="minorHAnsi"/>
          <w:sz w:val="24"/>
          <w:szCs w:val="26"/>
          <w:lang w:val="es-CO"/>
        </w:rPr>
        <w:t xml:space="preserve">icho menoscabo se caracteriza por ser inminente y grave, de manera que las medidas que se deban adoptar por vía de tutela sean impostergables para restablecer el derecho, como en múltiples ocasiones lo ha sostenido </w:t>
      </w:r>
      <w:r w:rsidR="00DF0460" w:rsidRPr="00C37B73">
        <w:rPr>
          <w:rFonts w:ascii="Gadugi" w:hAnsi="Gadugi" w:cstheme="minorHAnsi"/>
          <w:sz w:val="24"/>
          <w:szCs w:val="26"/>
          <w:lang w:val="es-419"/>
        </w:rPr>
        <w:t xml:space="preserve">también la </w:t>
      </w:r>
      <w:r w:rsidR="00DF0460" w:rsidRPr="00C37B73">
        <w:rPr>
          <w:rFonts w:ascii="Gadugi" w:hAnsi="Gadugi" w:cstheme="minorHAnsi"/>
          <w:sz w:val="24"/>
          <w:szCs w:val="26"/>
          <w:lang w:val="es-CO"/>
        </w:rPr>
        <w:t xml:space="preserve">jurisprudencia, condiciones todas que </w:t>
      </w:r>
      <w:r w:rsidRPr="00C37B73">
        <w:rPr>
          <w:rFonts w:ascii="Gadugi" w:hAnsi="Gadugi" w:cstheme="minorHAnsi"/>
          <w:sz w:val="24"/>
          <w:szCs w:val="26"/>
          <w:lang w:val="es-CO"/>
        </w:rPr>
        <w:t>la parte accionante</w:t>
      </w:r>
      <w:r w:rsidR="00DF0460" w:rsidRPr="00C37B73">
        <w:rPr>
          <w:rFonts w:ascii="Gadugi" w:hAnsi="Gadugi" w:cstheme="minorHAnsi"/>
          <w:sz w:val="24"/>
          <w:szCs w:val="26"/>
          <w:lang w:val="es-CO"/>
        </w:rPr>
        <w:t xml:space="preserve"> debe acreditar, pero que en el de marras </w:t>
      </w:r>
      <w:r w:rsidR="0060220D" w:rsidRPr="00C37B73">
        <w:rPr>
          <w:rFonts w:ascii="Gadugi" w:hAnsi="Gadugi" w:cstheme="minorHAnsi"/>
          <w:sz w:val="24"/>
          <w:szCs w:val="26"/>
          <w:lang w:val="es-CO"/>
        </w:rPr>
        <w:t>ni siquiera fueron insinuadas</w:t>
      </w:r>
      <w:r w:rsidR="00BE14F1" w:rsidRPr="00C37B73">
        <w:rPr>
          <w:rStyle w:val="Refdenotaalpie"/>
          <w:rFonts w:ascii="Gadugi" w:hAnsi="Gadugi" w:cstheme="minorHAnsi"/>
          <w:sz w:val="24"/>
          <w:szCs w:val="26"/>
          <w:shd w:val="clear" w:color="auto" w:fill="FFFFFF"/>
        </w:rPr>
        <w:footnoteReference w:id="5"/>
      </w:r>
      <w:r w:rsidR="00BE14F1" w:rsidRPr="00C37B73">
        <w:rPr>
          <w:rFonts w:ascii="Gadugi" w:hAnsi="Gadugi" w:cstheme="minorHAnsi"/>
          <w:sz w:val="24"/>
          <w:szCs w:val="26"/>
          <w:lang w:val="es-CO"/>
        </w:rPr>
        <w:t>.</w:t>
      </w:r>
      <w:r w:rsidR="00DF0460" w:rsidRPr="00C37B73">
        <w:rPr>
          <w:rFonts w:ascii="Gadugi" w:hAnsi="Gadugi" w:cstheme="minorHAnsi"/>
          <w:sz w:val="24"/>
          <w:szCs w:val="26"/>
          <w:lang w:val="es-CO"/>
        </w:rPr>
        <w:t xml:space="preserve"> </w:t>
      </w:r>
    </w:p>
    <w:p w:rsidR="00BE14F1" w:rsidRPr="00C37B73" w:rsidRDefault="00BE14F1" w:rsidP="00DF0460">
      <w:pPr>
        <w:pStyle w:val="Sinespaciado1"/>
        <w:spacing w:line="276" w:lineRule="auto"/>
        <w:ind w:right="51" w:firstLine="2835"/>
        <w:jc w:val="both"/>
        <w:rPr>
          <w:rFonts w:ascii="Gadugi" w:hAnsi="Gadugi"/>
          <w:szCs w:val="26"/>
          <w:lang w:val="es-CO"/>
        </w:rPr>
      </w:pPr>
    </w:p>
    <w:p w:rsidR="007025DF" w:rsidRDefault="00BE14F1" w:rsidP="00BE14F1">
      <w:pPr>
        <w:pStyle w:val="Sinespaciado1"/>
        <w:spacing w:line="276" w:lineRule="auto"/>
        <w:ind w:right="51" w:firstLine="2835"/>
        <w:jc w:val="both"/>
        <w:rPr>
          <w:rFonts w:ascii="Gadugi" w:hAnsi="Gadugi"/>
          <w:szCs w:val="26"/>
          <w:lang w:val="es-CO"/>
        </w:rPr>
      </w:pPr>
      <w:r w:rsidRPr="00C37B73">
        <w:rPr>
          <w:rFonts w:ascii="Gadugi" w:hAnsi="Gadugi"/>
          <w:szCs w:val="26"/>
          <w:lang w:val="es-CO"/>
        </w:rPr>
        <w:t xml:space="preserve">Por consiguiente, </w:t>
      </w:r>
      <w:r w:rsidR="00326B11" w:rsidRPr="00C37B73">
        <w:rPr>
          <w:rFonts w:ascii="Gadugi" w:hAnsi="Gadugi"/>
          <w:szCs w:val="26"/>
          <w:lang w:val="es-419"/>
        </w:rPr>
        <w:t xml:space="preserve">se </w:t>
      </w:r>
      <w:r w:rsidR="007025DF" w:rsidRPr="00C37B73">
        <w:rPr>
          <w:rFonts w:ascii="Gadugi" w:hAnsi="Gadugi"/>
          <w:szCs w:val="26"/>
          <w:lang w:val="es-CO"/>
        </w:rPr>
        <w:t xml:space="preserve">prohijará </w:t>
      </w:r>
      <w:r w:rsidR="00DF0460" w:rsidRPr="00C37B73">
        <w:rPr>
          <w:rFonts w:ascii="Gadugi" w:hAnsi="Gadugi"/>
          <w:szCs w:val="26"/>
          <w:lang w:val="es-CO"/>
        </w:rPr>
        <w:t>la sentencia impugnada</w:t>
      </w:r>
      <w:r w:rsidRPr="00C37B73">
        <w:rPr>
          <w:rFonts w:ascii="Gadugi" w:hAnsi="Gadugi"/>
          <w:szCs w:val="26"/>
          <w:lang w:val="es-CO"/>
        </w:rPr>
        <w:t>,</w:t>
      </w:r>
      <w:r w:rsidR="007025DF" w:rsidRPr="00C37B73">
        <w:rPr>
          <w:rFonts w:ascii="Gadugi" w:hAnsi="Gadugi"/>
          <w:szCs w:val="26"/>
          <w:lang w:val="es-CO"/>
        </w:rPr>
        <w:t xml:space="preserve"> en la </w:t>
      </w:r>
      <w:r w:rsidR="00D508A4" w:rsidRPr="00C37B73">
        <w:rPr>
          <w:rFonts w:ascii="Gadugi" w:hAnsi="Gadugi"/>
          <w:szCs w:val="26"/>
          <w:lang w:val="es-419"/>
        </w:rPr>
        <w:t xml:space="preserve">que fue </w:t>
      </w:r>
      <w:r w:rsidR="007025DF" w:rsidRPr="00C37B73">
        <w:rPr>
          <w:rFonts w:ascii="Gadugi" w:hAnsi="Gadugi"/>
          <w:szCs w:val="26"/>
          <w:lang w:val="es-CO"/>
        </w:rPr>
        <w:t xml:space="preserve">atinada la explicación del momento en el cual debe ser valorada la prueba </w:t>
      </w:r>
      <w:r w:rsidR="00D508A4" w:rsidRPr="00C37B73">
        <w:rPr>
          <w:rFonts w:ascii="Gadugi" w:hAnsi="Gadugi"/>
          <w:szCs w:val="26"/>
          <w:lang w:val="es-419"/>
        </w:rPr>
        <w:t>extraprocesal</w:t>
      </w:r>
      <w:r w:rsidR="007025DF" w:rsidRPr="00C37B73">
        <w:rPr>
          <w:rFonts w:ascii="Gadugi" w:hAnsi="Gadugi"/>
          <w:szCs w:val="26"/>
          <w:lang w:val="es-CO"/>
        </w:rPr>
        <w:t xml:space="preserve">; no obstante, por ese </w:t>
      </w:r>
      <w:r w:rsidR="008139C0" w:rsidRPr="00C37B73">
        <w:rPr>
          <w:rFonts w:ascii="Gadugi" w:hAnsi="Gadugi"/>
          <w:szCs w:val="26"/>
          <w:lang w:val="es-CO"/>
        </w:rPr>
        <w:t xml:space="preserve">preciso </w:t>
      </w:r>
      <w:r w:rsidR="007025DF" w:rsidRPr="00C37B73">
        <w:rPr>
          <w:rFonts w:ascii="Gadugi" w:hAnsi="Gadugi"/>
          <w:szCs w:val="26"/>
          <w:lang w:val="es-CO"/>
        </w:rPr>
        <w:t>motivo</w:t>
      </w:r>
      <w:r w:rsidR="008139C0" w:rsidRPr="00C37B73">
        <w:rPr>
          <w:rFonts w:ascii="Gadugi" w:hAnsi="Gadugi"/>
          <w:szCs w:val="26"/>
          <w:lang w:val="es-CO"/>
        </w:rPr>
        <w:t>,</w:t>
      </w:r>
      <w:r w:rsidR="007025DF" w:rsidRPr="00C37B73">
        <w:rPr>
          <w:rFonts w:ascii="Gadugi" w:hAnsi="Gadugi"/>
          <w:szCs w:val="26"/>
          <w:lang w:val="es-CO"/>
        </w:rPr>
        <w:t xml:space="preserve"> es necesario </w:t>
      </w:r>
      <w:r w:rsidR="008139C0" w:rsidRPr="00C37B73">
        <w:rPr>
          <w:rFonts w:ascii="Gadugi" w:hAnsi="Gadugi"/>
          <w:szCs w:val="26"/>
          <w:lang w:val="es-CO"/>
        </w:rPr>
        <w:t xml:space="preserve">modificar la parte resolutiva de la providencia, comoquiera que el amparo es improcedente, </w:t>
      </w:r>
      <w:r w:rsidR="00D508A4" w:rsidRPr="00C37B73">
        <w:rPr>
          <w:rFonts w:ascii="Gadugi" w:hAnsi="Gadugi"/>
          <w:szCs w:val="26"/>
          <w:lang w:val="es-419"/>
        </w:rPr>
        <w:t xml:space="preserve">lo que hace </w:t>
      </w:r>
      <w:r w:rsidR="008139C0" w:rsidRPr="00C37B73">
        <w:rPr>
          <w:rFonts w:ascii="Gadugi" w:hAnsi="Gadugi"/>
          <w:szCs w:val="26"/>
          <w:lang w:val="es-CO"/>
        </w:rPr>
        <w:t>inviable cualquier análisis de fondo del asunto e incorrecta la denegación que en primera instancia se impartió.</w:t>
      </w:r>
    </w:p>
    <w:p w:rsidR="00054BB6" w:rsidRPr="00C37B73" w:rsidRDefault="00054BB6" w:rsidP="00BE14F1">
      <w:pPr>
        <w:pStyle w:val="Sinespaciado1"/>
        <w:spacing w:line="276" w:lineRule="auto"/>
        <w:ind w:right="51" w:firstLine="2835"/>
        <w:jc w:val="both"/>
        <w:rPr>
          <w:rFonts w:ascii="Gadugi" w:hAnsi="Gadugi"/>
          <w:szCs w:val="26"/>
          <w:lang w:val="es-CO"/>
        </w:rPr>
      </w:pPr>
    </w:p>
    <w:p w:rsidR="004C00D6" w:rsidRPr="00C37B73" w:rsidRDefault="008139C0" w:rsidP="00BE14F1">
      <w:pPr>
        <w:pStyle w:val="Sinespaciado1"/>
        <w:spacing w:line="276" w:lineRule="auto"/>
        <w:ind w:right="51" w:firstLine="2835"/>
        <w:jc w:val="both"/>
        <w:rPr>
          <w:rFonts w:ascii="Gadugi" w:hAnsi="Gadugi"/>
          <w:szCs w:val="26"/>
          <w:lang w:val="es-CO"/>
        </w:rPr>
      </w:pPr>
      <w:r w:rsidRPr="00C37B73">
        <w:rPr>
          <w:rFonts w:ascii="Gadugi" w:hAnsi="Gadugi"/>
          <w:szCs w:val="26"/>
          <w:lang w:val="es-CO"/>
        </w:rPr>
        <w:t>También es improcedente</w:t>
      </w:r>
      <w:r w:rsidR="00A1215D" w:rsidRPr="00C37B73">
        <w:rPr>
          <w:rFonts w:ascii="Gadugi" w:hAnsi="Gadugi"/>
          <w:szCs w:val="26"/>
          <w:lang w:val="es-CO"/>
        </w:rPr>
        <w:t xml:space="preserve"> </w:t>
      </w:r>
      <w:r w:rsidR="004C00D6" w:rsidRPr="00C37B73">
        <w:rPr>
          <w:rFonts w:ascii="Gadugi" w:hAnsi="Gadugi"/>
          <w:szCs w:val="26"/>
          <w:lang w:val="es-CO"/>
        </w:rPr>
        <w:t xml:space="preserve">la pretensión que tiende a que se compulsen copias al Consejo Seccional de la Judicatura de Risaralda, primero por su vaguedad, dado que en ninguna particular denuncia se </w:t>
      </w:r>
      <w:r w:rsidR="00A1215D" w:rsidRPr="00C37B73">
        <w:rPr>
          <w:rFonts w:ascii="Gadugi" w:hAnsi="Gadugi"/>
          <w:szCs w:val="26"/>
          <w:lang w:val="es-CO"/>
        </w:rPr>
        <w:t>asentó</w:t>
      </w:r>
      <w:r w:rsidR="00675ECA" w:rsidRPr="00C37B73">
        <w:rPr>
          <w:rFonts w:ascii="Gadugi" w:hAnsi="Gadugi"/>
          <w:szCs w:val="26"/>
          <w:lang w:val="es-419"/>
        </w:rPr>
        <w:t>,</w:t>
      </w:r>
      <w:r w:rsidR="004C00D6" w:rsidRPr="00C37B73">
        <w:rPr>
          <w:rFonts w:ascii="Gadugi" w:hAnsi="Gadugi"/>
          <w:szCs w:val="26"/>
          <w:lang w:val="es-CO"/>
        </w:rPr>
        <w:t xml:space="preserve"> y segundo</w:t>
      </w:r>
      <w:r w:rsidR="00675ECA" w:rsidRPr="00C37B73">
        <w:rPr>
          <w:rFonts w:ascii="Gadugi" w:hAnsi="Gadugi"/>
          <w:szCs w:val="26"/>
          <w:lang w:val="es-419"/>
        </w:rPr>
        <w:t>,</w:t>
      </w:r>
      <w:r w:rsidR="004C00D6" w:rsidRPr="00C37B73">
        <w:rPr>
          <w:rFonts w:ascii="Gadugi" w:hAnsi="Gadugi"/>
          <w:szCs w:val="26"/>
          <w:lang w:val="es-CO"/>
        </w:rPr>
        <w:t xml:space="preserve"> porque está en cabeza del solicitante acudir ante las autoridades competentes </w:t>
      </w:r>
      <w:r w:rsidR="00A1215D" w:rsidRPr="00C37B73">
        <w:rPr>
          <w:rFonts w:ascii="Gadugi" w:hAnsi="Gadugi"/>
          <w:szCs w:val="26"/>
          <w:lang w:val="es-CO"/>
        </w:rPr>
        <w:t>para elevar las d</w:t>
      </w:r>
      <w:r w:rsidR="00D508A4" w:rsidRPr="00C37B73">
        <w:rPr>
          <w:rFonts w:ascii="Gadugi" w:hAnsi="Gadugi"/>
          <w:szCs w:val="26"/>
          <w:lang w:val="es-CO"/>
        </w:rPr>
        <w:t>enuncias que estime pertinentes;</w:t>
      </w:r>
      <w:r w:rsidR="00A1215D" w:rsidRPr="00C37B73">
        <w:rPr>
          <w:rFonts w:ascii="Gadugi" w:hAnsi="Gadugi"/>
          <w:szCs w:val="26"/>
          <w:lang w:val="es-CO"/>
        </w:rPr>
        <w:t xml:space="preserve"> no es la acción de tutela el instrumento adecuado para dar inicio a este tipo de trámites, </w:t>
      </w:r>
      <w:r w:rsidR="00D508A4" w:rsidRPr="00C37B73">
        <w:rPr>
          <w:rFonts w:ascii="Gadugi" w:hAnsi="Gadugi"/>
          <w:szCs w:val="26"/>
          <w:lang w:val="es-419"/>
        </w:rPr>
        <w:t xml:space="preserve">pues está </w:t>
      </w:r>
      <w:r w:rsidR="00A1215D" w:rsidRPr="00C37B73">
        <w:rPr>
          <w:rFonts w:ascii="Gadugi" w:hAnsi="Gadugi"/>
          <w:szCs w:val="26"/>
          <w:lang w:val="es-CO"/>
        </w:rPr>
        <w:t>destinad</w:t>
      </w:r>
      <w:r w:rsidR="00D508A4" w:rsidRPr="00C37B73">
        <w:rPr>
          <w:rFonts w:ascii="Gadugi" w:hAnsi="Gadugi"/>
          <w:szCs w:val="26"/>
          <w:lang w:val="es-419"/>
        </w:rPr>
        <w:t>a</w:t>
      </w:r>
      <w:r w:rsidR="00A1215D" w:rsidRPr="00C37B73">
        <w:rPr>
          <w:rFonts w:ascii="Gadugi" w:hAnsi="Gadugi"/>
          <w:szCs w:val="26"/>
          <w:lang w:val="es-CO"/>
        </w:rPr>
        <w:t xml:space="preserve"> a la salvaguarda de derechos fundamentales. </w:t>
      </w:r>
    </w:p>
    <w:p w:rsidR="00D508A4" w:rsidRPr="00C37B73" w:rsidRDefault="00A1215D" w:rsidP="00A1215D">
      <w:pPr>
        <w:shd w:val="clear" w:color="auto" w:fill="FFFFFF"/>
        <w:spacing w:line="276" w:lineRule="auto"/>
        <w:jc w:val="both"/>
        <w:rPr>
          <w:rFonts w:ascii="Gadugi" w:hAnsi="Gadugi"/>
          <w:sz w:val="24"/>
          <w:szCs w:val="26"/>
          <w:shd w:val="clear" w:color="auto" w:fill="FFFFFF"/>
        </w:rPr>
      </w:pPr>
      <w:r w:rsidRPr="00C37B73">
        <w:rPr>
          <w:rFonts w:ascii="Gadugi" w:hAnsi="Gadugi"/>
          <w:b/>
          <w:color w:val="2D2D2D"/>
          <w:sz w:val="24"/>
          <w:szCs w:val="26"/>
          <w:shd w:val="clear" w:color="auto" w:fill="FFFFFF"/>
        </w:rPr>
        <w:tab/>
      </w:r>
      <w:r w:rsidRPr="00C37B73">
        <w:rPr>
          <w:rFonts w:ascii="Gadugi" w:hAnsi="Gadugi"/>
          <w:b/>
          <w:color w:val="2D2D2D"/>
          <w:sz w:val="24"/>
          <w:szCs w:val="26"/>
          <w:shd w:val="clear" w:color="auto" w:fill="FFFFFF"/>
        </w:rPr>
        <w:tab/>
      </w:r>
      <w:r w:rsidRPr="00C37B73">
        <w:rPr>
          <w:rFonts w:ascii="Gadugi" w:hAnsi="Gadugi"/>
          <w:color w:val="2D2D2D"/>
          <w:sz w:val="24"/>
          <w:szCs w:val="26"/>
          <w:shd w:val="clear" w:color="auto" w:fill="FFFFFF"/>
        </w:rPr>
        <w:tab/>
      </w:r>
      <w:r w:rsidRPr="00C37B73">
        <w:rPr>
          <w:rFonts w:ascii="Gadugi" w:hAnsi="Gadugi"/>
          <w:sz w:val="24"/>
          <w:szCs w:val="26"/>
          <w:shd w:val="clear" w:color="auto" w:fill="FFFFFF"/>
        </w:rPr>
        <w:tab/>
      </w:r>
    </w:p>
    <w:p w:rsidR="004517F6" w:rsidRPr="00C37B73" w:rsidRDefault="0053575E" w:rsidP="0053575E">
      <w:pPr>
        <w:shd w:val="clear" w:color="auto" w:fill="FFFFFF"/>
        <w:spacing w:line="276" w:lineRule="auto"/>
        <w:rPr>
          <w:rFonts w:ascii="Gadugi" w:hAnsi="Gadugi"/>
          <w:b/>
          <w:sz w:val="24"/>
          <w:szCs w:val="26"/>
          <w:shd w:val="clear" w:color="auto" w:fill="FFFFFF"/>
        </w:rPr>
      </w:pPr>
      <w:r w:rsidRPr="00C37B73">
        <w:rPr>
          <w:rFonts w:ascii="Gadugi" w:hAnsi="Gadugi"/>
          <w:b/>
          <w:color w:val="2D2D2D"/>
          <w:sz w:val="24"/>
          <w:szCs w:val="26"/>
          <w:shd w:val="clear" w:color="auto" w:fill="FFFFFF"/>
        </w:rPr>
        <w:tab/>
      </w:r>
      <w:r w:rsidRPr="00C37B73">
        <w:rPr>
          <w:rFonts w:ascii="Gadugi" w:hAnsi="Gadugi"/>
          <w:b/>
          <w:color w:val="2D2D2D"/>
          <w:sz w:val="24"/>
          <w:szCs w:val="26"/>
          <w:shd w:val="clear" w:color="auto" w:fill="FFFFFF"/>
        </w:rPr>
        <w:tab/>
      </w:r>
      <w:r w:rsidRPr="00C37B73">
        <w:rPr>
          <w:rFonts w:ascii="Gadugi" w:hAnsi="Gadugi"/>
          <w:b/>
          <w:color w:val="2D2D2D"/>
          <w:sz w:val="24"/>
          <w:szCs w:val="26"/>
          <w:shd w:val="clear" w:color="auto" w:fill="FFFFFF"/>
        </w:rPr>
        <w:tab/>
      </w:r>
      <w:r w:rsidRPr="00C37B73">
        <w:rPr>
          <w:rFonts w:ascii="Gadugi" w:hAnsi="Gadugi"/>
          <w:b/>
          <w:color w:val="2D2D2D"/>
          <w:sz w:val="24"/>
          <w:szCs w:val="26"/>
          <w:shd w:val="clear" w:color="auto" w:fill="FFFFFF"/>
        </w:rPr>
        <w:tab/>
      </w:r>
      <w:r w:rsidR="00675ECA" w:rsidRPr="00C37B73">
        <w:rPr>
          <w:rFonts w:ascii="Gadugi" w:hAnsi="Gadugi"/>
          <w:b/>
          <w:sz w:val="24"/>
          <w:szCs w:val="26"/>
          <w:shd w:val="clear" w:color="auto" w:fill="FFFFFF"/>
          <w:lang w:val="es-419"/>
        </w:rPr>
        <w:t>DECISIÓN</w:t>
      </w:r>
      <w:r w:rsidR="004517F6" w:rsidRPr="00C37B73">
        <w:rPr>
          <w:rFonts w:ascii="Gadugi" w:hAnsi="Gadugi"/>
          <w:b/>
          <w:sz w:val="24"/>
          <w:szCs w:val="26"/>
          <w:shd w:val="clear" w:color="auto" w:fill="FFFFFF"/>
        </w:rPr>
        <w:t>:</w:t>
      </w:r>
    </w:p>
    <w:p w:rsidR="0053575E" w:rsidRPr="00C37B73" w:rsidRDefault="0053575E" w:rsidP="00DE2C1F">
      <w:pPr>
        <w:shd w:val="clear" w:color="auto" w:fill="FFFFFF"/>
        <w:spacing w:line="276" w:lineRule="auto"/>
        <w:jc w:val="both"/>
        <w:rPr>
          <w:rFonts w:ascii="Gadugi" w:hAnsi="Gadugi"/>
          <w:b/>
          <w:sz w:val="24"/>
          <w:szCs w:val="26"/>
          <w:shd w:val="clear" w:color="auto" w:fill="FFFFFF"/>
        </w:rPr>
      </w:pPr>
    </w:p>
    <w:p w:rsidR="005B3BA9" w:rsidRPr="00C37B73" w:rsidRDefault="00EC7541" w:rsidP="005B3BA9">
      <w:pPr>
        <w:spacing w:line="276" w:lineRule="auto"/>
        <w:ind w:firstLine="2835"/>
        <w:jc w:val="both"/>
        <w:rPr>
          <w:rFonts w:ascii="Gadugi" w:hAnsi="Gadugi"/>
          <w:b/>
          <w:sz w:val="24"/>
          <w:szCs w:val="26"/>
        </w:rPr>
      </w:pPr>
      <w:r w:rsidRPr="00C37B73">
        <w:rPr>
          <w:rFonts w:ascii="Gadugi" w:hAnsi="Gadugi" w:cs="Century Gothic"/>
          <w:sz w:val="24"/>
          <w:szCs w:val="26"/>
        </w:rPr>
        <w:lastRenderedPageBreak/>
        <w:t xml:space="preserve">Por lo expuesto, la </w:t>
      </w:r>
      <w:r w:rsidRPr="00C37B73">
        <w:rPr>
          <w:rFonts w:ascii="Gadugi" w:hAnsi="Gadugi" w:cs="Century Gothic"/>
          <w:b/>
          <w:sz w:val="24"/>
          <w:szCs w:val="26"/>
        </w:rPr>
        <w:t>Sala Civil-Familia del Tribunal Superior de Pereira, Risaralda</w:t>
      </w:r>
      <w:r w:rsidRPr="00C37B73">
        <w:rPr>
          <w:rFonts w:ascii="Gadugi" w:hAnsi="Gadugi" w:cs="Century Gothic"/>
          <w:sz w:val="24"/>
          <w:szCs w:val="26"/>
        </w:rPr>
        <w:t xml:space="preserve">, administrando justicia en nombre de la Republica de Colombia y por autoridad de la ley, </w:t>
      </w:r>
      <w:r w:rsidR="008139C0" w:rsidRPr="00C37B73">
        <w:rPr>
          <w:rFonts w:ascii="Gadugi" w:hAnsi="Gadugi" w:cs="Century Gothic"/>
          <w:b/>
          <w:sz w:val="24"/>
          <w:szCs w:val="26"/>
        </w:rPr>
        <w:t>MODIFICA</w:t>
      </w:r>
      <w:r w:rsidRPr="00C37B73">
        <w:rPr>
          <w:rFonts w:ascii="Gadugi" w:hAnsi="Gadugi" w:cs="Century Gothic"/>
          <w:b/>
          <w:sz w:val="24"/>
          <w:szCs w:val="26"/>
        </w:rPr>
        <w:t xml:space="preserve"> </w:t>
      </w:r>
      <w:r w:rsidRPr="00C37B73">
        <w:rPr>
          <w:rFonts w:ascii="Gadugi" w:hAnsi="Gadugi" w:cs="Arial"/>
          <w:sz w:val="24"/>
          <w:szCs w:val="26"/>
        </w:rPr>
        <w:t xml:space="preserve">la sentencia proferida el </w:t>
      </w:r>
      <w:r w:rsidR="005B3BA9" w:rsidRPr="00C37B73">
        <w:rPr>
          <w:rFonts w:ascii="Gadugi" w:hAnsi="Gadugi" w:cs="Arial"/>
          <w:sz w:val="24"/>
          <w:szCs w:val="26"/>
        </w:rPr>
        <w:t>18</w:t>
      </w:r>
      <w:r w:rsidR="00070E65" w:rsidRPr="00C37B73">
        <w:rPr>
          <w:rFonts w:ascii="Gadugi" w:hAnsi="Gadugi" w:cs="Arial"/>
          <w:sz w:val="24"/>
          <w:szCs w:val="26"/>
        </w:rPr>
        <w:t xml:space="preserve"> </w:t>
      </w:r>
      <w:r w:rsidR="004C6A62" w:rsidRPr="00C37B73">
        <w:rPr>
          <w:rFonts w:ascii="Gadugi" w:hAnsi="Gadugi" w:cs="Arial"/>
          <w:sz w:val="24"/>
          <w:szCs w:val="26"/>
        </w:rPr>
        <w:t xml:space="preserve">de </w:t>
      </w:r>
      <w:r w:rsidR="005B3BA9" w:rsidRPr="00C37B73">
        <w:rPr>
          <w:rFonts w:ascii="Gadugi" w:hAnsi="Gadugi" w:cs="Arial"/>
          <w:sz w:val="24"/>
          <w:szCs w:val="26"/>
        </w:rPr>
        <w:t>septiembre</w:t>
      </w:r>
      <w:r w:rsidRPr="00C37B73">
        <w:rPr>
          <w:rFonts w:ascii="Gadugi" w:hAnsi="Gadugi" w:cs="Arial"/>
          <w:sz w:val="24"/>
          <w:szCs w:val="26"/>
        </w:rPr>
        <w:t xml:space="preserve"> de</w:t>
      </w:r>
      <w:r w:rsidR="00AF2615" w:rsidRPr="00C37B73">
        <w:rPr>
          <w:rFonts w:ascii="Gadugi" w:hAnsi="Gadugi" w:cs="Arial"/>
          <w:sz w:val="24"/>
          <w:szCs w:val="26"/>
        </w:rPr>
        <w:t>l</w:t>
      </w:r>
      <w:r w:rsidRPr="00C37B73">
        <w:rPr>
          <w:rFonts w:ascii="Gadugi" w:hAnsi="Gadugi" w:cs="Arial"/>
          <w:sz w:val="24"/>
          <w:szCs w:val="26"/>
        </w:rPr>
        <w:t xml:space="preserve"> 2018 </w:t>
      </w:r>
      <w:r w:rsidRPr="00C37B73">
        <w:rPr>
          <w:rFonts w:ascii="Gadugi" w:hAnsi="Gadugi"/>
          <w:sz w:val="24"/>
          <w:szCs w:val="26"/>
        </w:rPr>
        <w:t xml:space="preserve">por el </w:t>
      </w:r>
      <w:r w:rsidR="004A51B1" w:rsidRPr="00C37B73">
        <w:rPr>
          <w:rFonts w:ascii="Gadugi" w:hAnsi="Gadugi"/>
          <w:sz w:val="24"/>
          <w:szCs w:val="26"/>
        </w:rPr>
        <w:t xml:space="preserve">Juzgado Quinto </w:t>
      </w:r>
      <w:r w:rsidR="005B3BA9" w:rsidRPr="00C37B73">
        <w:rPr>
          <w:rFonts w:ascii="Gadugi" w:hAnsi="Gadugi"/>
          <w:sz w:val="24"/>
          <w:szCs w:val="26"/>
        </w:rPr>
        <w:t>Civil del Circuito local</w:t>
      </w:r>
      <w:r w:rsidR="00070E65" w:rsidRPr="00C37B73">
        <w:rPr>
          <w:rFonts w:ascii="Gadugi" w:hAnsi="Gadugi"/>
          <w:sz w:val="24"/>
          <w:szCs w:val="26"/>
        </w:rPr>
        <w:t>,</w:t>
      </w:r>
      <w:r w:rsidRPr="00C37B73">
        <w:rPr>
          <w:rFonts w:ascii="Gadugi" w:hAnsi="Gadugi"/>
          <w:sz w:val="24"/>
          <w:szCs w:val="26"/>
        </w:rPr>
        <w:t xml:space="preserve"> </w:t>
      </w:r>
      <w:r w:rsidRPr="00C37B73">
        <w:rPr>
          <w:rFonts w:ascii="Gadugi" w:hAnsi="Gadugi" w:cs="Arial"/>
          <w:sz w:val="24"/>
          <w:szCs w:val="26"/>
        </w:rPr>
        <w:t>en la presente acción de tutela promovida por</w:t>
      </w:r>
      <w:r w:rsidR="00070E65" w:rsidRPr="00C37B73">
        <w:rPr>
          <w:rFonts w:ascii="Gadugi" w:hAnsi="Gadugi" w:cs="Arial"/>
          <w:sz w:val="24"/>
          <w:szCs w:val="26"/>
        </w:rPr>
        <w:t xml:space="preserve"> </w:t>
      </w:r>
      <w:r w:rsidR="004A51B1" w:rsidRPr="00C37B73">
        <w:rPr>
          <w:rFonts w:ascii="Gadugi" w:hAnsi="Gadugi" w:cs="Arial"/>
          <w:b/>
          <w:sz w:val="24"/>
          <w:szCs w:val="26"/>
        </w:rPr>
        <w:t>Héctor Ayala Pérez</w:t>
      </w:r>
      <w:r w:rsidR="005B3BA9" w:rsidRPr="00C37B73">
        <w:rPr>
          <w:rFonts w:ascii="Gadugi" w:hAnsi="Gadugi" w:cs="Arial"/>
          <w:b/>
          <w:sz w:val="24"/>
          <w:szCs w:val="26"/>
        </w:rPr>
        <w:t xml:space="preserve">, </w:t>
      </w:r>
      <w:r w:rsidR="005B3BA9" w:rsidRPr="00C37B73">
        <w:rPr>
          <w:rFonts w:ascii="Gadugi" w:hAnsi="Gadugi"/>
          <w:sz w:val="24"/>
          <w:szCs w:val="26"/>
        </w:rPr>
        <w:t xml:space="preserve">frente al </w:t>
      </w:r>
      <w:r w:rsidR="004A51B1" w:rsidRPr="00C37B73">
        <w:rPr>
          <w:rFonts w:ascii="Gadugi" w:hAnsi="Gadugi"/>
          <w:b/>
          <w:sz w:val="24"/>
          <w:szCs w:val="26"/>
        </w:rPr>
        <w:t xml:space="preserve">Juzgado </w:t>
      </w:r>
      <w:r w:rsidR="00641BF6" w:rsidRPr="00C37B73">
        <w:rPr>
          <w:rFonts w:ascii="Gadugi" w:hAnsi="Gadugi"/>
          <w:b/>
          <w:sz w:val="24"/>
          <w:szCs w:val="26"/>
        </w:rPr>
        <w:t xml:space="preserve">Sexto Civil Municipal </w:t>
      </w:r>
      <w:r w:rsidR="005B3BA9" w:rsidRPr="00C37B73">
        <w:rPr>
          <w:rFonts w:ascii="Gadugi" w:hAnsi="Gadugi"/>
          <w:b/>
          <w:sz w:val="24"/>
          <w:szCs w:val="26"/>
        </w:rPr>
        <w:t xml:space="preserve"> de Pereira y </w:t>
      </w:r>
      <w:r w:rsidR="008139C0" w:rsidRPr="00C37B73">
        <w:rPr>
          <w:rFonts w:ascii="Gadugi" w:hAnsi="Gadugi"/>
          <w:b/>
          <w:sz w:val="24"/>
          <w:szCs w:val="26"/>
        </w:rPr>
        <w:t>la Organización Sayco y Acinpro,</w:t>
      </w:r>
      <w:r w:rsidR="00951D0C" w:rsidRPr="00C37B73">
        <w:rPr>
          <w:rFonts w:ascii="Gadugi" w:hAnsi="Gadugi"/>
          <w:b/>
          <w:sz w:val="24"/>
          <w:szCs w:val="26"/>
        </w:rPr>
        <w:t xml:space="preserve"> </w:t>
      </w:r>
      <w:r w:rsidR="00951D0C" w:rsidRPr="00C37B73">
        <w:rPr>
          <w:rFonts w:ascii="Gadugi" w:hAnsi="Gadugi"/>
          <w:sz w:val="24"/>
          <w:szCs w:val="26"/>
        </w:rPr>
        <w:t xml:space="preserve">a la que fue vinculada la </w:t>
      </w:r>
      <w:r w:rsidR="00D508A4" w:rsidRPr="00C37B73">
        <w:rPr>
          <w:rFonts w:ascii="Gadugi" w:hAnsi="Gadugi"/>
          <w:b/>
          <w:sz w:val="24"/>
          <w:szCs w:val="26"/>
        </w:rPr>
        <w:t>“Asociación Garrido Abad”</w:t>
      </w:r>
      <w:r w:rsidR="00F11F1D" w:rsidRPr="00C37B73">
        <w:rPr>
          <w:rFonts w:ascii="Gadugi" w:hAnsi="Gadugi"/>
          <w:b/>
          <w:sz w:val="24"/>
          <w:szCs w:val="26"/>
        </w:rPr>
        <w:t>,</w:t>
      </w:r>
      <w:r w:rsidR="00D508A4" w:rsidRPr="00C37B73">
        <w:rPr>
          <w:rFonts w:ascii="Gadugi" w:hAnsi="Gadugi"/>
          <w:b/>
          <w:sz w:val="24"/>
          <w:szCs w:val="26"/>
        </w:rPr>
        <w:t xml:space="preserve"> </w:t>
      </w:r>
      <w:r w:rsidR="00D508A4" w:rsidRPr="00C37B73">
        <w:rPr>
          <w:rFonts w:ascii="Gadugi" w:hAnsi="Gadugi"/>
          <w:sz w:val="24"/>
          <w:szCs w:val="26"/>
        </w:rPr>
        <w:t>en el</w:t>
      </w:r>
      <w:r w:rsidR="00D508A4" w:rsidRPr="00C37B73">
        <w:rPr>
          <w:rFonts w:ascii="Gadugi" w:hAnsi="Gadugi"/>
          <w:b/>
          <w:sz w:val="24"/>
          <w:szCs w:val="26"/>
        </w:rPr>
        <w:t xml:space="preserve"> </w:t>
      </w:r>
      <w:r w:rsidR="008139C0" w:rsidRPr="00C37B73">
        <w:rPr>
          <w:rFonts w:ascii="Gadugi" w:hAnsi="Gadugi"/>
          <w:sz w:val="24"/>
          <w:szCs w:val="26"/>
        </w:rPr>
        <w:t xml:space="preserve">sentido de declararla </w:t>
      </w:r>
      <w:r w:rsidR="008139C0" w:rsidRPr="00C37B73">
        <w:rPr>
          <w:rFonts w:ascii="Gadugi" w:hAnsi="Gadugi"/>
          <w:b/>
          <w:sz w:val="24"/>
          <w:szCs w:val="26"/>
        </w:rPr>
        <w:t>IMPROCEDENTE.</w:t>
      </w:r>
    </w:p>
    <w:p w:rsidR="008139C0" w:rsidRPr="00C37B73" w:rsidRDefault="008139C0" w:rsidP="0053575E">
      <w:pPr>
        <w:spacing w:line="276" w:lineRule="auto"/>
        <w:jc w:val="both"/>
        <w:rPr>
          <w:rFonts w:ascii="Gadugi" w:hAnsi="Gadugi" w:cs="Arial"/>
          <w:sz w:val="24"/>
          <w:szCs w:val="26"/>
        </w:rPr>
      </w:pP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p>
    <w:p w:rsidR="00280ED2" w:rsidRPr="00C37B73" w:rsidRDefault="0053575E" w:rsidP="0053575E">
      <w:pPr>
        <w:spacing w:line="276" w:lineRule="auto"/>
        <w:jc w:val="both"/>
        <w:rPr>
          <w:rFonts w:ascii="Gadugi" w:hAnsi="Gadugi" w:cs="Arial"/>
          <w:sz w:val="24"/>
          <w:szCs w:val="26"/>
          <w:lang w:val="es-419"/>
        </w:rPr>
      </w:pP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Pr="00C37B73">
        <w:rPr>
          <w:rFonts w:ascii="Gadugi" w:hAnsi="Gadugi" w:cs="Arial"/>
          <w:sz w:val="24"/>
          <w:szCs w:val="26"/>
        </w:rPr>
        <w:tab/>
      </w:r>
      <w:r w:rsidR="00416899" w:rsidRPr="00C37B73">
        <w:rPr>
          <w:rFonts w:ascii="Gadugi" w:hAnsi="Gadugi" w:cs="Arial"/>
          <w:sz w:val="24"/>
          <w:szCs w:val="26"/>
        </w:rPr>
        <w:t>Notifíquese la decisión a las partes en la forma prevista en el artículo 5º del Decreto 306 de 1992</w:t>
      </w:r>
      <w:r w:rsidR="00280ED2" w:rsidRPr="00C37B73">
        <w:rPr>
          <w:rFonts w:ascii="Gadugi" w:hAnsi="Gadugi" w:cs="Arial"/>
          <w:sz w:val="24"/>
          <w:szCs w:val="26"/>
          <w:lang w:val="es-419"/>
        </w:rPr>
        <w:t xml:space="preserve">. </w:t>
      </w:r>
    </w:p>
    <w:p w:rsidR="004E199C" w:rsidRPr="00C37B73" w:rsidRDefault="004E199C" w:rsidP="0053575E">
      <w:pPr>
        <w:spacing w:line="276" w:lineRule="auto"/>
        <w:jc w:val="both"/>
        <w:rPr>
          <w:rFonts w:ascii="Gadugi" w:hAnsi="Gadugi" w:cs="Arial"/>
          <w:sz w:val="24"/>
          <w:szCs w:val="26"/>
          <w:lang w:val="es-419"/>
        </w:rPr>
      </w:pPr>
    </w:p>
    <w:p w:rsidR="00280ED2" w:rsidRPr="00C37B73" w:rsidRDefault="00280ED2" w:rsidP="0053575E">
      <w:pPr>
        <w:spacing w:line="276" w:lineRule="auto"/>
        <w:jc w:val="both"/>
        <w:rPr>
          <w:rFonts w:ascii="Gadugi" w:hAnsi="Gadugi" w:cs="Century Gothic"/>
          <w:sz w:val="24"/>
          <w:szCs w:val="26"/>
          <w:lang w:val="es-419"/>
        </w:rPr>
      </w:pPr>
      <w:r w:rsidRPr="00C37B73">
        <w:rPr>
          <w:rFonts w:ascii="Gadugi" w:hAnsi="Gadugi" w:cs="Arial"/>
          <w:sz w:val="24"/>
          <w:szCs w:val="26"/>
          <w:lang w:val="es-419"/>
        </w:rPr>
        <w:t xml:space="preserve">  </w:t>
      </w:r>
      <w:r w:rsidRPr="00C37B73">
        <w:rPr>
          <w:rFonts w:ascii="Gadugi" w:hAnsi="Gadugi" w:cs="Arial"/>
          <w:sz w:val="24"/>
          <w:szCs w:val="26"/>
          <w:lang w:val="es-419"/>
        </w:rPr>
        <w:tab/>
      </w:r>
      <w:r w:rsidRPr="00C37B73">
        <w:rPr>
          <w:rFonts w:ascii="Gadugi" w:hAnsi="Gadugi" w:cs="Arial"/>
          <w:sz w:val="24"/>
          <w:szCs w:val="26"/>
          <w:lang w:val="es-419"/>
        </w:rPr>
        <w:tab/>
      </w:r>
      <w:r w:rsidRPr="00C37B73">
        <w:rPr>
          <w:rFonts w:ascii="Gadugi" w:hAnsi="Gadugi" w:cs="Arial"/>
          <w:sz w:val="24"/>
          <w:szCs w:val="26"/>
          <w:lang w:val="es-419"/>
        </w:rPr>
        <w:tab/>
      </w:r>
      <w:r w:rsidRPr="00C37B73">
        <w:rPr>
          <w:rFonts w:ascii="Gadugi" w:hAnsi="Gadugi" w:cs="Arial"/>
          <w:sz w:val="24"/>
          <w:szCs w:val="26"/>
          <w:lang w:val="es-419"/>
        </w:rPr>
        <w:tab/>
        <w:t>O</w:t>
      </w:r>
      <w:r w:rsidR="00416899" w:rsidRPr="00C37B73">
        <w:rPr>
          <w:rFonts w:ascii="Gadugi" w:hAnsi="Gadugi" w:cs="Century Gothic"/>
          <w:sz w:val="24"/>
          <w:szCs w:val="26"/>
        </w:rPr>
        <w:t>portunamente remítase el expediente a la Corte Constitucional para su eventual revisión.</w:t>
      </w:r>
      <w:r w:rsidR="00416899" w:rsidRPr="00C37B73">
        <w:rPr>
          <w:rFonts w:ascii="Gadugi" w:hAnsi="Gadugi" w:cs="Century Gothic"/>
          <w:sz w:val="24"/>
          <w:szCs w:val="26"/>
          <w:lang w:val="es-419"/>
        </w:rPr>
        <w:t xml:space="preserve"> </w:t>
      </w:r>
      <w:r w:rsidR="00D508A4" w:rsidRPr="00C37B73">
        <w:rPr>
          <w:rFonts w:ascii="Gadugi" w:hAnsi="Gadugi" w:cs="Century Gothic"/>
          <w:sz w:val="24"/>
          <w:szCs w:val="26"/>
          <w:lang w:val="es-419"/>
        </w:rPr>
        <w:t xml:space="preserve">A su regreso, archívese. </w:t>
      </w:r>
    </w:p>
    <w:p w:rsidR="00386AF3" w:rsidRPr="00C37B73" w:rsidRDefault="00386AF3" w:rsidP="00386AF3">
      <w:pPr>
        <w:spacing w:line="276" w:lineRule="auto"/>
        <w:jc w:val="both"/>
        <w:rPr>
          <w:rFonts w:ascii="Gadugi" w:hAnsi="Gadugi" w:cs="Century Gothic"/>
          <w:sz w:val="24"/>
          <w:szCs w:val="26"/>
          <w:lang w:val="es-419"/>
        </w:rPr>
      </w:pPr>
    </w:p>
    <w:p w:rsidR="0053575E" w:rsidRPr="00C37B73" w:rsidRDefault="00280ED2" w:rsidP="00D508A4">
      <w:pPr>
        <w:spacing w:line="276" w:lineRule="auto"/>
        <w:jc w:val="both"/>
        <w:rPr>
          <w:rFonts w:ascii="Gadugi" w:hAnsi="Gadugi" w:cs="Century Gothic"/>
          <w:bCs/>
          <w:sz w:val="24"/>
          <w:szCs w:val="26"/>
        </w:rPr>
      </w:pPr>
      <w:r w:rsidRPr="00C37B73">
        <w:rPr>
          <w:rFonts w:ascii="Gadugi" w:hAnsi="Gadugi" w:cs="Century Gothic"/>
          <w:sz w:val="24"/>
          <w:szCs w:val="26"/>
          <w:lang w:val="es-419"/>
        </w:rPr>
        <w:t xml:space="preserve">  </w:t>
      </w:r>
      <w:r w:rsidRPr="00C37B73">
        <w:rPr>
          <w:rFonts w:ascii="Gadugi" w:hAnsi="Gadugi" w:cs="Century Gothic"/>
          <w:sz w:val="24"/>
          <w:szCs w:val="26"/>
          <w:lang w:val="es-419"/>
        </w:rPr>
        <w:tab/>
      </w:r>
      <w:r w:rsidRPr="00C37B73">
        <w:rPr>
          <w:rFonts w:ascii="Gadugi" w:hAnsi="Gadugi" w:cs="Century Gothic"/>
          <w:sz w:val="24"/>
          <w:szCs w:val="26"/>
          <w:lang w:val="es-419"/>
        </w:rPr>
        <w:tab/>
      </w:r>
      <w:r w:rsidRPr="00C37B73">
        <w:rPr>
          <w:rFonts w:ascii="Gadugi" w:hAnsi="Gadugi" w:cs="Century Gothic"/>
          <w:sz w:val="24"/>
          <w:szCs w:val="26"/>
          <w:lang w:val="es-419"/>
        </w:rPr>
        <w:tab/>
      </w:r>
      <w:r w:rsidR="00416899" w:rsidRPr="00C37B73">
        <w:rPr>
          <w:rFonts w:ascii="Gadugi" w:hAnsi="Gadugi" w:cs="Century Gothic"/>
          <w:b/>
          <w:bCs/>
          <w:sz w:val="24"/>
          <w:szCs w:val="26"/>
        </w:rPr>
        <w:t xml:space="preserve"> </w:t>
      </w:r>
      <w:r w:rsidR="00D508A4" w:rsidRPr="00C37B73">
        <w:rPr>
          <w:rFonts w:ascii="Gadugi" w:hAnsi="Gadugi" w:cs="Century Gothic"/>
          <w:b/>
          <w:bCs/>
          <w:sz w:val="24"/>
          <w:szCs w:val="26"/>
          <w:lang w:val="es-419"/>
        </w:rPr>
        <w:t xml:space="preserve"> </w:t>
      </w:r>
      <w:r w:rsidR="00D508A4" w:rsidRPr="00C37B73">
        <w:rPr>
          <w:rFonts w:ascii="Gadugi" w:hAnsi="Gadugi" w:cs="Century Gothic"/>
          <w:b/>
          <w:bCs/>
          <w:sz w:val="24"/>
          <w:szCs w:val="26"/>
          <w:lang w:val="es-419"/>
        </w:rPr>
        <w:tab/>
      </w:r>
      <w:r w:rsidR="0053575E" w:rsidRPr="00C37B73">
        <w:rPr>
          <w:rFonts w:ascii="Gadugi" w:hAnsi="Gadugi" w:cs="Century Gothic"/>
          <w:bCs/>
          <w:sz w:val="24"/>
          <w:szCs w:val="26"/>
        </w:rPr>
        <w:t>Notifíquese,</w:t>
      </w:r>
    </w:p>
    <w:p w:rsidR="0053575E" w:rsidRPr="00C37B73" w:rsidRDefault="0053575E" w:rsidP="00DE2C1F">
      <w:pPr>
        <w:spacing w:line="276" w:lineRule="auto"/>
        <w:ind w:firstLine="2835"/>
        <w:jc w:val="both"/>
        <w:rPr>
          <w:rFonts w:ascii="Gadugi" w:hAnsi="Gadugi" w:cs="Century Gothic"/>
          <w:b/>
          <w:bCs/>
          <w:sz w:val="24"/>
          <w:szCs w:val="26"/>
        </w:rPr>
      </w:pPr>
      <w:r w:rsidRPr="00C37B73">
        <w:rPr>
          <w:rFonts w:ascii="Gadugi" w:hAnsi="Gadugi" w:cs="Century Gothic"/>
          <w:b/>
          <w:bCs/>
          <w:sz w:val="24"/>
          <w:szCs w:val="26"/>
        </w:rPr>
        <w:t xml:space="preserve"> </w:t>
      </w:r>
    </w:p>
    <w:p w:rsidR="00416899" w:rsidRPr="00C37B73" w:rsidRDefault="00416899" w:rsidP="00DE2C1F">
      <w:pPr>
        <w:spacing w:line="276" w:lineRule="auto"/>
        <w:ind w:firstLine="2835"/>
        <w:jc w:val="both"/>
        <w:rPr>
          <w:rFonts w:ascii="Gadugi" w:hAnsi="Gadugi" w:cs="Arial"/>
          <w:bCs/>
          <w:sz w:val="24"/>
          <w:szCs w:val="26"/>
        </w:rPr>
      </w:pPr>
      <w:r w:rsidRPr="00C37B73">
        <w:rPr>
          <w:rFonts w:ascii="Gadugi" w:hAnsi="Gadugi" w:cs="Arial"/>
          <w:bCs/>
          <w:sz w:val="24"/>
          <w:szCs w:val="26"/>
        </w:rPr>
        <w:t>Los Magistrados,</w:t>
      </w:r>
    </w:p>
    <w:p w:rsidR="00F11F1D" w:rsidRPr="00C37B73" w:rsidRDefault="00F11F1D" w:rsidP="00DE2C1F">
      <w:pPr>
        <w:spacing w:line="276" w:lineRule="auto"/>
        <w:ind w:firstLine="2835"/>
        <w:jc w:val="both"/>
        <w:rPr>
          <w:rFonts w:ascii="Gadugi" w:hAnsi="Gadugi" w:cs="Arial"/>
          <w:b/>
          <w:sz w:val="24"/>
          <w:szCs w:val="26"/>
        </w:rPr>
      </w:pPr>
    </w:p>
    <w:p w:rsidR="008139C0" w:rsidRPr="00C37B73" w:rsidRDefault="008139C0" w:rsidP="00DE2C1F">
      <w:pPr>
        <w:spacing w:line="276" w:lineRule="auto"/>
        <w:ind w:firstLine="2835"/>
        <w:jc w:val="both"/>
        <w:rPr>
          <w:rFonts w:ascii="Gadugi" w:hAnsi="Gadugi" w:cs="Arial"/>
          <w:b/>
          <w:sz w:val="24"/>
          <w:szCs w:val="26"/>
        </w:rPr>
      </w:pPr>
    </w:p>
    <w:p w:rsidR="00070E65" w:rsidRPr="00C37B73" w:rsidRDefault="00070E65" w:rsidP="00DE2C1F">
      <w:pPr>
        <w:pStyle w:val="Ttulo1"/>
        <w:spacing w:line="276" w:lineRule="auto"/>
        <w:ind w:firstLine="708"/>
        <w:rPr>
          <w:rFonts w:ascii="Gadugi" w:hAnsi="Gadugi"/>
          <w:bCs/>
          <w:szCs w:val="26"/>
        </w:rPr>
      </w:pPr>
      <w:r w:rsidRPr="00C37B73">
        <w:rPr>
          <w:rFonts w:ascii="Gadugi" w:hAnsi="Gadugi"/>
          <w:bCs/>
          <w:szCs w:val="26"/>
        </w:rPr>
        <w:t>JAIME ALBERTO SARAZA NARANJO</w:t>
      </w:r>
    </w:p>
    <w:p w:rsidR="00F11F1D" w:rsidRPr="00C37B73" w:rsidRDefault="00F11F1D" w:rsidP="00DE2C1F">
      <w:pPr>
        <w:spacing w:line="276" w:lineRule="auto"/>
        <w:ind w:firstLine="2835"/>
        <w:jc w:val="both"/>
        <w:rPr>
          <w:rFonts w:ascii="Gadugi" w:hAnsi="Gadugi"/>
          <w:b/>
          <w:sz w:val="24"/>
          <w:szCs w:val="26"/>
          <w:lang w:val="es-ES_tradnl"/>
        </w:rPr>
      </w:pPr>
    </w:p>
    <w:p w:rsidR="00F11F1D" w:rsidRPr="00C37B73" w:rsidRDefault="00F11F1D" w:rsidP="00DE2C1F">
      <w:pPr>
        <w:spacing w:line="276" w:lineRule="auto"/>
        <w:ind w:firstLine="2835"/>
        <w:jc w:val="both"/>
        <w:rPr>
          <w:rFonts w:ascii="Gadugi" w:hAnsi="Gadugi"/>
          <w:b/>
          <w:sz w:val="24"/>
          <w:szCs w:val="26"/>
          <w:lang w:val="es-ES_tradnl"/>
        </w:rPr>
      </w:pPr>
    </w:p>
    <w:p w:rsidR="00F11F1D" w:rsidRPr="00C37B73" w:rsidRDefault="00F11F1D" w:rsidP="00DE2C1F">
      <w:pPr>
        <w:spacing w:line="276" w:lineRule="auto"/>
        <w:ind w:firstLine="2835"/>
        <w:jc w:val="both"/>
        <w:rPr>
          <w:rFonts w:ascii="Gadugi" w:hAnsi="Gadugi"/>
          <w:b/>
          <w:sz w:val="24"/>
          <w:szCs w:val="26"/>
          <w:lang w:val="es-ES_tradnl"/>
        </w:rPr>
      </w:pPr>
    </w:p>
    <w:p w:rsidR="002B4B56" w:rsidRPr="00C37B73" w:rsidRDefault="00070E65" w:rsidP="00F11F1D">
      <w:pPr>
        <w:spacing w:line="276" w:lineRule="auto"/>
        <w:jc w:val="both"/>
        <w:rPr>
          <w:rFonts w:ascii="Gadugi" w:hAnsi="Gadugi"/>
          <w:sz w:val="24"/>
          <w:szCs w:val="26"/>
          <w:lang w:val="es-ES_tradnl"/>
        </w:rPr>
      </w:pPr>
      <w:r w:rsidRPr="00C37B73">
        <w:rPr>
          <w:rFonts w:ascii="Gadugi" w:hAnsi="Gadugi"/>
          <w:b/>
          <w:sz w:val="24"/>
          <w:szCs w:val="26"/>
          <w:lang w:val="es-ES_tradnl"/>
        </w:rPr>
        <w:t>CLAUDIA MAR</w:t>
      </w:r>
      <w:r w:rsidRPr="00C37B73">
        <w:rPr>
          <w:rFonts w:ascii="Gadugi" w:hAnsi="Gadugi"/>
          <w:b/>
          <w:sz w:val="24"/>
          <w:szCs w:val="26"/>
          <w:lang w:val="es-419"/>
        </w:rPr>
        <w:t>Í</w:t>
      </w:r>
      <w:r w:rsidR="00C37B73">
        <w:rPr>
          <w:rFonts w:ascii="Gadugi" w:hAnsi="Gadugi"/>
          <w:b/>
          <w:sz w:val="24"/>
          <w:szCs w:val="26"/>
          <w:lang w:val="es-ES_tradnl"/>
        </w:rPr>
        <w:t>A ARCILA RÍOS</w:t>
      </w:r>
      <w:r w:rsidR="00C37B73">
        <w:rPr>
          <w:rFonts w:ascii="Gadugi" w:hAnsi="Gadugi"/>
          <w:b/>
          <w:sz w:val="24"/>
          <w:szCs w:val="26"/>
          <w:lang w:val="es-ES_tradnl"/>
        </w:rPr>
        <w:tab/>
      </w:r>
      <w:r w:rsidR="00C37B73">
        <w:rPr>
          <w:rFonts w:ascii="Gadugi" w:hAnsi="Gadugi"/>
          <w:b/>
          <w:sz w:val="24"/>
          <w:szCs w:val="26"/>
          <w:lang w:val="es-ES_tradnl"/>
        </w:rPr>
        <w:tab/>
      </w:r>
      <w:r w:rsidR="00C37B73">
        <w:rPr>
          <w:rFonts w:ascii="Gadugi" w:hAnsi="Gadugi"/>
          <w:b/>
          <w:sz w:val="24"/>
          <w:szCs w:val="26"/>
          <w:lang w:val="es-ES_tradnl"/>
        </w:rPr>
        <w:tab/>
        <w:t xml:space="preserve">      </w:t>
      </w:r>
      <w:r w:rsidRPr="00C37B73">
        <w:rPr>
          <w:rFonts w:ascii="Gadugi" w:hAnsi="Gadugi"/>
          <w:b/>
          <w:sz w:val="24"/>
          <w:szCs w:val="26"/>
          <w:lang w:val="es-ES_tradnl"/>
        </w:rPr>
        <w:t>DUBERNEY GRISALES HERRERA</w:t>
      </w:r>
    </w:p>
    <w:sectPr w:rsidR="002B4B56" w:rsidRPr="00C37B73" w:rsidSect="00C37B73">
      <w:footerReference w:type="default" r:id="rId7"/>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9C" w:rsidRDefault="006D529C" w:rsidP="00906042">
      <w:r>
        <w:separator/>
      </w:r>
    </w:p>
  </w:endnote>
  <w:endnote w:type="continuationSeparator" w:id="0">
    <w:p w:rsidR="006D529C" w:rsidRDefault="006D529C"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69245"/>
      <w:docPartObj>
        <w:docPartGallery w:val="Page Numbers (Bottom of Page)"/>
        <w:docPartUnique/>
      </w:docPartObj>
    </w:sdtPr>
    <w:sdtEndPr/>
    <w:sdtContent>
      <w:p w:rsidR="00280ED2" w:rsidRDefault="00280ED2">
        <w:pPr>
          <w:pStyle w:val="Piedepgina"/>
          <w:jc w:val="right"/>
        </w:pPr>
        <w:r>
          <w:fldChar w:fldCharType="begin"/>
        </w:r>
        <w:r>
          <w:instrText>PAGE   \* MERGEFORMAT</w:instrText>
        </w:r>
        <w:r>
          <w:fldChar w:fldCharType="separate"/>
        </w:r>
        <w:r w:rsidR="00A43080">
          <w:rPr>
            <w:noProof/>
          </w:rPr>
          <w:t>2</w:t>
        </w:r>
        <w:r>
          <w:fldChar w:fldCharType="end"/>
        </w:r>
      </w:p>
    </w:sdtContent>
  </w:sdt>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9C" w:rsidRDefault="006D529C" w:rsidP="00906042">
      <w:r>
        <w:separator/>
      </w:r>
    </w:p>
  </w:footnote>
  <w:footnote w:type="continuationSeparator" w:id="0">
    <w:p w:rsidR="006D529C" w:rsidRDefault="006D529C" w:rsidP="00906042">
      <w:r>
        <w:continuationSeparator/>
      </w:r>
    </w:p>
  </w:footnote>
  <w:footnote w:id="1">
    <w:p w:rsidR="00906042" w:rsidRPr="00C64696" w:rsidRDefault="00906042" w:rsidP="00906042">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2">
    <w:p w:rsidR="00F60649" w:rsidRPr="000C45AE" w:rsidRDefault="00F60649" w:rsidP="00F60649">
      <w:pPr>
        <w:pStyle w:val="Textonotapie"/>
        <w:rPr>
          <w:rFonts w:ascii="Agency FB" w:eastAsia="Calibri" w:hAnsi="Agency FB"/>
          <w:sz w:val="24"/>
          <w:szCs w:val="24"/>
          <w:lang w:val="es-419" w:eastAsia="en-US"/>
        </w:rPr>
      </w:pPr>
      <w:r w:rsidRPr="000C45AE">
        <w:rPr>
          <w:rStyle w:val="Refdenotaalpie"/>
          <w:rFonts w:ascii="Agency FB" w:hAnsi="Agency FB"/>
          <w:sz w:val="24"/>
          <w:szCs w:val="24"/>
        </w:rPr>
        <w:footnoteRef/>
      </w:r>
      <w:r w:rsidRPr="000C45AE">
        <w:rPr>
          <w:rFonts w:ascii="Agency FB" w:hAnsi="Agency FB"/>
          <w:sz w:val="24"/>
          <w:szCs w:val="24"/>
        </w:rPr>
        <w:t xml:space="preserve"> </w:t>
      </w:r>
      <w:r w:rsidRPr="000C45AE">
        <w:rPr>
          <w:rFonts w:ascii="Agency FB" w:hAnsi="Agency FB"/>
          <w:sz w:val="24"/>
          <w:szCs w:val="24"/>
          <w:lang w:val="es-419"/>
        </w:rPr>
        <w:t xml:space="preserve">Corte Constitucional, sentencia T-103 de 2014; T-001 de 2017 </w:t>
      </w:r>
    </w:p>
  </w:footnote>
  <w:footnote w:id="3">
    <w:p w:rsidR="000C45AE" w:rsidRPr="000C45AE" w:rsidRDefault="000C45AE" w:rsidP="000C45AE">
      <w:pPr>
        <w:pStyle w:val="Textonotapie"/>
        <w:rPr>
          <w:lang w:val="es-MX"/>
        </w:rPr>
      </w:pPr>
      <w:r w:rsidRPr="000C45AE">
        <w:rPr>
          <w:rStyle w:val="Refdenotaalpie"/>
          <w:rFonts w:ascii="Agency FB" w:hAnsi="Agency FB"/>
          <w:sz w:val="24"/>
          <w:szCs w:val="24"/>
        </w:rPr>
        <w:footnoteRef/>
      </w:r>
      <w:r w:rsidRPr="000C45AE">
        <w:rPr>
          <w:rFonts w:ascii="Agency FB" w:hAnsi="Agency FB"/>
          <w:sz w:val="24"/>
          <w:szCs w:val="24"/>
        </w:rPr>
        <w:t xml:space="preserve"> Sentencia T-274/12</w:t>
      </w:r>
    </w:p>
  </w:footnote>
  <w:footnote w:id="4">
    <w:p w:rsidR="004C00D6" w:rsidRPr="004C00D6" w:rsidRDefault="004C00D6">
      <w:pPr>
        <w:pStyle w:val="Textonotapie"/>
        <w:rPr>
          <w:rFonts w:ascii="Agency FB" w:hAnsi="Agency FB"/>
          <w:sz w:val="24"/>
          <w:szCs w:val="24"/>
          <w:lang w:val="es-MX"/>
        </w:rPr>
      </w:pPr>
      <w:r w:rsidRPr="004C00D6">
        <w:rPr>
          <w:rStyle w:val="Refdenotaalpie"/>
          <w:rFonts w:ascii="Agency FB" w:hAnsi="Agency FB"/>
          <w:sz w:val="24"/>
          <w:szCs w:val="24"/>
        </w:rPr>
        <w:footnoteRef/>
      </w:r>
      <w:r w:rsidRPr="004C00D6">
        <w:rPr>
          <w:rFonts w:ascii="Agency FB" w:hAnsi="Agency FB"/>
          <w:sz w:val="24"/>
          <w:szCs w:val="24"/>
        </w:rPr>
        <w:t xml:space="preserve"> LÓPEZ BLANCO, HERNAN FABIO. Procedimiento Civil. Segunda Edición 2008. Edit Dupré. Página 290.</w:t>
      </w:r>
    </w:p>
  </w:footnote>
  <w:footnote w:id="5">
    <w:p w:rsidR="00BE14F1" w:rsidRPr="002B4B56" w:rsidRDefault="00BE14F1" w:rsidP="00BE14F1">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Sentencia T-318/17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48"/>
    <w:rsid w:val="000253BF"/>
    <w:rsid w:val="000357AC"/>
    <w:rsid w:val="00054BB6"/>
    <w:rsid w:val="00070E65"/>
    <w:rsid w:val="000765E0"/>
    <w:rsid w:val="00097B1E"/>
    <w:rsid w:val="000B6C6D"/>
    <w:rsid w:val="000C45AE"/>
    <w:rsid w:val="000C62FB"/>
    <w:rsid w:val="000D05F2"/>
    <w:rsid w:val="001003CF"/>
    <w:rsid w:val="00137BE4"/>
    <w:rsid w:val="00165255"/>
    <w:rsid w:val="001705CA"/>
    <w:rsid w:val="001758BB"/>
    <w:rsid w:val="00193449"/>
    <w:rsid w:val="001D665E"/>
    <w:rsid w:val="001E069B"/>
    <w:rsid w:val="00213787"/>
    <w:rsid w:val="002213D6"/>
    <w:rsid w:val="00225F96"/>
    <w:rsid w:val="00247AA1"/>
    <w:rsid w:val="00280ED2"/>
    <w:rsid w:val="002944ED"/>
    <w:rsid w:val="002A0D7E"/>
    <w:rsid w:val="002A1B8E"/>
    <w:rsid w:val="002A3AD7"/>
    <w:rsid w:val="002B1BB1"/>
    <w:rsid w:val="002B3331"/>
    <w:rsid w:val="002B4B56"/>
    <w:rsid w:val="002B7DDC"/>
    <w:rsid w:val="002D3AC6"/>
    <w:rsid w:val="002D5848"/>
    <w:rsid w:val="002D60BA"/>
    <w:rsid w:val="002D63A2"/>
    <w:rsid w:val="002E435C"/>
    <w:rsid w:val="002F7A99"/>
    <w:rsid w:val="00326B11"/>
    <w:rsid w:val="00373743"/>
    <w:rsid w:val="00375978"/>
    <w:rsid w:val="00380C6A"/>
    <w:rsid w:val="0038121C"/>
    <w:rsid w:val="00381ABB"/>
    <w:rsid w:val="00386AF3"/>
    <w:rsid w:val="0039555D"/>
    <w:rsid w:val="00397549"/>
    <w:rsid w:val="003A510D"/>
    <w:rsid w:val="003B62AD"/>
    <w:rsid w:val="003F1193"/>
    <w:rsid w:val="003F7D0A"/>
    <w:rsid w:val="00400C91"/>
    <w:rsid w:val="00416899"/>
    <w:rsid w:val="004517F6"/>
    <w:rsid w:val="00465816"/>
    <w:rsid w:val="00470D4D"/>
    <w:rsid w:val="004A51B1"/>
    <w:rsid w:val="004B59DE"/>
    <w:rsid w:val="004C00D6"/>
    <w:rsid w:val="004C28EB"/>
    <w:rsid w:val="004C5B16"/>
    <w:rsid w:val="004C6A62"/>
    <w:rsid w:val="004E199C"/>
    <w:rsid w:val="004F2630"/>
    <w:rsid w:val="005072E6"/>
    <w:rsid w:val="00521119"/>
    <w:rsid w:val="005258EE"/>
    <w:rsid w:val="0053575E"/>
    <w:rsid w:val="00537E49"/>
    <w:rsid w:val="005500E1"/>
    <w:rsid w:val="005575D9"/>
    <w:rsid w:val="005638CA"/>
    <w:rsid w:val="00576EE2"/>
    <w:rsid w:val="005A13FF"/>
    <w:rsid w:val="005B3BA9"/>
    <w:rsid w:val="005B71D5"/>
    <w:rsid w:val="005C7619"/>
    <w:rsid w:val="005E0EF7"/>
    <w:rsid w:val="0060220D"/>
    <w:rsid w:val="00641BF6"/>
    <w:rsid w:val="00675ECA"/>
    <w:rsid w:val="0068502B"/>
    <w:rsid w:val="00692F86"/>
    <w:rsid w:val="00693E0B"/>
    <w:rsid w:val="006A7343"/>
    <w:rsid w:val="006B6553"/>
    <w:rsid w:val="006D3B8B"/>
    <w:rsid w:val="006D529C"/>
    <w:rsid w:val="006F6E3A"/>
    <w:rsid w:val="007025DF"/>
    <w:rsid w:val="00702672"/>
    <w:rsid w:val="007109CD"/>
    <w:rsid w:val="0072218E"/>
    <w:rsid w:val="00726ECC"/>
    <w:rsid w:val="00733848"/>
    <w:rsid w:val="0073508F"/>
    <w:rsid w:val="00740BB9"/>
    <w:rsid w:val="007550F5"/>
    <w:rsid w:val="00791666"/>
    <w:rsid w:val="00796302"/>
    <w:rsid w:val="007A126E"/>
    <w:rsid w:val="007A2C24"/>
    <w:rsid w:val="007E1B22"/>
    <w:rsid w:val="007F1DF9"/>
    <w:rsid w:val="00801A11"/>
    <w:rsid w:val="00804CEF"/>
    <w:rsid w:val="008139C0"/>
    <w:rsid w:val="0086661B"/>
    <w:rsid w:val="0087140B"/>
    <w:rsid w:val="008D4BA8"/>
    <w:rsid w:val="008D7491"/>
    <w:rsid w:val="008E4E99"/>
    <w:rsid w:val="00901307"/>
    <w:rsid w:val="00906042"/>
    <w:rsid w:val="00916626"/>
    <w:rsid w:val="00926912"/>
    <w:rsid w:val="00951D0C"/>
    <w:rsid w:val="00956302"/>
    <w:rsid w:val="009668EB"/>
    <w:rsid w:val="0097669D"/>
    <w:rsid w:val="00992799"/>
    <w:rsid w:val="009A4152"/>
    <w:rsid w:val="009A4604"/>
    <w:rsid w:val="009C1458"/>
    <w:rsid w:val="009E04E9"/>
    <w:rsid w:val="009F00F4"/>
    <w:rsid w:val="009F028A"/>
    <w:rsid w:val="00A03ACB"/>
    <w:rsid w:val="00A11E08"/>
    <w:rsid w:val="00A1215D"/>
    <w:rsid w:val="00A13431"/>
    <w:rsid w:val="00A237BA"/>
    <w:rsid w:val="00A3699D"/>
    <w:rsid w:val="00A43080"/>
    <w:rsid w:val="00A47D77"/>
    <w:rsid w:val="00A60B7A"/>
    <w:rsid w:val="00A85D5A"/>
    <w:rsid w:val="00A90D03"/>
    <w:rsid w:val="00AA716B"/>
    <w:rsid w:val="00AB2ABE"/>
    <w:rsid w:val="00AC6DEB"/>
    <w:rsid w:val="00AF2615"/>
    <w:rsid w:val="00AF56E8"/>
    <w:rsid w:val="00B1027B"/>
    <w:rsid w:val="00B34A1B"/>
    <w:rsid w:val="00B64000"/>
    <w:rsid w:val="00B718CB"/>
    <w:rsid w:val="00BA0C4E"/>
    <w:rsid w:val="00BB35C9"/>
    <w:rsid w:val="00BE06F5"/>
    <w:rsid w:val="00BE14F1"/>
    <w:rsid w:val="00BE2346"/>
    <w:rsid w:val="00BF2B05"/>
    <w:rsid w:val="00BF7D91"/>
    <w:rsid w:val="00C156FA"/>
    <w:rsid w:val="00C32A48"/>
    <w:rsid w:val="00C3569C"/>
    <w:rsid w:val="00C37B73"/>
    <w:rsid w:val="00C40E75"/>
    <w:rsid w:val="00C617DE"/>
    <w:rsid w:val="00C82B68"/>
    <w:rsid w:val="00C8530B"/>
    <w:rsid w:val="00C92B3B"/>
    <w:rsid w:val="00CC349C"/>
    <w:rsid w:val="00CD3578"/>
    <w:rsid w:val="00CE51CD"/>
    <w:rsid w:val="00CF17EC"/>
    <w:rsid w:val="00D079E1"/>
    <w:rsid w:val="00D26AA8"/>
    <w:rsid w:val="00D31788"/>
    <w:rsid w:val="00D32146"/>
    <w:rsid w:val="00D347F9"/>
    <w:rsid w:val="00D41AFC"/>
    <w:rsid w:val="00D450B2"/>
    <w:rsid w:val="00D508A4"/>
    <w:rsid w:val="00D624B3"/>
    <w:rsid w:val="00D62EE6"/>
    <w:rsid w:val="00D70050"/>
    <w:rsid w:val="00D950C6"/>
    <w:rsid w:val="00DA7F8A"/>
    <w:rsid w:val="00DE2C1F"/>
    <w:rsid w:val="00DE720E"/>
    <w:rsid w:val="00DF0460"/>
    <w:rsid w:val="00E23954"/>
    <w:rsid w:val="00E25C8E"/>
    <w:rsid w:val="00E30D73"/>
    <w:rsid w:val="00E640F5"/>
    <w:rsid w:val="00E7076A"/>
    <w:rsid w:val="00E728C6"/>
    <w:rsid w:val="00EB3DB0"/>
    <w:rsid w:val="00EC0934"/>
    <w:rsid w:val="00EC7541"/>
    <w:rsid w:val="00ED12D6"/>
    <w:rsid w:val="00EE5066"/>
    <w:rsid w:val="00EF250A"/>
    <w:rsid w:val="00F04960"/>
    <w:rsid w:val="00F11F1D"/>
    <w:rsid w:val="00F13226"/>
    <w:rsid w:val="00F274E0"/>
    <w:rsid w:val="00F31448"/>
    <w:rsid w:val="00F34BD9"/>
    <w:rsid w:val="00F41C52"/>
    <w:rsid w:val="00F60649"/>
    <w:rsid w:val="00F60DEB"/>
    <w:rsid w:val="00F80768"/>
    <w:rsid w:val="00FA66F4"/>
    <w:rsid w:val="00FE6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6A522-66B8-412D-B2DD-1B8C2D3C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06042"/>
  </w:style>
  <w:style w:type="character" w:customStyle="1" w:styleId="TextonotapieCar">
    <w:name w:val="Texto nota pie Car"/>
    <w:basedOn w:val="Fuentedeprrafopredeter"/>
    <w:uiPriority w:val="99"/>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qFormat/>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 w:type="paragraph" w:customStyle="1" w:styleId="Sinespaciado2">
    <w:name w:val="Sin espaciado2"/>
    <w:rsid w:val="004B59DE"/>
    <w:pPr>
      <w:spacing w:after="0" w:line="240" w:lineRule="auto"/>
    </w:pPr>
    <w:rPr>
      <w:rFonts w:ascii="Times New Roman" w:eastAsia="Times New Roman" w:hAnsi="Times New Roman" w:cs="Times New Roman"/>
      <w:sz w:val="24"/>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01A11"/>
    <w:pPr>
      <w:overflowPunct/>
      <w:autoSpaceDE/>
      <w:autoSpaceDN/>
      <w:adjustRightInd/>
      <w:jc w:val="both"/>
      <w:textAlignment w:val="auto"/>
    </w:pPr>
    <w:rPr>
      <w:rFonts w:asciiTheme="minorHAnsi" w:eastAsiaTheme="minorHAnsi" w:hAnsiTheme="minorHAnsi"/>
      <w:sz w:val="22"/>
      <w:szCs w:val="22"/>
      <w:vertAlign w:val="superscript"/>
      <w:lang w:eastAsia="en-US"/>
    </w:rPr>
  </w:style>
  <w:style w:type="paragraph" w:styleId="Sinespaciado">
    <w:name w:val="No Spacing"/>
    <w:link w:val="SinespaciadoCar"/>
    <w:uiPriority w:val="1"/>
    <w:qFormat/>
    <w:rsid w:val="00C37B73"/>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C37B7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C332-FAC1-4A6A-A16E-3B49B501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3165</Words>
  <Characters>17411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7</cp:revision>
  <cp:lastPrinted>2018-11-07T14:57:00Z</cp:lastPrinted>
  <dcterms:created xsi:type="dcterms:W3CDTF">2018-11-06T16:46:00Z</dcterms:created>
  <dcterms:modified xsi:type="dcterms:W3CDTF">2019-01-14T15:48:00Z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