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2F" w:rsidRPr="002E011F" w:rsidRDefault="00F7682F" w:rsidP="00F7682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7682F" w:rsidRPr="002E011F" w:rsidRDefault="00F7682F" w:rsidP="00F7682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AE243A" w:rsidRPr="00984F63" w:rsidRDefault="00AE243A" w:rsidP="00AE243A">
      <w:pPr>
        <w:spacing w:line="360" w:lineRule="auto"/>
        <w:jc w:val="center"/>
        <w:rPr>
          <w:rFonts w:ascii="Arial" w:hAnsi="Arial" w:cs="Arial"/>
          <w:b/>
          <w:bCs/>
          <w:sz w:val="24"/>
          <w:szCs w:val="26"/>
        </w:rPr>
      </w:pPr>
      <w:bookmarkStart w:id="0" w:name="_GoBack"/>
      <w:bookmarkEnd w:id="0"/>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240D0C" w:rsidRPr="00BE392C" w:rsidRDefault="00240D0C" w:rsidP="00240D0C">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761C5A">
        <w:rPr>
          <w:rFonts w:ascii="Arial" w:hAnsi="Arial" w:cs="Arial"/>
          <w:bCs/>
          <w:sz w:val="24"/>
          <w:szCs w:val="24"/>
        </w:rPr>
        <w:t>veintinueve (</w:t>
      </w:r>
      <w:r>
        <w:rPr>
          <w:rFonts w:ascii="Arial" w:hAnsi="Arial" w:cs="Arial"/>
          <w:bCs/>
          <w:sz w:val="24"/>
          <w:szCs w:val="24"/>
        </w:rPr>
        <w:t>2</w:t>
      </w:r>
      <w:r w:rsidR="00761C5A">
        <w:rPr>
          <w:rFonts w:ascii="Arial" w:hAnsi="Arial" w:cs="Arial"/>
          <w:bCs/>
          <w:sz w:val="24"/>
          <w:szCs w:val="24"/>
        </w:rPr>
        <w:t>9</w:t>
      </w:r>
      <w:r w:rsidRPr="00BE392C">
        <w:rPr>
          <w:rFonts w:ascii="Arial" w:hAnsi="Arial" w:cs="Arial"/>
          <w:bCs/>
          <w:sz w:val="24"/>
          <w:szCs w:val="24"/>
        </w:rPr>
        <w:t xml:space="preserve">) de </w:t>
      </w:r>
      <w:r w:rsidR="00761C5A">
        <w:rPr>
          <w:rFonts w:ascii="Arial" w:hAnsi="Arial" w:cs="Arial"/>
          <w:bCs/>
          <w:sz w:val="24"/>
          <w:szCs w:val="24"/>
        </w:rPr>
        <w:t>mayo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240D0C" w:rsidP="00240D0C">
      <w:pPr>
        <w:spacing w:line="360" w:lineRule="auto"/>
        <w:jc w:val="center"/>
        <w:rPr>
          <w:rFonts w:ascii="Arial" w:hAnsi="Arial" w:cs="Arial"/>
          <w:sz w:val="24"/>
          <w:szCs w:val="24"/>
        </w:rPr>
      </w:pPr>
      <w:r w:rsidRPr="00BE392C">
        <w:rPr>
          <w:rFonts w:ascii="Arial" w:hAnsi="Arial" w:cs="Arial"/>
          <w:sz w:val="24"/>
          <w:szCs w:val="24"/>
        </w:rPr>
        <w:t xml:space="preserve">Acta Nº </w:t>
      </w:r>
      <w:r w:rsidR="00CA544C">
        <w:rPr>
          <w:rFonts w:ascii="Arial" w:hAnsi="Arial" w:cs="Arial"/>
          <w:sz w:val="24"/>
          <w:szCs w:val="24"/>
        </w:rPr>
        <w:t>184</w:t>
      </w:r>
      <w:r>
        <w:rPr>
          <w:rFonts w:ascii="Arial" w:hAnsi="Arial" w:cs="Arial"/>
          <w:sz w:val="24"/>
          <w:szCs w:val="24"/>
        </w:rPr>
        <w:t xml:space="preserve"> de 2</w:t>
      </w:r>
      <w:r w:rsidR="00761C5A">
        <w:rPr>
          <w:rFonts w:ascii="Arial" w:hAnsi="Arial" w:cs="Arial"/>
          <w:sz w:val="24"/>
          <w:szCs w:val="24"/>
        </w:rPr>
        <w:t>9</w:t>
      </w:r>
      <w:r w:rsidRPr="00BE392C">
        <w:rPr>
          <w:rFonts w:ascii="Arial" w:hAnsi="Arial" w:cs="Arial"/>
          <w:sz w:val="24"/>
          <w:szCs w:val="24"/>
        </w:rPr>
        <w:t>-</w:t>
      </w:r>
      <w:r w:rsidR="00761C5A">
        <w:rPr>
          <w:rFonts w:ascii="Arial" w:hAnsi="Arial" w:cs="Arial"/>
          <w:sz w:val="24"/>
          <w:szCs w:val="24"/>
        </w:rPr>
        <w:t>05</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761C5A">
        <w:rPr>
          <w:rFonts w:ascii="Arial" w:hAnsi="Arial" w:cs="Arial"/>
          <w:b/>
          <w:sz w:val="24"/>
          <w:szCs w:val="24"/>
        </w:rPr>
        <w:t>222</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761C5A">
        <w:rPr>
          <w:rFonts w:ascii="Arial" w:hAnsi="Arial" w:cs="Arial"/>
          <w:szCs w:val="24"/>
          <w:lang w:val="es-ES" w:eastAsia="es-ES"/>
        </w:rPr>
        <w:t>JAVIER ELÍAS ARIAS IDÁRRAGA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761C5A">
        <w:rPr>
          <w:rFonts w:ascii="Arial" w:hAnsi="Arial" w:cs="Arial"/>
          <w:szCs w:val="26"/>
          <w:lang w:val="es-ES" w:eastAsia="es-ES"/>
        </w:rPr>
        <w:t xml:space="preserve">SEGUNDO </w:t>
      </w:r>
      <w:r w:rsidR="00761C5A" w:rsidRPr="00541D87">
        <w:rPr>
          <w:rFonts w:ascii="Arial" w:hAnsi="Arial" w:cs="Arial"/>
          <w:szCs w:val="26"/>
          <w:lang w:val="es-ES" w:eastAsia="es-ES"/>
        </w:rPr>
        <w:t>CIVIL DEL CIRCUITO DE PEREIRA</w:t>
      </w:r>
      <w:r w:rsidR="00761C5A">
        <w:rPr>
          <w:rFonts w:ascii="Arial" w:hAnsi="Arial" w:cs="Arial"/>
          <w:szCs w:val="26"/>
          <w:lang w:val="es-ES" w:eastAsia="es-ES"/>
        </w:rPr>
        <w:t xml:space="preserve"> </w:t>
      </w:r>
      <w:r w:rsidR="00761C5A">
        <w:rPr>
          <w:rFonts w:ascii="Arial" w:hAnsi="Arial" w:cs="Arial"/>
          <w:sz w:val="26"/>
          <w:szCs w:val="26"/>
          <w:lang w:val="es-ES" w:eastAsia="es-ES"/>
        </w:rPr>
        <w:t xml:space="preserve">y el </w:t>
      </w:r>
      <w:r w:rsidR="00761C5A" w:rsidRPr="00541D87">
        <w:rPr>
          <w:rFonts w:ascii="Arial" w:hAnsi="Arial" w:cs="Arial"/>
          <w:szCs w:val="28"/>
          <w:lang w:val="es-ES" w:eastAsia="es-ES"/>
        </w:rPr>
        <w:t>PROCURAD</w:t>
      </w:r>
      <w:r w:rsidR="00761C5A">
        <w:rPr>
          <w:rFonts w:ascii="Arial" w:hAnsi="Arial" w:cs="Arial"/>
          <w:szCs w:val="28"/>
          <w:lang w:val="es-ES" w:eastAsia="es-ES"/>
        </w:rPr>
        <w:t>OR JUDICIAL PARA ASUNTOS CIVILES</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sidR="008E7F10">
        <w:rPr>
          <w:rFonts w:ascii="Arial" w:hAnsi="Arial" w:cs="Arial"/>
          <w:sz w:val="26"/>
          <w:szCs w:val="26"/>
          <w:lang w:val="es-ES" w:eastAsia="es-ES"/>
        </w:rPr>
        <w:t xml:space="preserve"> y el señor </w:t>
      </w:r>
      <w:r w:rsidR="008E7F10" w:rsidRPr="008E7F10">
        <w:rPr>
          <w:rFonts w:ascii="Arial" w:hAnsi="Arial" w:cs="Arial"/>
          <w:szCs w:val="26"/>
          <w:lang w:val="es-ES" w:eastAsia="es-ES"/>
        </w:rPr>
        <w:t>UNER AUGUSTO BECERRA LARGO</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al</w:t>
      </w:r>
      <w:r w:rsidR="007B4047">
        <w:rPr>
          <w:rFonts w:ascii="Arial" w:hAnsi="Arial" w:cs="Arial"/>
          <w:sz w:val="26"/>
          <w:szCs w:val="26"/>
        </w:rPr>
        <w:t xml:space="preserve"> debido proceso,</w:t>
      </w:r>
      <w:r w:rsidR="00F325FE" w:rsidRPr="007646B9">
        <w:rPr>
          <w:rFonts w:ascii="Arial" w:hAnsi="Arial" w:cs="Arial"/>
          <w:sz w:val="26"/>
          <w:szCs w:val="26"/>
        </w:rPr>
        <w:t xml:space="preserve"> igualdad</w:t>
      </w:r>
      <w:r w:rsidR="007B4047">
        <w:rPr>
          <w:rFonts w:ascii="Arial" w:hAnsi="Arial" w:cs="Arial"/>
          <w:sz w:val="26"/>
          <w:szCs w:val="26"/>
        </w:rPr>
        <w:t xml:space="preserve"> y presunción de la buena fe</w:t>
      </w:r>
      <w:r w:rsidR="00684398">
        <w:rPr>
          <w:rFonts w:ascii="Arial" w:hAnsi="Arial" w:cs="Arial"/>
          <w:sz w:val="26"/>
          <w:szCs w:val="26"/>
        </w:rPr>
        <w:t>, dentro del trámite de la acción popular</w:t>
      </w:r>
      <w:r w:rsidR="00684398" w:rsidRPr="000905F6">
        <w:rPr>
          <w:rFonts w:ascii="Arial" w:hAnsi="Arial" w:cs="Arial"/>
          <w:sz w:val="26"/>
          <w:szCs w:val="26"/>
        </w:rPr>
        <w:t xml:space="preserve"> radicada bajo </w:t>
      </w:r>
      <w:r w:rsidR="00684398">
        <w:rPr>
          <w:rFonts w:ascii="Arial" w:hAnsi="Arial" w:cs="Arial"/>
          <w:sz w:val="26"/>
          <w:szCs w:val="26"/>
        </w:rPr>
        <w:t xml:space="preserve">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684398" w:rsidRPr="00C37D0B">
        <w:rPr>
          <w:rFonts w:ascii="Arial" w:hAnsi="Arial" w:cs="Arial"/>
          <w:b/>
          <w:sz w:val="24"/>
          <w:szCs w:val="26"/>
        </w:rPr>
        <w:t>0</w:t>
      </w:r>
      <w:r w:rsidR="008E7F10">
        <w:rPr>
          <w:rFonts w:ascii="Arial" w:hAnsi="Arial" w:cs="Arial"/>
          <w:b/>
          <w:sz w:val="24"/>
          <w:szCs w:val="26"/>
        </w:rPr>
        <w:t>8</w:t>
      </w:r>
      <w:r w:rsidR="007B4047">
        <w:rPr>
          <w:rFonts w:ascii="Arial" w:hAnsi="Arial" w:cs="Arial"/>
          <w:b/>
          <w:sz w:val="24"/>
          <w:szCs w:val="26"/>
        </w:rPr>
        <w:t>7</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5522D4" w:rsidRPr="000905F6">
        <w:rPr>
          <w:rFonts w:ascii="Arial" w:hAnsi="Arial" w:cs="Arial"/>
          <w:sz w:val="26"/>
          <w:szCs w:val="26"/>
        </w:rPr>
        <w:t>Adujo</w:t>
      </w:r>
      <w:r w:rsidR="005522D4">
        <w:rPr>
          <w:rFonts w:ascii="Arial" w:hAnsi="Arial" w:cs="Arial"/>
          <w:sz w:val="26"/>
          <w:szCs w:val="26"/>
        </w:rPr>
        <w:t xml:space="preserve"> que actúa en la referida acción popular, en la cual</w:t>
      </w:r>
      <w:r w:rsidR="00F72DCD">
        <w:rPr>
          <w:rFonts w:ascii="Arial" w:hAnsi="Arial" w:cs="Arial"/>
          <w:sz w:val="26"/>
          <w:szCs w:val="26"/>
        </w:rPr>
        <w:t>,</w:t>
      </w:r>
      <w:r w:rsidR="005522D4">
        <w:rPr>
          <w:rFonts w:ascii="Arial" w:hAnsi="Arial" w:cs="Arial"/>
          <w:sz w:val="26"/>
          <w:szCs w:val="26"/>
        </w:rPr>
        <w:t xml:space="preserve"> </w:t>
      </w:r>
      <w:r w:rsidR="00F72DCD">
        <w:rPr>
          <w:rFonts w:ascii="Arial" w:hAnsi="Arial" w:cs="Arial"/>
          <w:sz w:val="26"/>
          <w:szCs w:val="26"/>
        </w:rPr>
        <w:t>el juzgado demandado</w:t>
      </w:r>
      <w:r w:rsidR="005522D4">
        <w:rPr>
          <w:rFonts w:ascii="Arial" w:hAnsi="Arial" w:cs="Arial"/>
          <w:sz w:val="26"/>
          <w:szCs w:val="26"/>
        </w:rPr>
        <w:t xml:space="preserve"> no aplica artículo 16 de la ley 472 de 1998, desconoce normas de orden público y precedentes de esta Sala y de la Corte Suprema de Justicia</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426081">
        <w:rPr>
          <w:rFonts w:ascii="Arial" w:hAnsi="Arial" w:cs="Arial"/>
          <w:sz w:val="26"/>
          <w:szCs w:val="26"/>
        </w:rPr>
        <w:t xml:space="preserve"> se ordene</w:t>
      </w:r>
      <w:r w:rsidR="0030546B">
        <w:rPr>
          <w:rFonts w:ascii="Arial" w:hAnsi="Arial" w:cs="Arial"/>
          <w:sz w:val="26"/>
          <w:szCs w:val="26"/>
        </w:rPr>
        <w:t>:</w:t>
      </w:r>
      <w:r w:rsidR="006F2871">
        <w:rPr>
          <w:rFonts w:ascii="Arial" w:hAnsi="Arial" w:cs="Arial"/>
          <w:sz w:val="26"/>
          <w:szCs w:val="26"/>
        </w:rPr>
        <w:t xml:space="preserve"> </w:t>
      </w:r>
      <w:r w:rsidR="0030546B">
        <w:rPr>
          <w:rFonts w:ascii="Arial" w:hAnsi="Arial" w:cs="Arial"/>
          <w:sz w:val="26"/>
          <w:szCs w:val="26"/>
        </w:rPr>
        <w:t>(i) a</w:t>
      </w:r>
      <w:r w:rsidR="004D0323">
        <w:rPr>
          <w:rFonts w:ascii="Arial" w:hAnsi="Arial" w:cs="Arial"/>
          <w:sz w:val="26"/>
          <w:szCs w:val="26"/>
        </w:rPr>
        <w:t xml:space="preserve">l juzgado </w:t>
      </w:r>
      <w:r w:rsidR="00F72DCD">
        <w:rPr>
          <w:rFonts w:ascii="Arial" w:hAnsi="Arial" w:cs="Arial"/>
          <w:sz w:val="26"/>
          <w:szCs w:val="26"/>
        </w:rPr>
        <w:t>acciona</w:t>
      </w:r>
      <w:r w:rsidR="004D0323">
        <w:rPr>
          <w:rFonts w:ascii="Arial" w:hAnsi="Arial" w:cs="Arial"/>
          <w:sz w:val="26"/>
          <w:szCs w:val="26"/>
        </w:rPr>
        <w:t>do,</w:t>
      </w:r>
      <w:r w:rsidR="00426081">
        <w:rPr>
          <w:rFonts w:ascii="Arial" w:hAnsi="Arial" w:cs="Arial"/>
          <w:sz w:val="26"/>
          <w:szCs w:val="26"/>
        </w:rPr>
        <w:t xml:space="preserve"> admitir la acción popular</w:t>
      </w:r>
      <w:r w:rsidR="0030546B">
        <w:rPr>
          <w:rFonts w:ascii="Arial" w:hAnsi="Arial" w:cs="Arial"/>
          <w:sz w:val="26"/>
          <w:szCs w:val="26"/>
        </w:rPr>
        <w:t>;</w:t>
      </w:r>
      <w:r w:rsidR="00F939B1">
        <w:rPr>
          <w:rFonts w:ascii="Arial" w:hAnsi="Arial" w:cs="Arial"/>
          <w:sz w:val="26"/>
          <w:szCs w:val="26"/>
        </w:rPr>
        <w:t xml:space="preserve"> y,</w:t>
      </w:r>
      <w:r w:rsidR="0030546B">
        <w:rPr>
          <w:rFonts w:ascii="Arial" w:hAnsi="Arial" w:cs="Arial"/>
          <w:sz w:val="26"/>
          <w:szCs w:val="26"/>
        </w:rPr>
        <w:t xml:space="preserve"> (ii) </w:t>
      </w:r>
      <w:r w:rsidR="00426081">
        <w:rPr>
          <w:rFonts w:ascii="Arial" w:hAnsi="Arial" w:cs="Arial"/>
          <w:sz w:val="26"/>
          <w:szCs w:val="26"/>
        </w:rPr>
        <w:t xml:space="preserve">al Procurador Judicial </w:t>
      </w:r>
      <w:r w:rsidR="004D0323">
        <w:rPr>
          <w:rFonts w:ascii="Arial" w:hAnsi="Arial" w:cs="Arial"/>
          <w:sz w:val="26"/>
          <w:szCs w:val="26"/>
        </w:rPr>
        <w:t xml:space="preserve">en lo </w:t>
      </w:r>
      <w:r w:rsidR="00426081">
        <w:rPr>
          <w:rFonts w:ascii="Arial" w:hAnsi="Arial" w:cs="Arial"/>
          <w:sz w:val="26"/>
          <w:szCs w:val="26"/>
        </w:rPr>
        <w:t>Civil</w:t>
      </w:r>
      <w:r w:rsidR="00F72DCD">
        <w:rPr>
          <w:rFonts w:ascii="Arial" w:hAnsi="Arial" w:cs="Arial"/>
          <w:sz w:val="26"/>
          <w:szCs w:val="26"/>
        </w:rPr>
        <w:t>,</w:t>
      </w:r>
      <w:r w:rsidR="004D0323">
        <w:rPr>
          <w:rFonts w:ascii="Arial" w:hAnsi="Arial" w:cs="Arial"/>
          <w:sz w:val="26"/>
          <w:szCs w:val="26"/>
        </w:rPr>
        <w:t xml:space="preserve"> cumplir con la ley 734 de 2002</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r w:rsidR="008E7F10">
        <w:rPr>
          <w:rFonts w:ascii="Arial" w:hAnsi="Arial" w:cs="Arial"/>
          <w:sz w:val="26"/>
          <w:szCs w:val="26"/>
          <w:lang w:val="es-ES"/>
        </w:rPr>
        <w:t xml:space="preserve"> Posteriormente se vinculó al</w:t>
      </w:r>
      <w:r w:rsidR="008E7F10">
        <w:rPr>
          <w:rFonts w:ascii="Arial" w:hAnsi="Arial" w:cs="Arial"/>
          <w:sz w:val="26"/>
          <w:szCs w:val="26"/>
          <w:lang w:val="es-ES" w:eastAsia="es-ES"/>
        </w:rPr>
        <w:t xml:space="preserve"> señor </w:t>
      </w:r>
      <w:r w:rsidR="008E7F10" w:rsidRPr="008E7F10">
        <w:rPr>
          <w:rFonts w:ascii="Arial" w:hAnsi="Arial" w:cs="Arial"/>
          <w:szCs w:val="26"/>
          <w:lang w:val="es-ES" w:eastAsia="es-ES"/>
        </w:rPr>
        <w:t>UNER AUGUSTO BECERRA LARGO</w:t>
      </w:r>
      <w:r w:rsidR="008E7F10">
        <w:rPr>
          <w:rFonts w:ascii="Arial" w:hAnsi="Arial" w:cs="Arial"/>
          <w:sz w:val="26"/>
          <w:szCs w:val="26"/>
          <w:lang w:val="es-ES"/>
        </w:rPr>
        <w:t xml:space="preserve">, demandante en </w:t>
      </w:r>
      <w:r w:rsidR="008E7F10">
        <w:rPr>
          <w:rFonts w:ascii="Arial" w:hAnsi="Arial" w:cs="Arial"/>
          <w:sz w:val="26"/>
          <w:szCs w:val="26"/>
        </w:rPr>
        <w:t>la acción popular</w:t>
      </w:r>
      <w:r w:rsidR="008E7F10" w:rsidRPr="000905F6">
        <w:rPr>
          <w:rFonts w:ascii="Arial" w:hAnsi="Arial" w:cs="Arial"/>
          <w:sz w:val="26"/>
          <w:szCs w:val="26"/>
        </w:rPr>
        <w:t xml:space="preserve"> radicada bajo </w:t>
      </w:r>
      <w:r w:rsidR="008E7F10">
        <w:rPr>
          <w:rFonts w:ascii="Arial" w:hAnsi="Arial" w:cs="Arial"/>
          <w:sz w:val="26"/>
          <w:szCs w:val="26"/>
        </w:rPr>
        <w:t xml:space="preserve">el número </w:t>
      </w:r>
      <w:r w:rsidR="008E7F10" w:rsidRPr="00C37D0B">
        <w:rPr>
          <w:rFonts w:ascii="Arial" w:hAnsi="Arial" w:cs="Arial"/>
          <w:b/>
          <w:sz w:val="24"/>
          <w:szCs w:val="26"/>
        </w:rPr>
        <w:t>2018-000</w:t>
      </w:r>
      <w:r w:rsidR="008E7F10">
        <w:rPr>
          <w:rFonts w:ascii="Arial" w:hAnsi="Arial" w:cs="Arial"/>
          <w:b/>
          <w:sz w:val="24"/>
          <w:szCs w:val="26"/>
        </w:rPr>
        <w:t>8</w:t>
      </w:r>
      <w:r w:rsidR="00AB7A96">
        <w:rPr>
          <w:rFonts w:ascii="Arial" w:hAnsi="Arial" w:cs="Arial"/>
          <w:b/>
          <w:sz w:val="24"/>
          <w:szCs w:val="26"/>
        </w:rPr>
        <w:t>7</w:t>
      </w:r>
      <w:r w:rsidR="008E7F10" w:rsidRPr="008E7F10">
        <w:rPr>
          <w:rFonts w:ascii="Arial" w:hAnsi="Arial" w:cs="Arial"/>
          <w:sz w:val="24"/>
          <w:szCs w:val="26"/>
        </w:rPr>
        <w:t>.</w:t>
      </w:r>
    </w:p>
    <w:p w:rsidR="00AE243A" w:rsidRDefault="00AE243A" w:rsidP="00AE243A">
      <w:pPr>
        <w:pStyle w:val="Sinespaciado1"/>
        <w:spacing w:line="360" w:lineRule="auto"/>
        <w:ind w:firstLine="2832"/>
        <w:jc w:val="both"/>
        <w:rPr>
          <w:rFonts w:ascii="Arial" w:hAnsi="Arial" w:cs="Arial"/>
          <w:sz w:val="16"/>
          <w:szCs w:val="26"/>
          <w:lang w:val="es-ES"/>
        </w:rPr>
      </w:pPr>
    </w:p>
    <w:p w:rsidR="00AE23B7" w:rsidRPr="00E13F26" w:rsidRDefault="00AE23B7" w:rsidP="00AE23B7">
      <w:pPr>
        <w:pStyle w:val="Sinespaciado1"/>
        <w:spacing w:line="360" w:lineRule="auto"/>
        <w:ind w:firstLine="2832"/>
        <w:jc w:val="both"/>
        <w:rPr>
          <w:rFonts w:ascii="Arial" w:hAnsi="Arial" w:cs="Arial"/>
          <w:sz w:val="24"/>
          <w:szCs w:val="25"/>
          <w:lang w:val="es-ES"/>
        </w:rPr>
      </w:pPr>
      <w:r>
        <w:rPr>
          <w:rFonts w:ascii="Arial" w:hAnsi="Arial" w:cs="Arial"/>
          <w:sz w:val="26"/>
          <w:szCs w:val="26"/>
          <w:lang w:val="es-ES"/>
        </w:rPr>
        <w:t xml:space="preserve">4.1. El </w:t>
      </w:r>
      <w:r>
        <w:rPr>
          <w:rFonts w:ascii="Arial" w:hAnsi="Arial" w:cs="Arial"/>
          <w:sz w:val="26"/>
          <w:szCs w:val="26"/>
          <w:lang w:val="es-ES" w:eastAsia="es-ES"/>
        </w:rPr>
        <w:t xml:space="preserve">doctor </w:t>
      </w:r>
      <w:r>
        <w:rPr>
          <w:rFonts w:ascii="Arial" w:hAnsi="Arial" w:cs="Arial"/>
          <w:szCs w:val="26"/>
          <w:lang w:val="es-ES" w:eastAsia="es-ES"/>
        </w:rPr>
        <w:t>OSCAR JAVIER TÉLLEZ LIZARAZO</w:t>
      </w:r>
      <w:r>
        <w:rPr>
          <w:rFonts w:ascii="Arial" w:hAnsi="Arial" w:cs="Arial"/>
          <w:sz w:val="26"/>
          <w:szCs w:val="26"/>
          <w:lang w:val="es-ES" w:eastAsia="es-ES"/>
        </w:rPr>
        <w:t>, Procurador 12 Judicial II Para Asuntos Civiles</w:t>
      </w:r>
      <w:r>
        <w:rPr>
          <w:rFonts w:ascii="Arial" w:hAnsi="Arial" w:cs="Arial"/>
          <w:sz w:val="26"/>
          <w:szCs w:val="26"/>
          <w:lang w:val="es-ES"/>
        </w:rPr>
        <w:t xml:space="preserve">, </w:t>
      </w:r>
      <w:r w:rsidR="00485864">
        <w:rPr>
          <w:rFonts w:ascii="Arial" w:hAnsi="Arial" w:cs="Arial"/>
          <w:sz w:val="26"/>
          <w:szCs w:val="26"/>
          <w:lang w:val="es-ES"/>
        </w:rPr>
        <w:t>solicitó negar el amparo</w:t>
      </w:r>
      <w:r w:rsidR="00485864" w:rsidRPr="00485864">
        <w:rPr>
          <w:rFonts w:ascii="Arial" w:hAnsi="Arial" w:cs="Arial"/>
          <w:sz w:val="26"/>
          <w:szCs w:val="26"/>
          <w:lang w:val="es-ES"/>
        </w:rPr>
        <w:t xml:space="preserve"> de un lado porque, quien demanda la protección carece de legitimación en la causa, en tanto de las pr</w:t>
      </w:r>
      <w:r w:rsidR="00485864">
        <w:rPr>
          <w:rFonts w:ascii="Arial" w:hAnsi="Arial" w:cs="Arial"/>
          <w:sz w:val="26"/>
          <w:szCs w:val="26"/>
          <w:lang w:val="es-ES"/>
        </w:rPr>
        <w:t>uebas</w:t>
      </w:r>
      <w:r w:rsidR="00485864" w:rsidRPr="00485864">
        <w:rPr>
          <w:rFonts w:ascii="Arial" w:hAnsi="Arial" w:cs="Arial"/>
          <w:sz w:val="26"/>
          <w:szCs w:val="26"/>
          <w:lang w:val="es-ES"/>
        </w:rPr>
        <w:t xml:space="preserve"> no surge que el señor Javier Elías Arias Idárraga sea </w:t>
      </w:r>
      <w:r w:rsidR="00485864">
        <w:rPr>
          <w:rFonts w:ascii="Arial" w:hAnsi="Arial" w:cs="Arial"/>
          <w:sz w:val="26"/>
          <w:szCs w:val="26"/>
          <w:lang w:val="es-ES"/>
        </w:rPr>
        <w:t xml:space="preserve">el </w:t>
      </w:r>
      <w:r w:rsidR="00485864" w:rsidRPr="00485864">
        <w:rPr>
          <w:rFonts w:ascii="Arial" w:hAnsi="Arial" w:cs="Arial"/>
          <w:sz w:val="26"/>
          <w:szCs w:val="26"/>
          <w:lang w:val="es-ES"/>
        </w:rPr>
        <w:t>actor popular o haya sido aceptado como coadyuvante y del otro, porque no cumple con el requisito de subsidiariedad, toda vez que de la verificación del link de consulta de procesos de la página web de la Rama Judicial emerge que contra el auto inadmisorio y el de rechazo, el actor popular, señor Uner Augusto Becerra Largo no interpuso recurso de reposición, lo que muestra su conformidad con lo decidido</w:t>
      </w:r>
      <w:r>
        <w:rPr>
          <w:rFonts w:ascii="Arial" w:hAnsi="Arial" w:cs="Arial"/>
          <w:sz w:val="26"/>
          <w:szCs w:val="26"/>
          <w:lang w:val="es-ES"/>
        </w:rPr>
        <w:t xml:space="preserve">. </w:t>
      </w:r>
      <w:r>
        <w:rPr>
          <w:rFonts w:ascii="Arial" w:hAnsi="Arial" w:cs="Arial"/>
          <w:sz w:val="24"/>
          <w:szCs w:val="25"/>
          <w:lang w:val="es-ES"/>
        </w:rPr>
        <w:t>(fls. 1</w:t>
      </w:r>
      <w:r w:rsidR="00485864">
        <w:rPr>
          <w:rFonts w:ascii="Arial" w:hAnsi="Arial" w:cs="Arial"/>
          <w:sz w:val="24"/>
          <w:szCs w:val="25"/>
          <w:lang w:val="es-ES"/>
        </w:rPr>
        <w:t>3</w:t>
      </w:r>
      <w:r>
        <w:rPr>
          <w:rFonts w:ascii="Arial" w:hAnsi="Arial" w:cs="Arial"/>
          <w:sz w:val="24"/>
          <w:szCs w:val="25"/>
          <w:lang w:val="es-ES"/>
        </w:rPr>
        <w:t>-1</w:t>
      </w:r>
      <w:r w:rsidR="00485864">
        <w:rPr>
          <w:rFonts w:ascii="Arial" w:hAnsi="Arial" w:cs="Arial"/>
          <w:sz w:val="24"/>
          <w:szCs w:val="25"/>
          <w:lang w:val="es-ES"/>
        </w:rPr>
        <w:t>4</w:t>
      </w:r>
      <w:r>
        <w:rPr>
          <w:rFonts w:ascii="Arial" w:hAnsi="Arial" w:cs="Arial"/>
          <w:sz w:val="24"/>
          <w:szCs w:val="25"/>
          <w:lang w:val="es-ES"/>
        </w:rPr>
        <w:t xml:space="preserve"> y </w:t>
      </w:r>
      <w:r w:rsidR="00485864">
        <w:rPr>
          <w:rFonts w:ascii="Arial" w:hAnsi="Arial" w:cs="Arial"/>
          <w:sz w:val="24"/>
          <w:szCs w:val="25"/>
          <w:lang w:val="es-ES"/>
        </w:rPr>
        <w:t>30</w:t>
      </w:r>
      <w:r>
        <w:rPr>
          <w:rFonts w:ascii="Arial" w:hAnsi="Arial" w:cs="Arial"/>
          <w:sz w:val="24"/>
          <w:szCs w:val="25"/>
          <w:lang w:val="es-ES"/>
        </w:rPr>
        <w:t>-</w:t>
      </w:r>
      <w:r w:rsidR="00485864">
        <w:rPr>
          <w:rFonts w:ascii="Arial" w:hAnsi="Arial" w:cs="Arial"/>
          <w:sz w:val="24"/>
          <w:szCs w:val="25"/>
          <w:lang w:val="es-ES"/>
        </w:rPr>
        <w:t>3</w:t>
      </w:r>
      <w:r>
        <w:rPr>
          <w:rFonts w:ascii="Arial" w:hAnsi="Arial" w:cs="Arial"/>
          <w:sz w:val="24"/>
          <w:szCs w:val="25"/>
          <w:lang w:val="es-ES"/>
        </w:rPr>
        <w:t>2</w:t>
      </w:r>
      <w:r w:rsidRPr="0038316C">
        <w:rPr>
          <w:rFonts w:ascii="Arial" w:hAnsi="Arial" w:cs="Arial"/>
          <w:sz w:val="24"/>
          <w:szCs w:val="25"/>
          <w:lang w:val="es-ES"/>
        </w:rPr>
        <w:t>).</w:t>
      </w:r>
    </w:p>
    <w:p w:rsidR="00AE23B7" w:rsidRPr="002B47D0" w:rsidRDefault="00AE23B7" w:rsidP="00AE23B7">
      <w:pPr>
        <w:pStyle w:val="Sinespaciado1"/>
        <w:spacing w:line="360" w:lineRule="auto"/>
        <w:ind w:firstLine="2832"/>
        <w:jc w:val="both"/>
        <w:rPr>
          <w:rFonts w:ascii="Arial" w:hAnsi="Arial" w:cs="Arial"/>
          <w:sz w:val="16"/>
          <w:szCs w:val="26"/>
          <w:lang w:val="es-ES"/>
        </w:rPr>
      </w:pPr>
    </w:p>
    <w:p w:rsidR="00D2136D" w:rsidRPr="00F0613A" w:rsidRDefault="00485864" w:rsidP="00D2136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D2136D">
        <w:rPr>
          <w:rFonts w:ascii="Arial" w:hAnsi="Arial" w:cs="Arial"/>
          <w:sz w:val="26"/>
          <w:szCs w:val="26"/>
          <w:lang w:val="es-ES"/>
        </w:rPr>
        <w:t>. La Alcaldía de Pereira, por intermedio de apoderada judicial</w:t>
      </w:r>
      <w:r w:rsidR="00D2136D" w:rsidRPr="00F0613A">
        <w:rPr>
          <w:rFonts w:ascii="Arial" w:hAnsi="Arial" w:cs="Arial"/>
          <w:sz w:val="26"/>
          <w:szCs w:val="26"/>
          <w:lang w:val="es-ES"/>
        </w:rPr>
        <w:t>,</w:t>
      </w:r>
      <w:r w:rsidR="00D2136D">
        <w:rPr>
          <w:rFonts w:ascii="Arial" w:hAnsi="Arial" w:cs="Arial"/>
          <w:sz w:val="26"/>
          <w:szCs w:val="26"/>
          <w:lang w:val="es-ES"/>
        </w:rPr>
        <w:t xml:space="preserve"> </w:t>
      </w:r>
      <w:r w:rsidR="00D2136D" w:rsidRPr="00273CD0">
        <w:rPr>
          <w:rFonts w:ascii="Arial" w:hAnsi="Arial" w:cs="Arial"/>
          <w:sz w:val="26"/>
          <w:szCs w:val="26"/>
          <w:lang w:val="es-ES"/>
        </w:rPr>
        <w:t xml:space="preserve">invoca </w:t>
      </w:r>
      <w:r w:rsidR="00D2136D">
        <w:rPr>
          <w:rFonts w:ascii="Arial" w:hAnsi="Arial" w:cs="Arial"/>
          <w:sz w:val="26"/>
          <w:szCs w:val="26"/>
          <w:lang w:val="es-ES"/>
        </w:rPr>
        <w:t xml:space="preserve">como excepciones </w:t>
      </w:r>
      <w:r w:rsidR="00D2136D" w:rsidRPr="00273CD0">
        <w:rPr>
          <w:rFonts w:ascii="Arial" w:hAnsi="Arial" w:cs="Arial"/>
          <w:sz w:val="26"/>
          <w:szCs w:val="26"/>
          <w:lang w:val="es-ES"/>
        </w:rPr>
        <w:t>la falta de legitimación en la causa por pasiva</w:t>
      </w:r>
      <w:r w:rsidR="00D2136D">
        <w:rPr>
          <w:rFonts w:ascii="Arial" w:hAnsi="Arial" w:cs="Arial"/>
          <w:sz w:val="26"/>
          <w:szCs w:val="26"/>
          <w:lang w:val="es-ES"/>
        </w:rPr>
        <w:t xml:space="preserve"> y el principio de autonomía judicial. Pidió no tutelar las pretensiones de la parte accionante y su desvinculación. (fls. 18-19</w:t>
      </w:r>
      <w:r w:rsidR="00D2136D" w:rsidRPr="00F0613A">
        <w:rPr>
          <w:rFonts w:ascii="Arial" w:hAnsi="Arial" w:cs="Arial"/>
          <w:sz w:val="26"/>
          <w:szCs w:val="26"/>
          <w:lang w:val="es-ES"/>
        </w:rPr>
        <w:t>).</w:t>
      </w:r>
    </w:p>
    <w:p w:rsidR="00D2136D" w:rsidRDefault="00D2136D" w:rsidP="00D2136D">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85864">
        <w:rPr>
          <w:rFonts w:ascii="Arial" w:hAnsi="Arial" w:cs="Arial"/>
          <w:sz w:val="26"/>
          <w:szCs w:val="26"/>
          <w:lang w:val="es-ES"/>
        </w:rPr>
        <w:t>3</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D2136D">
        <w:rPr>
          <w:rFonts w:ascii="Arial" w:hAnsi="Arial" w:cs="Arial"/>
          <w:szCs w:val="24"/>
          <w:lang w:val="es-ES" w:eastAsia="es-ES"/>
        </w:rPr>
        <w:t>JAVIER ELÍAS ARIAS IDÁRRAGA</w:t>
      </w:r>
      <w:r w:rsidR="00D2136D">
        <w:rPr>
          <w:rFonts w:ascii="Arial" w:hAnsi="Arial" w:cs="Arial"/>
          <w:sz w:val="26"/>
          <w:szCs w:val="26"/>
          <w:lang w:val="es-ES"/>
        </w:rPr>
        <w:t xml:space="preserve"> </w:t>
      </w:r>
      <w:r>
        <w:rPr>
          <w:rFonts w:ascii="Arial" w:hAnsi="Arial" w:cs="Arial"/>
          <w:sz w:val="26"/>
          <w:szCs w:val="26"/>
          <w:lang w:val="es-ES"/>
        </w:rPr>
        <w:t xml:space="preserve">es ajena a esa agencia del Ministerio Público, toda vez que su actuación como ente de </w:t>
      </w:r>
      <w:r>
        <w:rPr>
          <w:rFonts w:ascii="Arial" w:hAnsi="Arial" w:cs="Arial"/>
          <w:sz w:val="26"/>
          <w:szCs w:val="26"/>
          <w:lang w:val="es-ES"/>
        </w:rPr>
        <w:lastRenderedPageBreak/>
        <w:t>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sidR="00AB7A96">
        <w:rPr>
          <w:rFonts w:ascii="Arial" w:hAnsi="Arial" w:cs="Arial"/>
          <w:sz w:val="24"/>
          <w:szCs w:val="24"/>
          <w:lang w:val="es-ES"/>
        </w:rPr>
        <w:t>27</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E243A" w:rsidRPr="008553CE" w:rsidRDefault="00485864"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AE243A">
        <w:rPr>
          <w:rFonts w:ascii="Arial" w:hAnsi="Arial" w:cs="Arial"/>
          <w:sz w:val="26"/>
          <w:szCs w:val="26"/>
          <w:lang w:val="es-ES"/>
        </w:rPr>
        <w:t xml:space="preserve">. Por su parte, el </w:t>
      </w:r>
      <w:r w:rsidR="00D2136D">
        <w:rPr>
          <w:rFonts w:ascii="Arial" w:hAnsi="Arial" w:cs="Arial"/>
          <w:sz w:val="26"/>
          <w:szCs w:val="26"/>
          <w:lang w:val="es-ES"/>
        </w:rPr>
        <w:t>Juzgado Segund</w:t>
      </w:r>
      <w:r w:rsidR="007D5894">
        <w:rPr>
          <w:rFonts w:ascii="Arial" w:hAnsi="Arial" w:cs="Arial"/>
          <w:sz w:val="26"/>
          <w:szCs w:val="26"/>
          <w:lang w:val="es-ES"/>
        </w:rPr>
        <w:t xml:space="preserve">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sidR="00AE243A">
        <w:rPr>
          <w:rFonts w:ascii="Arial" w:hAnsi="Arial" w:cs="Arial"/>
          <w:sz w:val="26"/>
          <w:szCs w:val="26"/>
          <w:lang w:val="es-ES"/>
        </w:rPr>
        <w:t>. (fls</w:t>
      </w:r>
      <w:r w:rsidR="00D2136D">
        <w:rPr>
          <w:rFonts w:ascii="Arial" w:hAnsi="Arial" w:cs="Arial"/>
          <w:sz w:val="26"/>
          <w:szCs w:val="26"/>
          <w:lang w:val="es-ES"/>
        </w:rPr>
        <w:t>. 33</w:t>
      </w:r>
      <w:r w:rsidR="00B47DE8">
        <w:rPr>
          <w:rFonts w:ascii="Arial" w:hAnsi="Arial" w:cs="Arial"/>
          <w:sz w:val="26"/>
          <w:szCs w:val="26"/>
          <w:lang w:val="es-ES"/>
        </w:rPr>
        <w:t>-</w:t>
      </w:r>
      <w:r w:rsidR="008E171B">
        <w:rPr>
          <w:rFonts w:ascii="Arial" w:hAnsi="Arial" w:cs="Arial"/>
          <w:sz w:val="26"/>
          <w:szCs w:val="26"/>
          <w:lang w:val="es-ES"/>
        </w:rPr>
        <w:t>3</w:t>
      </w:r>
      <w:r w:rsidR="00D2136D">
        <w:rPr>
          <w:rFonts w:ascii="Arial" w:hAnsi="Arial" w:cs="Arial"/>
          <w:sz w:val="26"/>
          <w:szCs w:val="26"/>
          <w:lang w:val="es-ES"/>
        </w:rPr>
        <w:t>6</w:t>
      </w:r>
      <w:r w:rsidR="00AE243A"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485864"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4.5</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29026E" w:rsidRDefault="0029026E" w:rsidP="0029026E">
      <w:pPr>
        <w:pStyle w:val="Sinespaciado1"/>
        <w:spacing w:line="360" w:lineRule="auto"/>
        <w:ind w:firstLine="2835"/>
        <w:jc w:val="both"/>
        <w:rPr>
          <w:rFonts w:ascii="Arial" w:hAnsi="Arial" w:cs="Arial"/>
          <w:sz w:val="16"/>
          <w:szCs w:val="26"/>
          <w:lang w:val="es-ES"/>
        </w:rPr>
      </w:pPr>
      <w:r w:rsidRPr="00A454CF">
        <w:rPr>
          <w:rFonts w:ascii="Arial" w:hAnsi="Arial" w:cs="Arial"/>
          <w:sz w:val="26"/>
          <w:szCs w:val="26"/>
          <w:lang w:val="es-ES"/>
        </w:rPr>
        <w:t>2. 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29026E" w:rsidRDefault="0029026E" w:rsidP="0029026E">
      <w:pPr>
        <w:pStyle w:val="Sinespaciado1"/>
        <w:spacing w:line="360" w:lineRule="auto"/>
        <w:ind w:firstLine="2835"/>
        <w:jc w:val="both"/>
        <w:rPr>
          <w:rFonts w:ascii="Arial" w:hAnsi="Arial" w:cs="Arial"/>
          <w:sz w:val="16"/>
          <w:szCs w:val="26"/>
          <w:lang w:val="es-ES"/>
        </w:rPr>
      </w:pPr>
    </w:p>
    <w:p w:rsidR="0029026E" w:rsidRDefault="0029026E" w:rsidP="0029026E">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 xml:space="preserve">3. Ahora, conforme lo ha enseñado la Corte Constitucional desde ya hace varios años, </w:t>
      </w:r>
      <w:r w:rsidRPr="005063F3">
        <w:rPr>
          <w:rFonts w:ascii="Arial" w:hAnsi="Arial" w:cs="Arial"/>
          <w:sz w:val="26"/>
          <w:szCs w:val="26"/>
          <w:lang w:val="es-ES"/>
        </w:rPr>
        <w:t>las presuntas</w:t>
      </w:r>
      <w:r>
        <w:rPr>
          <w:rFonts w:ascii="Arial" w:hAnsi="Arial" w:cs="Arial"/>
          <w:sz w:val="26"/>
          <w:szCs w:val="26"/>
          <w:lang w:val="es-ES"/>
        </w:rPr>
        <w:t xml:space="preserve"> irregularidades en que incurre un funcionario judicial al tramitar un proceso, por las cuales puede existir alguna amenaza o violación a garantías fundamentales, esta es predicable exclusivamente de los derechos de quienes son parte o terceros en el mismo,</w:t>
      </w:r>
      <w:r w:rsidRPr="005063F3">
        <w:rPr>
          <w:rFonts w:ascii="Arial" w:hAnsi="Arial" w:cs="Arial"/>
          <w:sz w:val="26"/>
          <w:szCs w:val="26"/>
          <w:lang w:val="es-ES"/>
        </w:rPr>
        <w:t xml:space="preserve"> de manera que es a</w:t>
      </w:r>
      <w:r>
        <w:rPr>
          <w:rFonts w:ascii="Arial" w:hAnsi="Arial" w:cs="Arial"/>
          <w:sz w:val="26"/>
          <w:szCs w:val="26"/>
          <w:lang w:val="es-ES"/>
        </w:rPr>
        <w:t xml:space="preserve"> estos</w:t>
      </w:r>
      <w:r w:rsidRPr="005063F3">
        <w:rPr>
          <w:rFonts w:ascii="Arial" w:hAnsi="Arial" w:cs="Arial"/>
          <w:sz w:val="26"/>
          <w:szCs w:val="26"/>
          <w:lang w:val="es-ES"/>
        </w:rPr>
        <w:t xml:space="preserve"> a quien corresponde promover la acción de amparo constitucional.</w:t>
      </w:r>
    </w:p>
    <w:p w:rsidR="0029026E" w:rsidRPr="00D95C28" w:rsidRDefault="0029026E" w:rsidP="0029026E">
      <w:pPr>
        <w:pStyle w:val="Sinespaciado1"/>
        <w:spacing w:line="360" w:lineRule="auto"/>
        <w:ind w:firstLine="2835"/>
        <w:jc w:val="both"/>
        <w:rPr>
          <w:rFonts w:ascii="Arial" w:hAnsi="Arial" w:cs="Arial"/>
          <w:sz w:val="16"/>
          <w:szCs w:val="16"/>
          <w:lang w:val="es-ES"/>
        </w:rPr>
      </w:pPr>
    </w:p>
    <w:p w:rsidR="0029026E" w:rsidRPr="004A33DE" w:rsidRDefault="0029026E" w:rsidP="0029026E">
      <w:pPr>
        <w:tabs>
          <w:tab w:val="left" w:pos="-720"/>
          <w:tab w:val="left" w:pos="0"/>
        </w:tabs>
        <w:suppressAutoHyphens/>
        <w:spacing w:line="360" w:lineRule="auto"/>
        <w:ind w:firstLine="2835"/>
        <w:jc w:val="both"/>
        <w:rPr>
          <w:rFonts w:ascii="Arial" w:hAnsi="Arial" w:cs="Arial"/>
          <w:spacing w:val="2"/>
          <w:sz w:val="26"/>
          <w:szCs w:val="26"/>
          <w:lang w:val="es-CO"/>
        </w:rPr>
      </w:pPr>
      <w:r w:rsidRPr="004A33DE">
        <w:rPr>
          <w:rFonts w:ascii="Arial" w:hAnsi="Arial" w:cs="Arial"/>
          <w:spacing w:val="2"/>
          <w:sz w:val="26"/>
          <w:szCs w:val="26"/>
          <w:lang w:val="es-CO"/>
        </w:rPr>
        <w:t>Al respecto esa Corporación ha dicho:</w:t>
      </w:r>
    </w:p>
    <w:p w:rsidR="0029026E" w:rsidRPr="004A33DE" w:rsidRDefault="0029026E" w:rsidP="0029026E">
      <w:pPr>
        <w:tabs>
          <w:tab w:val="left" w:pos="-720"/>
          <w:tab w:val="left" w:pos="0"/>
        </w:tabs>
        <w:suppressAutoHyphens/>
        <w:spacing w:line="360" w:lineRule="auto"/>
        <w:jc w:val="both"/>
        <w:rPr>
          <w:rFonts w:ascii="Arial" w:hAnsi="Arial" w:cs="Arial"/>
          <w:spacing w:val="2"/>
          <w:sz w:val="16"/>
          <w:szCs w:val="16"/>
          <w:vertAlign w:val="subscript"/>
          <w:lang w:val="es-CO"/>
        </w:rPr>
      </w:pPr>
      <w:r w:rsidRPr="00BD41A8">
        <w:rPr>
          <w:rFonts w:ascii="Verdana" w:hAnsi="Verdana"/>
          <w:spacing w:val="2"/>
          <w:sz w:val="24"/>
          <w:szCs w:val="24"/>
          <w:lang w:val="es-CO"/>
        </w:rPr>
        <w:t xml:space="preserve"> </w:t>
      </w:r>
    </w:p>
    <w:p w:rsidR="0029026E" w:rsidRPr="004A33DE" w:rsidRDefault="0029026E" w:rsidP="0029026E">
      <w:pPr>
        <w:tabs>
          <w:tab w:val="left" w:pos="-720"/>
          <w:tab w:val="left" w:pos="0"/>
        </w:tabs>
        <w:suppressAutoHyphens/>
        <w:ind w:left="567" w:right="567"/>
        <w:jc w:val="both"/>
        <w:rPr>
          <w:rFonts w:ascii="Arial" w:hAnsi="Arial" w:cs="Arial"/>
          <w:bCs/>
          <w:i/>
          <w:spacing w:val="4"/>
        </w:rPr>
      </w:pPr>
      <w:r w:rsidRPr="004A33DE">
        <w:rPr>
          <w:rFonts w:ascii="Arial" w:hAnsi="Arial" w:cs="Arial"/>
          <w:bCs/>
          <w:i/>
          <w:spacing w:val="4"/>
          <w:sz w:val="24"/>
          <w:lang w:val="es-CO"/>
        </w:rPr>
        <w:t xml:space="preserve">“…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w:t>
      </w:r>
      <w:r w:rsidRPr="004A33DE">
        <w:rPr>
          <w:rFonts w:ascii="Arial" w:hAnsi="Arial" w:cs="Arial"/>
          <w:bCs/>
          <w:i/>
          <w:spacing w:val="4"/>
          <w:sz w:val="24"/>
          <w:lang w:val="es-CO"/>
        </w:rPr>
        <w:lastRenderedPageBreak/>
        <w:t>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4A33DE">
        <w:rPr>
          <w:rFonts w:ascii="Arial" w:hAnsi="Arial" w:cs="Arial"/>
          <w:bCs/>
          <w:i/>
          <w:spacing w:val="4"/>
          <w:sz w:val="24"/>
          <w:vertAlign w:val="superscript"/>
          <w:lang w:val="es-CO"/>
        </w:rPr>
        <w:footnoteReference w:id="1"/>
      </w:r>
      <w:r w:rsidRPr="004A33DE">
        <w:rPr>
          <w:rFonts w:ascii="Arial" w:hAnsi="Arial" w:cs="Arial"/>
          <w:bCs/>
          <w:i/>
          <w:spacing w:val="4"/>
          <w:sz w:val="24"/>
          <w:lang w:val="es-CO"/>
        </w:rPr>
        <w:t>.</w:t>
      </w:r>
      <w:r w:rsidRPr="004A33DE">
        <w:rPr>
          <w:rFonts w:ascii="Arial" w:hAnsi="Arial" w:cs="Arial"/>
          <w:i/>
          <w:spacing w:val="4"/>
        </w:rPr>
        <w:t xml:space="preserve"> </w:t>
      </w:r>
    </w:p>
    <w:p w:rsidR="0029026E" w:rsidRPr="004A33DE" w:rsidRDefault="0029026E" w:rsidP="0029026E">
      <w:pPr>
        <w:tabs>
          <w:tab w:val="left" w:pos="-720"/>
          <w:tab w:val="left" w:pos="0"/>
          <w:tab w:val="left" w:pos="1114"/>
        </w:tabs>
        <w:suppressAutoHyphens/>
        <w:spacing w:line="360" w:lineRule="auto"/>
        <w:jc w:val="both"/>
        <w:rPr>
          <w:rFonts w:ascii="Arial" w:hAnsi="Arial" w:cs="Arial"/>
          <w:spacing w:val="2"/>
          <w:sz w:val="24"/>
          <w:szCs w:val="24"/>
        </w:rPr>
      </w:pPr>
      <w:r w:rsidRPr="00BD41A8">
        <w:rPr>
          <w:rFonts w:ascii="Verdana" w:hAnsi="Verdana"/>
          <w:spacing w:val="2"/>
          <w:sz w:val="24"/>
          <w:szCs w:val="24"/>
        </w:rPr>
        <w:tab/>
      </w:r>
    </w:p>
    <w:p w:rsidR="0029026E" w:rsidRPr="004A33DE" w:rsidRDefault="0029026E" w:rsidP="0029026E">
      <w:pPr>
        <w:tabs>
          <w:tab w:val="left" w:pos="-720"/>
          <w:tab w:val="left" w:pos="0"/>
        </w:tabs>
        <w:suppressAutoHyphens/>
        <w:spacing w:line="360" w:lineRule="auto"/>
        <w:ind w:firstLine="2835"/>
        <w:jc w:val="both"/>
        <w:rPr>
          <w:rFonts w:ascii="Arial" w:hAnsi="Arial" w:cs="Arial"/>
          <w:spacing w:val="2"/>
          <w:sz w:val="26"/>
          <w:szCs w:val="26"/>
        </w:rPr>
      </w:pPr>
      <w:r>
        <w:rPr>
          <w:rFonts w:ascii="Arial" w:hAnsi="Arial" w:cs="Arial"/>
          <w:spacing w:val="2"/>
          <w:sz w:val="26"/>
          <w:szCs w:val="26"/>
        </w:rPr>
        <w:t xml:space="preserve">4. </w:t>
      </w:r>
      <w:r w:rsidRPr="004A33DE">
        <w:rPr>
          <w:rFonts w:ascii="Arial" w:hAnsi="Arial" w:cs="Arial"/>
          <w:spacing w:val="2"/>
          <w:sz w:val="26"/>
          <w:szCs w:val="26"/>
        </w:rPr>
        <w:t>Esa misma línea de pensamiento la sigue la Corte Suprema de Justicia, respecto a la improcedencia del amparo por falta de legitimación por activa, con sustento en que:</w:t>
      </w:r>
    </w:p>
    <w:p w:rsidR="0029026E" w:rsidRPr="004A33DE" w:rsidRDefault="0029026E" w:rsidP="0029026E">
      <w:pPr>
        <w:tabs>
          <w:tab w:val="left" w:pos="-720"/>
          <w:tab w:val="left" w:pos="0"/>
        </w:tabs>
        <w:suppressAutoHyphens/>
        <w:spacing w:line="360" w:lineRule="auto"/>
        <w:jc w:val="both"/>
        <w:rPr>
          <w:rFonts w:ascii="Arial" w:hAnsi="Arial" w:cs="Arial"/>
          <w:spacing w:val="2"/>
          <w:sz w:val="16"/>
          <w:szCs w:val="16"/>
          <w:vertAlign w:val="subscript"/>
        </w:rPr>
      </w:pPr>
    </w:p>
    <w:p w:rsidR="0029026E" w:rsidRPr="004A33DE" w:rsidRDefault="0029026E" w:rsidP="0029026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 xml:space="preserve">“1. Corresponde a la Corte determinar, inicialmente, si el memorialista está facultado para interponer la tutela y, de superarse lo anterior, si el Juzgado cuestionado vulneró las prerrogativas esenciales aducidas por exigir requisitos inexistentes a los contemplados en el artículo 18 de la Ley 472 de 1998, para la admisión de la acción popular que refiere. </w:t>
      </w:r>
    </w:p>
    <w:p w:rsidR="0029026E" w:rsidRPr="004A33DE" w:rsidRDefault="0029026E" w:rsidP="0029026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ab/>
      </w:r>
    </w:p>
    <w:p w:rsidR="0029026E" w:rsidRPr="004A33DE" w:rsidRDefault="0029026E" w:rsidP="0029026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prevé que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rsidR="0029026E" w:rsidRPr="004A33DE" w:rsidRDefault="0029026E" w:rsidP="0029026E">
      <w:pPr>
        <w:tabs>
          <w:tab w:val="left" w:pos="-720"/>
          <w:tab w:val="left" w:pos="0"/>
        </w:tabs>
        <w:suppressAutoHyphens/>
        <w:ind w:left="567" w:right="567"/>
        <w:jc w:val="both"/>
        <w:rPr>
          <w:rFonts w:ascii="Arial" w:hAnsi="Arial" w:cs="Arial"/>
          <w:bCs/>
          <w:i/>
          <w:spacing w:val="2"/>
          <w:sz w:val="24"/>
        </w:rPr>
      </w:pPr>
    </w:p>
    <w:p w:rsidR="0029026E" w:rsidRPr="004A33DE" w:rsidRDefault="0029026E" w:rsidP="0029026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Sobre el alcance jurídico de la disposición legal en cita, 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 (CC T-878/07).</w:t>
      </w:r>
    </w:p>
    <w:p w:rsidR="0029026E" w:rsidRPr="004A33DE" w:rsidRDefault="0029026E" w:rsidP="0029026E">
      <w:pPr>
        <w:tabs>
          <w:tab w:val="left" w:pos="-720"/>
          <w:tab w:val="left" w:pos="0"/>
        </w:tabs>
        <w:suppressAutoHyphens/>
        <w:ind w:left="567" w:right="567"/>
        <w:jc w:val="both"/>
        <w:rPr>
          <w:rFonts w:ascii="Arial" w:hAnsi="Arial" w:cs="Arial"/>
          <w:bCs/>
          <w:i/>
          <w:spacing w:val="2"/>
          <w:sz w:val="24"/>
        </w:rPr>
      </w:pPr>
    </w:p>
    <w:p w:rsidR="0029026E" w:rsidRPr="004A33DE" w:rsidRDefault="0029026E" w:rsidP="0029026E">
      <w:pPr>
        <w:pStyle w:val="Textoindependiente"/>
        <w:ind w:left="567" w:right="567"/>
        <w:rPr>
          <w:rFonts w:ascii="Arial" w:hAnsi="Arial" w:cs="Arial"/>
          <w:color w:val="000000"/>
          <w:szCs w:val="24"/>
          <w:lang w:val="es-CO"/>
        </w:rPr>
      </w:pPr>
      <w:r w:rsidRPr="004A33DE">
        <w:rPr>
          <w:rFonts w:ascii="Arial" w:hAnsi="Arial" w:cs="Arial"/>
          <w:bCs/>
          <w:i/>
          <w:spacing w:val="2"/>
        </w:rPr>
        <w:t>2. De acuerdo con ello y revisado el trámite surtido se establece que el peticionario no está facultado para interponer la presente tutela, ya que no fue éste quien promovió la acción popular y mucho menos participó en el proceso siquiera como coadyuvante…”</w:t>
      </w:r>
      <w:r w:rsidRPr="004A33DE">
        <w:rPr>
          <w:rStyle w:val="Refdenotaalpie"/>
          <w:rFonts w:ascii="Arial" w:hAnsi="Arial" w:cs="Arial"/>
          <w:bCs/>
          <w:i/>
          <w:spacing w:val="2"/>
        </w:rPr>
        <w:footnoteReference w:id="2"/>
      </w:r>
    </w:p>
    <w:p w:rsidR="0029026E" w:rsidRDefault="0029026E" w:rsidP="0029026E">
      <w:pPr>
        <w:pStyle w:val="Sinespaciado1"/>
        <w:spacing w:line="360" w:lineRule="auto"/>
        <w:ind w:firstLine="2835"/>
        <w:jc w:val="both"/>
        <w:rPr>
          <w:rFonts w:ascii="Arial" w:hAnsi="Arial" w:cs="Arial"/>
          <w:sz w:val="24"/>
          <w:szCs w:val="26"/>
          <w:lang w:val="es-ES"/>
        </w:rPr>
      </w:pPr>
    </w:p>
    <w:p w:rsidR="00565AAE" w:rsidRPr="004A33DE" w:rsidRDefault="00565AAE" w:rsidP="0029026E">
      <w:pPr>
        <w:pStyle w:val="Sinespaciado1"/>
        <w:spacing w:line="360" w:lineRule="auto"/>
        <w:ind w:firstLine="2835"/>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D806ED">
        <w:rPr>
          <w:rFonts w:ascii="Arial" w:hAnsi="Arial" w:cs="Arial"/>
          <w:sz w:val="26"/>
          <w:szCs w:val="26"/>
        </w:rPr>
        <w:t xml:space="preserve"> (fls. </w:t>
      </w:r>
      <w:r w:rsidR="00C649A4">
        <w:rPr>
          <w:rFonts w:ascii="Arial" w:hAnsi="Arial" w:cs="Arial"/>
          <w:sz w:val="26"/>
          <w:szCs w:val="26"/>
        </w:rPr>
        <w:t>33</w:t>
      </w:r>
      <w:r w:rsidR="00D806ED">
        <w:rPr>
          <w:rFonts w:ascii="Arial" w:hAnsi="Arial" w:cs="Arial"/>
          <w:sz w:val="26"/>
          <w:szCs w:val="26"/>
        </w:rPr>
        <w:t>-</w:t>
      </w:r>
      <w:r w:rsidR="002169BE">
        <w:rPr>
          <w:rFonts w:ascii="Arial" w:hAnsi="Arial" w:cs="Arial"/>
          <w:sz w:val="26"/>
          <w:szCs w:val="26"/>
        </w:rPr>
        <w:t>3</w:t>
      </w:r>
      <w:r w:rsidR="00C649A4">
        <w:rPr>
          <w:rFonts w:ascii="Arial" w:hAnsi="Arial" w:cs="Arial"/>
          <w:sz w:val="26"/>
          <w:szCs w:val="26"/>
        </w:rPr>
        <w:t>6</w:t>
      </w:r>
      <w:r w:rsidR="00D806ED">
        <w:rPr>
          <w:rFonts w:ascii="Arial" w:hAnsi="Arial" w:cs="Arial"/>
          <w:sz w:val="26"/>
          <w:szCs w:val="26"/>
        </w:rPr>
        <w:t>)</w:t>
      </w:r>
      <w:r>
        <w:rPr>
          <w:rFonts w:ascii="Arial" w:hAnsi="Arial" w:cs="Arial"/>
          <w:sz w:val="26"/>
          <w:szCs w:val="26"/>
        </w:rPr>
        <w:t>,</w:t>
      </w:r>
      <w:r w:rsidRPr="00F779E5">
        <w:rPr>
          <w:rFonts w:ascii="Arial" w:hAnsi="Arial" w:cs="Arial"/>
          <w:sz w:val="26"/>
          <w:szCs w:val="26"/>
        </w:rPr>
        <w:t xml:space="preserve"> </w:t>
      </w:r>
      <w:r w:rsidR="00D806ED">
        <w:rPr>
          <w:rFonts w:ascii="Arial" w:hAnsi="Arial" w:cs="Arial"/>
          <w:sz w:val="26"/>
          <w:szCs w:val="26"/>
          <w:lang w:val="es-ES"/>
        </w:rPr>
        <w:t xml:space="preserve">al igual que de lo informado por la secretaria del despacho accionado (fl. 37), </w:t>
      </w:r>
      <w:r w:rsidRPr="00F779E5">
        <w:rPr>
          <w:rFonts w:ascii="Arial" w:hAnsi="Arial" w:cs="Arial"/>
          <w:sz w:val="26"/>
          <w:szCs w:val="26"/>
        </w:rPr>
        <w:t>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6B13EF">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w:t>
      </w:r>
      <w:r w:rsidR="00D806ED" w:rsidRPr="000905F6">
        <w:rPr>
          <w:rFonts w:ascii="Arial" w:hAnsi="Arial" w:cs="Arial"/>
          <w:sz w:val="26"/>
          <w:szCs w:val="26"/>
        </w:rPr>
        <w:t xml:space="preserve">radicada bajo </w:t>
      </w:r>
      <w:r w:rsidR="00D806ED">
        <w:rPr>
          <w:rFonts w:ascii="Arial" w:hAnsi="Arial" w:cs="Arial"/>
          <w:sz w:val="26"/>
          <w:szCs w:val="26"/>
        </w:rPr>
        <w:t xml:space="preserve">el número </w:t>
      </w:r>
      <w:r w:rsidR="00D806ED" w:rsidRPr="00C37D0B">
        <w:rPr>
          <w:rFonts w:ascii="Arial" w:hAnsi="Arial" w:cs="Arial"/>
          <w:b/>
          <w:sz w:val="24"/>
          <w:szCs w:val="26"/>
        </w:rPr>
        <w:t>2018-000</w:t>
      </w:r>
      <w:r w:rsidR="00D806ED">
        <w:rPr>
          <w:rFonts w:ascii="Arial" w:hAnsi="Arial" w:cs="Arial"/>
          <w:b/>
          <w:sz w:val="24"/>
          <w:szCs w:val="26"/>
        </w:rPr>
        <w:t>87</w:t>
      </w:r>
      <w:r w:rsidR="006B13EF">
        <w:rPr>
          <w:rFonts w:ascii="Arial" w:hAnsi="Arial" w:cs="Arial"/>
          <w:sz w:val="26"/>
          <w:szCs w:val="26"/>
          <w:lang w:val="es-ES_tradnl"/>
        </w:rPr>
        <w:t>,</w:t>
      </w:r>
      <w:r w:rsidR="006B13EF" w:rsidRPr="009E0AFC">
        <w:rPr>
          <w:rFonts w:ascii="Arial" w:hAnsi="Arial" w:cs="Arial"/>
          <w:sz w:val="26"/>
          <w:szCs w:val="26"/>
        </w:rPr>
        <w:t xml:space="preserve"> </w:t>
      </w:r>
      <w:r w:rsidR="000C7083">
        <w:rPr>
          <w:rFonts w:ascii="Arial" w:hAnsi="Arial" w:cs="Arial"/>
          <w:sz w:val="26"/>
          <w:szCs w:val="26"/>
        </w:rPr>
        <w:t xml:space="preserve">en la que </w:t>
      </w:r>
      <w:r w:rsidR="006B13EF" w:rsidRPr="009E0AFC">
        <w:rPr>
          <w:rFonts w:ascii="Arial" w:hAnsi="Arial" w:cs="Arial"/>
          <w:sz w:val="26"/>
          <w:szCs w:val="26"/>
        </w:rPr>
        <w:t>funge como demandante</w:t>
      </w:r>
      <w:r w:rsidR="006B13EF">
        <w:rPr>
          <w:rFonts w:ascii="Arial" w:hAnsi="Arial" w:cs="Arial"/>
          <w:sz w:val="26"/>
          <w:szCs w:val="26"/>
        </w:rPr>
        <w:t xml:space="preserve"> el señor </w:t>
      </w:r>
      <w:r w:rsidR="006C001A" w:rsidRPr="008E7F10">
        <w:rPr>
          <w:rFonts w:ascii="Arial" w:hAnsi="Arial" w:cs="Arial"/>
          <w:sz w:val="22"/>
          <w:szCs w:val="26"/>
        </w:rPr>
        <w:t>UNER AUGUSTO BECERRA LARGO</w:t>
      </w:r>
      <w:r w:rsidR="006B13EF" w:rsidRPr="00CC0F51">
        <w:rPr>
          <w:rFonts w:ascii="Arial" w:hAnsi="Arial" w:cs="Arial"/>
          <w:sz w:val="24"/>
          <w:szCs w:val="26"/>
          <w:lang w:val="es-ES_tradnl"/>
        </w:rPr>
        <w:t xml:space="preserve"> </w:t>
      </w:r>
      <w:r w:rsidR="00D806ED">
        <w:rPr>
          <w:rFonts w:ascii="Arial" w:hAnsi="Arial" w:cs="Arial"/>
          <w:sz w:val="26"/>
          <w:szCs w:val="26"/>
          <w:lang w:val="es-ES_tradnl"/>
        </w:rPr>
        <w:t>(fl</w:t>
      </w:r>
      <w:r w:rsidR="000C7083">
        <w:rPr>
          <w:rFonts w:ascii="Arial" w:hAnsi="Arial" w:cs="Arial"/>
          <w:sz w:val="26"/>
          <w:szCs w:val="26"/>
          <w:lang w:val="es-ES_tradnl"/>
        </w:rPr>
        <w:t xml:space="preserve">. </w:t>
      </w:r>
      <w:r w:rsidR="00D806ED">
        <w:rPr>
          <w:rFonts w:ascii="Arial" w:hAnsi="Arial" w:cs="Arial"/>
          <w:sz w:val="26"/>
          <w:szCs w:val="26"/>
          <w:lang w:val="es-ES_tradnl"/>
        </w:rPr>
        <w:t>34</w:t>
      </w:r>
      <w:r w:rsidR="000C7083">
        <w:rPr>
          <w:rFonts w:ascii="Arial" w:hAnsi="Arial" w:cs="Arial"/>
          <w:sz w:val="26"/>
          <w:szCs w:val="26"/>
          <w:lang w:val="es-ES_tradnl"/>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D806ED">
        <w:rPr>
          <w:rFonts w:ascii="Arial" w:hAnsi="Arial" w:cs="Arial"/>
          <w:sz w:val="26"/>
          <w:szCs w:val="26"/>
        </w:rPr>
        <w:t>20</w:t>
      </w:r>
      <w:r w:rsidR="000C3964">
        <w:rPr>
          <w:rFonts w:ascii="Arial" w:hAnsi="Arial" w:cs="Arial"/>
          <w:sz w:val="26"/>
          <w:szCs w:val="26"/>
        </w:rPr>
        <w:t xml:space="preserve"> de </w:t>
      </w:r>
      <w:r w:rsidR="00D806ED">
        <w:rPr>
          <w:rFonts w:ascii="Arial" w:hAnsi="Arial" w:cs="Arial"/>
          <w:sz w:val="26"/>
          <w:szCs w:val="26"/>
        </w:rPr>
        <w:t>abril</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 xml:space="preserve">la rechazó por </w:t>
      </w:r>
      <w:r w:rsidR="00D806ED">
        <w:rPr>
          <w:rFonts w:ascii="Arial" w:hAnsi="Arial" w:cs="Arial"/>
          <w:sz w:val="26"/>
          <w:szCs w:val="26"/>
        </w:rPr>
        <w:t>no haber sido subsanada en el término concedido para ello</w:t>
      </w:r>
      <w:r w:rsidR="009613B4">
        <w:rPr>
          <w:rFonts w:ascii="Arial" w:hAnsi="Arial" w:cs="Arial"/>
          <w:sz w:val="26"/>
          <w:szCs w:val="26"/>
          <w:lang w:val="es-CO"/>
        </w:rPr>
        <w:t xml:space="preserve">. </w:t>
      </w:r>
      <w:r w:rsidR="000C3964">
        <w:rPr>
          <w:rFonts w:ascii="Arial" w:hAnsi="Arial" w:cs="Arial"/>
          <w:sz w:val="26"/>
          <w:szCs w:val="26"/>
        </w:rPr>
        <w:t xml:space="preserve">(fl. </w:t>
      </w:r>
      <w:r w:rsidR="006C001A">
        <w:rPr>
          <w:rFonts w:ascii="Arial" w:hAnsi="Arial" w:cs="Arial"/>
          <w:sz w:val="24"/>
          <w:szCs w:val="26"/>
        </w:rPr>
        <w:t>3</w:t>
      </w:r>
      <w:r w:rsidR="00D806ED">
        <w:rPr>
          <w:rFonts w:ascii="Arial" w:hAnsi="Arial" w:cs="Arial"/>
          <w:sz w:val="24"/>
          <w:szCs w:val="26"/>
        </w:rPr>
        <w:t>6</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D806ED">
        <w:rPr>
          <w:rFonts w:ascii="Arial" w:hAnsi="Arial" w:cs="Arial"/>
          <w:sz w:val="26"/>
          <w:szCs w:val="26"/>
        </w:rPr>
        <w:t>El 11</w:t>
      </w:r>
      <w:r w:rsidRPr="000C5F30">
        <w:rPr>
          <w:rFonts w:ascii="Arial" w:hAnsi="Arial" w:cs="Arial"/>
          <w:sz w:val="26"/>
          <w:szCs w:val="26"/>
        </w:rPr>
        <w:t xml:space="preserve"> de</w:t>
      </w:r>
      <w:r>
        <w:rPr>
          <w:rFonts w:ascii="Arial" w:hAnsi="Arial" w:cs="Arial"/>
          <w:sz w:val="26"/>
          <w:szCs w:val="26"/>
        </w:rPr>
        <w:t xml:space="preserve"> </w:t>
      </w:r>
      <w:r w:rsidR="009613B4">
        <w:rPr>
          <w:rFonts w:ascii="Arial" w:hAnsi="Arial" w:cs="Arial"/>
          <w:sz w:val="26"/>
          <w:szCs w:val="26"/>
        </w:rPr>
        <w:t>ma</w:t>
      </w:r>
      <w:r w:rsidR="00D806ED">
        <w:rPr>
          <w:rFonts w:ascii="Arial" w:hAnsi="Arial" w:cs="Arial"/>
          <w:sz w:val="26"/>
          <w:szCs w:val="26"/>
        </w:rPr>
        <w:t>y</w:t>
      </w:r>
      <w:r w:rsidR="009613B4">
        <w:rPr>
          <w:rFonts w:ascii="Arial" w:hAnsi="Arial" w:cs="Arial"/>
          <w:sz w:val="26"/>
          <w:szCs w:val="26"/>
        </w:rPr>
        <w:t>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D806ED" w:rsidRPr="00D806ED">
        <w:rPr>
          <w:rFonts w:ascii="Arial" w:hAnsi="Arial" w:cs="Arial"/>
          <w:sz w:val="22"/>
          <w:szCs w:val="24"/>
        </w:rPr>
        <w:t>JAVIER ELÍAS ARIAS IDÁRRAGA</w:t>
      </w:r>
      <w:r w:rsidRPr="00D806ED">
        <w:rPr>
          <w:rFonts w:ascii="Arial" w:hAnsi="Arial" w:cs="Arial"/>
          <w:sz w:val="26"/>
          <w:szCs w:val="26"/>
        </w:rPr>
        <w:t>, formuló la acción de tutela</w:t>
      </w:r>
      <w:r>
        <w:rPr>
          <w:rFonts w:ascii="Arial" w:hAnsi="Arial" w:cs="Arial"/>
          <w:sz w:val="26"/>
          <w:szCs w:val="26"/>
        </w:rPr>
        <w:t xml:space="preserve">. (fl. </w:t>
      </w:r>
      <w:r w:rsidR="009613B4">
        <w:rPr>
          <w:rFonts w:ascii="Arial" w:hAnsi="Arial" w:cs="Arial"/>
          <w:sz w:val="26"/>
          <w:szCs w:val="26"/>
        </w:rPr>
        <w:t>1</w:t>
      </w:r>
      <w:r w:rsidR="00D806ED">
        <w:rPr>
          <w:rFonts w:ascii="Arial" w:hAnsi="Arial" w:cs="Arial"/>
          <w:sz w:val="26"/>
          <w:szCs w:val="26"/>
        </w:rPr>
        <w:t xml:space="preserve"> vto.</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0C7083" w:rsidRDefault="000C7083" w:rsidP="000C708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 </w:t>
      </w:r>
      <w:r w:rsidRPr="00393AC1">
        <w:rPr>
          <w:rFonts w:ascii="Arial" w:hAnsi="Arial" w:cs="Arial"/>
          <w:sz w:val="26"/>
          <w:szCs w:val="26"/>
          <w:lang w:val="es-ES"/>
        </w:rPr>
        <w:t>De la revisión minuciosa de</w:t>
      </w:r>
      <w:r>
        <w:rPr>
          <w:rFonts w:ascii="Arial" w:hAnsi="Arial" w:cs="Arial"/>
          <w:sz w:val="26"/>
          <w:szCs w:val="26"/>
          <w:lang w:val="es-ES"/>
        </w:rPr>
        <w:t xml:space="preserve"> </w:t>
      </w:r>
      <w:r w:rsidRPr="00393AC1">
        <w:rPr>
          <w:rFonts w:ascii="Arial" w:hAnsi="Arial" w:cs="Arial"/>
          <w:sz w:val="26"/>
          <w:szCs w:val="26"/>
          <w:lang w:val="es-ES"/>
        </w:rPr>
        <w:t>l</w:t>
      </w:r>
      <w:r>
        <w:rPr>
          <w:rFonts w:ascii="Arial" w:hAnsi="Arial" w:cs="Arial"/>
          <w:sz w:val="26"/>
          <w:szCs w:val="26"/>
          <w:lang w:val="es-ES"/>
        </w:rPr>
        <w:t>os documentos que componen la presente acción, resulta claro que el promotor</w:t>
      </w:r>
      <w:r w:rsidRPr="00195019">
        <w:rPr>
          <w:rFonts w:ascii="Arial" w:hAnsi="Arial" w:cs="Arial"/>
          <w:sz w:val="26"/>
          <w:szCs w:val="26"/>
          <w:lang w:val="es-ES"/>
        </w:rPr>
        <w:t xml:space="preserve"> de la presente tutela carece de un interés legítimo para actuar</w:t>
      </w:r>
      <w:r>
        <w:rPr>
          <w:rFonts w:ascii="Arial" w:hAnsi="Arial" w:cs="Arial"/>
          <w:sz w:val="26"/>
          <w:szCs w:val="26"/>
          <w:lang w:val="es-ES"/>
        </w:rPr>
        <w:t>,</w:t>
      </w:r>
      <w:r w:rsidRPr="00195019">
        <w:rPr>
          <w:rFonts w:ascii="Arial" w:hAnsi="Arial" w:cs="Arial"/>
          <w:sz w:val="26"/>
          <w:szCs w:val="26"/>
          <w:lang w:val="es-ES"/>
        </w:rPr>
        <w:t xml:space="preserve"> pues, de exist</w:t>
      </w:r>
      <w:r>
        <w:rPr>
          <w:rFonts w:ascii="Arial" w:hAnsi="Arial" w:cs="Arial"/>
          <w:sz w:val="26"/>
          <w:szCs w:val="26"/>
          <w:lang w:val="es-ES"/>
        </w:rPr>
        <w:t>ir alguna amenaza o violación, e</w:t>
      </w:r>
      <w:r w:rsidRPr="00195019">
        <w:rPr>
          <w:rFonts w:ascii="Arial" w:hAnsi="Arial" w:cs="Arial"/>
          <w:sz w:val="26"/>
          <w:szCs w:val="26"/>
          <w:lang w:val="es-ES"/>
        </w:rPr>
        <w:t>sta es predicable exclusivamente de los derechos de quien</w:t>
      </w:r>
      <w:r>
        <w:rPr>
          <w:rFonts w:ascii="Arial" w:hAnsi="Arial" w:cs="Arial"/>
          <w:sz w:val="26"/>
          <w:szCs w:val="26"/>
          <w:lang w:val="es-ES"/>
        </w:rPr>
        <w:t>es</w:t>
      </w:r>
      <w:r w:rsidRPr="00195019">
        <w:rPr>
          <w:rFonts w:ascii="Arial" w:hAnsi="Arial" w:cs="Arial"/>
          <w:sz w:val="26"/>
          <w:szCs w:val="26"/>
          <w:lang w:val="es-ES"/>
        </w:rPr>
        <w:t xml:space="preserve"> </w:t>
      </w:r>
      <w:r>
        <w:rPr>
          <w:rFonts w:ascii="Arial" w:hAnsi="Arial" w:cs="Arial"/>
          <w:sz w:val="26"/>
          <w:szCs w:val="26"/>
          <w:lang w:val="es-ES"/>
        </w:rPr>
        <w:t>son parte en el mismo.</w:t>
      </w:r>
    </w:p>
    <w:p w:rsidR="000C7083" w:rsidRPr="00CB5613" w:rsidRDefault="000C7083" w:rsidP="000C7083">
      <w:pPr>
        <w:pStyle w:val="Sinespaciado1"/>
        <w:spacing w:line="360" w:lineRule="auto"/>
        <w:ind w:firstLine="2835"/>
        <w:jc w:val="both"/>
        <w:rPr>
          <w:rFonts w:ascii="Arial" w:hAnsi="Arial" w:cs="Arial"/>
          <w:sz w:val="16"/>
          <w:szCs w:val="16"/>
          <w:lang w:val="es-ES"/>
        </w:rPr>
      </w:pPr>
    </w:p>
    <w:p w:rsidR="000C7083" w:rsidRDefault="000C7083" w:rsidP="000C7083">
      <w:pPr>
        <w:pStyle w:val="Sinespaciado1"/>
        <w:spacing w:line="360" w:lineRule="auto"/>
        <w:ind w:firstLine="2835"/>
        <w:jc w:val="both"/>
        <w:rPr>
          <w:rFonts w:ascii="Arial" w:hAnsi="Arial" w:cs="Arial"/>
          <w:sz w:val="26"/>
          <w:szCs w:val="26"/>
        </w:rPr>
      </w:pPr>
      <w:r>
        <w:rPr>
          <w:rFonts w:ascii="Arial" w:hAnsi="Arial" w:cs="Arial"/>
          <w:sz w:val="26"/>
          <w:szCs w:val="26"/>
        </w:rPr>
        <w:t>Lo anterior teniendo en cuenta el</w:t>
      </w:r>
      <w:r>
        <w:rPr>
          <w:rFonts w:ascii="Arial" w:hAnsi="Arial" w:cs="Arial"/>
          <w:spacing w:val="-3"/>
          <w:sz w:val="26"/>
          <w:szCs w:val="26"/>
        </w:rPr>
        <w:t xml:space="preserve"> actor no es parte en dicho proceso, </w:t>
      </w:r>
      <w:r w:rsidRPr="00637BB9">
        <w:rPr>
          <w:rFonts w:ascii="Arial" w:hAnsi="Arial" w:cs="Arial"/>
          <w:sz w:val="26"/>
          <w:szCs w:val="26"/>
        </w:rPr>
        <w:t>por lo tanto,</w:t>
      </w:r>
      <w:r w:rsidRPr="00F86984">
        <w:rPr>
          <w:rFonts w:ascii="Arial" w:hAnsi="Arial" w:cs="Arial"/>
          <w:sz w:val="26"/>
          <w:szCs w:val="26"/>
        </w:rPr>
        <w:t xml:space="preserve"> ninguna decisión que defina el asunto, afecta </w:t>
      </w:r>
      <w:r>
        <w:rPr>
          <w:rFonts w:ascii="Arial" w:hAnsi="Arial" w:cs="Arial"/>
          <w:sz w:val="26"/>
          <w:szCs w:val="26"/>
        </w:rPr>
        <w:t>su</w:t>
      </w:r>
      <w:r w:rsidRPr="00F86984">
        <w:rPr>
          <w:rFonts w:ascii="Arial" w:hAnsi="Arial" w:cs="Arial"/>
          <w:sz w:val="26"/>
          <w:szCs w:val="26"/>
        </w:rPr>
        <w:t>s intereses</w:t>
      </w:r>
      <w:r>
        <w:rPr>
          <w:rFonts w:ascii="Arial" w:hAnsi="Arial" w:cs="Arial"/>
          <w:sz w:val="26"/>
          <w:szCs w:val="26"/>
        </w:rPr>
        <w:t>, tampoco se encuentra</w:t>
      </w:r>
      <w:r w:rsidR="0052226D">
        <w:rPr>
          <w:rFonts w:ascii="Arial" w:hAnsi="Arial" w:cs="Arial"/>
          <w:sz w:val="26"/>
          <w:szCs w:val="26"/>
        </w:rPr>
        <w:t xml:space="preserve"> legitimado</w:t>
      </w:r>
      <w:r>
        <w:rPr>
          <w:rFonts w:ascii="Arial" w:hAnsi="Arial" w:cs="Arial"/>
          <w:sz w:val="26"/>
          <w:szCs w:val="26"/>
        </w:rPr>
        <w:t xml:space="preserve"> para </w:t>
      </w:r>
      <w:r>
        <w:rPr>
          <w:rFonts w:ascii="Arial" w:hAnsi="Arial" w:cs="Arial"/>
          <w:sz w:val="26"/>
          <w:szCs w:val="26"/>
          <w:lang w:val="es-ES_tradnl" w:eastAsia="es-ES"/>
        </w:rPr>
        <w:t>acudir a la tutela y controvertir por este medio las decisiones tomadas al interior del mismo</w:t>
      </w:r>
      <w:r>
        <w:rPr>
          <w:rStyle w:val="Refdenotaalpie"/>
          <w:rFonts w:ascii="Arial" w:hAnsi="Arial"/>
          <w:sz w:val="26"/>
          <w:szCs w:val="26"/>
          <w:lang w:val="es-ES_tradnl" w:eastAsia="es-ES"/>
        </w:rPr>
        <w:footnoteReference w:id="3"/>
      </w:r>
      <w:r w:rsidRPr="00F86984">
        <w:rPr>
          <w:rFonts w:ascii="Arial" w:hAnsi="Arial" w:cs="Arial"/>
          <w:sz w:val="26"/>
          <w:szCs w:val="26"/>
        </w:rPr>
        <w:t>.</w:t>
      </w:r>
      <w:r>
        <w:rPr>
          <w:rFonts w:ascii="Arial" w:hAnsi="Arial" w:cs="Arial"/>
          <w:sz w:val="26"/>
          <w:szCs w:val="26"/>
        </w:rPr>
        <w:t xml:space="preserve"> En este aspecto</w:t>
      </w:r>
      <w:r w:rsidRPr="00F86984">
        <w:rPr>
          <w:rFonts w:ascii="Arial" w:hAnsi="Arial" w:cs="Arial"/>
          <w:sz w:val="26"/>
          <w:szCs w:val="26"/>
        </w:rPr>
        <w:t xml:space="preserve">, la protección a los derechos invocados es improcedente en virtud </w:t>
      </w:r>
      <w:r>
        <w:rPr>
          <w:rFonts w:ascii="Arial" w:hAnsi="Arial" w:cs="Arial"/>
          <w:sz w:val="26"/>
          <w:szCs w:val="26"/>
        </w:rPr>
        <w:t>a la falta de</w:t>
      </w:r>
      <w:r w:rsidRPr="00F86984">
        <w:rPr>
          <w:rFonts w:ascii="Arial" w:hAnsi="Arial" w:cs="Arial"/>
          <w:sz w:val="26"/>
          <w:szCs w:val="26"/>
        </w:rPr>
        <w:t xml:space="preserve"> legitimación por activa</w:t>
      </w:r>
      <w:r>
        <w:rPr>
          <w:rFonts w:ascii="Arial" w:hAnsi="Arial" w:cs="Arial"/>
          <w:sz w:val="26"/>
          <w:szCs w:val="26"/>
        </w:rPr>
        <w:t>.</w:t>
      </w:r>
    </w:p>
    <w:p w:rsidR="000C7083" w:rsidRPr="00983A3E" w:rsidRDefault="000C7083" w:rsidP="000C7083">
      <w:pPr>
        <w:pStyle w:val="Sinespaciado2"/>
        <w:spacing w:line="360" w:lineRule="auto"/>
        <w:ind w:firstLine="2835"/>
        <w:jc w:val="both"/>
        <w:rPr>
          <w:rFonts w:ascii="Arial" w:hAnsi="Arial" w:cs="Arial"/>
          <w:sz w:val="16"/>
          <w:szCs w:val="16"/>
        </w:rPr>
      </w:pPr>
    </w:p>
    <w:p w:rsidR="000C7083" w:rsidRPr="0077792F" w:rsidRDefault="0052226D" w:rsidP="000C70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lastRenderedPageBreak/>
        <w:t>El</w:t>
      </w:r>
      <w:r w:rsidR="000C7083" w:rsidRPr="0077792F">
        <w:rPr>
          <w:rFonts w:ascii="Arial" w:hAnsi="Arial" w:cs="Arial"/>
          <w:sz w:val="26"/>
          <w:szCs w:val="26"/>
        </w:rPr>
        <w:t xml:space="preserve"> aquí accionante carece de legitimación por activa ya que al no haber intervenido como parte </w:t>
      </w:r>
      <w:r w:rsidR="000C7083">
        <w:rPr>
          <w:rFonts w:ascii="Arial" w:hAnsi="Arial" w:cs="Arial"/>
          <w:sz w:val="26"/>
          <w:szCs w:val="26"/>
        </w:rPr>
        <w:t xml:space="preserve">o tercero </w:t>
      </w:r>
      <w:r w:rsidR="000C7083" w:rsidRPr="0077792F">
        <w:rPr>
          <w:rFonts w:ascii="Arial" w:hAnsi="Arial" w:cs="Arial"/>
          <w:sz w:val="26"/>
          <w:szCs w:val="26"/>
        </w:rPr>
        <w:t xml:space="preserve">en </w:t>
      </w:r>
      <w:r w:rsidR="000C7083">
        <w:rPr>
          <w:rFonts w:ascii="Arial" w:hAnsi="Arial" w:cs="Arial"/>
          <w:sz w:val="26"/>
          <w:szCs w:val="26"/>
        </w:rPr>
        <w:t>el proceso</w:t>
      </w:r>
      <w:r w:rsidR="000C7083" w:rsidRPr="0077792F">
        <w:rPr>
          <w:rFonts w:ascii="Arial" w:hAnsi="Arial" w:cs="Arial"/>
          <w:sz w:val="26"/>
          <w:szCs w:val="26"/>
        </w:rPr>
        <w:t>, no puede haber sido sujeto de ninguna violación a sus derechos fundamentales.</w:t>
      </w:r>
    </w:p>
    <w:p w:rsidR="000C7083" w:rsidRPr="0077792F" w:rsidRDefault="000C7083" w:rsidP="000C70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0C7083" w:rsidRPr="00F0099C" w:rsidRDefault="000C7083" w:rsidP="000C70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Verdana" w:hAnsi="Verdana"/>
          <w:sz w:val="24"/>
          <w:szCs w:val="24"/>
        </w:rPr>
      </w:pPr>
      <w:r>
        <w:rPr>
          <w:rFonts w:ascii="Arial" w:hAnsi="Arial" w:cs="Arial"/>
          <w:sz w:val="26"/>
          <w:szCs w:val="26"/>
        </w:rPr>
        <w:t xml:space="preserve">3. </w:t>
      </w:r>
      <w:r w:rsidRPr="0077792F">
        <w:rPr>
          <w:rFonts w:ascii="Arial" w:hAnsi="Arial" w:cs="Arial"/>
          <w:sz w:val="26"/>
          <w:szCs w:val="26"/>
        </w:rPr>
        <w:t>Al ser la legitimación un requisito de procedibilidad de la tutela, la presente será declarada improcedente, siguiendo de cerca lo señalado por la Corte Constitucional, que ha dicho</w:t>
      </w:r>
      <w:r w:rsidRPr="0077792F">
        <w:rPr>
          <w:rStyle w:val="Refdenotaalpie"/>
          <w:rFonts w:ascii="Arial" w:hAnsi="Arial" w:cs="Arial"/>
          <w:sz w:val="26"/>
          <w:szCs w:val="26"/>
        </w:rPr>
        <w:footnoteReference w:id="4"/>
      </w:r>
      <w:r w:rsidRPr="0077792F">
        <w:rPr>
          <w:rFonts w:ascii="Arial" w:hAnsi="Arial" w:cs="Arial"/>
          <w:sz w:val="26"/>
          <w:szCs w:val="26"/>
        </w:rPr>
        <w:t>:</w:t>
      </w:r>
    </w:p>
    <w:p w:rsidR="000C7083" w:rsidRPr="0077792F" w:rsidRDefault="000C7083" w:rsidP="000C708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i/>
          <w:sz w:val="24"/>
          <w:szCs w:val="24"/>
        </w:rPr>
      </w:pPr>
    </w:p>
    <w:p w:rsidR="000C7083" w:rsidRPr="0077792F" w:rsidRDefault="000C7083" w:rsidP="000C7083">
      <w:pPr>
        <w:shd w:val="clear" w:color="auto" w:fill="FFFFFF"/>
        <w:ind w:left="567" w:right="567"/>
        <w:jc w:val="both"/>
        <w:rPr>
          <w:rFonts w:ascii="Arial" w:hAnsi="Arial" w:cs="Arial"/>
          <w:i/>
          <w:sz w:val="24"/>
          <w:szCs w:val="24"/>
        </w:rPr>
      </w:pPr>
      <w:r w:rsidRPr="0077792F">
        <w:rPr>
          <w:rFonts w:ascii="Arial" w:hAnsi="Arial" w:cs="Arial"/>
          <w:i/>
          <w:sz w:val="24"/>
          <w:szCs w:val="24"/>
        </w:rPr>
        <w:t>“La Corte Constitucional se ha referido a la legitimación en la causa como un requisito de procedibilidad de la acción de tutela, en los siguientes términos</w:t>
      </w:r>
      <w:r w:rsidRPr="0077792F">
        <w:rPr>
          <w:rStyle w:val="Refdenotaalpie"/>
          <w:rFonts w:ascii="Arial" w:hAnsi="Arial" w:cs="Arial"/>
          <w:i/>
          <w:sz w:val="24"/>
          <w:szCs w:val="24"/>
        </w:rPr>
        <w:footnoteReference w:id="5"/>
      </w:r>
      <w:r w:rsidRPr="0077792F">
        <w:rPr>
          <w:rFonts w:ascii="Arial" w:hAnsi="Arial" w:cs="Arial"/>
          <w:i/>
          <w:sz w:val="24"/>
          <w:szCs w:val="24"/>
        </w:rPr>
        <w:t>:</w:t>
      </w:r>
    </w:p>
    <w:p w:rsidR="000C7083" w:rsidRPr="0077792F" w:rsidRDefault="000C7083" w:rsidP="000C7083">
      <w:pPr>
        <w:shd w:val="clear" w:color="auto" w:fill="FFFFFF"/>
        <w:ind w:right="20"/>
        <w:jc w:val="both"/>
        <w:rPr>
          <w:rFonts w:ascii="Arial" w:hAnsi="Arial" w:cs="Arial"/>
          <w:i/>
          <w:sz w:val="24"/>
          <w:szCs w:val="24"/>
        </w:rPr>
      </w:pPr>
      <w:r w:rsidRPr="0077792F">
        <w:rPr>
          <w:rFonts w:ascii="Arial" w:hAnsi="Arial" w:cs="Arial"/>
          <w:i/>
          <w:sz w:val="24"/>
          <w:szCs w:val="24"/>
        </w:rPr>
        <w:t> </w:t>
      </w:r>
    </w:p>
    <w:p w:rsidR="000C7083" w:rsidRPr="0077792F" w:rsidRDefault="000C7083" w:rsidP="000C7083">
      <w:pPr>
        <w:shd w:val="clear" w:color="auto" w:fill="FFFFFF"/>
        <w:ind w:left="1134" w:right="1134"/>
        <w:jc w:val="both"/>
        <w:rPr>
          <w:rFonts w:ascii="Arial" w:hAnsi="Arial" w:cs="Arial"/>
          <w:i/>
          <w:sz w:val="24"/>
          <w:szCs w:val="24"/>
        </w:rPr>
      </w:pPr>
      <w:r w:rsidRPr="0077792F">
        <w:rPr>
          <w:rFonts w:ascii="Arial" w:hAnsi="Arial" w:cs="Arial"/>
          <w:i/>
          <w:iCs/>
          <w:sz w:val="24"/>
          <w:szCs w:val="24"/>
          <w:bdr w:val="none" w:sz="0" w:space="0" w:color="auto" w:frame="1"/>
        </w:rPr>
        <w:t>“La legitimación en la causa es un presupuesto de la sentencia de fondo porque otorga a las partes el derecho a que el juez se pronuncie sobre el mérito de las pretensiones del actor y las razones de la oposición por el demandado, mediante sentencia favorable o desfavorable. Es una calidad subjetiva de las partes en relación con el interés sustancial que se discute en el proceso. Por tanto, cuando una de las partes carece de dicha calidad o atributo, no puede el juez adoptar una decisión de mérito y debe entonces simplemente declararse inhibido para fallar el caso de fondo.</w:t>
      </w:r>
    </w:p>
    <w:p w:rsidR="000C7083" w:rsidRPr="0077792F" w:rsidRDefault="000C7083" w:rsidP="000C7083">
      <w:pPr>
        <w:shd w:val="clear" w:color="auto" w:fill="FFFFFF"/>
        <w:ind w:left="1134" w:right="1134"/>
        <w:jc w:val="both"/>
        <w:rPr>
          <w:rFonts w:ascii="Arial" w:hAnsi="Arial" w:cs="Arial"/>
          <w:i/>
          <w:sz w:val="24"/>
          <w:szCs w:val="24"/>
        </w:rPr>
      </w:pPr>
      <w:r w:rsidRPr="0077792F">
        <w:rPr>
          <w:rFonts w:ascii="Arial" w:hAnsi="Arial" w:cs="Arial"/>
          <w:i/>
          <w:sz w:val="24"/>
          <w:szCs w:val="24"/>
        </w:rPr>
        <w:t> </w:t>
      </w:r>
    </w:p>
    <w:p w:rsidR="000C7083" w:rsidRDefault="000C7083" w:rsidP="000C7083">
      <w:pPr>
        <w:shd w:val="clear" w:color="auto" w:fill="FFFFFF"/>
        <w:ind w:left="1134" w:right="1134"/>
        <w:jc w:val="both"/>
        <w:rPr>
          <w:rFonts w:ascii="Verdana" w:hAnsi="Verdana"/>
          <w:b/>
          <w:szCs w:val="28"/>
        </w:rPr>
      </w:pPr>
      <w:r w:rsidRPr="0077792F">
        <w:rPr>
          <w:rFonts w:ascii="Arial" w:hAnsi="Arial" w:cs="Arial"/>
          <w:i/>
          <w:iCs/>
          <w:sz w:val="24"/>
          <w:szCs w:val="24"/>
          <w:bdr w:val="none" w:sz="0" w:space="0" w:color="auto" w:frame="1"/>
        </w:rPr>
        <w:t>La legitimación por activa es requisito de procedibilidad. Esta exigencia significa que el derecho para cuya protección se interpone la acción sea un derecho fundamental propio del demandante y no de otra persona…Adicionalmente, la legitimación en la causa como requisito de procedibilidad exige la presencia de un nexo de causalidad entre la vulneración de los derechos del demandante, y la acción u omisión de la autoridad o el particular demandado, vínculo sin el cual la tutela se torna improcedente.”</w:t>
      </w:r>
    </w:p>
    <w:p w:rsidR="000C7083" w:rsidRDefault="000C7083" w:rsidP="000C7083">
      <w:pPr>
        <w:pStyle w:val="Sinespaciado1"/>
        <w:spacing w:line="360" w:lineRule="auto"/>
        <w:ind w:firstLine="2835"/>
        <w:jc w:val="both"/>
        <w:rPr>
          <w:rFonts w:ascii="Arial" w:hAnsi="Arial" w:cs="Arial"/>
          <w:sz w:val="26"/>
          <w:szCs w:val="26"/>
          <w:lang w:val="es-ES"/>
        </w:rPr>
      </w:pPr>
    </w:p>
    <w:p w:rsidR="000C7083" w:rsidRDefault="000C7083" w:rsidP="000C7083">
      <w:pPr>
        <w:pStyle w:val="bodytextindent1"/>
        <w:shd w:val="clear" w:color="auto" w:fill="FFFFFF"/>
        <w:spacing w:before="0" w:beforeAutospacing="0" w:after="0" w:afterAutospacing="0" w:line="360" w:lineRule="auto"/>
        <w:ind w:firstLine="2835"/>
        <w:jc w:val="both"/>
        <w:rPr>
          <w:rFonts w:ascii="Arial" w:hAnsi="Arial" w:cs="Arial"/>
          <w:sz w:val="26"/>
          <w:szCs w:val="26"/>
          <w:lang w:val="es-ES"/>
        </w:rPr>
      </w:pPr>
      <w:r>
        <w:rPr>
          <w:rFonts w:ascii="Arial" w:hAnsi="Arial" w:cs="Arial"/>
          <w:sz w:val="26"/>
          <w:szCs w:val="26"/>
        </w:rPr>
        <w:t xml:space="preserve">4. </w:t>
      </w:r>
      <w:r w:rsidRPr="00574DC4">
        <w:rPr>
          <w:rFonts w:ascii="Arial" w:hAnsi="Arial" w:cs="Arial"/>
          <w:sz w:val="26"/>
          <w:szCs w:val="26"/>
          <w:lang w:val="es-ES"/>
        </w:rPr>
        <w:t>Por lo anteriormente reseñado,</w:t>
      </w:r>
      <w:r>
        <w:rPr>
          <w:rFonts w:ascii="Arial" w:hAnsi="Arial" w:cs="Arial"/>
          <w:sz w:val="26"/>
          <w:szCs w:val="26"/>
          <w:lang w:val="es-ES"/>
        </w:rPr>
        <w:t xml:space="preserve"> se declarará</w:t>
      </w:r>
      <w:r w:rsidRPr="00574DC4">
        <w:rPr>
          <w:rFonts w:ascii="Arial" w:hAnsi="Arial" w:cs="Arial"/>
          <w:sz w:val="26"/>
          <w:szCs w:val="26"/>
          <w:lang w:val="es-ES"/>
        </w:rPr>
        <w:t xml:space="preserve"> </w:t>
      </w:r>
      <w:r w:rsidRPr="00AE1235">
        <w:rPr>
          <w:rFonts w:ascii="Arial" w:hAnsi="Arial" w:cs="Arial"/>
          <w:sz w:val="26"/>
          <w:szCs w:val="26"/>
          <w:lang w:val="es-ES"/>
        </w:rPr>
        <w:t xml:space="preserve">improcedente la </w:t>
      </w:r>
      <w:r>
        <w:rPr>
          <w:rFonts w:ascii="Arial" w:hAnsi="Arial" w:cs="Arial"/>
          <w:sz w:val="26"/>
          <w:szCs w:val="26"/>
          <w:lang w:val="es-ES"/>
        </w:rPr>
        <w:t xml:space="preserve">presente </w:t>
      </w:r>
      <w:r w:rsidRPr="00AE1235">
        <w:rPr>
          <w:rFonts w:ascii="Arial" w:hAnsi="Arial" w:cs="Arial"/>
          <w:sz w:val="26"/>
          <w:szCs w:val="26"/>
          <w:lang w:val="es-ES"/>
        </w:rPr>
        <w:t>tutela, por haberse incumplido el requisito de procedibilidad de legitimación en la causa por activa. Se</w:t>
      </w:r>
      <w:r>
        <w:rPr>
          <w:rFonts w:ascii="Arial" w:hAnsi="Arial" w:cs="Arial"/>
          <w:sz w:val="26"/>
          <w:szCs w:val="26"/>
          <w:lang w:val="es-ES"/>
        </w:rPr>
        <w:t xml:space="preserve"> </w:t>
      </w:r>
      <w:r>
        <w:rPr>
          <w:rFonts w:ascii="Arial" w:hAnsi="Arial" w:cs="Arial"/>
          <w:sz w:val="26"/>
          <w:szCs w:val="26"/>
        </w:rPr>
        <w:t>ordenará la desvinculación de los demás convocados a este trámite</w:t>
      </w:r>
      <w:r>
        <w:rPr>
          <w:rFonts w:ascii="Arial" w:hAnsi="Arial" w:cs="Arial"/>
          <w:sz w:val="26"/>
          <w:szCs w:val="26"/>
          <w:lang w:val="es-ES"/>
        </w:rPr>
        <w:t xml:space="preserve">. </w:t>
      </w:r>
    </w:p>
    <w:p w:rsidR="000C7083" w:rsidRDefault="000C7083" w:rsidP="000C7083">
      <w:pPr>
        <w:pStyle w:val="Sinespaciado1"/>
        <w:spacing w:line="360" w:lineRule="auto"/>
        <w:ind w:firstLine="2835"/>
        <w:jc w:val="both"/>
        <w:rPr>
          <w:rFonts w:ascii="Arial" w:hAnsi="Arial" w:cs="Arial"/>
          <w:sz w:val="24"/>
          <w:szCs w:val="26"/>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D806ED">
        <w:rPr>
          <w:rFonts w:ascii="Arial" w:hAnsi="Arial" w:cs="Arial"/>
          <w:szCs w:val="24"/>
          <w:lang w:val="es-ES" w:eastAsia="es-ES"/>
        </w:rPr>
        <w:t>JAVIER ELÍAS ARIAS IDÁRRAGA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D806ED">
        <w:rPr>
          <w:rFonts w:ascii="Arial" w:hAnsi="Arial" w:cs="Arial"/>
          <w:szCs w:val="28"/>
          <w:lang w:val="es-ES" w:eastAsia="es-ES"/>
        </w:rPr>
        <w:t xml:space="preserve"> SEGUND</w:t>
      </w:r>
      <w:r w:rsidR="00766F63">
        <w:rPr>
          <w:rFonts w:ascii="Arial" w:hAnsi="Arial" w:cs="Arial"/>
          <w:szCs w:val="28"/>
          <w:lang w:val="es-ES" w:eastAsia="es-ES"/>
        </w:rPr>
        <w:t xml:space="preserve">O </w:t>
      </w:r>
      <w:r w:rsidR="00766F63" w:rsidRPr="000905F6">
        <w:rPr>
          <w:rFonts w:ascii="Arial" w:hAnsi="Arial" w:cs="Arial"/>
          <w:szCs w:val="28"/>
          <w:lang w:val="es-ES" w:eastAsia="es-ES"/>
        </w:rPr>
        <w:t>CIVIL DEL CIRCUITO DE PEREIRA</w:t>
      </w:r>
      <w:r w:rsidR="00D806ED">
        <w:rPr>
          <w:rFonts w:ascii="Arial" w:hAnsi="Arial" w:cs="Arial"/>
          <w:szCs w:val="28"/>
          <w:lang w:val="es-ES" w:eastAsia="es-ES"/>
        </w:rPr>
        <w:t xml:space="preserve"> </w:t>
      </w:r>
      <w:r w:rsidR="00D806ED">
        <w:rPr>
          <w:rFonts w:ascii="Arial" w:hAnsi="Arial" w:cs="Arial"/>
          <w:sz w:val="26"/>
          <w:szCs w:val="26"/>
          <w:lang w:val="es-ES" w:eastAsia="es-ES"/>
        </w:rPr>
        <w:t xml:space="preserve">y el </w:t>
      </w:r>
      <w:r w:rsidR="00D806ED" w:rsidRPr="00541D87">
        <w:rPr>
          <w:rFonts w:ascii="Arial" w:hAnsi="Arial" w:cs="Arial"/>
          <w:szCs w:val="28"/>
          <w:lang w:val="es-ES" w:eastAsia="es-ES"/>
        </w:rPr>
        <w:t>PROCURAD</w:t>
      </w:r>
      <w:r w:rsidR="00D806ED">
        <w:rPr>
          <w:rFonts w:ascii="Arial" w:hAnsi="Arial" w:cs="Arial"/>
          <w:szCs w:val="28"/>
          <w:lang w:val="es-ES" w:eastAsia="es-ES"/>
        </w:rPr>
        <w:t>OR JUDICIAL 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8E7F10">
        <w:rPr>
          <w:rFonts w:ascii="Arial" w:hAnsi="Arial" w:cs="Arial"/>
          <w:sz w:val="26"/>
          <w:szCs w:val="26"/>
          <w:lang w:val="es-ES" w:eastAsia="es-ES"/>
        </w:rPr>
        <w:t xml:space="preserve"> y al señor </w:t>
      </w:r>
      <w:r w:rsidR="008E7F10" w:rsidRPr="008E7F10">
        <w:rPr>
          <w:rFonts w:ascii="Arial" w:hAnsi="Arial" w:cs="Arial"/>
          <w:szCs w:val="26"/>
          <w:lang w:val="es-ES" w:eastAsia="es-ES"/>
        </w:rPr>
        <w:t>UNER AUGUSTO BECERRA LARGO</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F740DA" w:rsidRDefault="00F740D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F740DA" w:rsidRDefault="00F740DA" w:rsidP="007736EE">
      <w:pPr>
        <w:pStyle w:val="Sinespaciado1"/>
        <w:ind w:firstLine="2835"/>
        <w:jc w:val="both"/>
        <w:rPr>
          <w:rFonts w:ascii="Arial" w:hAnsi="Arial" w:cs="Arial"/>
          <w:b/>
          <w:spacing w:val="-3"/>
        </w:rPr>
      </w:pPr>
    </w:p>
    <w:p w:rsidR="00F740DA" w:rsidRDefault="00AE243A" w:rsidP="00F740DA">
      <w:pPr>
        <w:pStyle w:val="Sinespaciado1"/>
        <w:jc w:val="both"/>
        <w:rPr>
          <w:rFonts w:ascii="Arial" w:hAnsi="Arial" w:cs="Arial"/>
          <w:b/>
        </w:rPr>
      </w:pPr>
      <w:r w:rsidRPr="007B53F8">
        <w:rPr>
          <w:rFonts w:ascii="Arial" w:hAnsi="Arial" w:cs="Arial"/>
          <w:b/>
          <w:spacing w:val="-3"/>
        </w:rPr>
        <w:t>JAIME ALBERTO SARAZA NARANJO</w:t>
      </w:r>
      <w:r w:rsidR="00F740DA">
        <w:rPr>
          <w:rFonts w:ascii="Arial" w:hAnsi="Arial" w:cs="Arial"/>
          <w:b/>
          <w:spacing w:val="-3"/>
        </w:rPr>
        <w:tab/>
      </w:r>
      <w:r w:rsidR="00F740DA">
        <w:rPr>
          <w:rFonts w:ascii="Arial" w:hAnsi="Arial" w:cs="Arial"/>
          <w:b/>
          <w:spacing w:val="-3"/>
        </w:rPr>
        <w:tab/>
        <w:t xml:space="preserve">           </w:t>
      </w:r>
      <w:r w:rsidR="00240D0C" w:rsidRPr="007C5D65">
        <w:rPr>
          <w:rFonts w:ascii="Arial" w:hAnsi="Arial" w:cs="Arial"/>
          <w:b/>
        </w:rPr>
        <w:t>CLAUDIA MARÍA ARCILA RÍOS</w:t>
      </w:r>
    </w:p>
    <w:p w:rsidR="00F740DA" w:rsidRPr="00F740DA" w:rsidRDefault="00F740DA" w:rsidP="00F740DA">
      <w:pPr>
        <w:pStyle w:val="Sinespaciado1"/>
        <w:ind w:firstLine="708"/>
        <w:jc w:val="both"/>
        <w:rPr>
          <w:rFonts w:ascii="Arial" w:hAnsi="Arial" w:cs="Arial"/>
        </w:rPr>
      </w:pPr>
      <w:r>
        <w:rPr>
          <w:rFonts w:ascii="Arial" w:hAnsi="Arial" w:cs="Arial"/>
        </w:rPr>
        <w:t>(con ausencia justificada)</w:t>
      </w:r>
    </w:p>
    <w:sectPr w:rsidR="00F740DA" w:rsidRPr="00F740DA" w:rsidSect="00081AFC">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8A" w:rsidRDefault="00D92A8A" w:rsidP="00AE243A">
      <w:r>
        <w:separator/>
      </w:r>
    </w:p>
  </w:endnote>
  <w:endnote w:type="continuationSeparator" w:id="0">
    <w:p w:rsidR="00D92A8A" w:rsidRDefault="00D92A8A"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7682F">
      <w:rPr>
        <w:rFonts w:ascii="Arial" w:hAnsi="Arial" w:cs="Arial"/>
        <w:noProof/>
        <w:sz w:val="22"/>
        <w:szCs w:val="22"/>
      </w:rPr>
      <w:t>8</w:t>
    </w:r>
    <w:r w:rsidRPr="00B97631">
      <w:rPr>
        <w:rFonts w:ascii="Arial" w:hAnsi="Arial" w:cs="Arial"/>
        <w:sz w:val="22"/>
        <w:szCs w:val="22"/>
      </w:rPr>
      <w:fldChar w:fldCharType="end"/>
    </w:r>
  </w:p>
  <w:p w:rsidR="0081398C" w:rsidRDefault="00D92A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8A" w:rsidRDefault="00D92A8A" w:rsidP="00AE243A">
      <w:r>
        <w:separator/>
      </w:r>
    </w:p>
  </w:footnote>
  <w:footnote w:type="continuationSeparator" w:id="0">
    <w:p w:rsidR="00D92A8A" w:rsidRDefault="00D92A8A" w:rsidP="00AE243A">
      <w:r>
        <w:continuationSeparator/>
      </w:r>
    </w:p>
  </w:footnote>
  <w:footnote w:id="1">
    <w:p w:rsidR="0029026E" w:rsidRPr="00963C60" w:rsidRDefault="0029026E" w:rsidP="0029026E">
      <w:pPr>
        <w:pStyle w:val="Textonotapie"/>
        <w:jc w:val="both"/>
        <w:rPr>
          <w:rFonts w:ascii="Verdana" w:hAnsi="Verdana"/>
          <w:sz w:val="18"/>
          <w:szCs w:val="16"/>
          <w:lang w:val="fr-FR"/>
        </w:rPr>
      </w:pPr>
      <w:r w:rsidRPr="00963C60">
        <w:rPr>
          <w:rStyle w:val="Refdenotaalpie"/>
          <w:rFonts w:ascii="Verdana" w:hAnsi="Verdana"/>
          <w:sz w:val="18"/>
          <w:szCs w:val="16"/>
        </w:rPr>
        <w:footnoteRef/>
      </w:r>
      <w:r w:rsidRPr="00963C60">
        <w:rPr>
          <w:rFonts w:ascii="Verdana" w:hAnsi="Verdana"/>
          <w:sz w:val="18"/>
          <w:szCs w:val="16"/>
          <w:lang w:val="fr-FR"/>
        </w:rPr>
        <w:t xml:space="preserve"> Sentencia T-1232 de 2004, reiterada en la T-510 de 2006.</w:t>
      </w:r>
    </w:p>
  </w:footnote>
  <w:footnote w:id="2">
    <w:p w:rsidR="0029026E" w:rsidRPr="00963C60" w:rsidRDefault="0029026E" w:rsidP="0029026E">
      <w:pPr>
        <w:pStyle w:val="Textonotapie"/>
        <w:jc w:val="both"/>
        <w:rPr>
          <w:rFonts w:ascii="Verdana" w:hAnsi="Verdana"/>
          <w:sz w:val="18"/>
          <w:szCs w:val="16"/>
        </w:rPr>
      </w:pPr>
      <w:r w:rsidRPr="00963C60">
        <w:rPr>
          <w:rStyle w:val="Refdenotaalpie"/>
          <w:rFonts w:ascii="Verdana" w:hAnsi="Verdana"/>
          <w:sz w:val="18"/>
          <w:szCs w:val="16"/>
        </w:rPr>
        <w:footnoteRef/>
      </w:r>
      <w:r w:rsidRPr="00963C60">
        <w:rPr>
          <w:rFonts w:ascii="Verdana" w:hAnsi="Verdana"/>
          <w:sz w:val="18"/>
          <w:szCs w:val="16"/>
        </w:rPr>
        <w:t xml:space="preserve"> Sala de Casación Civil. Magistrado Ponente: Dr. Luis Alonso Rico Puerta, sentencia del  SSTC5295-2017 del 19 de abril de 2017 radicado No. 6001-22-13-000-2017-00202-01</w:t>
      </w:r>
    </w:p>
  </w:footnote>
  <w:footnote w:id="3">
    <w:p w:rsidR="000C7083" w:rsidRPr="004D4994" w:rsidRDefault="000C7083" w:rsidP="000C7083">
      <w:pPr>
        <w:pStyle w:val="Textonotapie"/>
        <w:jc w:val="both"/>
        <w:rPr>
          <w:rFonts w:ascii="Arial" w:hAnsi="Arial" w:cs="Arial"/>
          <w:lang w:val="es-CO"/>
        </w:rPr>
      </w:pPr>
      <w:r w:rsidRPr="004D4994">
        <w:rPr>
          <w:rStyle w:val="Refdenotaalpie"/>
          <w:rFonts w:ascii="Arial" w:hAnsi="Arial" w:cs="Arial"/>
        </w:rPr>
        <w:footnoteRef/>
      </w:r>
      <w:r w:rsidRPr="004D4994">
        <w:rPr>
          <w:rFonts w:ascii="Arial" w:hAnsi="Arial" w:cs="Arial"/>
        </w:rPr>
        <w:t xml:space="preserve"> </w:t>
      </w:r>
      <w:r w:rsidRPr="004D4994">
        <w:rPr>
          <w:rFonts w:ascii="Arial" w:hAnsi="Arial" w:cs="Arial"/>
          <w:lang w:val="es-CO"/>
        </w:rPr>
        <w:t>Ver entre otras, sentencias T-201 de 2000, T- 658 de 2002, T-118 de 2003 y T-240 de 2004.</w:t>
      </w:r>
    </w:p>
  </w:footnote>
  <w:footnote w:id="4">
    <w:p w:rsidR="000C7083" w:rsidRPr="000165E4" w:rsidRDefault="000C7083" w:rsidP="000C7083">
      <w:pPr>
        <w:pStyle w:val="Textonotapie"/>
        <w:jc w:val="both"/>
        <w:rPr>
          <w:rFonts w:ascii="Verdana" w:hAnsi="Verdana"/>
          <w:sz w:val="18"/>
          <w:szCs w:val="18"/>
          <w:lang w:val="es-CO"/>
        </w:rPr>
      </w:pPr>
      <w:r w:rsidRPr="000165E4">
        <w:rPr>
          <w:rStyle w:val="Refdenotaalpie"/>
          <w:rFonts w:ascii="Verdana" w:hAnsi="Verdana"/>
          <w:sz w:val="18"/>
          <w:szCs w:val="18"/>
        </w:rPr>
        <w:footnoteRef/>
      </w:r>
      <w:r w:rsidRPr="000165E4">
        <w:rPr>
          <w:rFonts w:ascii="Verdana" w:hAnsi="Verdana"/>
          <w:sz w:val="18"/>
          <w:szCs w:val="18"/>
        </w:rPr>
        <w:t xml:space="preserve"> Sentencia T-464 de 2013</w:t>
      </w:r>
    </w:p>
  </w:footnote>
  <w:footnote w:id="5">
    <w:p w:rsidR="000C7083" w:rsidRPr="000165E4" w:rsidRDefault="000C7083" w:rsidP="000C7083">
      <w:pPr>
        <w:pStyle w:val="Textonotapie"/>
        <w:jc w:val="both"/>
        <w:rPr>
          <w:rFonts w:ascii="Verdana" w:hAnsi="Verdana"/>
          <w:sz w:val="18"/>
          <w:szCs w:val="18"/>
          <w:lang w:val="es-CO"/>
        </w:rPr>
      </w:pPr>
      <w:r w:rsidRPr="000165E4">
        <w:rPr>
          <w:rStyle w:val="Refdenotaalpie"/>
          <w:rFonts w:ascii="Verdana" w:hAnsi="Verdana"/>
          <w:sz w:val="18"/>
          <w:szCs w:val="18"/>
        </w:rPr>
        <w:footnoteRef/>
      </w:r>
      <w:r w:rsidRPr="000165E4">
        <w:rPr>
          <w:rFonts w:ascii="Verdana" w:hAnsi="Verdana"/>
          <w:sz w:val="18"/>
          <w:szCs w:val="18"/>
        </w:rPr>
        <w:t xml:space="preserve"> T-928 de noviembre 9 de 2012, M. 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D92A8A" w:rsidP="002C5601">
    <w:pPr>
      <w:pStyle w:val="Sinespaciado1"/>
      <w:rPr>
        <w:rFonts w:ascii="Arial" w:hAnsi="Arial" w:cs="Arial"/>
        <w:sz w:val="16"/>
        <w:szCs w:val="16"/>
      </w:rPr>
    </w:pPr>
  </w:p>
  <w:p w:rsidR="0081398C" w:rsidRPr="005643A9" w:rsidRDefault="00D92A8A"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w:t>
    </w:r>
    <w:r w:rsidR="00761C5A">
      <w:rPr>
        <w:rFonts w:ascii="Arial" w:hAnsi="Arial" w:cs="Arial"/>
        <w:sz w:val="16"/>
        <w:szCs w:val="16"/>
      </w:rPr>
      <w:t>222</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3872"/>
    <w:rsid w:val="00051AAC"/>
    <w:rsid w:val="000625EF"/>
    <w:rsid w:val="0007278E"/>
    <w:rsid w:val="00081AFC"/>
    <w:rsid w:val="000C3964"/>
    <w:rsid w:val="000C42C4"/>
    <w:rsid w:val="000C7083"/>
    <w:rsid w:val="000D15E9"/>
    <w:rsid w:val="000E3CFC"/>
    <w:rsid w:val="00132ABC"/>
    <w:rsid w:val="00164C0B"/>
    <w:rsid w:val="001905DA"/>
    <w:rsid w:val="001A4168"/>
    <w:rsid w:val="001A7C70"/>
    <w:rsid w:val="001C2400"/>
    <w:rsid w:val="001D15B3"/>
    <w:rsid w:val="002169BE"/>
    <w:rsid w:val="00240D0C"/>
    <w:rsid w:val="0029026E"/>
    <w:rsid w:val="002A4761"/>
    <w:rsid w:val="002A72C4"/>
    <w:rsid w:val="002C09D8"/>
    <w:rsid w:val="002E4B4A"/>
    <w:rsid w:val="002F7C30"/>
    <w:rsid w:val="0030337A"/>
    <w:rsid w:val="0030546B"/>
    <w:rsid w:val="00312D34"/>
    <w:rsid w:val="00345946"/>
    <w:rsid w:val="00350BCA"/>
    <w:rsid w:val="00357698"/>
    <w:rsid w:val="00367510"/>
    <w:rsid w:val="003E27A5"/>
    <w:rsid w:val="003F2EC4"/>
    <w:rsid w:val="00423C2B"/>
    <w:rsid w:val="00426081"/>
    <w:rsid w:val="00432137"/>
    <w:rsid w:val="00435E28"/>
    <w:rsid w:val="00437B37"/>
    <w:rsid w:val="00457404"/>
    <w:rsid w:val="004747D5"/>
    <w:rsid w:val="00485864"/>
    <w:rsid w:val="004B0C81"/>
    <w:rsid w:val="004B3EE1"/>
    <w:rsid w:val="004C4C50"/>
    <w:rsid w:val="004D0323"/>
    <w:rsid w:val="0051211F"/>
    <w:rsid w:val="0052226D"/>
    <w:rsid w:val="005305C1"/>
    <w:rsid w:val="00531EC7"/>
    <w:rsid w:val="0054132A"/>
    <w:rsid w:val="00550956"/>
    <w:rsid w:val="005522D4"/>
    <w:rsid w:val="00565AAE"/>
    <w:rsid w:val="00581449"/>
    <w:rsid w:val="005967CA"/>
    <w:rsid w:val="005A5FC9"/>
    <w:rsid w:val="005B36E7"/>
    <w:rsid w:val="005F26B0"/>
    <w:rsid w:val="0060339E"/>
    <w:rsid w:val="006169E2"/>
    <w:rsid w:val="00633E9E"/>
    <w:rsid w:val="0065369F"/>
    <w:rsid w:val="00674B15"/>
    <w:rsid w:val="00684398"/>
    <w:rsid w:val="00690547"/>
    <w:rsid w:val="00695158"/>
    <w:rsid w:val="006A2865"/>
    <w:rsid w:val="006A68C7"/>
    <w:rsid w:val="006A7EF2"/>
    <w:rsid w:val="006B13EF"/>
    <w:rsid w:val="006C001A"/>
    <w:rsid w:val="006D2DC9"/>
    <w:rsid w:val="006F2871"/>
    <w:rsid w:val="00744E75"/>
    <w:rsid w:val="00761C5A"/>
    <w:rsid w:val="00765914"/>
    <w:rsid w:val="00766F63"/>
    <w:rsid w:val="00767108"/>
    <w:rsid w:val="007736EE"/>
    <w:rsid w:val="007A2441"/>
    <w:rsid w:val="007A6E29"/>
    <w:rsid w:val="007A78F8"/>
    <w:rsid w:val="007B4047"/>
    <w:rsid w:val="007B53F8"/>
    <w:rsid w:val="007D5894"/>
    <w:rsid w:val="007D7F72"/>
    <w:rsid w:val="00803058"/>
    <w:rsid w:val="00857245"/>
    <w:rsid w:val="00857AD0"/>
    <w:rsid w:val="008D6BEF"/>
    <w:rsid w:val="008E171B"/>
    <w:rsid w:val="008E4205"/>
    <w:rsid w:val="008E7F10"/>
    <w:rsid w:val="0091731B"/>
    <w:rsid w:val="00930E69"/>
    <w:rsid w:val="009311E1"/>
    <w:rsid w:val="009613B4"/>
    <w:rsid w:val="00972E98"/>
    <w:rsid w:val="009826AE"/>
    <w:rsid w:val="009933CD"/>
    <w:rsid w:val="009A043E"/>
    <w:rsid w:val="009D4838"/>
    <w:rsid w:val="009E32AB"/>
    <w:rsid w:val="009F7D32"/>
    <w:rsid w:val="00A3179D"/>
    <w:rsid w:val="00A33337"/>
    <w:rsid w:val="00A36CB3"/>
    <w:rsid w:val="00A4591A"/>
    <w:rsid w:val="00A55E34"/>
    <w:rsid w:val="00A611D8"/>
    <w:rsid w:val="00A64EFC"/>
    <w:rsid w:val="00A660B9"/>
    <w:rsid w:val="00A84B56"/>
    <w:rsid w:val="00AB3444"/>
    <w:rsid w:val="00AB7A96"/>
    <w:rsid w:val="00AE23B7"/>
    <w:rsid w:val="00AE243A"/>
    <w:rsid w:val="00B47DE8"/>
    <w:rsid w:val="00B50912"/>
    <w:rsid w:val="00B61F99"/>
    <w:rsid w:val="00B71639"/>
    <w:rsid w:val="00B96AD1"/>
    <w:rsid w:val="00BA20C9"/>
    <w:rsid w:val="00C37D0B"/>
    <w:rsid w:val="00C52D41"/>
    <w:rsid w:val="00C54A59"/>
    <w:rsid w:val="00C649A4"/>
    <w:rsid w:val="00C66E8B"/>
    <w:rsid w:val="00C924B7"/>
    <w:rsid w:val="00CA544C"/>
    <w:rsid w:val="00CB0752"/>
    <w:rsid w:val="00CB5056"/>
    <w:rsid w:val="00CC3BFA"/>
    <w:rsid w:val="00CC60EF"/>
    <w:rsid w:val="00D11191"/>
    <w:rsid w:val="00D2136D"/>
    <w:rsid w:val="00D3550E"/>
    <w:rsid w:val="00D42CD8"/>
    <w:rsid w:val="00D54574"/>
    <w:rsid w:val="00D61848"/>
    <w:rsid w:val="00D806ED"/>
    <w:rsid w:val="00D900B5"/>
    <w:rsid w:val="00D92A8A"/>
    <w:rsid w:val="00DB3464"/>
    <w:rsid w:val="00DD1E33"/>
    <w:rsid w:val="00DE03EF"/>
    <w:rsid w:val="00DF378D"/>
    <w:rsid w:val="00DF72A3"/>
    <w:rsid w:val="00E04A72"/>
    <w:rsid w:val="00E31A0A"/>
    <w:rsid w:val="00E34062"/>
    <w:rsid w:val="00E3691E"/>
    <w:rsid w:val="00E55A19"/>
    <w:rsid w:val="00E70DA9"/>
    <w:rsid w:val="00EC7997"/>
    <w:rsid w:val="00F325FE"/>
    <w:rsid w:val="00F5507E"/>
    <w:rsid w:val="00F72DCD"/>
    <w:rsid w:val="00F740DA"/>
    <w:rsid w:val="00F7682F"/>
    <w:rsid w:val="00F90902"/>
    <w:rsid w:val="00F91129"/>
    <w:rsid w:val="00F939B1"/>
    <w:rsid w:val="00FE4EA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uiPriority w:val="99"/>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bodytextindent1">
    <w:name w:val="bodytextindent1"/>
    <w:basedOn w:val="Normal"/>
    <w:rsid w:val="000C7083"/>
    <w:pPr>
      <w:spacing w:before="100" w:beforeAutospacing="1" w:after="100" w:afterAutospacing="1"/>
    </w:pPr>
    <w:rPr>
      <w:rFonts w:eastAsia="Times New Roman"/>
      <w:sz w:val="24"/>
      <w:szCs w:val="24"/>
      <w:lang w:val="es-CO" w:eastAsia="es-CO"/>
    </w:rPr>
  </w:style>
  <w:style w:type="paragraph" w:customStyle="1" w:styleId="Sinespaciado3">
    <w:name w:val="Sin espaciado3"/>
    <w:rsid w:val="00240D0C"/>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0EFC-10CF-4917-BBFF-F88A968F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1836</Words>
  <Characters>10100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12</cp:revision>
  <cp:lastPrinted>2018-05-29T18:39:00Z</cp:lastPrinted>
  <dcterms:created xsi:type="dcterms:W3CDTF">2018-05-25T20:24:00Z</dcterms:created>
  <dcterms:modified xsi:type="dcterms:W3CDTF">2018-06-21T14:45:00Z</dcterms:modified>
</cp:coreProperties>
</file>