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92A" w:rsidRPr="00E70E5D" w:rsidRDefault="009D592A" w:rsidP="009D592A">
      <w:pPr>
        <w:suppressAutoHyphens/>
        <w:spacing w:line="360" w:lineRule="auto"/>
        <w:ind w:firstLine="2835"/>
        <w:jc w:val="both"/>
        <w:rPr>
          <w:rFonts w:ascii="Arial" w:hAnsi="Arial" w:cs="Arial"/>
          <w:b/>
          <w:spacing w:val="-3"/>
          <w:sz w:val="24"/>
          <w:szCs w:val="24"/>
        </w:rPr>
      </w:pPr>
      <w:r w:rsidRPr="00E70E5D">
        <w:rPr>
          <w:rFonts w:ascii="Arial" w:hAnsi="Arial" w:cs="Arial"/>
          <w:b/>
          <w:spacing w:val="-3"/>
          <w:sz w:val="24"/>
          <w:szCs w:val="24"/>
        </w:rPr>
        <w:t>TRIBUNAL SUPERIOR DEL DISTRITO JUDICIAL</w:t>
      </w:r>
    </w:p>
    <w:p w:rsidR="009D592A" w:rsidRPr="00E70E5D" w:rsidRDefault="009D592A" w:rsidP="009D592A">
      <w:pPr>
        <w:suppressAutoHyphens/>
        <w:spacing w:line="360" w:lineRule="auto"/>
        <w:ind w:firstLine="2835"/>
        <w:jc w:val="both"/>
        <w:rPr>
          <w:rFonts w:ascii="Arial" w:hAnsi="Arial" w:cs="Arial"/>
          <w:spacing w:val="-3"/>
          <w:sz w:val="24"/>
          <w:szCs w:val="24"/>
        </w:rPr>
      </w:pPr>
      <w:r w:rsidRPr="00E70E5D">
        <w:rPr>
          <w:rFonts w:ascii="Arial" w:hAnsi="Arial" w:cs="Arial"/>
          <w:spacing w:val="-3"/>
          <w:sz w:val="24"/>
          <w:szCs w:val="24"/>
        </w:rPr>
        <w:t>SALA CIVIL-FAMILIA UNITARIA</w:t>
      </w:r>
    </w:p>
    <w:p w:rsidR="009D592A" w:rsidRPr="00E70E5D" w:rsidRDefault="009D592A" w:rsidP="009D592A">
      <w:pPr>
        <w:suppressAutoHyphens/>
        <w:spacing w:line="360" w:lineRule="auto"/>
        <w:ind w:firstLine="2835"/>
        <w:jc w:val="both"/>
        <w:rPr>
          <w:rFonts w:ascii="Arial" w:hAnsi="Arial" w:cs="Arial"/>
          <w:spacing w:val="-3"/>
          <w:sz w:val="24"/>
          <w:szCs w:val="24"/>
        </w:rPr>
      </w:pPr>
      <w:r w:rsidRPr="00E70E5D">
        <w:rPr>
          <w:rFonts w:ascii="Arial" w:hAnsi="Arial" w:cs="Arial"/>
          <w:spacing w:val="-3"/>
          <w:sz w:val="24"/>
          <w:szCs w:val="24"/>
        </w:rPr>
        <w:t xml:space="preserve">Magistrado: </w:t>
      </w:r>
      <w:r w:rsidRPr="001B3726">
        <w:rPr>
          <w:rFonts w:ascii="Arial" w:hAnsi="Arial" w:cs="Arial"/>
          <w:b/>
          <w:spacing w:val="-3"/>
          <w:sz w:val="24"/>
          <w:szCs w:val="24"/>
        </w:rPr>
        <w:t>Edder Jimmy Sánchez Calambás</w:t>
      </w:r>
    </w:p>
    <w:p w:rsidR="009D592A" w:rsidRPr="00E70E5D" w:rsidRDefault="00A54207" w:rsidP="009D592A">
      <w:pPr>
        <w:suppressAutoHyphens/>
        <w:spacing w:line="360" w:lineRule="auto"/>
        <w:ind w:firstLine="2835"/>
        <w:jc w:val="both"/>
        <w:rPr>
          <w:rFonts w:ascii="Arial" w:hAnsi="Arial" w:cs="Arial"/>
          <w:spacing w:val="-3"/>
          <w:sz w:val="24"/>
          <w:szCs w:val="24"/>
        </w:rPr>
      </w:pPr>
      <w:r>
        <w:rPr>
          <w:rFonts w:ascii="Arial" w:hAnsi="Arial" w:cs="Arial"/>
          <w:spacing w:val="-3"/>
          <w:sz w:val="24"/>
          <w:szCs w:val="24"/>
        </w:rPr>
        <w:t>Pereira, 28 de mayo</w:t>
      </w:r>
      <w:r w:rsidR="009D592A" w:rsidRPr="00E70E5D">
        <w:rPr>
          <w:rFonts w:ascii="Arial" w:hAnsi="Arial" w:cs="Arial"/>
          <w:spacing w:val="-3"/>
          <w:sz w:val="24"/>
          <w:szCs w:val="24"/>
        </w:rPr>
        <w:t xml:space="preserve"> de 201</w:t>
      </w:r>
      <w:r>
        <w:rPr>
          <w:rFonts w:ascii="Arial" w:hAnsi="Arial" w:cs="Arial"/>
          <w:spacing w:val="-3"/>
          <w:sz w:val="24"/>
          <w:szCs w:val="24"/>
        </w:rPr>
        <w:t>8</w:t>
      </w:r>
    </w:p>
    <w:p w:rsidR="009D592A" w:rsidRPr="00E70E5D" w:rsidRDefault="009D592A" w:rsidP="009D592A">
      <w:pPr>
        <w:suppressAutoHyphens/>
        <w:spacing w:line="360" w:lineRule="auto"/>
        <w:ind w:firstLine="2835"/>
        <w:jc w:val="both"/>
        <w:rPr>
          <w:rFonts w:ascii="Arial" w:hAnsi="Arial" w:cs="Arial"/>
          <w:spacing w:val="-3"/>
          <w:sz w:val="24"/>
          <w:szCs w:val="24"/>
        </w:rPr>
      </w:pPr>
      <w:r w:rsidRPr="00E70E5D">
        <w:rPr>
          <w:rFonts w:ascii="Arial" w:hAnsi="Arial" w:cs="Arial"/>
          <w:spacing w:val="-3"/>
          <w:sz w:val="24"/>
          <w:szCs w:val="24"/>
        </w:rPr>
        <w:t>Referencia: 66001-22-13-000-</w:t>
      </w:r>
      <w:r w:rsidRPr="00A54207">
        <w:rPr>
          <w:rFonts w:ascii="Arial" w:hAnsi="Arial" w:cs="Arial"/>
          <w:b/>
          <w:spacing w:val="-3"/>
          <w:sz w:val="24"/>
          <w:szCs w:val="24"/>
        </w:rPr>
        <w:t>201</w:t>
      </w:r>
      <w:r w:rsidR="00A54207" w:rsidRPr="00A54207">
        <w:rPr>
          <w:rFonts w:ascii="Arial" w:hAnsi="Arial" w:cs="Arial"/>
          <w:b/>
          <w:spacing w:val="-3"/>
          <w:sz w:val="24"/>
          <w:szCs w:val="24"/>
        </w:rPr>
        <w:t>8</w:t>
      </w:r>
      <w:r w:rsidRPr="00A54207">
        <w:rPr>
          <w:rFonts w:ascii="Arial" w:hAnsi="Arial" w:cs="Arial"/>
          <w:b/>
          <w:spacing w:val="-3"/>
          <w:sz w:val="24"/>
          <w:szCs w:val="24"/>
        </w:rPr>
        <w:t>-0</w:t>
      </w:r>
      <w:r w:rsidR="00EE71C3" w:rsidRPr="00A54207">
        <w:rPr>
          <w:rFonts w:ascii="Arial" w:hAnsi="Arial" w:cs="Arial"/>
          <w:b/>
          <w:spacing w:val="-3"/>
          <w:sz w:val="24"/>
          <w:szCs w:val="24"/>
        </w:rPr>
        <w:t>02</w:t>
      </w:r>
      <w:r w:rsidR="00A54207" w:rsidRPr="00A54207">
        <w:rPr>
          <w:rFonts w:ascii="Arial" w:hAnsi="Arial" w:cs="Arial"/>
          <w:b/>
          <w:spacing w:val="-3"/>
          <w:sz w:val="24"/>
          <w:szCs w:val="24"/>
        </w:rPr>
        <w:t>70</w:t>
      </w:r>
      <w:r w:rsidRPr="00E70E5D">
        <w:rPr>
          <w:rFonts w:ascii="Arial" w:hAnsi="Arial" w:cs="Arial"/>
          <w:spacing w:val="-3"/>
          <w:sz w:val="24"/>
          <w:szCs w:val="24"/>
        </w:rPr>
        <w:t>-00</w:t>
      </w:r>
    </w:p>
    <w:p w:rsidR="00CD3C2D" w:rsidRPr="00AC2D6B" w:rsidRDefault="00CD3C2D" w:rsidP="00DB335C">
      <w:pPr>
        <w:pStyle w:val="Sinespaciado1"/>
        <w:spacing w:line="360" w:lineRule="auto"/>
        <w:ind w:firstLine="2835"/>
        <w:rPr>
          <w:rFonts w:ascii="Arial" w:hAnsi="Arial" w:cs="Arial"/>
          <w:sz w:val="24"/>
          <w:szCs w:val="25"/>
          <w:lang w:val="es-ES" w:eastAsia="es-ES"/>
        </w:rPr>
      </w:pPr>
    </w:p>
    <w:p w:rsidR="00DB335C" w:rsidRPr="00C137A9" w:rsidRDefault="00DB335C" w:rsidP="00DB335C">
      <w:pPr>
        <w:pStyle w:val="Sinespaciado1"/>
        <w:spacing w:line="360" w:lineRule="auto"/>
        <w:ind w:firstLine="2835"/>
        <w:rPr>
          <w:rFonts w:ascii="Arial" w:hAnsi="Arial" w:cs="Arial"/>
          <w:b/>
          <w:szCs w:val="25"/>
          <w:lang w:val="es-ES" w:eastAsia="es-ES"/>
        </w:rPr>
      </w:pPr>
      <w:r w:rsidRPr="00C137A9">
        <w:rPr>
          <w:rFonts w:ascii="Arial" w:hAnsi="Arial" w:cs="Arial"/>
          <w:b/>
          <w:szCs w:val="25"/>
          <w:lang w:val="es-ES" w:eastAsia="es-ES"/>
        </w:rPr>
        <w:t>I. ASUNTO</w:t>
      </w:r>
      <w:bookmarkStart w:id="0" w:name="_GoBack"/>
      <w:bookmarkEnd w:id="0"/>
    </w:p>
    <w:p w:rsidR="00DB335C" w:rsidRPr="004B4EB4" w:rsidRDefault="00DB335C" w:rsidP="00DB335C">
      <w:pPr>
        <w:pStyle w:val="Sinespaciado1"/>
        <w:spacing w:line="360" w:lineRule="auto"/>
        <w:ind w:firstLine="2835"/>
        <w:rPr>
          <w:rFonts w:ascii="Arial" w:hAnsi="Arial" w:cs="Arial"/>
          <w:sz w:val="16"/>
          <w:szCs w:val="16"/>
          <w:lang w:val="es-ES" w:eastAsia="es-ES"/>
        </w:rPr>
      </w:pPr>
    </w:p>
    <w:p w:rsidR="00DB335C" w:rsidRPr="004B4EB4" w:rsidRDefault="00DB335C" w:rsidP="00DB335C">
      <w:pPr>
        <w:spacing w:line="360" w:lineRule="auto"/>
        <w:ind w:firstLine="2835"/>
        <w:jc w:val="both"/>
        <w:rPr>
          <w:rFonts w:ascii="Arial" w:hAnsi="Arial" w:cs="Arial"/>
          <w:sz w:val="24"/>
          <w:szCs w:val="24"/>
        </w:rPr>
      </w:pPr>
      <w:r w:rsidRPr="004B4EB4">
        <w:rPr>
          <w:rFonts w:ascii="Arial" w:hAnsi="Arial" w:cs="Arial"/>
          <w:sz w:val="24"/>
          <w:szCs w:val="24"/>
        </w:rPr>
        <w:t xml:space="preserve">Correspondería al Tribunal decidir la acción de tutela instaurada por el señor </w:t>
      </w:r>
      <w:r w:rsidRPr="004B4EB4">
        <w:rPr>
          <w:rFonts w:ascii="Arial" w:hAnsi="Arial" w:cs="Arial"/>
          <w:sz w:val="22"/>
          <w:szCs w:val="24"/>
        </w:rPr>
        <w:t xml:space="preserve">JAVIER ELÍAS ARIAS IDÁRRAGA </w:t>
      </w:r>
      <w:r w:rsidRPr="004B4EB4">
        <w:rPr>
          <w:rFonts w:ascii="Arial" w:hAnsi="Arial" w:cs="Arial"/>
          <w:sz w:val="24"/>
          <w:szCs w:val="24"/>
        </w:rPr>
        <w:t xml:space="preserve">promovida contra el </w:t>
      </w:r>
      <w:r w:rsidRPr="004B4EB4">
        <w:rPr>
          <w:rFonts w:ascii="Arial" w:hAnsi="Arial" w:cs="Arial"/>
          <w:sz w:val="22"/>
          <w:szCs w:val="24"/>
        </w:rPr>
        <w:t xml:space="preserve">JUZGADO CIVIL DEL CIRCUITO DE </w:t>
      </w:r>
      <w:r w:rsidR="00A54207">
        <w:rPr>
          <w:rFonts w:ascii="Arial" w:hAnsi="Arial" w:cs="Arial"/>
          <w:sz w:val="22"/>
          <w:szCs w:val="24"/>
        </w:rPr>
        <w:t>SANTA ROSA DE CABAL</w:t>
      </w:r>
      <w:r w:rsidRPr="004B4EB4">
        <w:rPr>
          <w:rFonts w:ascii="Arial" w:hAnsi="Arial" w:cs="Arial"/>
          <w:sz w:val="24"/>
          <w:szCs w:val="24"/>
        </w:rPr>
        <w:t>, si no fuese porque se carece de competencia para adelantar su trámite, como pasa a explicarse:</w:t>
      </w:r>
    </w:p>
    <w:p w:rsidR="00DB335C" w:rsidRPr="004B4EB4" w:rsidRDefault="00DB335C" w:rsidP="00DB335C">
      <w:pPr>
        <w:spacing w:line="360" w:lineRule="auto"/>
        <w:ind w:firstLine="2835"/>
        <w:jc w:val="both"/>
        <w:rPr>
          <w:rFonts w:ascii="Arial" w:hAnsi="Arial" w:cs="Arial"/>
          <w:sz w:val="16"/>
          <w:szCs w:val="16"/>
        </w:rPr>
      </w:pPr>
    </w:p>
    <w:p w:rsidR="00DB335C" w:rsidRPr="00A971B5" w:rsidRDefault="00DB335C" w:rsidP="00DB335C">
      <w:pPr>
        <w:pStyle w:val="Sinespaciado1"/>
        <w:spacing w:line="360" w:lineRule="auto"/>
        <w:ind w:firstLine="2835"/>
        <w:rPr>
          <w:rFonts w:ascii="Arial" w:hAnsi="Arial" w:cs="Arial"/>
          <w:b/>
          <w:szCs w:val="25"/>
          <w:lang w:val="es-ES" w:eastAsia="es-ES"/>
        </w:rPr>
      </w:pPr>
      <w:r w:rsidRPr="00A971B5">
        <w:rPr>
          <w:rFonts w:ascii="Arial" w:hAnsi="Arial" w:cs="Arial"/>
          <w:b/>
          <w:szCs w:val="25"/>
          <w:lang w:val="es-ES" w:eastAsia="es-ES"/>
        </w:rPr>
        <w:t xml:space="preserve">II. CONSIDERACIONES </w:t>
      </w:r>
    </w:p>
    <w:p w:rsidR="00DB335C" w:rsidRPr="004B4EB4" w:rsidRDefault="00DB335C" w:rsidP="00DB335C">
      <w:pPr>
        <w:spacing w:line="360" w:lineRule="auto"/>
        <w:ind w:firstLine="2835"/>
        <w:jc w:val="both"/>
        <w:rPr>
          <w:rFonts w:ascii="Arial" w:hAnsi="Arial" w:cs="Arial"/>
          <w:sz w:val="16"/>
          <w:szCs w:val="16"/>
        </w:rPr>
      </w:pPr>
    </w:p>
    <w:p w:rsidR="00DB335C" w:rsidRDefault="00DB335C" w:rsidP="00DB335C">
      <w:pPr>
        <w:spacing w:line="360" w:lineRule="auto"/>
        <w:ind w:firstLine="2835"/>
        <w:jc w:val="both"/>
        <w:rPr>
          <w:rFonts w:ascii="Arial" w:hAnsi="Arial" w:cs="Arial"/>
          <w:i/>
          <w:spacing w:val="-3"/>
          <w:sz w:val="16"/>
          <w:szCs w:val="26"/>
        </w:rPr>
      </w:pPr>
      <w:r w:rsidRPr="004B4EB4">
        <w:rPr>
          <w:rFonts w:ascii="Arial" w:hAnsi="Arial" w:cs="Arial"/>
          <w:sz w:val="24"/>
          <w:szCs w:val="26"/>
        </w:rPr>
        <w:t xml:space="preserve">1. Por suponer vulnerado </w:t>
      </w:r>
      <w:r w:rsidRPr="004B4EB4">
        <w:rPr>
          <w:rFonts w:ascii="Arial" w:hAnsi="Arial" w:cs="Arial"/>
          <w:spacing w:val="-3"/>
          <w:sz w:val="24"/>
          <w:szCs w:val="26"/>
        </w:rPr>
        <w:t xml:space="preserve">su derecho fundamental de petición, el gestor constitucional, instauró acción de tutela contra la referida autoridad judicial, con el objeto que la judicatura ordene al despacho judicial accionado, </w:t>
      </w:r>
      <w:r w:rsidRPr="004B4EB4">
        <w:rPr>
          <w:rFonts w:ascii="Arial" w:hAnsi="Arial" w:cs="Arial"/>
          <w:i/>
          <w:spacing w:val="-3"/>
          <w:sz w:val="28"/>
          <w:szCs w:val="26"/>
        </w:rPr>
        <w:t>“</w:t>
      </w:r>
      <w:r w:rsidRPr="004B4EB4">
        <w:rPr>
          <w:rFonts w:ascii="Arial" w:hAnsi="Arial" w:cs="Arial"/>
          <w:i/>
          <w:spacing w:val="-3"/>
          <w:sz w:val="24"/>
          <w:szCs w:val="26"/>
        </w:rPr>
        <w:t xml:space="preserve">que en un término no mayor a 48 horas, se me brinde una respuesta de fondo a lo solicitado por mí, en el Derecho de </w:t>
      </w:r>
      <w:r w:rsidR="006454C9" w:rsidRPr="004B4EB4">
        <w:rPr>
          <w:rFonts w:ascii="Arial" w:hAnsi="Arial" w:cs="Arial"/>
          <w:i/>
          <w:spacing w:val="-3"/>
          <w:sz w:val="24"/>
          <w:szCs w:val="26"/>
        </w:rPr>
        <w:t>p</w:t>
      </w:r>
      <w:r w:rsidRPr="004B4EB4">
        <w:rPr>
          <w:rFonts w:ascii="Arial" w:hAnsi="Arial" w:cs="Arial"/>
          <w:i/>
          <w:spacing w:val="-3"/>
          <w:sz w:val="24"/>
          <w:szCs w:val="26"/>
        </w:rPr>
        <w:t>etición que anexo y el cual no fue resuelto</w:t>
      </w:r>
      <w:r w:rsidRPr="004B4EB4">
        <w:rPr>
          <w:rFonts w:ascii="Arial" w:hAnsi="Arial" w:cs="Arial"/>
          <w:i/>
          <w:spacing w:val="-3"/>
          <w:sz w:val="28"/>
          <w:szCs w:val="26"/>
        </w:rPr>
        <w:t>”</w:t>
      </w:r>
      <w:r>
        <w:rPr>
          <w:rFonts w:ascii="Arial" w:hAnsi="Arial" w:cs="Arial"/>
          <w:i/>
          <w:spacing w:val="-3"/>
          <w:sz w:val="26"/>
          <w:szCs w:val="26"/>
        </w:rPr>
        <w:t>.</w:t>
      </w:r>
    </w:p>
    <w:p w:rsidR="00DB335C" w:rsidRPr="006059A9" w:rsidRDefault="00DB335C" w:rsidP="00DB335C">
      <w:pPr>
        <w:spacing w:line="360" w:lineRule="auto"/>
        <w:ind w:firstLine="2835"/>
        <w:jc w:val="both"/>
        <w:rPr>
          <w:rFonts w:ascii="Arial" w:hAnsi="Arial" w:cs="Arial"/>
          <w:i/>
          <w:spacing w:val="-3"/>
          <w:sz w:val="16"/>
          <w:szCs w:val="26"/>
        </w:rPr>
      </w:pPr>
    </w:p>
    <w:p w:rsidR="00DB335C" w:rsidRPr="004B4EB4" w:rsidRDefault="00DB335C" w:rsidP="00DB335C">
      <w:pPr>
        <w:spacing w:line="360" w:lineRule="auto"/>
        <w:ind w:firstLine="2835"/>
        <w:jc w:val="both"/>
        <w:rPr>
          <w:rFonts w:ascii="Arial" w:hAnsi="Arial" w:cs="Arial"/>
          <w:sz w:val="24"/>
          <w:szCs w:val="24"/>
        </w:rPr>
      </w:pPr>
      <w:r w:rsidRPr="004B4EB4">
        <w:rPr>
          <w:rFonts w:ascii="Arial" w:hAnsi="Arial" w:cs="Arial"/>
          <w:sz w:val="24"/>
          <w:szCs w:val="24"/>
        </w:rPr>
        <w:t>2. Esta Sala se declarará incompetente para conoc</w:t>
      </w:r>
      <w:r w:rsidR="006454C9" w:rsidRPr="004B4EB4">
        <w:rPr>
          <w:rFonts w:ascii="Arial" w:hAnsi="Arial" w:cs="Arial"/>
          <w:sz w:val="24"/>
          <w:szCs w:val="24"/>
        </w:rPr>
        <w:t>er del asunto, en acatamiento al</w:t>
      </w:r>
      <w:r w:rsidRPr="004B4EB4">
        <w:rPr>
          <w:rFonts w:ascii="Arial" w:hAnsi="Arial" w:cs="Arial"/>
          <w:sz w:val="24"/>
          <w:szCs w:val="24"/>
        </w:rPr>
        <w:t xml:space="preserve"> pronunciamiento de la Sala de Casación Civil de la Corte Suprema de Justicia de 13 de octubre de 2015, donde en asunto similar adelantado en esta Sala, declaró la nulidad de todo lo actuado y ordenó remitir el expediente a los jueces municipales, que consideró, eran los competentes para conocer del caso, en donde reseñó:</w:t>
      </w:r>
    </w:p>
    <w:p w:rsidR="00894301" w:rsidRPr="004B4EB4" w:rsidRDefault="00894301" w:rsidP="00DB335C">
      <w:pPr>
        <w:spacing w:line="360" w:lineRule="auto"/>
        <w:ind w:firstLine="2835"/>
        <w:jc w:val="both"/>
        <w:rPr>
          <w:rFonts w:ascii="Arial" w:hAnsi="Arial" w:cs="Arial"/>
          <w:sz w:val="10"/>
          <w:szCs w:val="16"/>
        </w:rPr>
      </w:pPr>
    </w:p>
    <w:p w:rsidR="00DB335C" w:rsidRPr="004B4EB4" w:rsidRDefault="00DB335C" w:rsidP="00DB335C">
      <w:pPr>
        <w:pStyle w:val="Sinespaciado"/>
        <w:ind w:right="476" w:firstLine="2835"/>
        <w:jc w:val="both"/>
        <w:rPr>
          <w:rFonts w:ascii="Arial" w:hAnsi="Arial" w:cs="Arial"/>
          <w:i/>
          <w:sz w:val="22"/>
          <w:szCs w:val="24"/>
        </w:rPr>
      </w:pPr>
      <w:r w:rsidRPr="004B4EB4">
        <w:rPr>
          <w:rFonts w:ascii="Arial" w:hAnsi="Arial" w:cs="Arial"/>
          <w:i/>
          <w:sz w:val="22"/>
          <w:szCs w:val="24"/>
          <w:lang w:val="es-MX" w:eastAsia="es-CO"/>
        </w:rPr>
        <w:t>“(…) 1.-</w:t>
      </w:r>
      <w:r w:rsidRPr="004B4EB4">
        <w:rPr>
          <w:rFonts w:ascii="Arial" w:hAnsi="Arial" w:cs="Arial"/>
          <w:i/>
          <w:sz w:val="22"/>
          <w:szCs w:val="24"/>
          <w:lang w:eastAsia="es-CO"/>
        </w:rPr>
        <w:t xml:space="preserve"> </w:t>
      </w:r>
      <w:r w:rsidRPr="004B4EB4">
        <w:rPr>
          <w:rFonts w:ascii="Arial" w:hAnsi="Arial" w:cs="Arial"/>
          <w:i/>
          <w:sz w:val="22"/>
          <w:szCs w:val="24"/>
        </w:rPr>
        <w:t>De lo expuesto, especialmente del escrito en torno al cual gira la queja y del carácter que el a-quo le dio, que la Corte comparte, se desprende que el reproche se enfila contra una supuesta omisión del Juez Primero Civil del Circuito de Pereira por fuera del escenario estrictamente judicial, enmarcada más bien en el rol como director del despacho.</w:t>
      </w:r>
    </w:p>
    <w:p w:rsidR="00DB335C" w:rsidRPr="004B4EB4" w:rsidRDefault="00DB335C" w:rsidP="00DB335C">
      <w:pPr>
        <w:pStyle w:val="Sinespaciado"/>
        <w:ind w:right="476" w:firstLine="2835"/>
        <w:jc w:val="both"/>
        <w:rPr>
          <w:rFonts w:ascii="Arial" w:hAnsi="Arial" w:cs="Arial"/>
          <w:sz w:val="22"/>
          <w:szCs w:val="24"/>
        </w:rPr>
      </w:pPr>
    </w:p>
    <w:p w:rsidR="00DB335C" w:rsidRPr="004B4EB4" w:rsidRDefault="00DB335C" w:rsidP="00691D92">
      <w:pPr>
        <w:pStyle w:val="Sinespaciado"/>
        <w:ind w:right="476" w:firstLine="2835"/>
        <w:jc w:val="both"/>
        <w:rPr>
          <w:rFonts w:ascii="Arial" w:hAnsi="Arial" w:cs="Arial"/>
          <w:i/>
          <w:sz w:val="24"/>
          <w:szCs w:val="24"/>
        </w:rPr>
      </w:pPr>
      <w:r w:rsidRPr="004B4EB4">
        <w:rPr>
          <w:rFonts w:ascii="Arial" w:hAnsi="Arial" w:cs="Arial"/>
          <w:i/>
          <w:sz w:val="22"/>
          <w:szCs w:val="24"/>
        </w:rPr>
        <w:t xml:space="preserve">En consecuencia, el funcionario actuó como servidor público del nivel municipal, lo que significa que el Tribunal Superior de Pereira no era competente para conocer en primera instancia de la solicitud de amparo en referencia, como la Corte ha precisado, pues, “…en este caso no se aplica la regla 2ª del artículo 1° del precitado decreto [se refiere al D. 1382 de 2000, cuya nomenclatura actual es numeral 2 del artículo 2.2.3.1.2.1. del Decreto 1069 de 2015], según la cual la acción de tutela promovida contra un funcionario o corporación judicial, será repartida al </w:t>
      </w:r>
      <w:r w:rsidRPr="004B4EB4">
        <w:rPr>
          <w:rFonts w:ascii="Arial" w:hAnsi="Arial" w:cs="Arial"/>
          <w:i/>
          <w:sz w:val="22"/>
          <w:szCs w:val="24"/>
        </w:rPr>
        <w:lastRenderedPageBreak/>
        <w:t>respectivo superior funcional del accionado, porque ésta se predica del ejercicio de su actividad jurisdiccional, pues en tratándose de su gestión administrativa queda regulada por los criterios de reparto consagrados en la regla 1ª. (…) 2. En este orden de ideas, es claro que ante la circunstancia referida y dado el carácter de autoridad pública del orden municipal que ostenta el funcionario judicial acusado, los competentes para conocer de esta solicitud de amparo, en virtud de lo dispuesto en el inciso 3°, del numeral 1° del artículo 1° del Decreto 1382 de 2000 [ artículo 2.2.3.1.2.1. ídem], son los Jueces Municipales de esta ciudad”</w:t>
      </w:r>
      <w:r w:rsidRPr="004B4EB4">
        <w:rPr>
          <w:rStyle w:val="Refdenotaalpie"/>
          <w:rFonts w:ascii="Arial" w:hAnsi="Arial" w:cs="Arial"/>
          <w:i/>
          <w:sz w:val="22"/>
          <w:szCs w:val="24"/>
        </w:rPr>
        <w:t xml:space="preserve"> </w:t>
      </w:r>
      <w:r w:rsidRPr="004B4EB4">
        <w:rPr>
          <w:rFonts w:ascii="Arial" w:hAnsi="Arial" w:cs="Arial"/>
          <w:i/>
          <w:sz w:val="22"/>
          <w:szCs w:val="24"/>
        </w:rPr>
        <w:t xml:space="preserve">(CSJ, ATC, 6 may. 2010, exp. 00234-01, citado ATC, 30 ab. 2013, </w:t>
      </w:r>
      <w:r w:rsidR="00691D92" w:rsidRPr="004B4EB4">
        <w:rPr>
          <w:rFonts w:ascii="Arial" w:hAnsi="Arial" w:cs="Arial"/>
          <w:i/>
          <w:sz w:val="22"/>
          <w:szCs w:val="24"/>
        </w:rPr>
        <w:t>exp. 00102-01)</w:t>
      </w:r>
      <w:r w:rsidRPr="004B4EB4">
        <w:rPr>
          <w:rFonts w:ascii="Arial" w:hAnsi="Arial" w:cs="Arial"/>
          <w:i/>
          <w:sz w:val="22"/>
          <w:szCs w:val="24"/>
        </w:rPr>
        <w:t>.”</w:t>
      </w:r>
      <w:r w:rsidRPr="004B4EB4">
        <w:rPr>
          <w:rStyle w:val="Refdenotaalpie"/>
          <w:rFonts w:ascii="Arial" w:hAnsi="Arial" w:cs="Arial"/>
          <w:i/>
          <w:sz w:val="22"/>
          <w:szCs w:val="24"/>
        </w:rPr>
        <w:footnoteReference w:id="1"/>
      </w:r>
    </w:p>
    <w:p w:rsidR="00691D92" w:rsidRPr="004B4EB4" w:rsidRDefault="00691D92" w:rsidP="00691D92">
      <w:pPr>
        <w:pStyle w:val="Sinespaciado"/>
        <w:ind w:right="476" w:firstLine="2835"/>
        <w:jc w:val="both"/>
        <w:rPr>
          <w:rFonts w:ascii="Arial" w:hAnsi="Arial" w:cs="Arial"/>
          <w:i/>
          <w:sz w:val="24"/>
          <w:szCs w:val="24"/>
        </w:rPr>
      </w:pPr>
    </w:p>
    <w:p w:rsidR="00DB335C" w:rsidRPr="009B5BE4" w:rsidRDefault="00DB335C" w:rsidP="00DB335C">
      <w:pPr>
        <w:pStyle w:val="Sinespaciado1"/>
        <w:spacing w:line="360" w:lineRule="auto"/>
        <w:ind w:firstLine="2835"/>
        <w:jc w:val="both"/>
        <w:rPr>
          <w:rFonts w:ascii="Arial" w:hAnsi="Arial" w:cs="Arial"/>
          <w:sz w:val="26"/>
          <w:szCs w:val="26"/>
          <w:lang w:val="es-ES"/>
        </w:rPr>
      </w:pPr>
      <w:r w:rsidRPr="004B4EB4">
        <w:rPr>
          <w:rFonts w:ascii="Arial" w:hAnsi="Arial" w:cs="Arial"/>
          <w:sz w:val="24"/>
          <w:szCs w:val="24"/>
          <w:lang w:val="es-ES" w:eastAsia="es-ES"/>
        </w:rPr>
        <w:t xml:space="preserve">Lo anterior es suficiente para concluir que este Tribunal no es el competente para conocer del presente asunto, siendo así, se procederá a ordenar su remisión </w:t>
      </w:r>
      <w:r w:rsidR="00E14229">
        <w:rPr>
          <w:rFonts w:ascii="Arial" w:hAnsi="Arial" w:cs="Arial"/>
          <w:sz w:val="24"/>
          <w:szCs w:val="24"/>
          <w:lang w:val="es-ES" w:eastAsia="es-ES"/>
        </w:rPr>
        <w:t xml:space="preserve">al </w:t>
      </w:r>
      <w:r w:rsidR="005077AA">
        <w:rPr>
          <w:rFonts w:ascii="Arial" w:hAnsi="Arial" w:cs="Arial"/>
          <w:sz w:val="24"/>
          <w:szCs w:val="24"/>
          <w:lang w:val="es-ES" w:eastAsia="es-ES"/>
        </w:rPr>
        <w:t xml:space="preserve">reparto </w:t>
      </w:r>
      <w:r w:rsidR="005077AA">
        <w:rPr>
          <w:rFonts w:ascii="Arial" w:hAnsi="Arial" w:cs="Arial"/>
          <w:sz w:val="24"/>
          <w:szCs w:val="24"/>
          <w:lang w:val="es-ES" w:eastAsia="es-ES"/>
        </w:rPr>
        <w:t>entre</w:t>
      </w:r>
      <w:r w:rsidR="005077AA" w:rsidRPr="004B4EB4">
        <w:rPr>
          <w:rFonts w:ascii="Arial" w:hAnsi="Arial" w:cs="Arial"/>
          <w:sz w:val="24"/>
          <w:szCs w:val="24"/>
          <w:lang w:val="es-ES"/>
        </w:rPr>
        <w:t xml:space="preserve"> los </w:t>
      </w:r>
      <w:r w:rsidR="005077AA">
        <w:rPr>
          <w:rFonts w:ascii="Arial" w:hAnsi="Arial" w:cs="Arial"/>
          <w:sz w:val="24"/>
          <w:szCs w:val="24"/>
          <w:lang w:val="es-ES"/>
        </w:rPr>
        <w:t>j</w:t>
      </w:r>
      <w:r w:rsidR="005077AA">
        <w:rPr>
          <w:rFonts w:ascii="Arial" w:hAnsi="Arial" w:cs="Arial"/>
          <w:sz w:val="24"/>
          <w:szCs w:val="24"/>
          <w:lang w:val="es-ES"/>
        </w:rPr>
        <w:t>uzgados</w:t>
      </w:r>
      <w:r w:rsidR="005077AA" w:rsidRPr="004B4EB4">
        <w:rPr>
          <w:rFonts w:ascii="Arial" w:hAnsi="Arial" w:cs="Arial"/>
          <w:sz w:val="24"/>
          <w:szCs w:val="24"/>
          <w:lang w:val="es-ES"/>
        </w:rPr>
        <w:t xml:space="preserve"> con categoría de municipales </w:t>
      </w:r>
      <w:r w:rsidR="00E14229">
        <w:rPr>
          <w:rFonts w:ascii="Arial" w:hAnsi="Arial" w:cs="Arial"/>
          <w:sz w:val="24"/>
          <w:szCs w:val="24"/>
          <w:lang w:val="es-ES" w:eastAsia="es-ES"/>
        </w:rPr>
        <w:t xml:space="preserve">de Santa Rosa de Cabal, lugar </w:t>
      </w:r>
      <w:r w:rsidR="00E14229" w:rsidRPr="00E14229">
        <w:rPr>
          <w:rFonts w:ascii="Arial" w:hAnsi="Arial" w:cs="Arial"/>
          <w:sz w:val="24"/>
          <w:szCs w:val="24"/>
          <w:lang w:val="es-ES" w:eastAsia="es-ES"/>
        </w:rPr>
        <w:t>donde ocurre la violación o la amenaza que motiva la presentación de la solicitud</w:t>
      </w:r>
      <w:r w:rsidRPr="004B4EB4">
        <w:rPr>
          <w:rFonts w:ascii="Arial" w:hAnsi="Arial" w:cs="Arial"/>
          <w:sz w:val="24"/>
          <w:szCs w:val="24"/>
          <w:lang w:val="es-ES"/>
        </w:rPr>
        <w:t>.</w:t>
      </w:r>
    </w:p>
    <w:p w:rsidR="00DB335C" w:rsidRPr="004B4EB4" w:rsidRDefault="00DB335C" w:rsidP="00DB335C">
      <w:pPr>
        <w:pStyle w:val="Sinespaciado1"/>
        <w:spacing w:line="360" w:lineRule="auto"/>
        <w:ind w:firstLine="2835"/>
        <w:jc w:val="both"/>
        <w:rPr>
          <w:rFonts w:ascii="Verdana" w:hAnsi="Verdana"/>
          <w:sz w:val="16"/>
          <w:szCs w:val="16"/>
          <w:lang w:val="es-ES"/>
        </w:rPr>
      </w:pPr>
    </w:p>
    <w:p w:rsidR="00DB335C" w:rsidRPr="004F109F" w:rsidRDefault="00DB335C" w:rsidP="00DB335C">
      <w:pPr>
        <w:pStyle w:val="Sinespaciado"/>
        <w:spacing w:line="360" w:lineRule="auto"/>
        <w:ind w:firstLine="2835"/>
        <w:rPr>
          <w:rFonts w:ascii="Arial" w:hAnsi="Arial" w:cs="Arial"/>
          <w:b/>
          <w:bCs/>
          <w:sz w:val="22"/>
          <w:szCs w:val="25"/>
        </w:rPr>
      </w:pPr>
      <w:r w:rsidRPr="004F109F">
        <w:rPr>
          <w:rFonts w:ascii="Arial" w:hAnsi="Arial" w:cs="Arial"/>
          <w:b/>
          <w:bCs/>
          <w:sz w:val="22"/>
          <w:szCs w:val="25"/>
        </w:rPr>
        <w:t>III. DECISIÓN</w:t>
      </w:r>
    </w:p>
    <w:p w:rsidR="00DB335C" w:rsidRPr="004B4EB4" w:rsidRDefault="00DB335C" w:rsidP="00DB335C">
      <w:pPr>
        <w:pStyle w:val="Sinespaciado"/>
        <w:spacing w:line="360" w:lineRule="auto"/>
        <w:ind w:firstLine="2835"/>
        <w:jc w:val="both"/>
        <w:rPr>
          <w:rFonts w:ascii="Arial" w:hAnsi="Arial" w:cs="Arial"/>
          <w:sz w:val="16"/>
          <w:szCs w:val="16"/>
        </w:rPr>
      </w:pPr>
    </w:p>
    <w:p w:rsidR="00DB335C" w:rsidRPr="00662AF5" w:rsidRDefault="00DB335C" w:rsidP="00DB335C">
      <w:pPr>
        <w:pStyle w:val="Sinespaciado"/>
        <w:spacing w:line="360" w:lineRule="auto"/>
        <w:ind w:firstLine="2835"/>
        <w:jc w:val="both"/>
        <w:rPr>
          <w:rFonts w:ascii="Arial" w:hAnsi="Arial" w:cs="Arial"/>
          <w:sz w:val="26"/>
          <w:szCs w:val="26"/>
        </w:rPr>
      </w:pPr>
      <w:r w:rsidRPr="004B4EB4">
        <w:rPr>
          <w:rFonts w:ascii="Arial" w:hAnsi="Arial" w:cs="Arial"/>
          <w:sz w:val="24"/>
          <w:szCs w:val="26"/>
        </w:rPr>
        <w:t xml:space="preserve">En mérito de lo expuesto, la Sala Civil Familia </w:t>
      </w:r>
      <w:r w:rsidR="00E70E5D" w:rsidRPr="004B4EB4">
        <w:rPr>
          <w:rFonts w:ascii="Arial" w:hAnsi="Arial" w:cs="Arial"/>
          <w:sz w:val="24"/>
          <w:szCs w:val="26"/>
        </w:rPr>
        <w:t xml:space="preserve">Unitaria </w:t>
      </w:r>
      <w:r w:rsidRPr="004B4EB4">
        <w:rPr>
          <w:rFonts w:ascii="Arial" w:hAnsi="Arial" w:cs="Arial"/>
          <w:sz w:val="24"/>
          <w:szCs w:val="26"/>
        </w:rPr>
        <w:t>del Tribunal Superior de Pereira,</w:t>
      </w:r>
    </w:p>
    <w:p w:rsidR="00894301" w:rsidRPr="004B4EB4" w:rsidRDefault="00894301" w:rsidP="00DB335C">
      <w:pPr>
        <w:pStyle w:val="Sinespaciado"/>
        <w:spacing w:line="360" w:lineRule="auto"/>
        <w:ind w:firstLine="2835"/>
        <w:jc w:val="both"/>
        <w:rPr>
          <w:rFonts w:ascii="Arial" w:hAnsi="Arial" w:cs="Arial"/>
          <w:sz w:val="16"/>
          <w:szCs w:val="16"/>
        </w:rPr>
      </w:pPr>
    </w:p>
    <w:p w:rsidR="00DB335C" w:rsidRPr="006454C9" w:rsidRDefault="00DB335C" w:rsidP="00DB335C">
      <w:pPr>
        <w:pStyle w:val="Sinespaciado"/>
        <w:spacing w:line="360" w:lineRule="auto"/>
        <w:ind w:firstLine="2835"/>
        <w:rPr>
          <w:rFonts w:ascii="Arial" w:hAnsi="Arial" w:cs="Arial"/>
          <w:b/>
          <w:spacing w:val="-3"/>
          <w:sz w:val="25"/>
          <w:szCs w:val="25"/>
        </w:rPr>
      </w:pPr>
      <w:r w:rsidRPr="006454C9">
        <w:rPr>
          <w:rFonts w:ascii="Arial" w:hAnsi="Arial" w:cs="Arial"/>
          <w:b/>
          <w:spacing w:val="-3"/>
          <w:sz w:val="24"/>
          <w:szCs w:val="25"/>
        </w:rPr>
        <w:t>RESUELVE</w:t>
      </w:r>
      <w:r w:rsidRPr="006454C9">
        <w:rPr>
          <w:rFonts w:ascii="Arial" w:hAnsi="Arial" w:cs="Arial"/>
          <w:b/>
          <w:spacing w:val="-3"/>
          <w:sz w:val="25"/>
          <w:szCs w:val="25"/>
        </w:rPr>
        <w:t>:</w:t>
      </w:r>
    </w:p>
    <w:p w:rsidR="00DB335C" w:rsidRPr="004B4EB4" w:rsidRDefault="00DB335C" w:rsidP="00DB335C">
      <w:pPr>
        <w:pStyle w:val="Sinespaciado"/>
        <w:spacing w:line="360" w:lineRule="auto"/>
        <w:ind w:firstLine="2835"/>
        <w:rPr>
          <w:rFonts w:ascii="Arial" w:hAnsi="Arial" w:cs="Arial"/>
          <w:spacing w:val="-3"/>
          <w:sz w:val="16"/>
          <w:szCs w:val="16"/>
        </w:rPr>
      </w:pPr>
    </w:p>
    <w:p w:rsidR="00DB335C" w:rsidRPr="009B5BE4" w:rsidRDefault="00DB335C" w:rsidP="00DB335C">
      <w:pPr>
        <w:pStyle w:val="Sinespaciado"/>
        <w:spacing w:line="360" w:lineRule="auto"/>
        <w:ind w:firstLine="2835"/>
        <w:jc w:val="both"/>
        <w:rPr>
          <w:rFonts w:ascii="Arial" w:hAnsi="Arial" w:cs="Arial"/>
          <w:sz w:val="26"/>
          <w:szCs w:val="26"/>
        </w:rPr>
      </w:pPr>
      <w:r w:rsidRPr="009B5BE4">
        <w:rPr>
          <w:rFonts w:ascii="Arial" w:hAnsi="Arial" w:cs="Arial"/>
          <w:b/>
          <w:spacing w:val="-3"/>
          <w:sz w:val="26"/>
          <w:szCs w:val="26"/>
        </w:rPr>
        <w:t>Primero</w:t>
      </w:r>
      <w:r w:rsidRPr="009B5BE4">
        <w:rPr>
          <w:rFonts w:ascii="Arial" w:hAnsi="Arial" w:cs="Arial"/>
          <w:spacing w:val="-3"/>
          <w:sz w:val="26"/>
          <w:szCs w:val="26"/>
        </w:rPr>
        <w:t xml:space="preserve">: </w:t>
      </w:r>
      <w:r w:rsidRPr="009B5BE4">
        <w:rPr>
          <w:rFonts w:ascii="Arial" w:hAnsi="Arial" w:cs="Arial"/>
          <w:sz w:val="24"/>
          <w:szCs w:val="26"/>
        </w:rPr>
        <w:t>DECLARAR</w:t>
      </w:r>
      <w:r w:rsidRPr="009B5BE4">
        <w:rPr>
          <w:rFonts w:ascii="Arial" w:hAnsi="Arial" w:cs="Arial"/>
          <w:sz w:val="26"/>
          <w:szCs w:val="26"/>
        </w:rPr>
        <w:t xml:space="preserve"> </w:t>
      </w:r>
      <w:r w:rsidRPr="004B4EB4">
        <w:rPr>
          <w:rFonts w:ascii="Arial" w:hAnsi="Arial" w:cs="Arial"/>
          <w:sz w:val="24"/>
          <w:szCs w:val="26"/>
        </w:rPr>
        <w:t xml:space="preserve">la incompetencia de esta </w:t>
      </w:r>
      <w:r w:rsidRPr="004B4EB4">
        <w:rPr>
          <w:rFonts w:ascii="Arial" w:hAnsi="Arial" w:cs="Arial"/>
          <w:spacing w:val="-3"/>
          <w:sz w:val="24"/>
          <w:szCs w:val="26"/>
        </w:rPr>
        <w:t xml:space="preserve">Sala con ocasión de la acción de tutela </w:t>
      </w:r>
      <w:r w:rsidRPr="004B4EB4">
        <w:rPr>
          <w:rFonts w:ascii="Arial" w:hAnsi="Arial" w:cs="Arial"/>
          <w:sz w:val="24"/>
          <w:szCs w:val="26"/>
        </w:rPr>
        <w:t xml:space="preserve">presentada por el señor Javier Alías Arias Idárraga contra el Juzgado Civil del Circuito de </w:t>
      </w:r>
      <w:r w:rsidR="005077AA">
        <w:rPr>
          <w:rFonts w:ascii="Arial" w:hAnsi="Arial" w:cs="Arial"/>
          <w:sz w:val="24"/>
          <w:szCs w:val="26"/>
        </w:rPr>
        <w:t>Santa Rosa de Cabal</w:t>
      </w:r>
      <w:r w:rsidRPr="009B5BE4">
        <w:rPr>
          <w:rFonts w:ascii="Arial" w:hAnsi="Arial" w:cs="Arial"/>
          <w:sz w:val="26"/>
          <w:szCs w:val="26"/>
        </w:rPr>
        <w:t>.</w:t>
      </w:r>
    </w:p>
    <w:p w:rsidR="00DB335C" w:rsidRPr="006059A9" w:rsidRDefault="00DB335C" w:rsidP="00DB335C">
      <w:pPr>
        <w:pStyle w:val="Sinespaciado"/>
        <w:spacing w:line="360" w:lineRule="auto"/>
        <w:ind w:firstLine="2835"/>
        <w:jc w:val="both"/>
        <w:rPr>
          <w:rFonts w:ascii="Arial" w:hAnsi="Arial" w:cs="Arial"/>
          <w:spacing w:val="-3"/>
          <w:sz w:val="16"/>
          <w:szCs w:val="25"/>
        </w:rPr>
      </w:pPr>
    </w:p>
    <w:p w:rsidR="00DB335C" w:rsidRDefault="00DB335C" w:rsidP="00DB335C">
      <w:pPr>
        <w:suppressAutoHyphens/>
        <w:spacing w:line="360" w:lineRule="auto"/>
        <w:ind w:firstLine="2835"/>
        <w:jc w:val="both"/>
        <w:rPr>
          <w:rFonts w:ascii="Arial" w:hAnsi="Arial" w:cs="Arial"/>
          <w:spacing w:val="-3"/>
          <w:sz w:val="16"/>
          <w:szCs w:val="26"/>
        </w:rPr>
      </w:pPr>
      <w:r w:rsidRPr="00201E98">
        <w:rPr>
          <w:rFonts w:ascii="Arial" w:hAnsi="Arial" w:cs="Arial"/>
          <w:b/>
          <w:spacing w:val="-3"/>
          <w:sz w:val="26"/>
          <w:szCs w:val="26"/>
        </w:rPr>
        <w:t>Segundo</w:t>
      </w:r>
      <w:r w:rsidRPr="00BA2C66">
        <w:rPr>
          <w:rFonts w:ascii="Arial" w:hAnsi="Arial" w:cs="Arial"/>
          <w:spacing w:val="-3"/>
          <w:sz w:val="26"/>
          <w:szCs w:val="26"/>
        </w:rPr>
        <w:t xml:space="preserve">: </w:t>
      </w:r>
      <w:r w:rsidRPr="004B4EB4">
        <w:rPr>
          <w:rFonts w:ascii="Arial" w:hAnsi="Arial" w:cs="Arial"/>
          <w:spacing w:val="-3"/>
          <w:sz w:val="24"/>
          <w:szCs w:val="26"/>
        </w:rPr>
        <w:t xml:space="preserve">Remitir el expediente </w:t>
      </w:r>
      <w:r w:rsidR="005077AA">
        <w:rPr>
          <w:rFonts w:ascii="Arial" w:hAnsi="Arial" w:cs="Arial"/>
          <w:sz w:val="24"/>
          <w:szCs w:val="24"/>
        </w:rPr>
        <w:t>al reparto entre</w:t>
      </w:r>
      <w:r w:rsidR="005077AA" w:rsidRPr="004B4EB4">
        <w:rPr>
          <w:rFonts w:ascii="Arial" w:hAnsi="Arial" w:cs="Arial"/>
          <w:sz w:val="24"/>
          <w:szCs w:val="24"/>
        </w:rPr>
        <w:t xml:space="preserve"> los </w:t>
      </w:r>
      <w:r w:rsidR="005077AA">
        <w:rPr>
          <w:rFonts w:ascii="Arial" w:hAnsi="Arial" w:cs="Arial"/>
          <w:sz w:val="24"/>
          <w:szCs w:val="24"/>
        </w:rPr>
        <w:t>juzgados</w:t>
      </w:r>
      <w:r w:rsidR="005077AA" w:rsidRPr="004B4EB4">
        <w:rPr>
          <w:rFonts w:ascii="Arial" w:hAnsi="Arial" w:cs="Arial"/>
          <w:sz w:val="24"/>
          <w:szCs w:val="24"/>
        </w:rPr>
        <w:t xml:space="preserve"> con categoría de municipales </w:t>
      </w:r>
      <w:r w:rsidR="005077AA">
        <w:rPr>
          <w:rFonts w:ascii="Arial" w:hAnsi="Arial" w:cs="Arial"/>
          <w:sz w:val="24"/>
          <w:szCs w:val="24"/>
        </w:rPr>
        <w:t>de Santa Rosa de Cabal</w:t>
      </w:r>
      <w:r w:rsidRPr="004B4EB4">
        <w:rPr>
          <w:rFonts w:ascii="Arial" w:hAnsi="Arial" w:cs="Arial"/>
          <w:spacing w:val="-3"/>
          <w:sz w:val="24"/>
          <w:szCs w:val="26"/>
        </w:rPr>
        <w:t>.</w:t>
      </w:r>
    </w:p>
    <w:p w:rsidR="00DB335C" w:rsidRPr="00201E98" w:rsidRDefault="00DB335C" w:rsidP="00DB335C">
      <w:pPr>
        <w:suppressAutoHyphens/>
        <w:spacing w:line="360" w:lineRule="auto"/>
        <w:ind w:firstLine="2835"/>
        <w:jc w:val="both"/>
        <w:rPr>
          <w:rFonts w:ascii="Arial" w:hAnsi="Arial" w:cs="Arial"/>
          <w:spacing w:val="-3"/>
          <w:sz w:val="16"/>
          <w:szCs w:val="26"/>
        </w:rPr>
      </w:pPr>
    </w:p>
    <w:p w:rsidR="00DB335C" w:rsidRDefault="00DB335C" w:rsidP="00DB335C">
      <w:pPr>
        <w:suppressAutoHyphens/>
        <w:spacing w:line="360" w:lineRule="auto"/>
        <w:ind w:firstLine="2835"/>
        <w:jc w:val="both"/>
        <w:rPr>
          <w:rFonts w:ascii="Arial" w:hAnsi="Arial" w:cs="Arial"/>
          <w:spacing w:val="-3"/>
          <w:sz w:val="26"/>
          <w:szCs w:val="26"/>
        </w:rPr>
      </w:pPr>
      <w:r w:rsidRPr="00201E98">
        <w:rPr>
          <w:rFonts w:ascii="Arial" w:hAnsi="Arial" w:cs="Arial"/>
          <w:b/>
          <w:spacing w:val="-3"/>
          <w:sz w:val="26"/>
          <w:szCs w:val="26"/>
        </w:rPr>
        <w:t>Tercero</w:t>
      </w:r>
      <w:r w:rsidRPr="00035335">
        <w:rPr>
          <w:rFonts w:ascii="Arial" w:hAnsi="Arial" w:cs="Arial"/>
          <w:spacing w:val="-3"/>
          <w:sz w:val="26"/>
          <w:szCs w:val="26"/>
        </w:rPr>
        <w:t xml:space="preserve">: </w:t>
      </w:r>
      <w:r w:rsidRPr="004B4EB4">
        <w:rPr>
          <w:rFonts w:ascii="Arial" w:hAnsi="Arial" w:cs="Arial"/>
          <w:spacing w:val="-3"/>
          <w:sz w:val="24"/>
          <w:szCs w:val="26"/>
        </w:rPr>
        <w:t>Notifíquese esta decisión al demandante por el medio más eficaz.</w:t>
      </w:r>
    </w:p>
    <w:p w:rsidR="00DB335C" w:rsidRPr="004B4EB4" w:rsidRDefault="00DB335C" w:rsidP="00DB335C">
      <w:pPr>
        <w:suppressAutoHyphens/>
        <w:spacing w:line="360" w:lineRule="auto"/>
        <w:ind w:firstLine="2835"/>
        <w:jc w:val="both"/>
        <w:rPr>
          <w:rFonts w:ascii="Arial" w:hAnsi="Arial" w:cs="Arial"/>
          <w:spacing w:val="-3"/>
          <w:sz w:val="12"/>
          <w:szCs w:val="26"/>
        </w:rPr>
      </w:pPr>
    </w:p>
    <w:p w:rsidR="00DB335C" w:rsidRPr="004B4EB4" w:rsidRDefault="00DB335C" w:rsidP="00DB335C">
      <w:pPr>
        <w:pStyle w:val="Sinespaciado"/>
        <w:spacing w:line="360" w:lineRule="auto"/>
        <w:ind w:firstLine="2835"/>
        <w:jc w:val="both"/>
        <w:rPr>
          <w:rFonts w:ascii="Arial" w:hAnsi="Arial" w:cs="Arial"/>
          <w:spacing w:val="-3"/>
          <w:sz w:val="14"/>
          <w:szCs w:val="26"/>
        </w:rPr>
      </w:pPr>
      <w:r w:rsidRPr="004B4EB4">
        <w:rPr>
          <w:rFonts w:ascii="Arial" w:hAnsi="Arial" w:cs="Arial"/>
          <w:spacing w:val="-3"/>
          <w:sz w:val="24"/>
          <w:szCs w:val="26"/>
        </w:rPr>
        <w:t>Notifíquese y cúmplase</w:t>
      </w:r>
    </w:p>
    <w:p w:rsidR="00DB335C" w:rsidRPr="00AF3F2B" w:rsidRDefault="00DB335C" w:rsidP="00DB335C">
      <w:pPr>
        <w:pStyle w:val="Sinespaciado"/>
        <w:spacing w:line="360" w:lineRule="auto"/>
        <w:ind w:firstLine="2835"/>
        <w:jc w:val="both"/>
        <w:rPr>
          <w:rFonts w:ascii="Arial" w:hAnsi="Arial" w:cs="Arial"/>
          <w:spacing w:val="-3"/>
          <w:sz w:val="16"/>
          <w:szCs w:val="26"/>
        </w:rPr>
      </w:pPr>
    </w:p>
    <w:p w:rsidR="00DB335C" w:rsidRPr="004B4EB4" w:rsidRDefault="00DB335C" w:rsidP="00DB335C">
      <w:pPr>
        <w:pStyle w:val="Sinespaciado"/>
        <w:spacing w:line="360" w:lineRule="auto"/>
        <w:ind w:firstLine="2835"/>
        <w:jc w:val="both"/>
        <w:rPr>
          <w:rFonts w:ascii="Arial" w:hAnsi="Arial" w:cs="Arial"/>
          <w:spacing w:val="-3"/>
          <w:sz w:val="24"/>
          <w:szCs w:val="26"/>
        </w:rPr>
      </w:pPr>
      <w:r w:rsidRPr="004B4EB4">
        <w:rPr>
          <w:rFonts w:ascii="Arial" w:hAnsi="Arial" w:cs="Arial"/>
          <w:spacing w:val="-3"/>
          <w:sz w:val="24"/>
          <w:szCs w:val="26"/>
        </w:rPr>
        <w:t>El Magistrado,</w:t>
      </w:r>
    </w:p>
    <w:p w:rsidR="00DB335C" w:rsidRPr="00AF3F2B" w:rsidRDefault="00DB335C" w:rsidP="00DB335C">
      <w:pPr>
        <w:pStyle w:val="Sinespaciado"/>
        <w:spacing w:line="360" w:lineRule="auto"/>
        <w:ind w:firstLine="2835"/>
        <w:jc w:val="both"/>
        <w:rPr>
          <w:rFonts w:ascii="Arial" w:hAnsi="Arial" w:cs="Arial"/>
          <w:spacing w:val="-3"/>
          <w:sz w:val="24"/>
          <w:szCs w:val="26"/>
        </w:rPr>
      </w:pPr>
    </w:p>
    <w:p w:rsidR="00DB335C" w:rsidRPr="00AF3F2B" w:rsidRDefault="00DB335C" w:rsidP="00DB335C">
      <w:pPr>
        <w:pStyle w:val="Sinespaciado"/>
        <w:spacing w:line="360" w:lineRule="auto"/>
        <w:ind w:firstLine="2835"/>
        <w:jc w:val="both"/>
        <w:rPr>
          <w:rFonts w:ascii="Arial" w:hAnsi="Arial" w:cs="Arial"/>
          <w:spacing w:val="-3"/>
          <w:sz w:val="24"/>
          <w:szCs w:val="26"/>
        </w:rPr>
      </w:pPr>
    </w:p>
    <w:p w:rsidR="004B4EB4" w:rsidRPr="004B4EB4" w:rsidRDefault="00DB335C" w:rsidP="004B4EB4">
      <w:pPr>
        <w:pStyle w:val="Sinespaciado"/>
        <w:spacing w:line="360" w:lineRule="auto"/>
        <w:ind w:firstLine="2835"/>
        <w:rPr>
          <w:rFonts w:ascii="Arial" w:hAnsi="Arial" w:cs="Arial"/>
          <w:b/>
          <w:spacing w:val="-3"/>
          <w:sz w:val="22"/>
          <w:szCs w:val="24"/>
        </w:rPr>
      </w:pPr>
      <w:r w:rsidRPr="00271B07">
        <w:rPr>
          <w:rFonts w:ascii="Arial" w:hAnsi="Arial" w:cs="Arial"/>
          <w:b/>
          <w:spacing w:val="-3"/>
          <w:sz w:val="22"/>
          <w:szCs w:val="24"/>
        </w:rPr>
        <w:t>EDDER JIMMY SÁNCHEZ CALAMBÁS</w:t>
      </w:r>
    </w:p>
    <w:sectPr w:rsidR="004B4EB4" w:rsidRPr="004B4EB4" w:rsidSect="00A6150C">
      <w:headerReference w:type="default" r:id="rId6"/>
      <w:footerReference w:type="default" r:id="rId7"/>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06F" w:rsidRDefault="00F8206F" w:rsidP="004A622B">
      <w:r>
        <w:separator/>
      </w:r>
    </w:p>
  </w:endnote>
  <w:endnote w:type="continuationSeparator" w:id="0">
    <w:p w:rsidR="00F8206F" w:rsidRDefault="00F8206F" w:rsidP="004A6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FB" w:rsidRPr="00B97631" w:rsidRDefault="00181A5D">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5077AA">
      <w:rPr>
        <w:rFonts w:ascii="Arial" w:hAnsi="Arial" w:cs="Arial"/>
        <w:noProof/>
        <w:sz w:val="22"/>
        <w:szCs w:val="22"/>
      </w:rPr>
      <w:t>1</w:t>
    </w:r>
    <w:r w:rsidRPr="00B97631">
      <w:rPr>
        <w:rFonts w:ascii="Arial" w:hAnsi="Arial" w:cs="Arial"/>
        <w:sz w:val="22"/>
        <w:szCs w:val="22"/>
      </w:rPr>
      <w:fldChar w:fldCharType="end"/>
    </w:r>
  </w:p>
  <w:p w:rsidR="005851FB" w:rsidRDefault="00F820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06F" w:rsidRDefault="00F8206F" w:rsidP="004A622B">
      <w:r>
        <w:separator/>
      </w:r>
    </w:p>
  </w:footnote>
  <w:footnote w:type="continuationSeparator" w:id="0">
    <w:p w:rsidR="00F8206F" w:rsidRDefault="00F8206F" w:rsidP="004A622B">
      <w:r>
        <w:continuationSeparator/>
      </w:r>
    </w:p>
  </w:footnote>
  <w:footnote w:id="1">
    <w:p w:rsidR="00DB335C" w:rsidRPr="00446BDD" w:rsidRDefault="00DB335C" w:rsidP="00DB335C">
      <w:pPr>
        <w:pStyle w:val="Textonotapie"/>
        <w:rPr>
          <w:rFonts w:ascii="Arial" w:hAnsi="Arial" w:cs="Arial"/>
          <w:lang w:val="es-CO"/>
        </w:rPr>
      </w:pPr>
      <w:r w:rsidRPr="00446BDD">
        <w:rPr>
          <w:rStyle w:val="Refdenotaalpie"/>
          <w:rFonts w:ascii="Arial" w:hAnsi="Arial" w:cs="Arial"/>
        </w:rPr>
        <w:footnoteRef/>
      </w:r>
      <w:r w:rsidRPr="00446BDD">
        <w:rPr>
          <w:rFonts w:ascii="Arial" w:hAnsi="Arial" w:cs="Arial"/>
        </w:rPr>
        <w:t xml:space="preserve"> Auto del 13 de octubre de 2015, MP. Fernando Giraldo Gutiérrez, expediente 66001-22-13-000-2015-00519-01</w:t>
      </w:r>
      <w:r w:rsidR="00894301">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FB" w:rsidRPr="005643A9" w:rsidRDefault="00181A5D"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5851FB" w:rsidRPr="005643A9" w:rsidRDefault="00181A5D" w:rsidP="001A22D9">
    <w:pPr>
      <w:jc w:val="center"/>
      <w:rPr>
        <w:rFonts w:ascii="Arial" w:hAnsi="Arial" w:cs="Arial"/>
        <w:b/>
        <w:bCs/>
        <w:sz w:val="16"/>
        <w:szCs w:val="16"/>
      </w:rPr>
    </w:pPr>
    <w:r w:rsidRPr="005643A9">
      <w:rPr>
        <w:rFonts w:ascii="Arial" w:hAnsi="Arial" w:cs="Arial"/>
        <w:noProof/>
        <w:sz w:val="16"/>
        <w:szCs w:val="16"/>
      </w:rPr>
      <w:drawing>
        <wp:anchor distT="0" distB="0" distL="114300" distR="114300" simplePos="0" relativeHeight="251659264" behindDoc="1" locked="0" layoutInCell="1" allowOverlap="1" wp14:anchorId="413CF4B6" wp14:editId="5A84AF6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1FB" w:rsidRPr="005643A9" w:rsidRDefault="00F8206F" w:rsidP="005643A9">
    <w:pPr>
      <w:pStyle w:val="Sinespaciado1"/>
      <w:rPr>
        <w:rFonts w:ascii="Arial" w:hAnsi="Arial" w:cs="Arial"/>
        <w:sz w:val="16"/>
        <w:szCs w:val="16"/>
      </w:rPr>
    </w:pPr>
  </w:p>
  <w:p w:rsidR="005851FB" w:rsidRPr="005643A9" w:rsidRDefault="00F8206F" w:rsidP="005643A9">
    <w:pPr>
      <w:pStyle w:val="Sinespaciado"/>
      <w:rPr>
        <w:rFonts w:ascii="Arial" w:hAnsi="Arial" w:cs="Arial"/>
        <w:sz w:val="16"/>
        <w:szCs w:val="16"/>
      </w:rPr>
    </w:pPr>
  </w:p>
  <w:p w:rsidR="005851FB" w:rsidRDefault="00181A5D"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5851FB" w:rsidRPr="005643A9" w:rsidRDefault="00181A5D" w:rsidP="005643A9">
    <w:pPr>
      <w:pStyle w:val="Sinespaciado"/>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r>
    <w:r w:rsidR="00A6150C">
      <w:rPr>
        <w:rFonts w:ascii="Arial" w:hAnsi="Arial" w:cs="Arial"/>
        <w:sz w:val="16"/>
        <w:szCs w:val="16"/>
      </w:rPr>
      <w:t xml:space="preserve">              </w:t>
    </w:r>
    <w:r>
      <w:rPr>
        <w:rFonts w:ascii="Arial" w:hAnsi="Arial" w:cs="Arial"/>
        <w:sz w:val="16"/>
        <w:szCs w:val="16"/>
      </w:rPr>
      <w:t>EXPEDIENTE. T-1a. 66001-22-13-000-201</w:t>
    </w:r>
    <w:r w:rsidR="00A54207">
      <w:rPr>
        <w:rFonts w:ascii="Arial" w:hAnsi="Arial" w:cs="Arial"/>
        <w:sz w:val="16"/>
        <w:szCs w:val="16"/>
      </w:rPr>
      <w:t>8</w:t>
    </w:r>
    <w:r w:rsidR="001B3726">
      <w:rPr>
        <w:rFonts w:ascii="Arial" w:hAnsi="Arial" w:cs="Arial"/>
        <w:sz w:val="16"/>
        <w:szCs w:val="16"/>
      </w:rPr>
      <w:t>-0</w:t>
    </w:r>
    <w:r w:rsidR="00C5186E">
      <w:rPr>
        <w:rFonts w:ascii="Arial" w:hAnsi="Arial" w:cs="Arial"/>
        <w:sz w:val="16"/>
        <w:szCs w:val="16"/>
      </w:rPr>
      <w:t>0</w:t>
    </w:r>
    <w:r w:rsidR="00A54207">
      <w:rPr>
        <w:rFonts w:ascii="Arial" w:hAnsi="Arial" w:cs="Arial"/>
        <w:sz w:val="16"/>
        <w:szCs w:val="16"/>
      </w:rPr>
      <w:t>270</w:t>
    </w:r>
    <w:r w:rsidR="00A6150C">
      <w:rPr>
        <w:rFonts w:ascii="Arial" w:hAnsi="Arial" w:cs="Arial"/>
        <w:sz w:val="16"/>
        <w:szCs w:val="16"/>
      </w:rPr>
      <w:t>-</w:t>
    </w:r>
    <w:r>
      <w:rPr>
        <w:rFonts w:ascii="Arial" w:hAnsi="Arial" w:cs="Arial"/>
        <w:sz w:val="16"/>
        <w:szCs w:val="16"/>
      </w:rPr>
      <w:t>-00</w:t>
    </w:r>
  </w:p>
  <w:p w:rsidR="005851FB" w:rsidRPr="005643A9" w:rsidRDefault="00181A5D">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r w:rsidR="00A6150C">
      <w:rPr>
        <w:rFonts w:ascii="Arial" w:hAnsi="Arial" w:cs="Arial"/>
        <w:sz w:val="16"/>
        <w:szCs w:val="16"/>
      </w:rPr>
      <w:t>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22B"/>
    <w:rsid w:val="00010679"/>
    <w:rsid w:val="00041277"/>
    <w:rsid w:val="00143C81"/>
    <w:rsid w:val="00181A5D"/>
    <w:rsid w:val="00195906"/>
    <w:rsid w:val="001B3726"/>
    <w:rsid w:val="00201E98"/>
    <w:rsid w:val="00204626"/>
    <w:rsid w:val="002227EC"/>
    <w:rsid w:val="00271B07"/>
    <w:rsid w:val="002822ED"/>
    <w:rsid w:val="003578A6"/>
    <w:rsid w:val="0044216B"/>
    <w:rsid w:val="00445A32"/>
    <w:rsid w:val="00446BDD"/>
    <w:rsid w:val="00481B03"/>
    <w:rsid w:val="004A622B"/>
    <w:rsid w:val="004B4EB4"/>
    <w:rsid w:val="004D4D38"/>
    <w:rsid w:val="005077AA"/>
    <w:rsid w:val="00555010"/>
    <w:rsid w:val="006059A9"/>
    <w:rsid w:val="006454C9"/>
    <w:rsid w:val="00691D92"/>
    <w:rsid w:val="006B0397"/>
    <w:rsid w:val="007036F5"/>
    <w:rsid w:val="0075646B"/>
    <w:rsid w:val="00770F85"/>
    <w:rsid w:val="00807610"/>
    <w:rsid w:val="00894301"/>
    <w:rsid w:val="008C2DE2"/>
    <w:rsid w:val="00956094"/>
    <w:rsid w:val="00970AC4"/>
    <w:rsid w:val="009B5BE4"/>
    <w:rsid w:val="009D592A"/>
    <w:rsid w:val="00A54207"/>
    <w:rsid w:val="00A55831"/>
    <w:rsid w:val="00A6150C"/>
    <w:rsid w:val="00A81EA6"/>
    <w:rsid w:val="00AA6055"/>
    <w:rsid w:val="00AC2D6B"/>
    <w:rsid w:val="00AF3F2B"/>
    <w:rsid w:val="00C5186E"/>
    <w:rsid w:val="00CD3C2D"/>
    <w:rsid w:val="00DB335C"/>
    <w:rsid w:val="00E14229"/>
    <w:rsid w:val="00E52CCD"/>
    <w:rsid w:val="00E70E5D"/>
    <w:rsid w:val="00E9406E"/>
    <w:rsid w:val="00EE71C3"/>
    <w:rsid w:val="00F44037"/>
    <w:rsid w:val="00F45D76"/>
    <w:rsid w:val="00F820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80CA65-0D68-46F8-836F-F28B6E81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22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
    <w:basedOn w:val="Normal"/>
    <w:link w:val="TextonotapieCar"/>
    <w:semiHidden/>
    <w:rsid w:val="004A622B"/>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semiHidden/>
    <w:rsid w:val="004A622B"/>
    <w:rPr>
      <w:rFonts w:ascii="Times New Roman" w:eastAsia="Times New Roman" w:hAnsi="Times New Roman" w:cs="Times New Roman"/>
      <w:sz w:val="20"/>
      <w:szCs w:val="20"/>
      <w:lang w:eastAsia="es-ES"/>
    </w:rPr>
  </w:style>
  <w:style w:type="character" w:styleId="Refdenotaalpie">
    <w:name w:val="footnote reference"/>
    <w:aliases w:val="Texto de nota al pie"/>
    <w:rsid w:val="004A622B"/>
    <w:rPr>
      <w:vertAlign w:val="superscript"/>
    </w:rPr>
  </w:style>
  <w:style w:type="paragraph" w:customStyle="1" w:styleId="Sinespaciado1">
    <w:name w:val="Sin espaciado1"/>
    <w:rsid w:val="004A622B"/>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4A622B"/>
    <w:pPr>
      <w:tabs>
        <w:tab w:val="center" w:pos="4419"/>
        <w:tab w:val="right" w:pos="8838"/>
      </w:tabs>
    </w:pPr>
  </w:style>
  <w:style w:type="character" w:customStyle="1" w:styleId="EncabezadoCar">
    <w:name w:val="Encabezado Car"/>
    <w:basedOn w:val="Fuentedeprrafopredeter"/>
    <w:link w:val="Encabezado"/>
    <w:uiPriority w:val="99"/>
    <w:rsid w:val="004A622B"/>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4A622B"/>
    <w:pPr>
      <w:tabs>
        <w:tab w:val="center" w:pos="4419"/>
        <w:tab w:val="right" w:pos="8838"/>
      </w:tabs>
    </w:pPr>
  </w:style>
  <w:style w:type="character" w:customStyle="1" w:styleId="PiedepginaCar">
    <w:name w:val="Pie de página Car"/>
    <w:basedOn w:val="Fuentedeprrafopredeter"/>
    <w:link w:val="Piedepgina"/>
    <w:uiPriority w:val="99"/>
    <w:rsid w:val="004A622B"/>
    <w:rPr>
      <w:rFonts w:ascii="Times New Roman" w:eastAsia="Times New Roman" w:hAnsi="Times New Roman" w:cs="Times New Roman"/>
      <w:sz w:val="20"/>
      <w:szCs w:val="20"/>
      <w:lang w:eastAsia="es-ES"/>
    </w:rPr>
  </w:style>
  <w:style w:type="paragraph" w:styleId="Sinespaciado">
    <w:name w:val="No Spacing"/>
    <w:qFormat/>
    <w:rsid w:val="004A622B"/>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6059A9"/>
    <w:pPr>
      <w:ind w:left="720"/>
      <w:contextualSpacing/>
    </w:pPr>
  </w:style>
  <w:style w:type="paragraph" w:styleId="Textodeglobo">
    <w:name w:val="Balloon Text"/>
    <w:basedOn w:val="Normal"/>
    <w:link w:val="TextodegloboCar"/>
    <w:uiPriority w:val="99"/>
    <w:semiHidden/>
    <w:unhideWhenUsed/>
    <w:rsid w:val="006454C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4C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Manuel Antonio Montilla Ortiz</cp:lastModifiedBy>
  <cp:revision>3</cp:revision>
  <cp:lastPrinted>2018-05-28T13:50:00Z</cp:lastPrinted>
  <dcterms:created xsi:type="dcterms:W3CDTF">2018-05-28T13:25:00Z</dcterms:created>
  <dcterms:modified xsi:type="dcterms:W3CDTF">2018-05-28T13:51:00Z</dcterms:modified>
</cp:coreProperties>
</file>