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87" w:rsidRPr="00A10DCE" w:rsidRDefault="00C20A87" w:rsidP="00C20A8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r w:rsidRPr="00A10DC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20A87" w:rsidRPr="00A10DCE" w:rsidRDefault="00C20A87" w:rsidP="00C20A87">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A10DCE">
        <w:rPr>
          <w:rFonts w:ascii="Calibri" w:eastAsia="Calibri" w:hAnsi="Calibri" w:cs="Calibri"/>
          <w:color w:val="FF0000"/>
          <w:sz w:val="16"/>
          <w:szCs w:val="16"/>
          <w:lang w:val="es-CO" w:eastAsia="fr-FR"/>
        </w:rPr>
        <w:t>El contenido total y fiel de la decisión debe ser verificado en la Secretaría de esta Sala.</w:t>
      </w:r>
    </w:p>
    <w:p w:rsidR="00C20A87" w:rsidRPr="00A10DCE" w:rsidRDefault="00C20A87" w:rsidP="00C20A87">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10DCE">
        <w:rPr>
          <w:rFonts w:ascii="Calibri" w:hAnsi="Calibri" w:cs="Calibri"/>
          <w:color w:val="222222"/>
          <w:sz w:val="18"/>
          <w:szCs w:val="18"/>
          <w:lang w:val="es-CO" w:eastAsia="fr-FR"/>
        </w:rPr>
        <w:t>Providencia:</w:t>
      </w:r>
      <w:r w:rsidRPr="00A10DCE">
        <w:rPr>
          <w:rFonts w:ascii="Calibri" w:hAnsi="Calibri" w:cs="Calibri"/>
          <w:color w:val="222222"/>
          <w:sz w:val="18"/>
          <w:szCs w:val="18"/>
          <w:lang w:val="es-CO" w:eastAsia="fr-FR"/>
        </w:rPr>
        <w:tab/>
        <w:t>Sentenci</w:t>
      </w:r>
      <w:r>
        <w:rPr>
          <w:rFonts w:ascii="Calibri" w:hAnsi="Calibri" w:cs="Calibri"/>
          <w:color w:val="222222"/>
          <w:sz w:val="18"/>
          <w:szCs w:val="18"/>
          <w:lang w:val="es-CO" w:eastAsia="fr-FR"/>
        </w:rPr>
        <w:t xml:space="preserve">a  – 1ª instancia – </w:t>
      </w:r>
      <w:r>
        <w:rPr>
          <w:rFonts w:ascii="Calibri" w:hAnsi="Calibri" w:cs="Calibri"/>
          <w:color w:val="222222"/>
          <w:sz w:val="18"/>
          <w:szCs w:val="18"/>
          <w:lang w:val="es-CO" w:eastAsia="fr-FR"/>
        </w:rPr>
        <w:t>2</w:t>
      </w:r>
      <w:r>
        <w:rPr>
          <w:rFonts w:ascii="Calibri" w:hAnsi="Calibri" w:cs="Calibri"/>
          <w:color w:val="222222"/>
          <w:sz w:val="18"/>
          <w:szCs w:val="18"/>
          <w:lang w:val="es-CO" w:eastAsia="fr-FR"/>
        </w:rPr>
        <w:t>2</w:t>
      </w:r>
      <w:r w:rsidRPr="00A10DCE">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marzo</w:t>
      </w:r>
      <w:r w:rsidRPr="00A10DCE">
        <w:rPr>
          <w:rFonts w:ascii="Calibri" w:hAnsi="Calibri" w:cs="Calibri"/>
          <w:color w:val="222222"/>
          <w:sz w:val="18"/>
          <w:szCs w:val="18"/>
          <w:lang w:val="es-CO" w:eastAsia="fr-FR"/>
        </w:rPr>
        <w:t xml:space="preserve"> de 2018</w:t>
      </w:r>
    </w:p>
    <w:p w:rsidR="00C20A87" w:rsidRPr="00A10DCE" w:rsidRDefault="00C20A87" w:rsidP="00C20A87">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A10DCE">
        <w:rPr>
          <w:rFonts w:ascii="Calibri" w:eastAsia="Calibri" w:hAnsi="Calibri" w:cs="Calibri"/>
          <w:color w:val="222222"/>
          <w:sz w:val="18"/>
          <w:szCs w:val="18"/>
          <w:lang w:val="es-CO" w:eastAsia="fr-FR"/>
        </w:rPr>
        <w:t>Proceso:</w:t>
      </w:r>
      <w:r w:rsidRPr="00A10DCE">
        <w:rPr>
          <w:rFonts w:ascii="Calibri" w:eastAsia="Calibri" w:hAnsi="Calibri" w:cs="Calibri"/>
          <w:color w:val="222222"/>
          <w:sz w:val="18"/>
          <w:szCs w:val="18"/>
          <w:lang w:val="es-CO" w:eastAsia="fr-FR"/>
        </w:rPr>
        <w:tab/>
        <w:t xml:space="preserve">Acción de Tutela – Declara improcedencia </w:t>
      </w:r>
    </w:p>
    <w:p w:rsidR="00C20A87" w:rsidRPr="002959D0" w:rsidRDefault="00C20A87" w:rsidP="00C20A87">
      <w:pPr>
        <w:rPr>
          <w:rFonts w:ascii="Calibri" w:eastAsia="Calibri" w:hAnsi="Calibri" w:cs="Calibri"/>
          <w:bCs/>
          <w:iCs/>
          <w:color w:val="222222"/>
          <w:sz w:val="18"/>
          <w:szCs w:val="18"/>
          <w:lang w:val="es-ES" w:eastAsia="fr-FR"/>
        </w:rPr>
      </w:pPr>
      <w:r>
        <w:rPr>
          <w:rFonts w:ascii="Calibri" w:eastAsia="Calibri" w:hAnsi="Calibri" w:cs="Calibri"/>
          <w:color w:val="222222"/>
          <w:sz w:val="18"/>
          <w:szCs w:val="18"/>
          <w:lang w:val="es-CO" w:eastAsia="fr-FR"/>
        </w:rPr>
        <w:t xml:space="preserve">Radicación Nro. :              </w:t>
      </w:r>
      <w:r w:rsidRPr="00A10DCE">
        <w:rPr>
          <w:rFonts w:ascii="Calibri" w:eastAsia="Calibri" w:hAnsi="Calibri" w:cs="Calibri"/>
          <w:color w:val="222222"/>
          <w:sz w:val="18"/>
          <w:szCs w:val="18"/>
          <w:lang w:val="es-CO" w:eastAsia="fr-FR"/>
        </w:rPr>
        <w:t xml:space="preserve"> </w:t>
      </w:r>
      <w:r w:rsidRPr="00C20A87">
        <w:rPr>
          <w:rFonts w:ascii="Calibri" w:eastAsia="Calibri" w:hAnsi="Calibri" w:cs="Calibri"/>
          <w:bCs/>
          <w:iCs/>
          <w:color w:val="222222"/>
          <w:sz w:val="18"/>
          <w:szCs w:val="18"/>
          <w:lang w:val="es-ES" w:eastAsia="fr-FR"/>
        </w:rPr>
        <w:t>66001-22-13-000-2018-00057-00</w:t>
      </w:r>
    </w:p>
    <w:p w:rsidR="00C20A87" w:rsidRPr="00A10DCE" w:rsidRDefault="00C20A87" w:rsidP="00C20A87">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val="es-ES" w:eastAsia="fr-FR"/>
        </w:rPr>
      </w:pPr>
      <w:r w:rsidRPr="00A10DCE">
        <w:rPr>
          <w:rFonts w:ascii="Calibri" w:eastAsia="Calibri" w:hAnsi="Calibri" w:cs="Calibri"/>
          <w:bCs/>
          <w:iCs/>
          <w:color w:val="222222"/>
          <w:sz w:val="18"/>
          <w:szCs w:val="18"/>
          <w:lang w:val="es-ES" w:eastAsia="fr-FR"/>
        </w:rPr>
        <w:t xml:space="preserve">Accionante: </w:t>
      </w:r>
      <w:r w:rsidRPr="00A10DCE">
        <w:rPr>
          <w:rFonts w:ascii="Calibri" w:eastAsia="Calibri" w:hAnsi="Calibri" w:cs="Calibri"/>
          <w:bCs/>
          <w:iCs/>
          <w:color w:val="222222"/>
          <w:sz w:val="18"/>
          <w:szCs w:val="18"/>
          <w:lang w:val="es-ES" w:eastAsia="fr-FR"/>
        </w:rPr>
        <w:tab/>
      </w:r>
      <w:r w:rsidRPr="00A10DCE">
        <w:rPr>
          <w:rFonts w:ascii="Calibri" w:eastAsia="Calibri" w:hAnsi="Calibri" w:cs="Calibri"/>
          <w:bCs/>
          <w:iCs/>
          <w:color w:val="222222"/>
          <w:sz w:val="18"/>
          <w:szCs w:val="18"/>
          <w:lang w:val="es-ES" w:eastAsia="fr-FR"/>
        </w:rPr>
        <w:tab/>
      </w:r>
      <w:r>
        <w:rPr>
          <w:rFonts w:ascii="Calibri" w:eastAsia="Calibri" w:hAnsi="Calibri" w:cs="Calibri"/>
          <w:bCs/>
          <w:iCs/>
          <w:color w:val="222222"/>
          <w:sz w:val="18"/>
          <w:szCs w:val="18"/>
          <w:lang w:eastAsia="fr-FR"/>
        </w:rPr>
        <w:t xml:space="preserve">JAVIER </w:t>
      </w:r>
      <w:proofErr w:type="spellStart"/>
      <w:r>
        <w:rPr>
          <w:rFonts w:ascii="Calibri" w:eastAsia="Calibri" w:hAnsi="Calibri" w:cs="Calibri"/>
          <w:bCs/>
          <w:iCs/>
          <w:color w:val="222222"/>
          <w:sz w:val="18"/>
          <w:szCs w:val="18"/>
          <w:lang w:eastAsia="fr-FR"/>
        </w:rPr>
        <w:t>ELIAS</w:t>
      </w:r>
      <w:proofErr w:type="spellEnd"/>
      <w:r>
        <w:rPr>
          <w:rFonts w:ascii="Calibri" w:eastAsia="Calibri" w:hAnsi="Calibri" w:cs="Calibri"/>
          <w:bCs/>
          <w:iCs/>
          <w:color w:val="222222"/>
          <w:sz w:val="18"/>
          <w:szCs w:val="18"/>
          <w:lang w:eastAsia="fr-FR"/>
        </w:rPr>
        <w:t xml:space="preserve"> ARIAS </w:t>
      </w:r>
      <w:proofErr w:type="spellStart"/>
      <w:r>
        <w:rPr>
          <w:rFonts w:ascii="Calibri" w:eastAsia="Calibri" w:hAnsi="Calibri" w:cs="Calibri"/>
          <w:bCs/>
          <w:iCs/>
          <w:color w:val="222222"/>
          <w:sz w:val="18"/>
          <w:szCs w:val="18"/>
          <w:lang w:eastAsia="fr-FR"/>
        </w:rPr>
        <w:t>IDARRAGA</w:t>
      </w:r>
      <w:proofErr w:type="spellEnd"/>
    </w:p>
    <w:p w:rsidR="00C20A87" w:rsidRDefault="00C20A87" w:rsidP="00C20A87">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A10DCE">
        <w:rPr>
          <w:rFonts w:ascii="Calibri" w:eastAsia="Calibri" w:hAnsi="Calibri" w:cs="Calibri"/>
          <w:color w:val="222222"/>
          <w:sz w:val="18"/>
          <w:szCs w:val="18"/>
          <w:lang w:val="es-CO" w:eastAsia="fr-FR"/>
        </w:rPr>
        <w:t>Accionado:</w:t>
      </w:r>
      <w:r w:rsidRPr="00A10DCE">
        <w:rPr>
          <w:rFonts w:ascii="Calibri" w:eastAsia="Calibri" w:hAnsi="Calibri" w:cs="Calibri"/>
          <w:color w:val="222222"/>
          <w:sz w:val="18"/>
          <w:szCs w:val="18"/>
          <w:lang w:val="es-CO" w:eastAsia="fr-FR"/>
        </w:rPr>
        <w:tab/>
        <w:t xml:space="preserve"> </w:t>
      </w:r>
      <w:r w:rsidRPr="00A10DCE">
        <w:rPr>
          <w:rFonts w:ascii="Calibri" w:eastAsia="Calibri" w:hAnsi="Calibri" w:cs="Calibri"/>
          <w:bCs/>
          <w:iCs/>
          <w:color w:val="222222"/>
          <w:sz w:val="18"/>
          <w:szCs w:val="18"/>
          <w:lang w:eastAsia="fr-FR"/>
        </w:rPr>
        <w:t xml:space="preserve">JUZGADO </w:t>
      </w:r>
      <w:r>
        <w:rPr>
          <w:rFonts w:ascii="Calibri" w:eastAsia="Calibri" w:hAnsi="Calibri" w:cs="Calibri"/>
          <w:bCs/>
          <w:iCs/>
          <w:color w:val="222222"/>
          <w:sz w:val="18"/>
          <w:szCs w:val="18"/>
          <w:lang w:eastAsia="fr-FR"/>
        </w:rPr>
        <w:t>4</w:t>
      </w:r>
      <w:r>
        <w:rPr>
          <w:rFonts w:ascii="Calibri" w:eastAsia="Calibri" w:hAnsi="Calibri" w:cs="Calibri"/>
          <w:bCs/>
          <w:iCs/>
          <w:color w:val="222222"/>
          <w:sz w:val="18"/>
          <w:szCs w:val="18"/>
          <w:lang w:eastAsia="fr-FR"/>
        </w:rPr>
        <w:t xml:space="preserve">º </w:t>
      </w:r>
      <w:r w:rsidRPr="00A10DCE">
        <w:rPr>
          <w:rFonts w:ascii="Calibri" w:eastAsia="Calibri" w:hAnsi="Calibri" w:cs="Calibri"/>
          <w:bCs/>
          <w:iCs/>
          <w:color w:val="222222"/>
          <w:sz w:val="18"/>
          <w:szCs w:val="18"/>
          <w:lang w:eastAsia="fr-FR"/>
        </w:rPr>
        <w:t>CIVIL DEL CIRCUITO</w:t>
      </w:r>
      <w:r>
        <w:rPr>
          <w:rFonts w:ascii="Calibri" w:eastAsia="Calibri" w:hAnsi="Calibri" w:cs="Calibri"/>
          <w:bCs/>
          <w:iCs/>
          <w:color w:val="222222"/>
          <w:sz w:val="18"/>
          <w:szCs w:val="18"/>
          <w:lang w:eastAsia="fr-FR"/>
        </w:rPr>
        <w:t xml:space="preserve"> DE PEREIRA Y OTROS</w:t>
      </w:r>
      <w:r w:rsidRPr="00A10DCE">
        <w:rPr>
          <w:rFonts w:ascii="Calibri" w:eastAsia="Calibri" w:hAnsi="Calibri" w:cs="Calibri"/>
          <w:bCs/>
          <w:iCs/>
          <w:color w:val="222222"/>
          <w:sz w:val="18"/>
          <w:szCs w:val="18"/>
          <w:lang w:eastAsia="fr-FR"/>
        </w:rPr>
        <w:t xml:space="preserve"> </w:t>
      </w:r>
    </w:p>
    <w:p w:rsidR="00C20A87" w:rsidRPr="00A10DCE" w:rsidRDefault="00C20A87" w:rsidP="00C20A87">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A10DCE">
        <w:rPr>
          <w:rFonts w:ascii="Calibri" w:eastAsia="Calibri" w:hAnsi="Calibri" w:cs="Calibri"/>
          <w:color w:val="222222"/>
          <w:sz w:val="18"/>
          <w:szCs w:val="18"/>
          <w:lang w:val="es-CO" w:eastAsia="fr-FR"/>
        </w:rPr>
        <w:t xml:space="preserve">Magistrado Ponente: </w:t>
      </w:r>
      <w:r w:rsidRPr="00A10DCE">
        <w:rPr>
          <w:rFonts w:ascii="Calibri" w:eastAsia="Calibri" w:hAnsi="Calibri" w:cs="Calibri"/>
          <w:color w:val="222222"/>
          <w:sz w:val="18"/>
          <w:szCs w:val="18"/>
          <w:lang w:val="es-CO" w:eastAsia="fr-FR"/>
        </w:rPr>
        <w:tab/>
        <w:t xml:space="preserve"> </w:t>
      </w:r>
      <w:r w:rsidRPr="00A10DCE">
        <w:rPr>
          <w:rFonts w:ascii="Calibri" w:eastAsia="Calibri" w:hAnsi="Calibri" w:cs="Calibri"/>
          <w:bCs/>
          <w:iCs/>
          <w:color w:val="222222"/>
          <w:sz w:val="18"/>
          <w:szCs w:val="18"/>
          <w:lang w:val="es-CO" w:eastAsia="fr-FR"/>
        </w:rPr>
        <w:t>CLAUDIA MAR</w:t>
      </w:r>
      <w:proofErr w:type="spellStart"/>
      <w:r w:rsidRPr="00A10DCE">
        <w:rPr>
          <w:rFonts w:ascii="Calibri" w:eastAsia="Calibri" w:hAnsi="Calibri" w:cs="Calibri"/>
          <w:bCs/>
          <w:iCs/>
          <w:color w:val="222222"/>
          <w:sz w:val="18"/>
          <w:szCs w:val="18"/>
          <w:lang w:val="es-ES" w:eastAsia="fr-FR"/>
        </w:rPr>
        <w:t>ÍA</w:t>
      </w:r>
      <w:proofErr w:type="spellEnd"/>
      <w:r w:rsidRPr="00A10DCE">
        <w:rPr>
          <w:rFonts w:ascii="Calibri" w:eastAsia="Calibri" w:hAnsi="Calibri" w:cs="Calibri"/>
          <w:bCs/>
          <w:iCs/>
          <w:color w:val="222222"/>
          <w:sz w:val="18"/>
          <w:szCs w:val="18"/>
          <w:lang w:val="es-ES" w:eastAsia="fr-FR"/>
        </w:rPr>
        <w:t xml:space="preserve"> ARCILA RÍOS</w:t>
      </w:r>
    </w:p>
    <w:p w:rsidR="00C20A87" w:rsidRPr="00A10DCE" w:rsidRDefault="00C20A87" w:rsidP="00C20A87">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C20A87" w:rsidRPr="00C20A87" w:rsidRDefault="00C20A87" w:rsidP="00C20A87">
      <w:pPr>
        <w:pStyle w:val="Sinespaciado"/>
        <w:jc w:val="both"/>
        <w:rPr>
          <w:rFonts w:ascii="Calibri" w:eastAsia="Calibri" w:hAnsi="Calibri"/>
          <w:sz w:val="18"/>
          <w:szCs w:val="18"/>
          <w:lang w:eastAsia="fr-FR"/>
        </w:rPr>
      </w:pPr>
      <w:r w:rsidRPr="007146B1">
        <w:rPr>
          <w:rFonts w:ascii="Calibri" w:eastAsia="Calibri" w:hAnsi="Calibri"/>
          <w:b/>
          <w:sz w:val="18"/>
          <w:szCs w:val="18"/>
          <w:lang w:val="es-CO" w:eastAsia="fr-FR"/>
        </w:rPr>
        <w:t xml:space="preserve">Temas: </w:t>
      </w:r>
      <w:r w:rsidRPr="007146B1">
        <w:rPr>
          <w:rFonts w:ascii="Calibri" w:eastAsia="Calibri" w:hAnsi="Calibri"/>
          <w:b/>
          <w:sz w:val="18"/>
          <w:szCs w:val="18"/>
          <w:lang w:val="es-CO" w:eastAsia="fr-FR"/>
        </w:rPr>
        <w:tab/>
      </w:r>
      <w:r>
        <w:rPr>
          <w:rFonts w:ascii="Calibri" w:eastAsia="Calibri" w:hAnsi="Calibri"/>
          <w:b/>
          <w:sz w:val="18"/>
          <w:szCs w:val="18"/>
          <w:lang w:val="es-CO" w:eastAsia="fr-FR"/>
        </w:rPr>
        <w:tab/>
        <w:t xml:space="preserve">          DEBIDO PROCESO / TUTELA CONTRA PROVIDENCIA JUDICIAL</w:t>
      </w:r>
      <w:r w:rsidRPr="007146B1">
        <w:rPr>
          <w:rFonts w:ascii="Calibri" w:eastAsia="Calibri" w:hAnsi="Calibri"/>
          <w:b/>
          <w:sz w:val="18"/>
          <w:szCs w:val="18"/>
          <w:lang w:val="es-CO" w:eastAsia="fr-FR"/>
        </w:rPr>
        <w:t xml:space="preserve"> </w:t>
      </w:r>
      <w:r>
        <w:rPr>
          <w:rFonts w:ascii="Calibri" w:eastAsia="Calibri" w:hAnsi="Calibri"/>
          <w:b/>
          <w:sz w:val="18"/>
          <w:szCs w:val="18"/>
          <w:lang w:val="es-CO" w:eastAsia="fr-FR"/>
        </w:rPr>
        <w:t xml:space="preserve">/ SUBSIDIARIEDAD / PROCESO </w:t>
      </w:r>
      <w:r>
        <w:rPr>
          <w:rFonts w:ascii="Calibri" w:eastAsia="Calibri" w:hAnsi="Calibri"/>
          <w:b/>
          <w:sz w:val="18"/>
          <w:szCs w:val="18"/>
          <w:lang w:val="es-CO" w:eastAsia="fr-FR"/>
        </w:rPr>
        <w:t xml:space="preserve">EN TRÁMITE </w:t>
      </w:r>
      <w:r>
        <w:rPr>
          <w:rFonts w:ascii="Calibri" w:eastAsia="Calibri" w:hAnsi="Calibri"/>
          <w:b/>
          <w:sz w:val="18"/>
          <w:szCs w:val="18"/>
          <w:lang w:val="es-CO" w:eastAsia="fr-FR"/>
        </w:rPr>
        <w:t>/ IMPROCEDENCIA</w:t>
      </w:r>
      <w:r w:rsidRPr="007146B1">
        <w:rPr>
          <w:rFonts w:ascii="Calibri" w:eastAsia="Calibri" w:hAnsi="Calibri"/>
          <w:b/>
          <w:sz w:val="18"/>
          <w:szCs w:val="18"/>
          <w:lang w:val="es-ES" w:eastAsia="fr-FR"/>
        </w:rPr>
        <w:t xml:space="preserve">. </w:t>
      </w:r>
      <w:r w:rsidRPr="00C20A87">
        <w:rPr>
          <w:rFonts w:ascii="Calibri" w:eastAsia="Calibri" w:hAnsi="Calibri"/>
          <w:sz w:val="18"/>
          <w:szCs w:val="18"/>
          <w:lang w:eastAsia="fr-FR"/>
        </w:rPr>
        <w:t>Las pruebas aportadas acreditan también que el accionante acudió al Juzgado Cuarto Civil del Circuito para solicitar se aclararan los motivos que lo llevaron a declarar su falta de competencia, a pesar de lo reglado por el artículo 16 de la Ley 472 de 1998, y que a la fecha esa petición se encuentra pendiente de resolver, por lo que el amparo constitucional se torna improcedente, pues el actor debía aguardar a que se produjera tal decisión para acudir a este medio, en caso de que se violara algún derecho fundamental del que sea titular.</w:t>
      </w:r>
    </w:p>
    <w:p w:rsidR="00C20A87" w:rsidRDefault="00C20A87" w:rsidP="00C20A87">
      <w:pPr>
        <w:pStyle w:val="Sinespaciado"/>
        <w:jc w:val="both"/>
        <w:rPr>
          <w:rFonts w:ascii="Calibri" w:eastAsia="Calibri" w:hAnsi="Calibri"/>
          <w:sz w:val="18"/>
          <w:szCs w:val="18"/>
          <w:lang w:eastAsia="fr-FR"/>
        </w:rPr>
      </w:pPr>
      <w:r w:rsidRPr="00C20A87">
        <w:rPr>
          <w:rFonts w:ascii="Calibri" w:eastAsia="Calibri" w:hAnsi="Calibri"/>
          <w:sz w:val="18"/>
          <w:szCs w:val="18"/>
          <w:lang w:eastAsia="fr-FR"/>
        </w:rPr>
        <w:t xml:space="preserve"> 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w:t>
      </w:r>
      <w:r>
        <w:rPr>
          <w:rFonts w:ascii="Calibri" w:eastAsia="Calibri" w:hAnsi="Calibri"/>
          <w:sz w:val="18"/>
          <w:szCs w:val="18"/>
          <w:lang w:eastAsia="fr-FR"/>
        </w:rPr>
        <w:t>para la defensa de los derechos</w:t>
      </w:r>
      <w:r w:rsidRPr="00B178CF">
        <w:rPr>
          <w:rFonts w:ascii="Calibri" w:eastAsia="Calibri" w:hAnsi="Calibri"/>
          <w:sz w:val="18"/>
          <w:szCs w:val="18"/>
          <w:lang w:eastAsia="fr-FR"/>
        </w:rPr>
        <w:t>.</w:t>
      </w:r>
      <w:r w:rsidRPr="002959D0">
        <w:rPr>
          <w:rFonts w:ascii="Calibri" w:eastAsia="Calibri" w:hAnsi="Calibri"/>
          <w:sz w:val="18"/>
          <w:szCs w:val="18"/>
          <w:lang w:eastAsia="fr-FR"/>
        </w:rPr>
        <w:t xml:space="preserve"> </w:t>
      </w:r>
    </w:p>
    <w:p w:rsidR="00C20A87" w:rsidRDefault="00C20A87" w:rsidP="00C20A87">
      <w:pPr>
        <w:pStyle w:val="Sinespaciado"/>
        <w:jc w:val="both"/>
        <w:rPr>
          <w:rFonts w:ascii="Calibri" w:eastAsia="Calibri" w:hAnsi="Calibri"/>
          <w:sz w:val="18"/>
          <w:szCs w:val="18"/>
          <w:lang w:eastAsia="fr-FR"/>
        </w:rPr>
      </w:pPr>
      <w:r>
        <w:rPr>
          <w:rFonts w:ascii="Calibri" w:eastAsia="Calibri" w:hAnsi="Calibri"/>
          <w:sz w:val="18"/>
          <w:szCs w:val="18"/>
          <w:lang w:eastAsia="fr-FR"/>
        </w:rPr>
        <w:t>(…)</w:t>
      </w:r>
    </w:p>
    <w:p w:rsidR="00C20A87" w:rsidRDefault="00C20A87" w:rsidP="00C20A87">
      <w:pPr>
        <w:pStyle w:val="Sinespaciado"/>
        <w:jc w:val="both"/>
        <w:rPr>
          <w:rFonts w:ascii="Calibri" w:eastAsia="Calibri" w:hAnsi="Calibri"/>
          <w:sz w:val="18"/>
          <w:szCs w:val="18"/>
          <w:lang w:eastAsia="fr-FR"/>
        </w:rPr>
      </w:pPr>
      <w:r w:rsidRPr="00C20A87">
        <w:rPr>
          <w:rFonts w:ascii="Calibri" w:eastAsia="Calibri" w:hAnsi="Calibri"/>
          <w:sz w:val="18"/>
          <w:szCs w:val="18"/>
          <w:lang w:eastAsia="fr-FR"/>
        </w:rPr>
        <w:t>De todas formas, y respecto a la supuesta dilación del proceso, se debe indicar que de la prueba documental aportada, se infiere qu</w:t>
      </w:r>
      <w:bookmarkStart w:id="0" w:name="_GoBack"/>
      <w:bookmarkEnd w:id="0"/>
      <w:r w:rsidRPr="00C20A87">
        <w:rPr>
          <w:rFonts w:ascii="Calibri" w:eastAsia="Calibri" w:hAnsi="Calibri"/>
          <w:sz w:val="18"/>
          <w:szCs w:val="18"/>
          <w:lang w:eastAsia="fr-FR"/>
        </w:rPr>
        <w:t>e la acción popular sí se encuentra en trámite y en este momento está pendiente de definir lo relativo al recurso de reposición formulado por el accionante contra el auto que rechazó la demanda por agotamiento de jurisdicción, situación que, por demás, de mantenerse implicaría que la acción popular en la que encuentra el demandante lesionados sus derechos estaría legalmente culminada y por tanto cualquier medida que se adoptara sobre el particular sería vana</w:t>
      </w:r>
      <w:r w:rsidRPr="000F2E13">
        <w:rPr>
          <w:rFonts w:ascii="Calibri" w:eastAsia="Calibri" w:hAnsi="Calibri"/>
          <w:sz w:val="18"/>
          <w:szCs w:val="18"/>
          <w:lang w:eastAsia="fr-FR"/>
        </w:rPr>
        <w:t>.</w:t>
      </w:r>
    </w:p>
    <w:p w:rsidR="00C20A87" w:rsidRDefault="00C20A87" w:rsidP="00C20A87">
      <w:pPr>
        <w:pStyle w:val="Sinespaciado"/>
        <w:jc w:val="both"/>
        <w:rPr>
          <w:rFonts w:ascii="Calibri" w:eastAsia="Calibri" w:hAnsi="Calibri"/>
          <w:sz w:val="18"/>
          <w:szCs w:val="18"/>
          <w:lang w:eastAsia="fr-FR"/>
        </w:rPr>
      </w:pPr>
    </w:p>
    <w:p w:rsidR="00C20A87" w:rsidRDefault="00C20A87" w:rsidP="00C20A87">
      <w:pPr>
        <w:pStyle w:val="Sinespaciado"/>
        <w:jc w:val="both"/>
        <w:rPr>
          <w:rFonts w:ascii="Calibri" w:eastAsia="Calibri" w:hAnsi="Calibri"/>
          <w:sz w:val="18"/>
          <w:szCs w:val="18"/>
          <w:lang w:eastAsia="fr-FR"/>
        </w:rPr>
      </w:pPr>
    </w:p>
    <w:p w:rsidR="00663A1F" w:rsidRDefault="00663A1F"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085914">
        <w:rPr>
          <w:rFonts w:ascii="Verdana" w:hAnsi="Verdana"/>
          <w:b/>
          <w:sz w:val="24"/>
          <w:szCs w:val="24"/>
        </w:rPr>
        <w:t>TRIBUNAL SUPERIOR DEL DISTRITO JUDICIAL</w:t>
      </w:r>
    </w:p>
    <w:p w:rsidR="00A160AE" w:rsidRPr="00A160AE" w:rsidRDefault="00A160AE"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8"/>
          <w:szCs w:val="24"/>
        </w:rPr>
      </w:pPr>
    </w:p>
    <w:p w:rsidR="00663A1F" w:rsidRPr="00085914" w:rsidRDefault="00663A1F"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085914">
        <w:rPr>
          <w:rFonts w:ascii="Verdana" w:hAnsi="Verdana"/>
          <w:b/>
          <w:sz w:val="24"/>
          <w:szCs w:val="24"/>
        </w:rPr>
        <w:t>SALA DE DECISIÓN CIVIL FAMILIA</w:t>
      </w:r>
    </w:p>
    <w:p w:rsidR="00663A1F" w:rsidRPr="00085914" w:rsidRDefault="00663A1F"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6710C" w:rsidRDefault="0046710C" w:rsidP="00085914">
      <w:pPr>
        <w:spacing w:line="360" w:lineRule="auto"/>
        <w:jc w:val="both"/>
        <w:rPr>
          <w:rFonts w:ascii="Verdana" w:hAnsi="Verdana"/>
          <w:sz w:val="24"/>
          <w:szCs w:val="24"/>
        </w:rPr>
      </w:pPr>
      <w:r w:rsidRPr="00085914">
        <w:rPr>
          <w:rFonts w:ascii="Verdana" w:hAnsi="Verdana"/>
          <w:sz w:val="24"/>
          <w:szCs w:val="24"/>
        </w:rPr>
        <w:tab/>
        <w:t>Magistrada Ponente: Claudia María Arcila Ríos</w:t>
      </w:r>
    </w:p>
    <w:p w:rsidR="00A160AE" w:rsidRPr="00A160AE" w:rsidRDefault="00A160AE" w:rsidP="00085914">
      <w:pPr>
        <w:spacing w:line="360" w:lineRule="auto"/>
        <w:jc w:val="both"/>
        <w:rPr>
          <w:rFonts w:ascii="Verdana" w:hAnsi="Verdana"/>
          <w:sz w:val="8"/>
          <w:szCs w:val="24"/>
        </w:rPr>
      </w:pPr>
    </w:p>
    <w:p w:rsidR="0046710C" w:rsidRDefault="0046710C" w:rsidP="00085914">
      <w:pPr>
        <w:spacing w:line="360" w:lineRule="auto"/>
        <w:jc w:val="both"/>
        <w:rPr>
          <w:rFonts w:ascii="Verdana" w:hAnsi="Verdana"/>
          <w:sz w:val="24"/>
          <w:szCs w:val="24"/>
        </w:rPr>
      </w:pPr>
      <w:r w:rsidRPr="00085914">
        <w:rPr>
          <w:rFonts w:ascii="Verdana" w:hAnsi="Verdana"/>
          <w:sz w:val="24"/>
          <w:szCs w:val="24"/>
        </w:rPr>
        <w:tab/>
        <w:t xml:space="preserve">Pereira, </w:t>
      </w:r>
      <w:r w:rsidR="00D355B4" w:rsidRPr="00085914">
        <w:rPr>
          <w:rFonts w:ascii="Verdana" w:hAnsi="Verdana"/>
          <w:sz w:val="24"/>
          <w:szCs w:val="24"/>
        </w:rPr>
        <w:t>marzo</w:t>
      </w:r>
      <w:r w:rsidR="00A160AE">
        <w:rPr>
          <w:rFonts w:ascii="Verdana" w:hAnsi="Verdana"/>
          <w:sz w:val="24"/>
          <w:szCs w:val="24"/>
        </w:rPr>
        <w:t xml:space="preserve"> veintidós</w:t>
      </w:r>
      <w:r w:rsidR="00D355B4" w:rsidRPr="00085914">
        <w:rPr>
          <w:rFonts w:ascii="Verdana" w:hAnsi="Verdana"/>
          <w:sz w:val="24"/>
          <w:szCs w:val="24"/>
        </w:rPr>
        <w:t xml:space="preserve"> (</w:t>
      </w:r>
      <w:r w:rsidR="00A160AE">
        <w:rPr>
          <w:rFonts w:ascii="Verdana" w:hAnsi="Verdana"/>
          <w:sz w:val="24"/>
          <w:szCs w:val="24"/>
        </w:rPr>
        <w:t>22</w:t>
      </w:r>
      <w:r w:rsidR="00D355B4" w:rsidRPr="00085914">
        <w:rPr>
          <w:rFonts w:ascii="Verdana" w:hAnsi="Verdana"/>
          <w:sz w:val="24"/>
          <w:szCs w:val="24"/>
        </w:rPr>
        <w:t>) de dos mil dieciocho (2018</w:t>
      </w:r>
      <w:r w:rsidRPr="00085914">
        <w:rPr>
          <w:rFonts w:ascii="Verdana" w:hAnsi="Verdana"/>
          <w:sz w:val="24"/>
          <w:szCs w:val="24"/>
        </w:rPr>
        <w:t>)</w:t>
      </w:r>
    </w:p>
    <w:p w:rsidR="00A160AE" w:rsidRPr="00A160AE" w:rsidRDefault="00A160AE" w:rsidP="00085914">
      <w:pPr>
        <w:spacing w:line="360" w:lineRule="auto"/>
        <w:jc w:val="both"/>
        <w:rPr>
          <w:rFonts w:ascii="Verdana" w:hAnsi="Verdana"/>
          <w:sz w:val="8"/>
          <w:szCs w:val="24"/>
        </w:rPr>
      </w:pPr>
    </w:p>
    <w:p w:rsidR="0046710C" w:rsidRDefault="0046710C" w:rsidP="00085914">
      <w:pPr>
        <w:spacing w:line="360" w:lineRule="auto"/>
        <w:jc w:val="both"/>
        <w:rPr>
          <w:rFonts w:ascii="Verdana" w:hAnsi="Verdana"/>
          <w:sz w:val="24"/>
          <w:szCs w:val="24"/>
        </w:rPr>
      </w:pPr>
      <w:r w:rsidRPr="00085914">
        <w:rPr>
          <w:rFonts w:ascii="Verdana" w:hAnsi="Verdana"/>
          <w:sz w:val="24"/>
          <w:szCs w:val="24"/>
        </w:rPr>
        <w:tab/>
        <w:t xml:space="preserve">Acta No. </w:t>
      </w:r>
      <w:r w:rsidR="00A160AE">
        <w:rPr>
          <w:rFonts w:ascii="Verdana" w:hAnsi="Verdana"/>
          <w:sz w:val="24"/>
          <w:szCs w:val="24"/>
        </w:rPr>
        <w:t xml:space="preserve">087 </w:t>
      </w:r>
      <w:r w:rsidRPr="00085914">
        <w:rPr>
          <w:rFonts w:ascii="Verdana" w:hAnsi="Verdana"/>
          <w:sz w:val="24"/>
          <w:szCs w:val="24"/>
        </w:rPr>
        <w:t xml:space="preserve">del </w:t>
      </w:r>
      <w:r w:rsidR="00A160AE">
        <w:rPr>
          <w:rFonts w:ascii="Verdana" w:hAnsi="Verdana"/>
          <w:sz w:val="24"/>
          <w:szCs w:val="24"/>
        </w:rPr>
        <w:t>22</w:t>
      </w:r>
      <w:r w:rsidR="00D355B4" w:rsidRPr="00085914">
        <w:rPr>
          <w:rFonts w:ascii="Verdana" w:hAnsi="Verdana"/>
          <w:sz w:val="24"/>
          <w:szCs w:val="24"/>
        </w:rPr>
        <w:t xml:space="preserve"> </w:t>
      </w:r>
      <w:r w:rsidRPr="00085914">
        <w:rPr>
          <w:rFonts w:ascii="Verdana" w:hAnsi="Verdana"/>
          <w:sz w:val="24"/>
          <w:szCs w:val="24"/>
        </w:rPr>
        <w:t xml:space="preserve">de </w:t>
      </w:r>
      <w:r w:rsidR="00D355B4" w:rsidRPr="00085914">
        <w:rPr>
          <w:rFonts w:ascii="Verdana" w:hAnsi="Verdana"/>
          <w:sz w:val="24"/>
          <w:szCs w:val="24"/>
        </w:rPr>
        <w:t>marzo de 2018</w:t>
      </w:r>
    </w:p>
    <w:p w:rsidR="00A160AE" w:rsidRPr="00A160AE" w:rsidRDefault="00A160AE" w:rsidP="00085914">
      <w:pPr>
        <w:spacing w:line="360" w:lineRule="auto"/>
        <w:jc w:val="both"/>
        <w:rPr>
          <w:rFonts w:ascii="Verdana" w:hAnsi="Verdana"/>
          <w:sz w:val="8"/>
          <w:szCs w:val="24"/>
        </w:rPr>
      </w:pPr>
    </w:p>
    <w:p w:rsidR="00394C86" w:rsidRPr="00085914" w:rsidRDefault="004110A6" w:rsidP="00085914">
      <w:pPr>
        <w:spacing w:line="360" w:lineRule="auto"/>
        <w:jc w:val="both"/>
        <w:rPr>
          <w:rFonts w:ascii="Verdana" w:hAnsi="Verdana"/>
          <w:sz w:val="24"/>
          <w:szCs w:val="23"/>
          <w:lang w:val="es-ES"/>
        </w:rPr>
      </w:pPr>
      <w:r w:rsidRPr="00085914">
        <w:rPr>
          <w:rFonts w:ascii="Verdana" w:hAnsi="Verdana"/>
          <w:sz w:val="24"/>
          <w:szCs w:val="24"/>
        </w:rPr>
        <w:tab/>
      </w:r>
      <w:r w:rsidR="0028203E" w:rsidRPr="00085914">
        <w:rPr>
          <w:rFonts w:ascii="Verdana" w:hAnsi="Verdana"/>
          <w:sz w:val="24"/>
          <w:szCs w:val="23"/>
          <w:lang w:val="es-ES"/>
        </w:rPr>
        <w:t>Expediente</w:t>
      </w:r>
      <w:r w:rsidR="00394C86" w:rsidRPr="00085914">
        <w:rPr>
          <w:rFonts w:ascii="Verdana" w:hAnsi="Verdana"/>
          <w:sz w:val="24"/>
          <w:szCs w:val="23"/>
          <w:lang w:val="es-ES"/>
        </w:rPr>
        <w:t xml:space="preserve"> </w:t>
      </w:r>
      <w:r w:rsidR="00360863" w:rsidRPr="00085914">
        <w:rPr>
          <w:rFonts w:ascii="Verdana" w:hAnsi="Verdana"/>
          <w:sz w:val="24"/>
          <w:szCs w:val="23"/>
          <w:lang w:val="es-ES"/>
        </w:rPr>
        <w:t>No.</w:t>
      </w:r>
      <w:r w:rsidR="00394C86" w:rsidRPr="00085914">
        <w:rPr>
          <w:rFonts w:ascii="Verdana" w:hAnsi="Verdana"/>
          <w:sz w:val="24"/>
          <w:szCs w:val="23"/>
          <w:lang w:val="es-ES"/>
        </w:rPr>
        <w:t xml:space="preserve"> 66001-</w:t>
      </w:r>
      <w:r w:rsidR="00A06F3E" w:rsidRPr="00085914">
        <w:rPr>
          <w:rFonts w:ascii="Verdana" w:hAnsi="Verdana"/>
          <w:sz w:val="24"/>
          <w:szCs w:val="23"/>
          <w:lang w:val="es-ES"/>
        </w:rPr>
        <w:t>22-13-000-2018-00057</w:t>
      </w:r>
      <w:r w:rsidR="00394C86" w:rsidRPr="00085914">
        <w:rPr>
          <w:rFonts w:ascii="Verdana" w:hAnsi="Verdana"/>
          <w:sz w:val="24"/>
          <w:szCs w:val="23"/>
          <w:lang w:val="es-ES"/>
        </w:rPr>
        <w:t>-00</w:t>
      </w:r>
    </w:p>
    <w:p w:rsidR="00A747F8" w:rsidRPr="00085914" w:rsidRDefault="00A747F8" w:rsidP="00085914">
      <w:pPr>
        <w:spacing w:line="360" w:lineRule="auto"/>
        <w:jc w:val="both"/>
        <w:rPr>
          <w:rFonts w:ascii="Verdana" w:hAnsi="Verdana"/>
          <w:sz w:val="24"/>
          <w:szCs w:val="23"/>
          <w:lang w:val="es-ES"/>
        </w:rPr>
      </w:pPr>
    </w:p>
    <w:p w:rsidR="00FF491D" w:rsidRPr="00085914" w:rsidRDefault="00E04FA5" w:rsidP="00085914">
      <w:pPr>
        <w:spacing w:line="360" w:lineRule="auto"/>
        <w:jc w:val="both"/>
        <w:rPr>
          <w:rFonts w:ascii="Verdana" w:hAnsi="Verdana"/>
          <w:sz w:val="24"/>
          <w:szCs w:val="24"/>
        </w:rPr>
      </w:pPr>
      <w:r w:rsidRPr="00085914">
        <w:rPr>
          <w:rFonts w:ascii="Verdana" w:hAnsi="Verdana"/>
          <w:sz w:val="24"/>
          <w:szCs w:val="24"/>
        </w:rPr>
        <w:t>Se decide en primera instancia la acción</w:t>
      </w:r>
      <w:r w:rsidR="00325DB4" w:rsidRPr="00085914">
        <w:rPr>
          <w:rFonts w:ascii="Verdana" w:hAnsi="Verdana"/>
          <w:sz w:val="24"/>
          <w:szCs w:val="24"/>
        </w:rPr>
        <w:t xml:space="preserve"> de tut</w:t>
      </w:r>
      <w:r w:rsidRPr="00085914">
        <w:rPr>
          <w:rFonts w:ascii="Verdana" w:hAnsi="Verdana"/>
          <w:sz w:val="24"/>
          <w:szCs w:val="24"/>
        </w:rPr>
        <w:t xml:space="preserve">ela de la referencia, </w:t>
      </w:r>
      <w:r w:rsidR="009C5F8B">
        <w:rPr>
          <w:rFonts w:ascii="Verdana" w:hAnsi="Verdana"/>
          <w:sz w:val="24"/>
          <w:szCs w:val="24"/>
        </w:rPr>
        <w:t xml:space="preserve">instaurada </w:t>
      </w:r>
      <w:r w:rsidR="00325DB4" w:rsidRPr="00085914">
        <w:rPr>
          <w:rFonts w:ascii="Verdana" w:hAnsi="Verdana"/>
          <w:sz w:val="24"/>
          <w:szCs w:val="24"/>
        </w:rPr>
        <w:t xml:space="preserve">por el señor </w:t>
      </w:r>
      <w:r w:rsidR="00A06F3E" w:rsidRPr="00085914">
        <w:rPr>
          <w:rFonts w:ascii="Verdana" w:hAnsi="Verdana"/>
          <w:sz w:val="24"/>
          <w:szCs w:val="24"/>
        </w:rPr>
        <w:t>Javier Elías Arias Idárraga</w:t>
      </w:r>
      <w:r w:rsidR="009D3ABF" w:rsidRPr="00085914">
        <w:rPr>
          <w:rFonts w:ascii="Verdana" w:hAnsi="Verdana"/>
          <w:sz w:val="24"/>
          <w:szCs w:val="24"/>
        </w:rPr>
        <w:t xml:space="preserve"> contra el Juzgado</w:t>
      </w:r>
      <w:r w:rsidR="009B3F97" w:rsidRPr="00085914">
        <w:rPr>
          <w:rFonts w:ascii="Verdana" w:hAnsi="Verdana"/>
          <w:sz w:val="24"/>
          <w:szCs w:val="24"/>
        </w:rPr>
        <w:t xml:space="preserve"> </w:t>
      </w:r>
      <w:r w:rsidR="00A06F3E" w:rsidRPr="00085914">
        <w:rPr>
          <w:rFonts w:ascii="Verdana" w:hAnsi="Verdana"/>
          <w:sz w:val="24"/>
          <w:szCs w:val="24"/>
        </w:rPr>
        <w:t xml:space="preserve">Cuarto </w:t>
      </w:r>
      <w:r w:rsidR="00F60E96" w:rsidRPr="00085914">
        <w:rPr>
          <w:rFonts w:ascii="Verdana" w:hAnsi="Verdana"/>
          <w:sz w:val="24"/>
          <w:szCs w:val="24"/>
        </w:rPr>
        <w:t>Civil del Circuito</w:t>
      </w:r>
      <w:r w:rsidR="00A06F3E" w:rsidRPr="00085914">
        <w:rPr>
          <w:rFonts w:ascii="Verdana" w:hAnsi="Verdana"/>
          <w:sz w:val="24"/>
          <w:szCs w:val="24"/>
        </w:rPr>
        <w:t xml:space="preserve"> local</w:t>
      </w:r>
      <w:r w:rsidR="008F196E" w:rsidRPr="00085914">
        <w:rPr>
          <w:rFonts w:ascii="Verdana" w:hAnsi="Verdana"/>
          <w:sz w:val="24"/>
          <w:szCs w:val="24"/>
        </w:rPr>
        <w:t xml:space="preserve"> y el Procurador</w:t>
      </w:r>
      <w:r w:rsidR="0039306B" w:rsidRPr="00085914">
        <w:rPr>
          <w:rFonts w:ascii="Verdana" w:hAnsi="Verdana"/>
          <w:sz w:val="24"/>
          <w:szCs w:val="24"/>
        </w:rPr>
        <w:t xml:space="preserve"> 10 II</w:t>
      </w:r>
      <w:r w:rsidR="008F196E" w:rsidRPr="00085914">
        <w:rPr>
          <w:rFonts w:ascii="Verdana" w:hAnsi="Verdana"/>
          <w:sz w:val="24"/>
          <w:szCs w:val="24"/>
        </w:rPr>
        <w:t xml:space="preserve"> Delegado en Asuntos Civiles</w:t>
      </w:r>
      <w:r w:rsidR="007C501C" w:rsidRPr="00085914">
        <w:rPr>
          <w:rFonts w:ascii="Verdana" w:hAnsi="Verdana"/>
          <w:sz w:val="24"/>
          <w:szCs w:val="24"/>
        </w:rPr>
        <w:t>,</w:t>
      </w:r>
      <w:r w:rsidR="000A6F22" w:rsidRPr="00085914">
        <w:rPr>
          <w:rFonts w:ascii="Verdana" w:hAnsi="Verdana"/>
          <w:sz w:val="24"/>
          <w:szCs w:val="24"/>
        </w:rPr>
        <w:t xml:space="preserve"> a la que fueron vinculados</w:t>
      </w:r>
      <w:r w:rsidR="00FF491D" w:rsidRPr="00085914">
        <w:rPr>
          <w:rFonts w:ascii="Verdana" w:hAnsi="Verdana"/>
          <w:sz w:val="24"/>
          <w:szCs w:val="24"/>
        </w:rPr>
        <w:t xml:space="preserve"> </w:t>
      </w:r>
      <w:r w:rsidR="001D1AA4" w:rsidRPr="00085914">
        <w:rPr>
          <w:rFonts w:ascii="Verdana" w:hAnsi="Verdana"/>
          <w:sz w:val="24"/>
          <w:szCs w:val="24"/>
        </w:rPr>
        <w:t>Bancolombia, el señor Leandro Giraldo,</w:t>
      </w:r>
      <w:r w:rsidR="001D1AA4" w:rsidRPr="00085914">
        <w:rPr>
          <w:rFonts w:ascii="Verdana" w:hAnsi="Verdana"/>
          <w:sz w:val="24"/>
          <w:szCs w:val="24"/>
          <w:lang w:val="es-ES"/>
        </w:rPr>
        <w:t xml:space="preserve"> </w:t>
      </w:r>
      <w:r w:rsidR="00BD5D57" w:rsidRPr="00085914">
        <w:rPr>
          <w:rFonts w:ascii="Verdana" w:hAnsi="Verdana"/>
          <w:sz w:val="24"/>
          <w:szCs w:val="24"/>
          <w:lang w:val="es-ES"/>
        </w:rPr>
        <w:t>e</w:t>
      </w:r>
      <w:r w:rsidR="007C501C" w:rsidRPr="00085914">
        <w:rPr>
          <w:rFonts w:ascii="Verdana" w:hAnsi="Verdana"/>
          <w:sz w:val="24"/>
          <w:szCs w:val="24"/>
          <w:lang w:val="es-ES"/>
        </w:rPr>
        <w:t>l Alcalde de</w:t>
      </w:r>
      <w:r w:rsidR="001D1AA4" w:rsidRPr="00085914">
        <w:rPr>
          <w:rFonts w:ascii="Verdana" w:hAnsi="Verdana"/>
          <w:sz w:val="24"/>
          <w:szCs w:val="24"/>
          <w:lang w:val="es-ES"/>
        </w:rPr>
        <w:t xml:space="preserve"> Pereira</w:t>
      </w:r>
      <w:r w:rsidR="00FF491D" w:rsidRPr="00085914">
        <w:rPr>
          <w:rFonts w:ascii="Verdana" w:hAnsi="Verdana"/>
          <w:sz w:val="24"/>
          <w:szCs w:val="24"/>
        </w:rPr>
        <w:t>,</w:t>
      </w:r>
      <w:r w:rsidR="00F93792" w:rsidRPr="00085914">
        <w:rPr>
          <w:rFonts w:ascii="Verdana" w:hAnsi="Verdana"/>
          <w:sz w:val="24"/>
          <w:szCs w:val="24"/>
        </w:rPr>
        <w:t xml:space="preserve"> </w:t>
      </w:r>
      <w:r w:rsidR="00FF491D" w:rsidRPr="00085914">
        <w:rPr>
          <w:rFonts w:ascii="Verdana" w:hAnsi="Verdana"/>
          <w:sz w:val="24"/>
          <w:szCs w:val="24"/>
        </w:rPr>
        <w:t>la Defensoría del Pueblo</w:t>
      </w:r>
      <w:r w:rsidR="00F93792" w:rsidRPr="00085914">
        <w:rPr>
          <w:rFonts w:ascii="Verdana" w:hAnsi="Verdana"/>
          <w:sz w:val="24"/>
          <w:szCs w:val="24"/>
        </w:rPr>
        <w:t xml:space="preserve"> y </w:t>
      </w:r>
      <w:r w:rsidR="00FF491D" w:rsidRPr="00085914">
        <w:rPr>
          <w:rFonts w:ascii="Verdana" w:hAnsi="Verdana"/>
          <w:sz w:val="24"/>
          <w:szCs w:val="24"/>
        </w:rPr>
        <w:t xml:space="preserve">el </w:t>
      </w:r>
      <w:r w:rsidR="009C5F8B">
        <w:rPr>
          <w:rFonts w:ascii="Verdana" w:hAnsi="Verdana"/>
          <w:sz w:val="24"/>
          <w:szCs w:val="24"/>
        </w:rPr>
        <w:t xml:space="preserve">representante del </w:t>
      </w:r>
      <w:r w:rsidR="00FF491D" w:rsidRPr="00085914">
        <w:rPr>
          <w:rFonts w:ascii="Verdana" w:hAnsi="Verdana"/>
          <w:sz w:val="24"/>
          <w:szCs w:val="24"/>
        </w:rPr>
        <w:t>Ministerio Público</w:t>
      </w:r>
      <w:r w:rsidR="008F196E" w:rsidRPr="00085914">
        <w:rPr>
          <w:rFonts w:ascii="Verdana" w:hAnsi="Verdana"/>
          <w:sz w:val="24"/>
          <w:szCs w:val="24"/>
        </w:rPr>
        <w:t>, ambos</w:t>
      </w:r>
      <w:r w:rsidR="00F93792" w:rsidRPr="00085914">
        <w:rPr>
          <w:rFonts w:ascii="Verdana" w:hAnsi="Verdana"/>
          <w:sz w:val="24"/>
          <w:szCs w:val="24"/>
        </w:rPr>
        <w:t xml:space="preserve"> </w:t>
      </w:r>
      <w:r w:rsidR="00FF491D" w:rsidRPr="00085914">
        <w:rPr>
          <w:rFonts w:ascii="Verdana" w:hAnsi="Verdana"/>
          <w:sz w:val="24"/>
          <w:szCs w:val="24"/>
        </w:rPr>
        <w:t>de la Regional Risaralda</w:t>
      </w:r>
      <w:r w:rsidR="004C2F89" w:rsidRPr="00085914">
        <w:rPr>
          <w:rFonts w:ascii="Verdana" w:hAnsi="Verdana"/>
          <w:sz w:val="24"/>
          <w:szCs w:val="24"/>
        </w:rPr>
        <w:t>.</w:t>
      </w:r>
    </w:p>
    <w:p w:rsidR="00FF491D" w:rsidRPr="00085914" w:rsidRDefault="00FF491D" w:rsidP="00085914">
      <w:pPr>
        <w:spacing w:line="360" w:lineRule="auto"/>
        <w:jc w:val="both"/>
        <w:rPr>
          <w:rFonts w:ascii="Verdana" w:hAnsi="Verdana"/>
          <w:sz w:val="24"/>
          <w:szCs w:val="24"/>
        </w:rPr>
      </w:pPr>
    </w:p>
    <w:p w:rsidR="00325DB4" w:rsidRPr="00085914" w:rsidRDefault="00325DB4" w:rsidP="00085914">
      <w:pPr>
        <w:spacing w:line="360" w:lineRule="auto"/>
        <w:jc w:val="both"/>
        <w:rPr>
          <w:rFonts w:ascii="Verdana" w:hAnsi="Verdana"/>
          <w:b/>
          <w:sz w:val="24"/>
          <w:szCs w:val="24"/>
        </w:rPr>
      </w:pPr>
      <w:r w:rsidRPr="00085914">
        <w:rPr>
          <w:rFonts w:ascii="Verdana" w:hAnsi="Verdana"/>
          <w:b/>
          <w:sz w:val="24"/>
          <w:szCs w:val="24"/>
        </w:rPr>
        <w:t>A N T E C E D E N T E S</w:t>
      </w:r>
    </w:p>
    <w:p w:rsidR="00325DB4" w:rsidRPr="00085914" w:rsidRDefault="00325DB4" w:rsidP="00085914">
      <w:pPr>
        <w:spacing w:line="360" w:lineRule="auto"/>
        <w:jc w:val="both"/>
        <w:rPr>
          <w:rFonts w:ascii="Verdana" w:hAnsi="Verdana"/>
          <w:sz w:val="24"/>
          <w:szCs w:val="24"/>
        </w:rPr>
      </w:pPr>
    </w:p>
    <w:p w:rsidR="00C867B3" w:rsidRPr="00085914" w:rsidRDefault="00C867B3" w:rsidP="00085914">
      <w:pPr>
        <w:spacing w:line="360" w:lineRule="auto"/>
        <w:jc w:val="both"/>
        <w:rPr>
          <w:rFonts w:ascii="Verdana" w:hAnsi="Verdana"/>
          <w:sz w:val="24"/>
          <w:szCs w:val="24"/>
        </w:rPr>
      </w:pPr>
      <w:r w:rsidRPr="00085914">
        <w:rPr>
          <w:rFonts w:ascii="Verdana" w:hAnsi="Verdana"/>
          <w:sz w:val="24"/>
          <w:szCs w:val="24"/>
        </w:rPr>
        <w:lastRenderedPageBreak/>
        <w:t>1. Relató el actor que en la acción popular radicada bajo el</w:t>
      </w:r>
      <w:r w:rsidR="00464A1E" w:rsidRPr="00085914">
        <w:rPr>
          <w:rFonts w:ascii="Verdana" w:hAnsi="Verdana"/>
          <w:sz w:val="24"/>
          <w:szCs w:val="24"/>
        </w:rPr>
        <w:t xml:space="preserve"> No. </w:t>
      </w:r>
      <w:r w:rsidR="0039306B" w:rsidRPr="00085914">
        <w:rPr>
          <w:rFonts w:ascii="Verdana" w:hAnsi="Verdana"/>
          <w:sz w:val="24"/>
          <w:szCs w:val="24"/>
        </w:rPr>
        <w:t>“2015-1347</w:t>
      </w:r>
      <w:r w:rsidRPr="00085914">
        <w:rPr>
          <w:rFonts w:ascii="Verdana" w:hAnsi="Verdana"/>
          <w:sz w:val="24"/>
          <w:szCs w:val="24"/>
        </w:rPr>
        <w:t>”</w:t>
      </w:r>
      <w:r w:rsidRPr="00085914">
        <w:rPr>
          <w:rFonts w:ascii="Verdana" w:hAnsi="Verdana"/>
          <w:sz w:val="24"/>
          <w:szCs w:val="23"/>
          <w:lang w:val="es-CO"/>
        </w:rPr>
        <w:t>,</w:t>
      </w:r>
      <w:r w:rsidR="0039306B" w:rsidRPr="00085914">
        <w:rPr>
          <w:rFonts w:ascii="Verdana" w:hAnsi="Verdana"/>
          <w:sz w:val="24"/>
          <w:szCs w:val="23"/>
          <w:lang w:val="es-CO"/>
        </w:rPr>
        <w:t xml:space="preserve"> en la que actúa</w:t>
      </w:r>
      <w:r w:rsidRPr="00085914">
        <w:rPr>
          <w:rFonts w:ascii="Verdana" w:hAnsi="Verdana"/>
          <w:sz w:val="24"/>
          <w:szCs w:val="23"/>
          <w:lang w:val="es-CO"/>
        </w:rPr>
        <w:t>,</w:t>
      </w:r>
      <w:r w:rsidRPr="00085914">
        <w:rPr>
          <w:rFonts w:ascii="Verdana" w:hAnsi="Verdana"/>
          <w:sz w:val="24"/>
          <w:szCs w:val="24"/>
        </w:rPr>
        <w:t xml:space="preserve"> el juzgado accionado</w:t>
      </w:r>
      <w:r w:rsidR="00FE7D86" w:rsidRPr="00085914">
        <w:rPr>
          <w:rFonts w:ascii="Verdana" w:hAnsi="Verdana"/>
          <w:sz w:val="24"/>
          <w:szCs w:val="24"/>
        </w:rPr>
        <w:t xml:space="preserve"> dilató su trámite al rechazarla</w:t>
      </w:r>
      <w:r w:rsidR="00994415" w:rsidRPr="00085914">
        <w:rPr>
          <w:rFonts w:ascii="Verdana" w:hAnsi="Verdana"/>
          <w:sz w:val="24"/>
          <w:szCs w:val="24"/>
        </w:rPr>
        <w:t xml:space="preserve"> por competencia en sendas ocasiones, a pesar de que</w:t>
      </w:r>
      <w:r w:rsidR="00FE7D86" w:rsidRPr="00085914">
        <w:rPr>
          <w:rFonts w:ascii="Verdana" w:hAnsi="Verdana"/>
          <w:sz w:val="24"/>
          <w:szCs w:val="24"/>
        </w:rPr>
        <w:t>, además,</w:t>
      </w:r>
      <w:r w:rsidR="00994415" w:rsidRPr="00085914">
        <w:rPr>
          <w:rFonts w:ascii="Verdana" w:hAnsi="Verdana"/>
          <w:sz w:val="24"/>
          <w:szCs w:val="24"/>
        </w:rPr>
        <w:t xml:space="preserve"> no es parte </w:t>
      </w:r>
      <w:r w:rsidR="008F4DAC" w:rsidRPr="00085914">
        <w:rPr>
          <w:rFonts w:ascii="Verdana" w:hAnsi="Verdana"/>
          <w:sz w:val="24"/>
          <w:szCs w:val="24"/>
        </w:rPr>
        <w:t>y</w:t>
      </w:r>
      <w:r w:rsidR="00A1799E" w:rsidRPr="00085914">
        <w:rPr>
          <w:rFonts w:ascii="Verdana" w:hAnsi="Verdana"/>
          <w:sz w:val="24"/>
          <w:szCs w:val="24"/>
        </w:rPr>
        <w:t xml:space="preserve"> que “admite </w:t>
      </w:r>
      <w:r w:rsidR="008F4DAC" w:rsidRPr="00085914">
        <w:rPr>
          <w:rFonts w:ascii="Verdana" w:hAnsi="Verdana"/>
          <w:sz w:val="24"/>
          <w:szCs w:val="24"/>
        </w:rPr>
        <w:t>acción de grupo # 2016-451”</w:t>
      </w:r>
      <w:r w:rsidR="00A84021" w:rsidRPr="00085914">
        <w:rPr>
          <w:rFonts w:ascii="Verdana" w:hAnsi="Verdana"/>
          <w:sz w:val="24"/>
          <w:szCs w:val="24"/>
        </w:rPr>
        <w:t>.</w:t>
      </w:r>
    </w:p>
    <w:p w:rsidR="00A84021" w:rsidRPr="00085914" w:rsidRDefault="00A84021" w:rsidP="00085914">
      <w:pPr>
        <w:spacing w:line="360" w:lineRule="auto"/>
        <w:jc w:val="both"/>
        <w:rPr>
          <w:rFonts w:ascii="Verdana" w:hAnsi="Verdana"/>
          <w:sz w:val="24"/>
          <w:szCs w:val="24"/>
        </w:rPr>
      </w:pPr>
    </w:p>
    <w:p w:rsidR="00453F83" w:rsidRPr="00085914" w:rsidRDefault="00C867B3" w:rsidP="00085914">
      <w:pPr>
        <w:spacing w:line="360" w:lineRule="auto"/>
        <w:jc w:val="both"/>
        <w:rPr>
          <w:rFonts w:ascii="Verdana" w:hAnsi="Verdana"/>
          <w:sz w:val="24"/>
          <w:szCs w:val="24"/>
        </w:rPr>
      </w:pPr>
      <w:r w:rsidRPr="00085914">
        <w:rPr>
          <w:rFonts w:ascii="Verdana" w:hAnsi="Verdana"/>
          <w:sz w:val="24"/>
          <w:szCs w:val="24"/>
        </w:rPr>
        <w:t>2. Considera lesionados sus derechos a la igualdad y al debido proceso y al principio de la presunción de buena fe. Para su protección solicita</w:t>
      </w:r>
      <w:r w:rsidR="00A84021" w:rsidRPr="00085914">
        <w:rPr>
          <w:rFonts w:ascii="Verdana" w:hAnsi="Verdana"/>
          <w:sz w:val="24"/>
          <w:szCs w:val="24"/>
        </w:rPr>
        <w:t xml:space="preserve">: a) </w:t>
      </w:r>
      <w:r w:rsidR="00975F2B" w:rsidRPr="00085914">
        <w:rPr>
          <w:rFonts w:ascii="Verdana" w:hAnsi="Verdana"/>
          <w:sz w:val="24"/>
          <w:szCs w:val="24"/>
        </w:rPr>
        <w:t xml:space="preserve">se determine mediante sentencia de unificación si la funcionaria accionada puede declararse incompetente </w:t>
      </w:r>
      <w:r w:rsidR="00D54105" w:rsidRPr="00085914">
        <w:rPr>
          <w:rFonts w:ascii="Verdana" w:hAnsi="Verdana"/>
          <w:sz w:val="24"/>
          <w:szCs w:val="24"/>
        </w:rPr>
        <w:t>en desconocimiento del artículo 16 de la Ley 472 de 1998 y pese a que no es parte</w:t>
      </w:r>
      <w:r w:rsidR="009C5F8B">
        <w:rPr>
          <w:rFonts w:ascii="Verdana" w:hAnsi="Verdana"/>
          <w:sz w:val="24"/>
          <w:szCs w:val="24"/>
        </w:rPr>
        <w:t>;</w:t>
      </w:r>
      <w:r w:rsidR="00A15620" w:rsidRPr="00085914">
        <w:rPr>
          <w:rFonts w:ascii="Verdana" w:hAnsi="Verdana"/>
          <w:sz w:val="24"/>
          <w:szCs w:val="24"/>
        </w:rPr>
        <w:t xml:space="preserve"> si el actor es el único que puede elegir el lugar donde presenta la acción popular</w:t>
      </w:r>
      <w:r w:rsidR="009C5F8B">
        <w:rPr>
          <w:rFonts w:ascii="Verdana" w:hAnsi="Verdana"/>
          <w:sz w:val="24"/>
          <w:szCs w:val="24"/>
        </w:rPr>
        <w:t>;</w:t>
      </w:r>
      <w:r w:rsidR="00AD5B58" w:rsidRPr="00085914">
        <w:rPr>
          <w:rFonts w:ascii="Verdana" w:hAnsi="Verdana"/>
          <w:sz w:val="24"/>
          <w:szCs w:val="24"/>
        </w:rPr>
        <w:t xml:space="preserve"> si existió abuso del derecho al dilatar el trámite del proceso y si el auto proferido en la citada acción de grupo es “ajustado a derecho”</w:t>
      </w:r>
      <w:r w:rsidR="00641BF8" w:rsidRPr="00085914">
        <w:rPr>
          <w:rFonts w:ascii="Verdana" w:hAnsi="Verdana"/>
          <w:sz w:val="24"/>
          <w:szCs w:val="24"/>
        </w:rPr>
        <w:t>; b) se expida copia de la actuación a fin de promover demanda de reparación directa</w:t>
      </w:r>
      <w:r w:rsidR="00453F83" w:rsidRPr="00085914">
        <w:rPr>
          <w:rFonts w:ascii="Verdana" w:hAnsi="Verdana"/>
          <w:sz w:val="24"/>
          <w:szCs w:val="24"/>
        </w:rPr>
        <w:t xml:space="preserve"> por denegación de justicia y c) que el procurador delegado se pronuncie respecto de esta tutela.</w:t>
      </w:r>
    </w:p>
    <w:p w:rsidR="00C867B3" w:rsidRPr="00085914" w:rsidRDefault="00C867B3" w:rsidP="00085914">
      <w:pPr>
        <w:spacing w:line="360" w:lineRule="auto"/>
        <w:jc w:val="both"/>
        <w:rPr>
          <w:rFonts w:ascii="Verdana" w:hAnsi="Verdana"/>
          <w:b/>
          <w:sz w:val="24"/>
          <w:szCs w:val="24"/>
        </w:rPr>
      </w:pPr>
      <w:r w:rsidRPr="00085914">
        <w:rPr>
          <w:rFonts w:ascii="Verdana" w:hAnsi="Verdana"/>
          <w:b/>
          <w:sz w:val="24"/>
          <w:szCs w:val="24"/>
        </w:rPr>
        <w:t>ACTUACIÓN PROCESAL</w:t>
      </w:r>
    </w:p>
    <w:p w:rsidR="00C867B3" w:rsidRPr="00085914" w:rsidRDefault="00C867B3" w:rsidP="00085914">
      <w:pPr>
        <w:spacing w:line="360" w:lineRule="auto"/>
        <w:jc w:val="both"/>
        <w:rPr>
          <w:rFonts w:ascii="Verdana" w:hAnsi="Verdana"/>
          <w:sz w:val="24"/>
          <w:szCs w:val="24"/>
        </w:rPr>
      </w:pPr>
    </w:p>
    <w:p w:rsidR="00C867B3" w:rsidRPr="00085914" w:rsidRDefault="00C867B3" w:rsidP="00085914">
      <w:pPr>
        <w:spacing w:line="360" w:lineRule="auto"/>
        <w:jc w:val="both"/>
        <w:rPr>
          <w:rFonts w:ascii="Verdana" w:hAnsi="Verdana"/>
          <w:sz w:val="24"/>
          <w:szCs w:val="24"/>
        </w:rPr>
      </w:pPr>
      <w:r w:rsidRPr="00085914">
        <w:rPr>
          <w:rFonts w:ascii="Verdana" w:hAnsi="Verdana"/>
          <w:sz w:val="24"/>
          <w:szCs w:val="24"/>
        </w:rPr>
        <w:t xml:space="preserve">1. Mediante proveído </w:t>
      </w:r>
      <w:r w:rsidR="00867373" w:rsidRPr="00085914">
        <w:rPr>
          <w:rFonts w:ascii="Verdana" w:hAnsi="Verdana"/>
          <w:sz w:val="24"/>
          <w:szCs w:val="24"/>
        </w:rPr>
        <w:t>del 8</w:t>
      </w:r>
      <w:r w:rsidRPr="00085914">
        <w:rPr>
          <w:rFonts w:ascii="Verdana" w:hAnsi="Verdana"/>
          <w:sz w:val="24"/>
          <w:szCs w:val="24"/>
        </w:rPr>
        <w:t xml:space="preserve"> de </w:t>
      </w:r>
      <w:r w:rsidR="00867373" w:rsidRPr="00085914">
        <w:rPr>
          <w:rFonts w:ascii="Verdana" w:hAnsi="Verdana"/>
          <w:sz w:val="24"/>
          <w:szCs w:val="24"/>
        </w:rPr>
        <w:t>marzo</w:t>
      </w:r>
      <w:r w:rsidRPr="00085914">
        <w:rPr>
          <w:rFonts w:ascii="Verdana" w:hAnsi="Verdana"/>
          <w:sz w:val="24"/>
          <w:szCs w:val="24"/>
        </w:rPr>
        <w:t xml:space="preserve"> último se admitió la tutela y se ordenó vincular a la Alcaldía de </w:t>
      </w:r>
      <w:r w:rsidR="00453F83" w:rsidRPr="00085914">
        <w:rPr>
          <w:rFonts w:ascii="Verdana" w:hAnsi="Verdana"/>
          <w:sz w:val="24"/>
          <w:szCs w:val="24"/>
        </w:rPr>
        <w:t>Pereira</w:t>
      </w:r>
      <w:r w:rsidRPr="00085914">
        <w:rPr>
          <w:rFonts w:ascii="Verdana" w:hAnsi="Verdana"/>
          <w:sz w:val="24"/>
          <w:szCs w:val="24"/>
        </w:rPr>
        <w:t>, al Procurador y al Defensor del Pueblo, ambos de la Regional Ri</w:t>
      </w:r>
      <w:r w:rsidR="00AE6C3A" w:rsidRPr="00085914">
        <w:rPr>
          <w:rFonts w:ascii="Verdana" w:hAnsi="Verdana"/>
          <w:sz w:val="24"/>
          <w:szCs w:val="24"/>
        </w:rPr>
        <w:t>saralda. También a Bancolombia y al señor Leandro Giraldo, en su</w:t>
      </w:r>
      <w:r w:rsidR="00610186">
        <w:rPr>
          <w:rFonts w:ascii="Verdana" w:hAnsi="Verdana"/>
          <w:sz w:val="24"/>
          <w:szCs w:val="24"/>
        </w:rPr>
        <w:t>s</w:t>
      </w:r>
      <w:r w:rsidR="00AE6C3A" w:rsidRPr="00085914">
        <w:rPr>
          <w:rFonts w:ascii="Verdana" w:hAnsi="Verdana"/>
          <w:sz w:val="24"/>
          <w:szCs w:val="24"/>
        </w:rPr>
        <w:t xml:space="preserve"> calidad</w:t>
      </w:r>
      <w:r w:rsidR="00610186">
        <w:rPr>
          <w:rFonts w:ascii="Verdana" w:hAnsi="Verdana"/>
          <w:sz w:val="24"/>
          <w:szCs w:val="24"/>
        </w:rPr>
        <w:t>es</w:t>
      </w:r>
      <w:r w:rsidR="00AE6C3A" w:rsidRPr="00085914">
        <w:rPr>
          <w:rFonts w:ascii="Verdana" w:hAnsi="Verdana"/>
          <w:sz w:val="24"/>
          <w:szCs w:val="24"/>
        </w:rPr>
        <w:t xml:space="preserve"> de partes</w:t>
      </w:r>
      <w:r w:rsidRPr="00085914">
        <w:rPr>
          <w:rFonts w:ascii="Verdana" w:hAnsi="Verdana"/>
          <w:sz w:val="24"/>
          <w:szCs w:val="24"/>
        </w:rPr>
        <w:t xml:space="preserve"> en la acción popular en que encuentra el actor lesionados sus derechos. </w:t>
      </w:r>
    </w:p>
    <w:p w:rsidR="00C867B3" w:rsidRPr="00085914" w:rsidRDefault="00C867B3" w:rsidP="00085914">
      <w:pPr>
        <w:spacing w:line="360" w:lineRule="auto"/>
        <w:jc w:val="both"/>
        <w:rPr>
          <w:rFonts w:ascii="Verdana" w:hAnsi="Verdana"/>
          <w:sz w:val="24"/>
          <w:szCs w:val="24"/>
          <w:lang w:val="es-CO"/>
        </w:rPr>
      </w:pPr>
    </w:p>
    <w:p w:rsidR="00C867B3" w:rsidRPr="00085914" w:rsidRDefault="00C867B3" w:rsidP="00085914">
      <w:pPr>
        <w:spacing w:line="360" w:lineRule="auto"/>
        <w:jc w:val="both"/>
        <w:rPr>
          <w:rFonts w:ascii="Verdana" w:hAnsi="Verdana"/>
          <w:sz w:val="24"/>
          <w:szCs w:val="24"/>
        </w:rPr>
      </w:pPr>
      <w:r w:rsidRPr="00085914">
        <w:rPr>
          <w:rFonts w:ascii="Verdana" w:hAnsi="Verdana"/>
          <w:sz w:val="24"/>
          <w:szCs w:val="24"/>
        </w:rPr>
        <w:t>2. En el trámite de esta instancia, se produjeron los siguientes pronunciamientos:</w:t>
      </w:r>
    </w:p>
    <w:p w:rsidR="00C867B3" w:rsidRPr="00085914" w:rsidRDefault="00C867B3" w:rsidP="00085914">
      <w:pPr>
        <w:spacing w:line="360" w:lineRule="auto"/>
        <w:jc w:val="both"/>
        <w:rPr>
          <w:rFonts w:ascii="Verdana" w:hAnsi="Verdana"/>
          <w:sz w:val="24"/>
          <w:szCs w:val="24"/>
        </w:rPr>
      </w:pPr>
    </w:p>
    <w:p w:rsidR="0026343B" w:rsidRPr="00085914" w:rsidRDefault="0026343B" w:rsidP="00085914">
      <w:pPr>
        <w:spacing w:line="360" w:lineRule="auto"/>
        <w:jc w:val="both"/>
        <w:rPr>
          <w:rFonts w:ascii="Verdana" w:hAnsi="Verdana"/>
          <w:sz w:val="24"/>
          <w:szCs w:val="24"/>
        </w:rPr>
      </w:pPr>
      <w:r w:rsidRPr="00085914">
        <w:rPr>
          <w:rFonts w:ascii="Verdana" w:hAnsi="Verdana"/>
          <w:sz w:val="24"/>
          <w:szCs w:val="24"/>
        </w:rPr>
        <w:t>2.1 El Procurador 10 II para Asuntos Civiles dijo que en el trámite de la acción popular no se evidencia lesión alguna a los derechos del actor</w:t>
      </w:r>
      <w:r w:rsidR="009C5F8B">
        <w:rPr>
          <w:rFonts w:ascii="Verdana" w:hAnsi="Verdana"/>
          <w:sz w:val="24"/>
          <w:szCs w:val="24"/>
        </w:rPr>
        <w:t xml:space="preserve">; </w:t>
      </w:r>
      <w:r w:rsidRPr="00085914">
        <w:rPr>
          <w:rFonts w:ascii="Verdana" w:hAnsi="Verdana"/>
          <w:sz w:val="24"/>
          <w:szCs w:val="24"/>
        </w:rPr>
        <w:t>se desconoce en qué calidad actúa</w:t>
      </w:r>
      <w:r w:rsidR="009C5F8B">
        <w:rPr>
          <w:rFonts w:ascii="Verdana" w:hAnsi="Verdana"/>
          <w:sz w:val="24"/>
          <w:szCs w:val="24"/>
        </w:rPr>
        <w:t xml:space="preserve">, </w:t>
      </w:r>
      <w:r w:rsidRPr="00085914">
        <w:rPr>
          <w:rFonts w:ascii="Verdana" w:hAnsi="Verdana"/>
          <w:sz w:val="24"/>
          <w:szCs w:val="24"/>
        </w:rPr>
        <w:t xml:space="preserve">razón por la cual las decisiones adoptadas </w:t>
      </w:r>
      <w:r w:rsidR="009C5F8B">
        <w:rPr>
          <w:rFonts w:ascii="Verdana" w:hAnsi="Verdana"/>
          <w:sz w:val="24"/>
          <w:szCs w:val="24"/>
        </w:rPr>
        <w:t xml:space="preserve">en ese asunto, </w:t>
      </w:r>
      <w:r w:rsidRPr="00085914">
        <w:rPr>
          <w:rFonts w:ascii="Verdana" w:hAnsi="Verdana"/>
          <w:sz w:val="24"/>
          <w:szCs w:val="24"/>
        </w:rPr>
        <w:t xml:space="preserve">no pueden causarle ninguna vulneración. Agregó que las actuaciones </w:t>
      </w:r>
      <w:r w:rsidR="0081483F" w:rsidRPr="00085914">
        <w:rPr>
          <w:rFonts w:ascii="Verdana" w:hAnsi="Verdana"/>
          <w:sz w:val="24"/>
          <w:szCs w:val="24"/>
        </w:rPr>
        <w:t>relacionadas con la</w:t>
      </w:r>
      <w:r w:rsidRPr="00085914">
        <w:rPr>
          <w:rFonts w:ascii="Verdana" w:hAnsi="Verdana"/>
          <w:sz w:val="24"/>
          <w:szCs w:val="24"/>
        </w:rPr>
        <w:t xml:space="preserve"> declaratoria de falta de competencia por parte de los juzgados civiles del circuito y la posterior resolución del conflicto por parte de la Corte </w:t>
      </w:r>
      <w:r w:rsidRPr="00085914">
        <w:rPr>
          <w:rFonts w:ascii="Verdana" w:hAnsi="Verdana"/>
          <w:sz w:val="24"/>
          <w:szCs w:val="24"/>
        </w:rPr>
        <w:lastRenderedPageBreak/>
        <w:t>Suprema de Justicia, se encuentran enmarcadas dentro del ordenamiento jurídico vigente y que, de todas formas, el actor popular, en este caso el señor Leandro Giraldo, puede ejercer los mecanismos ordinarios de defensa judicial para proteger sus derechos fundamentales.</w:t>
      </w:r>
    </w:p>
    <w:p w:rsidR="0026343B" w:rsidRPr="00085914" w:rsidRDefault="0026343B" w:rsidP="00085914">
      <w:pPr>
        <w:spacing w:line="360" w:lineRule="auto"/>
        <w:jc w:val="both"/>
        <w:rPr>
          <w:rFonts w:ascii="Verdana" w:hAnsi="Verdana"/>
          <w:sz w:val="24"/>
          <w:szCs w:val="24"/>
        </w:rPr>
      </w:pPr>
    </w:p>
    <w:p w:rsidR="0026343B" w:rsidRPr="00085914" w:rsidRDefault="0026343B" w:rsidP="00085914">
      <w:pPr>
        <w:spacing w:line="360" w:lineRule="auto"/>
        <w:jc w:val="both"/>
        <w:rPr>
          <w:rFonts w:ascii="Verdana" w:hAnsi="Verdana"/>
          <w:sz w:val="24"/>
          <w:szCs w:val="24"/>
        </w:rPr>
      </w:pPr>
      <w:r w:rsidRPr="00085914">
        <w:rPr>
          <w:rFonts w:ascii="Verdana" w:hAnsi="Verdana"/>
          <w:sz w:val="24"/>
          <w:szCs w:val="24"/>
        </w:rPr>
        <w:t>2.2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F41035" w:rsidRPr="00085914" w:rsidRDefault="00F41035" w:rsidP="00085914">
      <w:pPr>
        <w:spacing w:line="360" w:lineRule="auto"/>
        <w:jc w:val="both"/>
        <w:rPr>
          <w:rFonts w:ascii="Verdana" w:hAnsi="Verdana"/>
          <w:sz w:val="24"/>
          <w:szCs w:val="24"/>
        </w:rPr>
      </w:pPr>
      <w:r w:rsidRPr="00085914">
        <w:rPr>
          <w:rFonts w:ascii="Verdana" w:hAnsi="Verdana"/>
          <w:sz w:val="24"/>
          <w:szCs w:val="24"/>
        </w:rPr>
        <w:t xml:space="preserve">2.3 El Director de Defensa Jurídica del Municipio de Pereira alegó </w:t>
      </w:r>
      <w:r w:rsidR="00315E71" w:rsidRPr="00085914">
        <w:rPr>
          <w:rFonts w:ascii="Verdana" w:hAnsi="Verdana"/>
          <w:sz w:val="24"/>
          <w:szCs w:val="24"/>
        </w:rPr>
        <w:t>que carece de legitimación en la causa</w:t>
      </w:r>
      <w:r w:rsidR="009C5F8B">
        <w:rPr>
          <w:rFonts w:ascii="Verdana" w:hAnsi="Verdana"/>
          <w:sz w:val="24"/>
          <w:szCs w:val="24"/>
        </w:rPr>
        <w:t>,</w:t>
      </w:r>
      <w:r w:rsidR="00315E71" w:rsidRPr="00085914">
        <w:rPr>
          <w:rFonts w:ascii="Verdana" w:hAnsi="Verdana"/>
          <w:sz w:val="24"/>
          <w:szCs w:val="24"/>
        </w:rPr>
        <w:t xml:space="preserve"> pues </w:t>
      </w:r>
      <w:r w:rsidR="005A28A1" w:rsidRPr="00085914">
        <w:rPr>
          <w:rFonts w:ascii="Verdana" w:hAnsi="Verdana"/>
          <w:sz w:val="24"/>
          <w:szCs w:val="24"/>
        </w:rPr>
        <w:t xml:space="preserve">no ha lesionado los derechos del accionante </w:t>
      </w:r>
      <w:r w:rsidR="00315E71" w:rsidRPr="00085914">
        <w:rPr>
          <w:rFonts w:ascii="Verdana" w:hAnsi="Verdana"/>
          <w:sz w:val="24"/>
          <w:szCs w:val="24"/>
        </w:rPr>
        <w:t xml:space="preserve">ni tiene interés alguno en las resultas del proceso objeto del amparo </w:t>
      </w:r>
      <w:r w:rsidR="005A28A1" w:rsidRPr="00085914">
        <w:rPr>
          <w:rFonts w:ascii="Verdana" w:hAnsi="Verdana"/>
          <w:sz w:val="24"/>
          <w:szCs w:val="24"/>
        </w:rPr>
        <w:t>y que las decisiones adoptadas por el juzgado de conocimiento</w:t>
      </w:r>
      <w:r w:rsidR="00F708BD" w:rsidRPr="00085914">
        <w:rPr>
          <w:rFonts w:ascii="Verdana" w:hAnsi="Verdana"/>
          <w:sz w:val="24"/>
          <w:szCs w:val="24"/>
        </w:rPr>
        <w:t xml:space="preserve"> </w:t>
      </w:r>
      <w:r w:rsidR="001A30E1" w:rsidRPr="00085914">
        <w:rPr>
          <w:rFonts w:ascii="Verdana" w:hAnsi="Verdana"/>
          <w:sz w:val="24"/>
          <w:szCs w:val="24"/>
        </w:rPr>
        <w:t>atienden los lineamientos legales</w:t>
      </w:r>
      <w:r w:rsidR="00E25F00" w:rsidRPr="00085914">
        <w:rPr>
          <w:rFonts w:ascii="Verdana" w:hAnsi="Verdana"/>
          <w:sz w:val="24"/>
          <w:szCs w:val="24"/>
        </w:rPr>
        <w:t xml:space="preserve">. </w:t>
      </w:r>
    </w:p>
    <w:p w:rsidR="00F41035" w:rsidRPr="00085914" w:rsidRDefault="00F41035" w:rsidP="00085914">
      <w:pPr>
        <w:spacing w:line="360" w:lineRule="auto"/>
        <w:jc w:val="both"/>
        <w:rPr>
          <w:rFonts w:ascii="Verdana" w:hAnsi="Verdana"/>
          <w:sz w:val="24"/>
          <w:szCs w:val="24"/>
        </w:rPr>
      </w:pPr>
    </w:p>
    <w:p w:rsidR="00C867B3" w:rsidRPr="00085914" w:rsidRDefault="005D0B37" w:rsidP="00085914">
      <w:pPr>
        <w:spacing w:line="360" w:lineRule="auto"/>
        <w:jc w:val="both"/>
        <w:rPr>
          <w:rFonts w:ascii="Verdana" w:hAnsi="Verdana"/>
          <w:sz w:val="24"/>
          <w:szCs w:val="24"/>
        </w:rPr>
      </w:pPr>
      <w:r w:rsidRPr="00085914">
        <w:rPr>
          <w:rFonts w:ascii="Verdana" w:hAnsi="Verdana"/>
          <w:sz w:val="24"/>
          <w:szCs w:val="24"/>
        </w:rPr>
        <w:t>3. La titular del juzgado accionado y los</w:t>
      </w:r>
      <w:r w:rsidR="00C867B3" w:rsidRPr="00085914">
        <w:rPr>
          <w:rFonts w:ascii="Verdana" w:hAnsi="Verdana"/>
          <w:sz w:val="24"/>
          <w:szCs w:val="24"/>
        </w:rPr>
        <w:t xml:space="preserve"> demás vinculados guardaron silencio.</w:t>
      </w:r>
    </w:p>
    <w:p w:rsidR="00C867B3" w:rsidRPr="00085914" w:rsidRDefault="00C867B3" w:rsidP="00085914">
      <w:pPr>
        <w:spacing w:line="360" w:lineRule="auto"/>
        <w:jc w:val="both"/>
        <w:rPr>
          <w:rFonts w:ascii="Verdana" w:hAnsi="Verdana"/>
          <w:sz w:val="24"/>
          <w:szCs w:val="24"/>
        </w:rPr>
      </w:pPr>
    </w:p>
    <w:p w:rsidR="00C867B3" w:rsidRPr="00085914" w:rsidRDefault="00C867B3" w:rsidP="00085914">
      <w:pPr>
        <w:spacing w:line="360" w:lineRule="auto"/>
        <w:jc w:val="both"/>
        <w:rPr>
          <w:rFonts w:ascii="Verdana" w:hAnsi="Verdana"/>
          <w:b/>
          <w:sz w:val="24"/>
          <w:szCs w:val="24"/>
        </w:rPr>
      </w:pPr>
      <w:r w:rsidRPr="00085914">
        <w:rPr>
          <w:rFonts w:ascii="Verdana" w:hAnsi="Verdana"/>
          <w:b/>
          <w:sz w:val="24"/>
          <w:szCs w:val="24"/>
        </w:rPr>
        <w:t xml:space="preserve">C O N S I D E R A C I O N E S </w:t>
      </w:r>
    </w:p>
    <w:p w:rsidR="00C867B3" w:rsidRPr="00085914" w:rsidRDefault="00C867B3" w:rsidP="00085914">
      <w:pPr>
        <w:spacing w:line="360" w:lineRule="auto"/>
        <w:jc w:val="both"/>
        <w:rPr>
          <w:rFonts w:ascii="Verdana" w:hAnsi="Verdana"/>
          <w:sz w:val="24"/>
          <w:szCs w:val="24"/>
        </w:rPr>
      </w:pPr>
    </w:p>
    <w:p w:rsidR="00C867B3" w:rsidRPr="00085914" w:rsidRDefault="00C867B3" w:rsidP="00085914">
      <w:pPr>
        <w:spacing w:line="360" w:lineRule="auto"/>
        <w:jc w:val="both"/>
        <w:rPr>
          <w:rFonts w:ascii="Verdana" w:hAnsi="Verdana"/>
          <w:sz w:val="24"/>
          <w:szCs w:val="24"/>
        </w:rPr>
      </w:pPr>
      <w:r w:rsidRPr="00085914">
        <w:rPr>
          <w:rFonts w:ascii="Verdana" w:hAnsi="Verdana"/>
          <w:sz w:val="24"/>
          <w:szCs w:val="24"/>
        </w:rPr>
        <w:t xml:space="preserve">1. El fin de la acción de tutela es la protección inmediata de los derechos constitucionales fundamentales, concedida a todas las personas por el artículo 86 de </w:t>
      </w:r>
      <w:smartTag w:uri="urn:schemas-microsoft-com:office:smarttags" w:element="metricconverter">
        <w:smartTagPr>
          <w:attr w:name="ProductID" w:val="la Constituci￳n Pol￭tica"/>
        </w:smartTagPr>
        <w:smartTag w:uri="urn:schemas-microsoft-com:office:smarttags" w:element="metricconverter">
          <w:smartTagPr>
            <w:attr w:name="ProductID" w:val="la Constituci￳n"/>
          </w:smartTagPr>
          <w:r w:rsidRPr="00085914">
            <w:rPr>
              <w:rFonts w:ascii="Verdana" w:hAnsi="Verdana"/>
              <w:sz w:val="24"/>
              <w:szCs w:val="24"/>
            </w:rPr>
            <w:t>la Constitución</w:t>
          </w:r>
        </w:smartTag>
        <w:r w:rsidRPr="00085914">
          <w:rPr>
            <w:rFonts w:ascii="Verdana" w:hAnsi="Verdana"/>
            <w:sz w:val="24"/>
            <w:szCs w:val="24"/>
          </w:rPr>
          <w:t xml:space="preserve"> Política</w:t>
        </w:r>
      </w:smartTag>
      <w:r w:rsidRPr="00085914">
        <w:rPr>
          <w:rFonts w:ascii="Verdana" w:hAnsi="Verdana"/>
          <w:sz w:val="24"/>
          <w:szCs w:val="24"/>
        </w:rPr>
        <w:t>, ante su vulneración o amenaza generada por cualquier autoridad pública y aun por los particulares en los casos previstos por el artículo 42 del Decreto 2591 de 1991.</w:t>
      </w: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9C5F8B" w:rsidRDefault="00C867B3" w:rsidP="00085914">
      <w:pPr>
        <w:tabs>
          <w:tab w:val="left" w:pos="-720"/>
          <w:tab w:val="left" w:pos="-567"/>
          <w:tab w:val="left" w:pos="8222"/>
          <w:tab w:val="left" w:pos="8364"/>
        </w:tabs>
        <w:spacing w:line="360" w:lineRule="auto"/>
        <w:jc w:val="both"/>
        <w:rPr>
          <w:rFonts w:ascii="Verdana" w:hAnsi="Verdana"/>
          <w:sz w:val="24"/>
          <w:szCs w:val="24"/>
        </w:rPr>
      </w:pPr>
      <w:r w:rsidRPr="00085914">
        <w:rPr>
          <w:rFonts w:ascii="Verdana" w:hAnsi="Verdana"/>
          <w:sz w:val="24"/>
          <w:szCs w:val="24"/>
        </w:rPr>
        <w:lastRenderedPageBreak/>
        <w:t>2. Corresponde a esta Sala determinar si</w:t>
      </w:r>
      <w:r w:rsidR="009C5F8B">
        <w:rPr>
          <w:rFonts w:ascii="Verdana" w:hAnsi="Verdana"/>
          <w:sz w:val="24"/>
          <w:szCs w:val="24"/>
        </w:rPr>
        <w:t xml:space="preserve"> en este caso </w:t>
      </w:r>
      <w:r w:rsidRPr="00085914">
        <w:rPr>
          <w:rFonts w:ascii="Verdana" w:hAnsi="Verdana"/>
          <w:sz w:val="24"/>
          <w:szCs w:val="24"/>
        </w:rPr>
        <w:t>procede la tutela</w:t>
      </w:r>
      <w:r w:rsidR="004502FE" w:rsidRPr="00085914">
        <w:rPr>
          <w:rFonts w:ascii="Verdana" w:hAnsi="Verdana"/>
          <w:sz w:val="24"/>
          <w:szCs w:val="24"/>
        </w:rPr>
        <w:t xml:space="preserve"> contra </w:t>
      </w:r>
      <w:r w:rsidR="009553C6" w:rsidRPr="00085914">
        <w:rPr>
          <w:rFonts w:ascii="Verdana" w:hAnsi="Verdana"/>
          <w:sz w:val="24"/>
          <w:szCs w:val="24"/>
        </w:rPr>
        <w:t xml:space="preserve">las decisiones </w:t>
      </w:r>
      <w:r w:rsidRPr="00085914">
        <w:rPr>
          <w:rFonts w:ascii="Verdana" w:hAnsi="Verdana"/>
          <w:sz w:val="24"/>
          <w:szCs w:val="24"/>
        </w:rPr>
        <w:t>del juzgado accionado de declarar la</w:t>
      </w:r>
      <w:r w:rsidR="009553C6" w:rsidRPr="00085914">
        <w:rPr>
          <w:rFonts w:ascii="Verdana" w:hAnsi="Verdana"/>
          <w:sz w:val="24"/>
          <w:szCs w:val="24"/>
        </w:rPr>
        <w:t xml:space="preserve"> falta de competencia para conocer de</w:t>
      </w:r>
      <w:r w:rsidRPr="00085914">
        <w:rPr>
          <w:rFonts w:ascii="Verdana" w:hAnsi="Verdana"/>
          <w:sz w:val="24"/>
          <w:szCs w:val="24"/>
        </w:rPr>
        <w:t xml:space="preserve"> la acción popular promovida</w:t>
      </w:r>
      <w:r w:rsidR="00A9780A">
        <w:rPr>
          <w:rFonts w:ascii="Verdana" w:hAnsi="Verdana"/>
          <w:sz w:val="24"/>
          <w:szCs w:val="24"/>
        </w:rPr>
        <w:t xml:space="preserve"> por el actor</w:t>
      </w:r>
      <w:r w:rsidRPr="00085914">
        <w:rPr>
          <w:rFonts w:ascii="Verdana" w:hAnsi="Verdana"/>
          <w:sz w:val="24"/>
          <w:szCs w:val="24"/>
        </w:rPr>
        <w:t>. De</w:t>
      </w:r>
      <w:r w:rsidR="009553C6" w:rsidRPr="00085914">
        <w:rPr>
          <w:rFonts w:ascii="Verdana" w:hAnsi="Verdana"/>
          <w:sz w:val="24"/>
          <w:szCs w:val="24"/>
        </w:rPr>
        <w:t xml:space="preserve"> serlo, se establecerá si allí</w:t>
      </w:r>
      <w:r w:rsidRPr="00085914">
        <w:rPr>
          <w:rFonts w:ascii="Verdana" w:hAnsi="Verdana"/>
          <w:sz w:val="24"/>
          <w:szCs w:val="24"/>
        </w:rPr>
        <w:t xml:space="preserve"> se incurrió en defecto que lesione los derechos fundamentales de</w:t>
      </w:r>
      <w:r w:rsidR="009553C6" w:rsidRPr="00085914">
        <w:rPr>
          <w:rFonts w:ascii="Verdana" w:hAnsi="Verdana"/>
          <w:sz w:val="24"/>
          <w:szCs w:val="24"/>
        </w:rPr>
        <w:t xml:space="preserve"> que es titular el peticionario</w:t>
      </w:r>
      <w:r w:rsidR="009C5F8B">
        <w:rPr>
          <w:rFonts w:ascii="Verdana" w:hAnsi="Verdana"/>
          <w:sz w:val="24"/>
          <w:szCs w:val="24"/>
        </w:rPr>
        <w:t>.</w:t>
      </w:r>
      <w:r w:rsidR="00D41108">
        <w:rPr>
          <w:rFonts w:ascii="Verdana" w:hAnsi="Verdana"/>
          <w:sz w:val="24"/>
          <w:szCs w:val="24"/>
        </w:rPr>
        <w:t xml:space="preserve"> Además, si resulta procedente acudir a este excepcional medio de protección para resolver las demás peticiones elevadas por el </w:t>
      </w:r>
      <w:r w:rsidR="00432226">
        <w:rPr>
          <w:rFonts w:ascii="Verdana" w:hAnsi="Verdana"/>
          <w:sz w:val="24"/>
          <w:szCs w:val="24"/>
        </w:rPr>
        <w:t>mismo señor</w:t>
      </w:r>
      <w:r w:rsidR="00D41108">
        <w:rPr>
          <w:rFonts w:ascii="Verdana" w:hAnsi="Verdana"/>
          <w:sz w:val="24"/>
          <w:szCs w:val="24"/>
        </w:rPr>
        <w:t>.</w:t>
      </w:r>
    </w:p>
    <w:p w:rsidR="00C867B3" w:rsidRPr="00085914" w:rsidRDefault="009C5F8B" w:rsidP="00085914">
      <w:pPr>
        <w:tabs>
          <w:tab w:val="left" w:pos="-720"/>
          <w:tab w:val="left" w:pos="-567"/>
          <w:tab w:val="left" w:pos="8222"/>
          <w:tab w:val="left" w:pos="8364"/>
        </w:tabs>
        <w:spacing w:line="360" w:lineRule="auto"/>
        <w:jc w:val="both"/>
        <w:rPr>
          <w:rFonts w:ascii="Verdana" w:hAnsi="Verdana"/>
          <w:sz w:val="24"/>
          <w:szCs w:val="24"/>
        </w:rPr>
      </w:pPr>
      <w:r w:rsidRPr="00085914">
        <w:rPr>
          <w:rFonts w:ascii="Verdana" w:hAnsi="Verdana"/>
          <w:sz w:val="24"/>
          <w:szCs w:val="24"/>
        </w:rPr>
        <w:t xml:space="preserve"> </w:t>
      </w: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85914">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C867B3" w:rsidRPr="00085914" w:rsidRDefault="00C867B3" w:rsidP="00085914">
      <w:pPr>
        <w:tabs>
          <w:tab w:val="left" w:pos="-720"/>
          <w:tab w:val="left" w:pos="-567"/>
          <w:tab w:val="left" w:pos="8222"/>
          <w:tab w:val="left" w:pos="8364"/>
        </w:tabs>
        <w:spacing w:line="360" w:lineRule="auto"/>
        <w:jc w:val="both"/>
        <w:rPr>
          <w:rFonts w:ascii="Verdana" w:hAnsi="Verdana"/>
          <w:i/>
          <w:sz w:val="24"/>
          <w:szCs w:val="24"/>
          <w:shd w:val="clear" w:color="auto" w:fill="FFFFFF"/>
        </w:rPr>
      </w:pPr>
      <w:r w:rsidRPr="00085914">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085914">
        <w:rPr>
          <w:rStyle w:val="apple-converted-space"/>
          <w:rFonts w:ascii="Verdana" w:hAnsi="Verdana"/>
          <w:sz w:val="24"/>
          <w:szCs w:val="24"/>
          <w:shd w:val="clear" w:color="auto" w:fill="FFFFFF"/>
        </w:rPr>
        <w:t> “</w:t>
      </w:r>
      <w:r w:rsidRPr="00085914">
        <w:rPr>
          <w:rStyle w:val="apple-converted-space"/>
          <w:rFonts w:ascii="Verdana" w:hAnsi="Verdana"/>
          <w:i/>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085914">
        <w:rPr>
          <w:rStyle w:val="apple-converted-space"/>
          <w:rFonts w:ascii="Verdana" w:hAnsi="Verdana"/>
          <w:i/>
          <w:sz w:val="24"/>
          <w:szCs w:val="24"/>
          <w:shd w:val="clear" w:color="auto" w:fill="FFFFFF"/>
        </w:rPr>
        <w:t>v</w:t>
      </w:r>
      <w:proofErr w:type="gramEnd"/>
      <w:r w:rsidRPr="00085914">
        <w:rPr>
          <w:rStyle w:val="apple-converted-space"/>
          <w:rFonts w:ascii="Verdana" w:hAnsi="Verdana"/>
          <w:i/>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085914">
        <w:rPr>
          <w:rStyle w:val="apple-converted-space"/>
          <w:rFonts w:ascii="Verdana" w:hAnsi="Verdana"/>
          <w:sz w:val="24"/>
          <w:szCs w:val="24"/>
          <w:shd w:val="clear" w:color="auto" w:fill="FFFFFF"/>
        </w:rPr>
        <w:t>”</w:t>
      </w:r>
      <w:r w:rsidRPr="00085914">
        <w:rPr>
          <w:rStyle w:val="Refdenotaalpie"/>
          <w:rFonts w:ascii="Verdana" w:hAnsi="Verdana"/>
          <w:sz w:val="24"/>
          <w:szCs w:val="24"/>
          <w:shd w:val="clear" w:color="auto" w:fill="FFFFFF"/>
        </w:rPr>
        <w:footnoteReference w:id="1"/>
      </w:r>
      <w:r w:rsidRPr="00085914">
        <w:rPr>
          <w:rFonts w:ascii="Verdana" w:hAnsi="Verdana"/>
          <w:sz w:val="24"/>
          <w:szCs w:val="24"/>
        </w:rPr>
        <w:t>.</w:t>
      </w:r>
    </w:p>
    <w:p w:rsidR="00C867B3" w:rsidRPr="00085914" w:rsidRDefault="00C867B3" w:rsidP="00085914">
      <w:pPr>
        <w:tabs>
          <w:tab w:val="left" w:pos="-720"/>
          <w:tab w:val="left" w:pos="-567"/>
          <w:tab w:val="left" w:pos="8222"/>
          <w:tab w:val="left" w:pos="8364"/>
        </w:tabs>
        <w:spacing w:line="360" w:lineRule="auto"/>
        <w:jc w:val="both"/>
        <w:rPr>
          <w:rFonts w:ascii="Verdana" w:hAnsi="Verdana"/>
          <w:i/>
          <w:sz w:val="24"/>
          <w:szCs w:val="24"/>
        </w:rPr>
      </w:pPr>
    </w:p>
    <w:p w:rsidR="00C867B3" w:rsidRPr="00085914" w:rsidRDefault="00C867B3" w:rsidP="00085914">
      <w:pPr>
        <w:tabs>
          <w:tab w:val="left" w:pos="-720"/>
          <w:tab w:val="left" w:pos="-567"/>
          <w:tab w:val="left" w:pos="8222"/>
          <w:tab w:val="left" w:pos="8364"/>
        </w:tabs>
        <w:spacing w:line="360" w:lineRule="auto"/>
        <w:jc w:val="both"/>
        <w:rPr>
          <w:rFonts w:ascii="Verdana" w:hAnsi="Verdana"/>
          <w:i/>
          <w:sz w:val="24"/>
          <w:szCs w:val="24"/>
        </w:rPr>
      </w:pPr>
      <w:r w:rsidRPr="00085914">
        <w:rPr>
          <w:rFonts w:ascii="Verdana" w:hAnsi="Verdana"/>
          <w:sz w:val="24"/>
          <w:szCs w:val="24"/>
          <w:lang w:val="es-ES"/>
        </w:rPr>
        <w:lastRenderedPageBreak/>
        <w:t>Superado ese primer análisis, la Corte ha identificado como causales específicas de procedencia de la acción, las siguientes</w:t>
      </w:r>
      <w:r w:rsidRPr="00085914">
        <w:rPr>
          <w:rFonts w:ascii="Verdana" w:hAnsi="Verdana"/>
          <w:i/>
          <w:sz w:val="24"/>
          <w:szCs w:val="24"/>
          <w:lang w:val="es-ES"/>
        </w:rPr>
        <w:t>: “</w:t>
      </w:r>
      <w:r w:rsidRPr="00085914">
        <w:rPr>
          <w:rFonts w:ascii="Verdana" w:hAnsi="Verdana"/>
          <w:i/>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085914">
        <w:rPr>
          <w:rFonts w:ascii="Verdana" w:hAnsi="Verdana"/>
          <w:i/>
          <w:sz w:val="24"/>
          <w:szCs w:val="24"/>
          <w:vertAlign w:val="superscript"/>
        </w:rPr>
        <w:footnoteReference w:id="2"/>
      </w:r>
      <w:r w:rsidRPr="00085914">
        <w:rPr>
          <w:rFonts w:ascii="Verdana" w:hAnsi="Verdana"/>
          <w:i/>
          <w:sz w:val="24"/>
          <w:szCs w:val="24"/>
        </w:rPr>
        <w:t xml:space="preserve">. </w:t>
      </w:r>
    </w:p>
    <w:p w:rsidR="00C867B3" w:rsidRPr="00BD1E15"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7"/>
          <w:szCs w:val="27"/>
        </w:rPr>
      </w:pPr>
    </w:p>
    <w:p w:rsidR="00C867B3" w:rsidRPr="00085914" w:rsidRDefault="00C867B3" w:rsidP="00085914">
      <w:pPr>
        <w:spacing w:line="360" w:lineRule="auto"/>
        <w:jc w:val="both"/>
        <w:rPr>
          <w:rFonts w:ascii="Verdana" w:hAnsi="Verdana"/>
          <w:sz w:val="24"/>
          <w:szCs w:val="24"/>
        </w:rPr>
      </w:pPr>
      <w:r w:rsidRPr="00085914">
        <w:rPr>
          <w:rFonts w:ascii="Verdana" w:hAnsi="Verdana"/>
          <w:sz w:val="24"/>
          <w:szCs w:val="24"/>
        </w:rPr>
        <w:t>4. Las pruebas documentales incorpo</w:t>
      </w:r>
      <w:r w:rsidR="00264B5B" w:rsidRPr="00085914">
        <w:rPr>
          <w:rFonts w:ascii="Verdana" w:hAnsi="Verdana"/>
          <w:sz w:val="24"/>
          <w:szCs w:val="24"/>
        </w:rPr>
        <w:t>radas a este cuaderno</w:t>
      </w:r>
      <w:r w:rsidRPr="00085914">
        <w:rPr>
          <w:rFonts w:ascii="Verdana" w:hAnsi="Verdana"/>
          <w:sz w:val="24"/>
          <w:szCs w:val="24"/>
        </w:rPr>
        <w:t>, demuestran los siguientes hechos:</w:t>
      </w:r>
    </w:p>
    <w:p w:rsidR="00C867B3" w:rsidRPr="00BD1E15" w:rsidRDefault="00C867B3" w:rsidP="00085914">
      <w:pPr>
        <w:spacing w:line="360" w:lineRule="auto"/>
        <w:jc w:val="both"/>
        <w:rPr>
          <w:rFonts w:ascii="Verdana" w:hAnsi="Verdana"/>
          <w:sz w:val="27"/>
          <w:szCs w:val="27"/>
        </w:rPr>
      </w:pPr>
    </w:p>
    <w:p w:rsidR="00F80529" w:rsidRPr="00085914" w:rsidRDefault="00F80529" w:rsidP="00085914">
      <w:pPr>
        <w:spacing w:line="360" w:lineRule="auto"/>
        <w:jc w:val="both"/>
        <w:rPr>
          <w:rFonts w:ascii="Verdana" w:hAnsi="Verdana"/>
          <w:sz w:val="24"/>
          <w:szCs w:val="24"/>
        </w:rPr>
      </w:pPr>
      <w:r w:rsidRPr="00085914">
        <w:rPr>
          <w:rFonts w:ascii="Verdana" w:hAnsi="Verdana"/>
          <w:sz w:val="24"/>
          <w:szCs w:val="24"/>
        </w:rPr>
        <w:lastRenderedPageBreak/>
        <w:t>4.1 El señor Leandro Giraldo formuló acción popular contra la sede de Bancolombia ubicada en</w:t>
      </w:r>
      <w:r w:rsidR="00FA6793">
        <w:rPr>
          <w:rFonts w:ascii="Verdana" w:hAnsi="Verdana"/>
          <w:sz w:val="24"/>
          <w:szCs w:val="24"/>
        </w:rPr>
        <w:t xml:space="preserve"> la</w:t>
      </w:r>
      <w:r w:rsidRPr="00085914">
        <w:rPr>
          <w:rFonts w:ascii="Verdana" w:hAnsi="Verdana"/>
          <w:sz w:val="24"/>
          <w:szCs w:val="24"/>
        </w:rPr>
        <w:t xml:space="preserve"> carrera 26 No. 40-04 de Girón, Santander</w:t>
      </w:r>
      <w:r w:rsidRPr="00085914">
        <w:rPr>
          <w:rFonts w:ascii="Verdana" w:hAnsi="Verdana"/>
          <w:sz w:val="24"/>
          <w:szCs w:val="24"/>
          <w:vertAlign w:val="superscript"/>
        </w:rPr>
        <w:footnoteReference w:id="3"/>
      </w:r>
      <w:r w:rsidRPr="00085914">
        <w:rPr>
          <w:rFonts w:ascii="Verdana" w:hAnsi="Verdana"/>
          <w:sz w:val="24"/>
          <w:szCs w:val="24"/>
        </w:rPr>
        <w:t>.</w:t>
      </w:r>
    </w:p>
    <w:p w:rsidR="00F80529" w:rsidRPr="00BD1E15" w:rsidRDefault="00F80529" w:rsidP="00085914">
      <w:pPr>
        <w:spacing w:line="360" w:lineRule="auto"/>
        <w:jc w:val="both"/>
        <w:rPr>
          <w:rFonts w:ascii="Verdana" w:hAnsi="Verdana"/>
          <w:sz w:val="27"/>
          <w:szCs w:val="27"/>
        </w:rPr>
      </w:pPr>
    </w:p>
    <w:p w:rsidR="00013DC2" w:rsidRPr="00085914" w:rsidRDefault="00F80529" w:rsidP="00085914">
      <w:pPr>
        <w:spacing w:line="360" w:lineRule="auto"/>
        <w:jc w:val="both"/>
        <w:rPr>
          <w:rFonts w:ascii="Verdana" w:hAnsi="Verdana"/>
          <w:sz w:val="24"/>
          <w:szCs w:val="24"/>
        </w:rPr>
      </w:pPr>
      <w:r w:rsidRPr="00085914">
        <w:rPr>
          <w:rFonts w:ascii="Verdana" w:hAnsi="Verdana"/>
          <w:sz w:val="24"/>
          <w:szCs w:val="24"/>
        </w:rPr>
        <w:t xml:space="preserve">4.2 </w:t>
      </w:r>
      <w:r w:rsidR="00013DC2" w:rsidRPr="00085914">
        <w:rPr>
          <w:rFonts w:ascii="Verdana" w:hAnsi="Verdana"/>
          <w:sz w:val="24"/>
          <w:szCs w:val="24"/>
        </w:rPr>
        <w:t>En auto del 22 de enero de 2016 el juzgado accionado decidió rechazar por</w:t>
      </w:r>
      <w:r w:rsidR="00FA6793">
        <w:rPr>
          <w:rFonts w:ascii="Verdana" w:hAnsi="Verdana"/>
          <w:sz w:val="24"/>
          <w:szCs w:val="24"/>
        </w:rPr>
        <w:t xml:space="preserve"> </w:t>
      </w:r>
      <w:r w:rsidR="00013DC2" w:rsidRPr="00085914">
        <w:rPr>
          <w:rFonts w:ascii="Verdana" w:hAnsi="Verdana"/>
          <w:sz w:val="24"/>
          <w:szCs w:val="24"/>
        </w:rPr>
        <w:t xml:space="preserve">competencia </w:t>
      </w:r>
      <w:r w:rsidR="002327D0" w:rsidRPr="00085914">
        <w:rPr>
          <w:rFonts w:ascii="Verdana" w:hAnsi="Verdana"/>
          <w:sz w:val="24"/>
          <w:szCs w:val="24"/>
        </w:rPr>
        <w:t>esa demanda y remitirla al reparto</w:t>
      </w:r>
      <w:r w:rsidR="000B161C" w:rsidRPr="00085914">
        <w:rPr>
          <w:rFonts w:ascii="Verdana" w:hAnsi="Verdana"/>
          <w:sz w:val="24"/>
          <w:szCs w:val="24"/>
        </w:rPr>
        <w:t xml:space="preserve"> de los J</w:t>
      </w:r>
      <w:r w:rsidR="002327D0" w:rsidRPr="00085914">
        <w:rPr>
          <w:rFonts w:ascii="Verdana" w:hAnsi="Verdana"/>
          <w:sz w:val="24"/>
          <w:szCs w:val="24"/>
        </w:rPr>
        <w:t xml:space="preserve">ueces </w:t>
      </w:r>
      <w:r w:rsidR="000B161C" w:rsidRPr="00085914">
        <w:rPr>
          <w:rFonts w:ascii="Verdana" w:hAnsi="Verdana"/>
          <w:sz w:val="24"/>
          <w:szCs w:val="24"/>
        </w:rPr>
        <w:t>Ci</w:t>
      </w:r>
      <w:r w:rsidR="002327D0" w:rsidRPr="00085914">
        <w:rPr>
          <w:rFonts w:ascii="Verdana" w:hAnsi="Verdana"/>
          <w:sz w:val="24"/>
          <w:szCs w:val="24"/>
        </w:rPr>
        <w:t xml:space="preserve">viles </w:t>
      </w:r>
      <w:r w:rsidR="000B161C" w:rsidRPr="00085914">
        <w:rPr>
          <w:rFonts w:ascii="Verdana" w:hAnsi="Verdana"/>
          <w:sz w:val="24"/>
          <w:szCs w:val="24"/>
        </w:rPr>
        <w:t>del C</w:t>
      </w:r>
      <w:r w:rsidR="002327D0" w:rsidRPr="00085914">
        <w:rPr>
          <w:rFonts w:ascii="Verdana" w:hAnsi="Verdana"/>
          <w:sz w:val="24"/>
          <w:szCs w:val="24"/>
        </w:rPr>
        <w:t>ircuito de Bucaramanga</w:t>
      </w:r>
      <w:r w:rsidR="002327D0" w:rsidRPr="00085914">
        <w:rPr>
          <w:rStyle w:val="Refdenotaalpie"/>
          <w:rFonts w:ascii="Verdana" w:hAnsi="Verdana"/>
          <w:sz w:val="24"/>
          <w:szCs w:val="24"/>
        </w:rPr>
        <w:footnoteReference w:id="4"/>
      </w:r>
      <w:r w:rsidR="002327D0" w:rsidRPr="00085914">
        <w:rPr>
          <w:rFonts w:ascii="Verdana" w:hAnsi="Verdana"/>
          <w:sz w:val="24"/>
          <w:szCs w:val="24"/>
        </w:rPr>
        <w:t>.</w:t>
      </w:r>
    </w:p>
    <w:p w:rsidR="00B60CD1" w:rsidRPr="00BD1E15" w:rsidRDefault="00B60CD1" w:rsidP="00085914">
      <w:pPr>
        <w:spacing w:line="360" w:lineRule="auto"/>
        <w:jc w:val="both"/>
        <w:rPr>
          <w:rFonts w:ascii="Verdana" w:hAnsi="Verdana"/>
          <w:sz w:val="27"/>
          <w:szCs w:val="27"/>
        </w:rPr>
      </w:pPr>
    </w:p>
    <w:p w:rsidR="00B60CD1" w:rsidRPr="00085914" w:rsidRDefault="00B60CD1" w:rsidP="00085914">
      <w:pPr>
        <w:spacing w:line="360" w:lineRule="auto"/>
        <w:jc w:val="both"/>
        <w:rPr>
          <w:rFonts w:ascii="Verdana" w:hAnsi="Verdana"/>
          <w:sz w:val="24"/>
          <w:szCs w:val="24"/>
        </w:rPr>
      </w:pPr>
      <w:r w:rsidRPr="00085914">
        <w:rPr>
          <w:rFonts w:ascii="Verdana" w:hAnsi="Verdana"/>
          <w:sz w:val="24"/>
          <w:szCs w:val="24"/>
        </w:rPr>
        <w:t xml:space="preserve">4.3 </w:t>
      </w:r>
      <w:r w:rsidR="00021AEE" w:rsidRPr="00085914">
        <w:rPr>
          <w:rFonts w:ascii="Verdana" w:hAnsi="Verdana"/>
          <w:sz w:val="24"/>
          <w:szCs w:val="24"/>
        </w:rPr>
        <w:t>El 11 de julio de 2016</w:t>
      </w:r>
      <w:r w:rsidRPr="00085914">
        <w:rPr>
          <w:rFonts w:ascii="Verdana" w:hAnsi="Verdana"/>
          <w:sz w:val="24"/>
          <w:szCs w:val="24"/>
        </w:rPr>
        <w:t xml:space="preserve">, el Juzgado Doce Civil del Circuito de Bucaramanga </w:t>
      </w:r>
      <w:r w:rsidR="00A01A1B" w:rsidRPr="00085914">
        <w:rPr>
          <w:rFonts w:ascii="Verdana" w:hAnsi="Verdana"/>
          <w:sz w:val="24"/>
          <w:szCs w:val="24"/>
        </w:rPr>
        <w:t>suscitó conflicto de competencia</w:t>
      </w:r>
      <w:r w:rsidR="00A01A1B" w:rsidRPr="00085914">
        <w:rPr>
          <w:rStyle w:val="Refdenotaalpie"/>
          <w:rFonts w:ascii="Verdana" w:hAnsi="Verdana"/>
          <w:sz w:val="24"/>
          <w:szCs w:val="24"/>
        </w:rPr>
        <w:footnoteReference w:id="5"/>
      </w:r>
      <w:r w:rsidR="00637234" w:rsidRPr="00085914">
        <w:rPr>
          <w:rFonts w:ascii="Verdana" w:hAnsi="Verdana"/>
          <w:sz w:val="24"/>
          <w:szCs w:val="24"/>
        </w:rPr>
        <w:t>, el cual fue resuelto</w:t>
      </w:r>
      <w:r w:rsidR="00EF21FF" w:rsidRPr="00085914">
        <w:rPr>
          <w:rFonts w:ascii="Verdana" w:hAnsi="Verdana"/>
          <w:sz w:val="24"/>
          <w:szCs w:val="24"/>
        </w:rPr>
        <w:t xml:space="preserve"> por la Corte Suprema de Justicia</w:t>
      </w:r>
      <w:r w:rsidR="00637234" w:rsidRPr="00085914">
        <w:rPr>
          <w:rFonts w:ascii="Verdana" w:hAnsi="Verdana"/>
          <w:sz w:val="24"/>
          <w:szCs w:val="24"/>
        </w:rPr>
        <w:t xml:space="preserve"> mediante auto d</w:t>
      </w:r>
      <w:r w:rsidR="00021AEE" w:rsidRPr="00085914">
        <w:rPr>
          <w:rFonts w:ascii="Verdana" w:hAnsi="Verdana"/>
          <w:sz w:val="24"/>
          <w:szCs w:val="24"/>
        </w:rPr>
        <w:t>el 24 de agosto siguiente</w:t>
      </w:r>
      <w:r w:rsidR="00EF21FF" w:rsidRPr="00085914">
        <w:rPr>
          <w:rFonts w:ascii="Verdana" w:hAnsi="Verdana"/>
          <w:sz w:val="24"/>
          <w:szCs w:val="24"/>
        </w:rPr>
        <w:t>,</w:t>
      </w:r>
      <w:r w:rsidR="00BA72D2" w:rsidRPr="00085914">
        <w:rPr>
          <w:rFonts w:ascii="Verdana" w:hAnsi="Verdana"/>
          <w:sz w:val="24"/>
          <w:szCs w:val="24"/>
        </w:rPr>
        <w:t xml:space="preserve"> </w:t>
      </w:r>
      <w:r w:rsidR="005F4A61" w:rsidRPr="00085914">
        <w:rPr>
          <w:rFonts w:ascii="Verdana" w:hAnsi="Verdana"/>
          <w:sz w:val="24"/>
          <w:szCs w:val="24"/>
        </w:rPr>
        <w:t xml:space="preserve">en el que se determinó que el conocimiento de la acción popular correspondía al juzgado </w:t>
      </w:r>
      <w:r w:rsidR="009C5F8B">
        <w:rPr>
          <w:rFonts w:ascii="Verdana" w:hAnsi="Verdana"/>
          <w:sz w:val="24"/>
          <w:szCs w:val="24"/>
        </w:rPr>
        <w:t xml:space="preserve">aquí demandado, porque en </w:t>
      </w:r>
      <w:r w:rsidR="0020350E" w:rsidRPr="00085914">
        <w:rPr>
          <w:rFonts w:ascii="Verdana" w:hAnsi="Verdana"/>
          <w:sz w:val="24"/>
          <w:szCs w:val="24"/>
        </w:rPr>
        <w:t xml:space="preserve">la demanda </w:t>
      </w:r>
      <w:r w:rsidR="009548CB" w:rsidRPr="00085914">
        <w:rPr>
          <w:rFonts w:ascii="Verdana" w:hAnsi="Verdana"/>
          <w:sz w:val="24"/>
          <w:szCs w:val="24"/>
        </w:rPr>
        <w:t>se consignó que</w:t>
      </w:r>
      <w:r w:rsidR="009C5F8B">
        <w:rPr>
          <w:rFonts w:ascii="Verdana" w:hAnsi="Verdana"/>
          <w:sz w:val="24"/>
          <w:szCs w:val="24"/>
        </w:rPr>
        <w:t xml:space="preserve"> es Pereira</w:t>
      </w:r>
      <w:r w:rsidR="009548CB" w:rsidRPr="00085914">
        <w:rPr>
          <w:rFonts w:ascii="Verdana" w:hAnsi="Verdana"/>
          <w:sz w:val="24"/>
          <w:szCs w:val="24"/>
        </w:rPr>
        <w:t xml:space="preserve"> el do</w:t>
      </w:r>
      <w:r w:rsidR="009C5F8B">
        <w:rPr>
          <w:rFonts w:ascii="Verdana" w:hAnsi="Verdana"/>
          <w:sz w:val="24"/>
          <w:szCs w:val="24"/>
        </w:rPr>
        <w:t xml:space="preserve">micilio de la entidad accionada, </w:t>
      </w:r>
      <w:r w:rsidR="009125A5" w:rsidRPr="00085914">
        <w:rPr>
          <w:rFonts w:ascii="Verdana" w:hAnsi="Verdana"/>
          <w:sz w:val="24"/>
          <w:szCs w:val="24"/>
        </w:rPr>
        <w:t>sin perj</w:t>
      </w:r>
      <w:r w:rsidR="009C5F8B">
        <w:rPr>
          <w:rFonts w:ascii="Verdana" w:hAnsi="Verdana"/>
          <w:sz w:val="24"/>
          <w:szCs w:val="24"/>
        </w:rPr>
        <w:t xml:space="preserve">uicio de que esta, en la oportunidad debida, pueda </w:t>
      </w:r>
      <w:r w:rsidR="00D778C2" w:rsidRPr="00085914">
        <w:rPr>
          <w:rFonts w:ascii="Verdana" w:hAnsi="Verdana"/>
          <w:sz w:val="24"/>
          <w:szCs w:val="24"/>
        </w:rPr>
        <w:t xml:space="preserve"> refutar esa</w:t>
      </w:r>
      <w:r w:rsidR="00ED6A4B">
        <w:rPr>
          <w:rFonts w:ascii="Verdana" w:hAnsi="Verdana"/>
          <w:sz w:val="24"/>
          <w:szCs w:val="24"/>
        </w:rPr>
        <w:t xml:space="preserve"> </w:t>
      </w:r>
      <w:r w:rsidR="00365EB9">
        <w:rPr>
          <w:rFonts w:ascii="Verdana" w:hAnsi="Verdana"/>
          <w:sz w:val="24"/>
          <w:szCs w:val="24"/>
        </w:rPr>
        <w:t>situación</w:t>
      </w:r>
      <w:r w:rsidR="00021AEE" w:rsidRPr="00085914">
        <w:rPr>
          <w:rStyle w:val="Refdenotaalpie"/>
          <w:rFonts w:ascii="Verdana" w:hAnsi="Verdana"/>
          <w:sz w:val="24"/>
          <w:szCs w:val="24"/>
        </w:rPr>
        <w:footnoteReference w:id="6"/>
      </w:r>
      <w:r w:rsidR="00D778C2" w:rsidRPr="00085914">
        <w:rPr>
          <w:rFonts w:ascii="Verdana" w:hAnsi="Verdana"/>
          <w:sz w:val="24"/>
          <w:szCs w:val="24"/>
        </w:rPr>
        <w:t>.</w:t>
      </w:r>
    </w:p>
    <w:p w:rsidR="00013DC2" w:rsidRPr="00085914" w:rsidRDefault="00013DC2" w:rsidP="00085914">
      <w:pPr>
        <w:spacing w:line="360" w:lineRule="auto"/>
        <w:jc w:val="both"/>
        <w:rPr>
          <w:rFonts w:ascii="Verdana" w:hAnsi="Verdana"/>
          <w:sz w:val="24"/>
          <w:szCs w:val="24"/>
        </w:rPr>
      </w:pPr>
    </w:p>
    <w:p w:rsidR="00F80529" w:rsidRPr="00085914" w:rsidRDefault="000B161C" w:rsidP="00085914">
      <w:pPr>
        <w:spacing w:line="360" w:lineRule="auto"/>
        <w:jc w:val="both"/>
        <w:rPr>
          <w:rFonts w:ascii="Verdana" w:hAnsi="Verdana"/>
          <w:sz w:val="24"/>
          <w:szCs w:val="24"/>
        </w:rPr>
      </w:pPr>
      <w:r w:rsidRPr="00085914">
        <w:rPr>
          <w:rFonts w:ascii="Verdana" w:hAnsi="Verdana"/>
          <w:sz w:val="24"/>
          <w:szCs w:val="24"/>
        </w:rPr>
        <w:t xml:space="preserve">4.4 </w:t>
      </w:r>
      <w:r w:rsidR="00F80529" w:rsidRPr="00085914">
        <w:rPr>
          <w:rFonts w:ascii="Verdana" w:hAnsi="Verdana"/>
          <w:sz w:val="24"/>
          <w:szCs w:val="24"/>
        </w:rPr>
        <w:t>Por auto del 30 de marzo de 2017 y en cumplimiento de lo dispuesto por la Corte Suprema de Justicia mediante sentencia del 27 del mismo mes, que le ordenó impartirle a esa acción “el trámite correspondiente”,</w:t>
      </w:r>
      <w:r w:rsidR="001006AB" w:rsidRPr="00085914">
        <w:rPr>
          <w:rFonts w:ascii="Verdana" w:hAnsi="Verdana"/>
          <w:sz w:val="24"/>
          <w:szCs w:val="24"/>
        </w:rPr>
        <w:t xml:space="preserve"> el despacho accionado procedió nuevamente</w:t>
      </w:r>
      <w:r w:rsidR="00F80529" w:rsidRPr="00085914">
        <w:rPr>
          <w:rFonts w:ascii="Verdana" w:hAnsi="Verdana"/>
          <w:sz w:val="24"/>
          <w:szCs w:val="24"/>
        </w:rPr>
        <w:t xml:space="preserve"> a rechazar la demanda por competencia y a remitirla a los Juzgado</w:t>
      </w:r>
      <w:r w:rsidRPr="00085914">
        <w:rPr>
          <w:rFonts w:ascii="Verdana" w:hAnsi="Verdana"/>
          <w:sz w:val="24"/>
          <w:szCs w:val="24"/>
        </w:rPr>
        <w:t>s</w:t>
      </w:r>
      <w:r w:rsidR="00F80529" w:rsidRPr="00085914">
        <w:rPr>
          <w:rFonts w:ascii="Verdana" w:hAnsi="Verdana"/>
          <w:sz w:val="24"/>
          <w:szCs w:val="24"/>
        </w:rPr>
        <w:t xml:space="preserve"> Civiles de Circuito de Bucaramanga. Para adoptar esta decisión consideró que de acuerdo con la página de la Superintendencia Financiera</w:t>
      </w:r>
      <w:r w:rsidR="00D41108">
        <w:rPr>
          <w:rFonts w:ascii="Verdana" w:hAnsi="Verdana"/>
          <w:sz w:val="24"/>
          <w:szCs w:val="24"/>
        </w:rPr>
        <w:t>,</w:t>
      </w:r>
      <w:r w:rsidR="00F80529" w:rsidRPr="00085914">
        <w:rPr>
          <w:rFonts w:ascii="Verdana" w:hAnsi="Verdana"/>
          <w:sz w:val="24"/>
          <w:szCs w:val="24"/>
        </w:rPr>
        <w:t xml:space="preserve"> el domicilio principal de la entidad demandada </w:t>
      </w:r>
      <w:r w:rsidR="00D41108">
        <w:rPr>
          <w:rFonts w:ascii="Verdana" w:hAnsi="Verdana"/>
          <w:sz w:val="24"/>
          <w:szCs w:val="24"/>
        </w:rPr>
        <w:t xml:space="preserve">es </w:t>
      </w:r>
      <w:r w:rsidR="00F80529" w:rsidRPr="00085914">
        <w:rPr>
          <w:rFonts w:ascii="Verdana" w:hAnsi="Verdana"/>
          <w:sz w:val="24"/>
          <w:szCs w:val="24"/>
        </w:rPr>
        <w:t xml:space="preserve">Medellín, mientras que el sitio de la vulneración </w:t>
      </w:r>
      <w:r w:rsidR="00D41108">
        <w:rPr>
          <w:rFonts w:ascii="Verdana" w:hAnsi="Verdana"/>
          <w:sz w:val="24"/>
          <w:szCs w:val="24"/>
        </w:rPr>
        <w:t xml:space="preserve">es </w:t>
      </w:r>
      <w:r w:rsidR="00F80529" w:rsidRPr="00085914">
        <w:rPr>
          <w:rFonts w:ascii="Verdana" w:hAnsi="Verdana"/>
          <w:sz w:val="24"/>
          <w:szCs w:val="24"/>
        </w:rPr>
        <w:t>Girón, Santander, es decir que no existía justificación para que el actor escogiera la ciudad de Pereira para tramitar la demanda popular</w:t>
      </w:r>
      <w:r w:rsidR="00F80529" w:rsidRPr="00085914">
        <w:rPr>
          <w:rFonts w:ascii="Verdana" w:hAnsi="Verdana"/>
          <w:sz w:val="24"/>
          <w:szCs w:val="24"/>
          <w:vertAlign w:val="superscript"/>
        </w:rPr>
        <w:footnoteReference w:id="7"/>
      </w:r>
      <w:r w:rsidR="00F80529" w:rsidRPr="00085914">
        <w:rPr>
          <w:rFonts w:ascii="Verdana" w:hAnsi="Verdana"/>
          <w:sz w:val="24"/>
          <w:szCs w:val="24"/>
        </w:rPr>
        <w:t xml:space="preserve">.  </w:t>
      </w:r>
    </w:p>
    <w:p w:rsidR="00F80529" w:rsidRPr="00BD1E15" w:rsidRDefault="00F80529" w:rsidP="00085914">
      <w:pPr>
        <w:spacing w:line="360" w:lineRule="auto"/>
        <w:jc w:val="both"/>
        <w:rPr>
          <w:rFonts w:ascii="Verdana" w:hAnsi="Verdana"/>
          <w:sz w:val="26"/>
          <w:szCs w:val="26"/>
        </w:rPr>
      </w:pPr>
    </w:p>
    <w:p w:rsidR="00F80529" w:rsidRPr="00085914" w:rsidRDefault="00787928" w:rsidP="00085914">
      <w:pPr>
        <w:spacing w:line="360" w:lineRule="auto"/>
        <w:jc w:val="both"/>
        <w:rPr>
          <w:rFonts w:ascii="Verdana" w:hAnsi="Verdana"/>
          <w:sz w:val="24"/>
          <w:szCs w:val="24"/>
        </w:rPr>
      </w:pPr>
      <w:r w:rsidRPr="00085914">
        <w:rPr>
          <w:rFonts w:ascii="Verdana" w:hAnsi="Verdana"/>
          <w:sz w:val="24"/>
          <w:szCs w:val="24"/>
        </w:rPr>
        <w:t>4.5</w:t>
      </w:r>
      <w:r w:rsidR="00F80529" w:rsidRPr="00085914">
        <w:rPr>
          <w:rFonts w:ascii="Verdana" w:hAnsi="Verdana"/>
          <w:sz w:val="24"/>
          <w:szCs w:val="24"/>
        </w:rPr>
        <w:t xml:space="preserve"> En proveído del pasado 12 de octubre, la Sala de Casación Civil de la Corte Suprema de Justicia, con ocasión al</w:t>
      </w:r>
      <w:r w:rsidR="00E3484D" w:rsidRPr="00085914">
        <w:rPr>
          <w:rFonts w:ascii="Verdana" w:hAnsi="Verdana"/>
          <w:sz w:val="24"/>
          <w:szCs w:val="24"/>
        </w:rPr>
        <w:t xml:space="preserve"> nuevo</w:t>
      </w:r>
      <w:r w:rsidR="00F80529" w:rsidRPr="00085914">
        <w:rPr>
          <w:rFonts w:ascii="Verdana" w:hAnsi="Verdana"/>
          <w:sz w:val="24"/>
          <w:szCs w:val="24"/>
        </w:rPr>
        <w:t xml:space="preserve"> conflicto de </w:t>
      </w:r>
      <w:r w:rsidR="00F80529" w:rsidRPr="00085914">
        <w:rPr>
          <w:rFonts w:ascii="Verdana" w:hAnsi="Verdana"/>
          <w:sz w:val="24"/>
          <w:szCs w:val="24"/>
        </w:rPr>
        <w:lastRenderedPageBreak/>
        <w:t>competencia propuesto</w:t>
      </w:r>
      <w:r w:rsidR="00EB7150" w:rsidRPr="00085914">
        <w:rPr>
          <w:rStyle w:val="Refdenotaalpie"/>
          <w:rFonts w:ascii="Verdana" w:hAnsi="Verdana"/>
          <w:sz w:val="24"/>
          <w:szCs w:val="24"/>
        </w:rPr>
        <w:footnoteReference w:id="8"/>
      </w:r>
      <w:r w:rsidR="00F80529" w:rsidRPr="00085914">
        <w:rPr>
          <w:rFonts w:ascii="Verdana" w:hAnsi="Verdana"/>
          <w:sz w:val="24"/>
          <w:szCs w:val="24"/>
        </w:rPr>
        <w:t>, ordenó devolver el expediente al Juzgado Cuarto Civil del Circuito de Pereira</w:t>
      </w:r>
      <w:r w:rsidR="00075C0E">
        <w:rPr>
          <w:rFonts w:ascii="Verdana" w:hAnsi="Verdana"/>
          <w:sz w:val="24"/>
          <w:szCs w:val="24"/>
        </w:rPr>
        <w:t xml:space="preserve"> porque en</w:t>
      </w:r>
      <w:r w:rsidR="00F80529" w:rsidRPr="00085914">
        <w:rPr>
          <w:rFonts w:ascii="Verdana" w:hAnsi="Verdana"/>
          <w:sz w:val="24"/>
          <w:szCs w:val="24"/>
        </w:rPr>
        <w:t xml:space="preserve"> anterior decisión esa Corporación ya había resuelto que el</w:t>
      </w:r>
      <w:r w:rsidR="007A7BDB" w:rsidRPr="00085914">
        <w:rPr>
          <w:rFonts w:ascii="Verdana" w:hAnsi="Verdana"/>
          <w:sz w:val="24"/>
          <w:szCs w:val="24"/>
        </w:rPr>
        <w:t xml:space="preserve"> competente para conocer de la</w:t>
      </w:r>
      <w:r w:rsidR="00F80529" w:rsidRPr="00085914">
        <w:rPr>
          <w:rFonts w:ascii="Verdana" w:hAnsi="Verdana"/>
          <w:sz w:val="24"/>
          <w:szCs w:val="24"/>
        </w:rPr>
        <w:t xml:space="preserve"> acción popular era es</w:t>
      </w:r>
      <w:r w:rsidR="007A7BDB" w:rsidRPr="00085914">
        <w:rPr>
          <w:rFonts w:ascii="Verdana" w:hAnsi="Verdana"/>
          <w:sz w:val="24"/>
          <w:szCs w:val="24"/>
        </w:rPr>
        <w:t>e</w:t>
      </w:r>
      <w:r w:rsidR="00F80529" w:rsidRPr="00085914">
        <w:rPr>
          <w:rFonts w:ascii="Verdana" w:hAnsi="Verdana"/>
          <w:sz w:val="24"/>
          <w:szCs w:val="24"/>
        </w:rPr>
        <w:t xml:space="preserve"> despacho “sin que se verifique el acaecimiento de alguna circunstancia que altere lo allí decidido e imponga un nuevo pronunciamiento”</w:t>
      </w:r>
      <w:r w:rsidR="00F80529" w:rsidRPr="00085914">
        <w:rPr>
          <w:rFonts w:ascii="Verdana" w:hAnsi="Verdana"/>
          <w:sz w:val="24"/>
          <w:szCs w:val="24"/>
          <w:vertAlign w:val="superscript"/>
        </w:rPr>
        <w:footnoteReference w:id="9"/>
      </w:r>
      <w:r w:rsidR="00F80529" w:rsidRPr="00085914">
        <w:rPr>
          <w:rFonts w:ascii="Verdana" w:hAnsi="Verdana"/>
          <w:sz w:val="24"/>
          <w:szCs w:val="24"/>
        </w:rPr>
        <w:t xml:space="preserve">. </w:t>
      </w:r>
    </w:p>
    <w:p w:rsidR="00F80529" w:rsidRPr="00BD1E15" w:rsidRDefault="00F80529" w:rsidP="00085914">
      <w:pPr>
        <w:spacing w:line="360" w:lineRule="auto"/>
        <w:jc w:val="both"/>
        <w:rPr>
          <w:rFonts w:ascii="Verdana" w:hAnsi="Verdana"/>
          <w:sz w:val="26"/>
          <w:szCs w:val="26"/>
        </w:rPr>
      </w:pPr>
    </w:p>
    <w:p w:rsidR="00F80529" w:rsidRPr="00085914" w:rsidRDefault="00787928" w:rsidP="00085914">
      <w:pPr>
        <w:spacing w:line="360" w:lineRule="auto"/>
        <w:jc w:val="both"/>
        <w:rPr>
          <w:rFonts w:ascii="Verdana" w:hAnsi="Verdana"/>
          <w:sz w:val="24"/>
          <w:szCs w:val="24"/>
        </w:rPr>
      </w:pPr>
      <w:r w:rsidRPr="00085914">
        <w:rPr>
          <w:rFonts w:ascii="Verdana" w:hAnsi="Verdana"/>
          <w:sz w:val="24"/>
          <w:szCs w:val="24"/>
        </w:rPr>
        <w:t>4.6</w:t>
      </w:r>
      <w:r w:rsidR="00F80529" w:rsidRPr="00085914">
        <w:rPr>
          <w:rFonts w:ascii="Verdana" w:hAnsi="Verdana"/>
          <w:sz w:val="24"/>
          <w:szCs w:val="24"/>
        </w:rPr>
        <w:t xml:space="preserve"> El 7 de noviembre último, en obedecimiento a lo anterior, la funcionaria accionada decidió admitir la acción popular y darle el trámite de rigor</w:t>
      </w:r>
      <w:r w:rsidR="00F80529" w:rsidRPr="00085914">
        <w:rPr>
          <w:rFonts w:ascii="Verdana" w:hAnsi="Verdana"/>
          <w:sz w:val="24"/>
          <w:szCs w:val="24"/>
          <w:vertAlign w:val="superscript"/>
        </w:rPr>
        <w:footnoteReference w:id="10"/>
      </w:r>
      <w:r w:rsidR="00F80529" w:rsidRPr="00085914">
        <w:rPr>
          <w:rFonts w:ascii="Verdana" w:hAnsi="Verdana"/>
          <w:sz w:val="24"/>
          <w:szCs w:val="24"/>
        </w:rPr>
        <w:t xml:space="preserve">. </w:t>
      </w:r>
    </w:p>
    <w:p w:rsidR="00F80529" w:rsidRPr="00BD1E15" w:rsidRDefault="00F80529" w:rsidP="00085914">
      <w:pPr>
        <w:spacing w:line="360" w:lineRule="auto"/>
        <w:jc w:val="both"/>
        <w:rPr>
          <w:rFonts w:ascii="Verdana" w:hAnsi="Verdana"/>
          <w:sz w:val="26"/>
          <w:szCs w:val="26"/>
        </w:rPr>
      </w:pPr>
    </w:p>
    <w:p w:rsidR="00F80529" w:rsidRPr="00085914" w:rsidRDefault="00787928" w:rsidP="00085914">
      <w:pPr>
        <w:spacing w:line="360" w:lineRule="auto"/>
        <w:jc w:val="both"/>
        <w:rPr>
          <w:rFonts w:ascii="Verdana" w:hAnsi="Verdana"/>
          <w:sz w:val="24"/>
          <w:szCs w:val="24"/>
        </w:rPr>
      </w:pPr>
      <w:r w:rsidRPr="00085914">
        <w:rPr>
          <w:rFonts w:ascii="Verdana" w:hAnsi="Verdana"/>
          <w:sz w:val="24"/>
          <w:szCs w:val="24"/>
        </w:rPr>
        <w:t>4.7</w:t>
      </w:r>
      <w:r w:rsidR="007A2B00" w:rsidRPr="00085914">
        <w:rPr>
          <w:rFonts w:ascii="Verdana" w:hAnsi="Verdana"/>
          <w:sz w:val="24"/>
          <w:szCs w:val="24"/>
        </w:rPr>
        <w:t xml:space="preserve"> </w:t>
      </w:r>
      <w:r w:rsidR="003B279A" w:rsidRPr="00085914">
        <w:rPr>
          <w:rFonts w:ascii="Verdana" w:hAnsi="Verdana"/>
          <w:sz w:val="24"/>
          <w:szCs w:val="24"/>
        </w:rPr>
        <w:t xml:space="preserve">Mediante proveído del 6 de marzo </w:t>
      </w:r>
      <w:r w:rsidR="00D41108">
        <w:rPr>
          <w:rFonts w:ascii="Verdana" w:hAnsi="Verdana"/>
          <w:sz w:val="24"/>
          <w:szCs w:val="24"/>
        </w:rPr>
        <w:t xml:space="preserve">de este año, </w:t>
      </w:r>
      <w:r w:rsidR="003B279A" w:rsidRPr="00085914">
        <w:rPr>
          <w:rFonts w:ascii="Verdana" w:hAnsi="Verdana"/>
          <w:sz w:val="24"/>
          <w:szCs w:val="24"/>
        </w:rPr>
        <w:t>el juzgado accionado, en virtud</w:t>
      </w:r>
      <w:r w:rsidR="004D4F66" w:rsidRPr="00085914">
        <w:rPr>
          <w:rFonts w:ascii="Verdana" w:hAnsi="Verdana"/>
          <w:sz w:val="24"/>
          <w:szCs w:val="24"/>
        </w:rPr>
        <w:t xml:space="preserve"> al recurso de reposición interpuesto </w:t>
      </w:r>
      <w:r w:rsidR="003B279A" w:rsidRPr="00085914">
        <w:rPr>
          <w:rFonts w:ascii="Verdana" w:hAnsi="Verdana"/>
          <w:sz w:val="24"/>
          <w:szCs w:val="24"/>
        </w:rPr>
        <w:t>por el apoderado de la parte demandada</w:t>
      </w:r>
      <w:r w:rsidR="004D4F66" w:rsidRPr="00085914">
        <w:rPr>
          <w:rFonts w:ascii="Verdana" w:hAnsi="Verdana"/>
          <w:sz w:val="24"/>
          <w:szCs w:val="24"/>
        </w:rPr>
        <w:t xml:space="preserve"> contra el auto admisorio de la demanda</w:t>
      </w:r>
      <w:r w:rsidR="003B279A" w:rsidRPr="00085914">
        <w:rPr>
          <w:rFonts w:ascii="Verdana" w:hAnsi="Verdana"/>
          <w:sz w:val="24"/>
          <w:szCs w:val="24"/>
        </w:rPr>
        <w:t xml:space="preserve">, </w:t>
      </w:r>
      <w:r w:rsidR="004D4F66" w:rsidRPr="00085914">
        <w:rPr>
          <w:rFonts w:ascii="Verdana" w:hAnsi="Verdana"/>
          <w:sz w:val="24"/>
          <w:szCs w:val="24"/>
        </w:rPr>
        <w:t>resolvió rechazarla</w:t>
      </w:r>
      <w:r w:rsidRPr="00085914">
        <w:rPr>
          <w:rFonts w:ascii="Verdana" w:hAnsi="Verdana"/>
          <w:sz w:val="24"/>
          <w:szCs w:val="24"/>
        </w:rPr>
        <w:t xml:space="preserve"> por</w:t>
      </w:r>
      <w:r w:rsidR="003B279A" w:rsidRPr="00085914">
        <w:rPr>
          <w:rFonts w:ascii="Verdana" w:hAnsi="Verdana"/>
          <w:sz w:val="24"/>
          <w:szCs w:val="24"/>
        </w:rPr>
        <w:t xml:space="preserve"> agotamiento de la jurisdicción</w:t>
      </w:r>
      <w:r w:rsidR="00717A1D" w:rsidRPr="00085914">
        <w:rPr>
          <w:rFonts w:ascii="Verdana" w:hAnsi="Verdana"/>
          <w:sz w:val="24"/>
          <w:szCs w:val="24"/>
        </w:rPr>
        <w:t xml:space="preserve"> y archivar</w:t>
      </w:r>
      <w:r w:rsidR="001B7E84" w:rsidRPr="00085914">
        <w:rPr>
          <w:rFonts w:ascii="Verdana" w:hAnsi="Verdana"/>
          <w:sz w:val="24"/>
          <w:szCs w:val="24"/>
        </w:rPr>
        <w:t xml:space="preserve"> </w:t>
      </w:r>
      <w:r w:rsidR="00717A1D" w:rsidRPr="00085914">
        <w:rPr>
          <w:rFonts w:ascii="Verdana" w:hAnsi="Verdana"/>
          <w:sz w:val="24"/>
          <w:szCs w:val="24"/>
        </w:rPr>
        <w:t>la</w:t>
      </w:r>
      <w:r w:rsidR="001B7E84" w:rsidRPr="00085914">
        <w:rPr>
          <w:rFonts w:ascii="Verdana" w:hAnsi="Verdana"/>
          <w:sz w:val="24"/>
          <w:szCs w:val="24"/>
        </w:rPr>
        <w:t>s diligencias, previa anotación en los libros radicadores</w:t>
      </w:r>
      <w:r w:rsidR="00F80529" w:rsidRPr="00085914">
        <w:rPr>
          <w:rFonts w:ascii="Verdana" w:hAnsi="Verdana"/>
          <w:sz w:val="24"/>
          <w:szCs w:val="24"/>
          <w:vertAlign w:val="superscript"/>
        </w:rPr>
        <w:footnoteReference w:id="11"/>
      </w:r>
      <w:r w:rsidR="00F80529" w:rsidRPr="00085914">
        <w:rPr>
          <w:rFonts w:ascii="Verdana" w:hAnsi="Verdana"/>
          <w:sz w:val="24"/>
          <w:szCs w:val="24"/>
        </w:rPr>
        <w:t>.</w:t>
      </w:r>
    </w:p>
    <w:p w:rsidR="00787928" w:rsidRPr="00085914" w:rsidRDefault="00787928" w:rsidP="00085914">
      <w:pPr>
        <w:spacing w:line="360" w:lineRule="auto"/>
        <w:jc w:val="both"/>
        <w:rPr>
          <w:rFonts w:ascii="Verdana" w:hAnsi="Verdana"/>
          <w:sz w:val="24"/>
          <w:szCs w:val="24"/>
        </w:rPr>
      </w:pPr>
      <w:r w:rsidRPr="00085914">
        <w:rPr>
          <w:rFonts w:ascii="Verdana" w:hAnsi="Verdana"/>
          <w:sz w:val="24"/>
          <w:szCs w:val="24"/>
        </w:rPr>
        <w:t>4.8</w:t>
      </w:r>
      <w:r w:rsidR="00EC035A" w:rsidRPr="00085914">
        <w:rPr>
          <w:rFonts w:ascii="Verdana" w:hAnsi="Verdana"/>
          <w:sz w:val="24"/>
          <w:szCs w:val="24"/>
        </w:rPr>
        <w:t xml:space="preserve"> Frente a la anterior decisión el coadyuvante Javier Elías Arias Idárraga</w:t>
      </w:r>
      <w:r w:rsidR="00C50527" w:rsidRPr="00085914">
        <w:rPr>
          <w:rStyle w:val="Refdenotaalpie"/>
          <w:rFonts w:ascii="Verdana" w:hAnsi="Verdana"/>
          <w:sz w:val="24"/>
          <w:szCs w:val="24"/>
        </w:rPr>
        <w:footnoteReference w:id="12"/>
      </w:r>
      <w:r w:rsidR="00EC035A" w:rsidRPr="00085914">
        <w:rPr>
          <w:rFonts w:ascii="Verdana" w:hAnsi="Verdana"/>
          <w:sz w:val="24"/>
          <w:szCs w:val="24"/>
        </w:rPr>
        <w:t xml:space="preserve"> interpuso recurso de reposici</w:t>
      </w:r>
      <w:r w:rsidR="003C16F7" w:rsidRPr="00085914">
        <w:rPr>
          <w:rFonts w:ascii="Verdana" w:hAnsi="Verdana"/>
          <w:sz w:val="24"/>
          <w:szCs w:val="24"/>
        </w:rPr>
        <w:t>ón. Pidió además, entre otras cosas, se aclarara</w:t>
      </w:r>
      <w:r w:rsidR="00D41108">
        <w:rPr>
          <w:rFonts w:ascii="Verdana" w:hAnsi="Verdana"/>
          <w:sz w:val="24"/>
          <w:szCs w:val="24"/>
        </w:rPr>
        <w:t>n</w:t>
      </w:r>
      <w:r w:rsidR="003C16F7" w:rsidRPr="00085914">
        <w:rPr>
          <w:rFonts w:ascii="Verdana" w:hAnsi="Verdana"/>
          <w:sz w:val="24"/>
          <w:szCs w:val="24"/>
        </w:rPr>
        <w:t xml:space="preserve"> los motivos </w:t>
      </w:r>
      <w:r w:rsidR="002237A0" w:rsidRPr="00085914">
        <w:rPr>
          <w:rFonts w:ascii="Verdana" w:hAnsi="Verdana"/>
          <w:sz w:val="24"/>
          <w:szCs w:val="24"/>
        </w:rPr>
        <w:t>por los cuales “generó” conflicto de competencia sin ser parte y en desconocimiento del artículo 16 de la Ley 472 de 1998</w:t>
      </w:r>
      <w:r w:rsidR="00EE3AD9" w:rsidRPr="00085914">
        <w:rPr>
          <w:rStyle w:val="Refdenotaalpie"/>
          <w:rFonts w:ascii="Verdana" w:hAnsi="Verdana"/>
          <w:sz w:val="24"/>
          <w:szCs w:val="24"/>
        </w:rPr>
        <w:footnoteReference w:id="13"/>
      </w:r>
      <w:r w:rsidR="00EE3AD9" w:rsidRPr="00085914">
        <w:rPr>
          <w:rFonts w:ascii="Verdana" w:hAnsi="Verdana"/>
          <w:sz w:val="24"/>
          <w:szCs w:val="24"/>
        </w:rPr>
        <w:t>.</w:t>
      </w:r>
      <w:r w:rsidR="002237A0" w:rsidRPr="00085914">
        <w:rPr>
          <w:rFonts w:ascii="Verdana" w:hAnsi="Verdana"/>
          <w:sz w:val="24"/>
          <w:szCs w:val="24"/>
        </w:rPr>
        <w:t xml:space="preserve"> </w:t>
      </w:r>
    </w:p>
    <w:p w:rsidR="00787928" w:rsidRPr="00085914" w:rsidRDefault="00787928" w:rsidP="00085914">
      <w:pPr>
        <w:spacing w:line="360" w:lineRule="auto"/>
        <w:jc w:val="both"/>
        <w:rPr>
          <w:rFonts w:ascii="Verdana" w:hAnsi="Verdana"/>
          <w:sz w:val="24"/>
          <w:szCs w:val="24"/>
        </w:rPr>
      </w:pPr>
    </w:p>
    <w:p w:rsidR="00F80529" w:rsidRPr="00085914" w:rsidRDefault="00787928" w:rsidP="00085914">
      <w:pPr>
        <w:spacing w:line="360" w:lineRule="auto"/>
        <w:jc w:val="both"/>
        <w:rPr>
          <w:rFonts w:ascii="Verdana" w:hAnsi="Verdana"/>
          <w:sz w:val="24"/>
          <w:szCs w:val="24"/>
        </w:rPr>
      </w:pPr>
      <w:r w:rsidRPr="00085914">
        <w:rPr>
          <w:rFonts w:ascii="Verdana" w:hAnsi="Verdana"/>
          <w:sz w:val="24"/>
          <w:szCs w:val="24"/>
        </w:rPr>
        <w:t>4.9</w:t>
      </w:r>
      <w:r w:rsidR="00F80529" w:rsidRPr="00085914">
        <w:rPr>
          <w:rFonts w:ascii="Verdana" w:hAnsi="Verdana"/>
          <w:sz w:val="24"/>
          <w:szCs w:val="24"/>
        </w:rPr>
        <w:t xml:space="preserve"> De conformidad con lo señalado por el Secretario de</w:t>
      </w:r>
      <w:r w:rsidR="00EE3AD9" w:rsidRPr="00085914">
        <w:rPr>
          <w:rFonts w:ascii="Verdana" w:hAnsi="Verdana"/>
          <w:sz w:val="24"/>
          <w:szCs w:val="24"/>
        </w:rPr>
        <w:t>l juzgado accionado, esto último</w:t>
      </w:r>
      <w:r w:rsidR="005210E2">
        <w:rPr>
          <w:rFonts w:ascii="Verdana" w:hAnsi="Verdana"/>
          <w:sz w:val="24"/>
          <w:szCs w:val="24"/>
        </w:rPr>
        <w:t xml:space="preserve"> recurso</w:t>
      </w:r>
      <w:r w:rsidR="00EE3AD9" w:rsidRPr="00085914">
        <w:rPr>
          <w:rFonts w:ascii="Verdana" w:hAnsi="Verdana"/>
          <w:sz w:val="24"/>
          <w:szCs w:val="24"/>
        </w:rPr>
        <w:t xml:space="preserve"> </w:t>
      </w:r>
      <w:r w:rsidR="00F80529" w:rsidRPr="00085914">
        <w:rPr>
          <w:rFonts w:ascii="Verdana" w:hAnsi="Verdana"/>
          <w:sz w:val="24"/>
          <w:szCs w:val="24"/>
        </w:rPr>
        <w:t>se encuentra pendiente de resolver</w:t>
      </w:r>
      <w:r w:rsidR="00F80529" w:rsidRPr="00085914">
        <w:rPr>
          <w:rFonts w:ascii="Verdana" w:hAnsi="Verdana"/>
          <w:sz w:val="24"/>
          <w:szCs w:val="24"/>
          <w:vertAlign w:val="superscript"/>
        </w:rPr>
        <w:footnoteReference w:id="14"/>
      </w:r>
      <w:r w:rsidR="00F80529" w:rsidRPr="00085914">
        <w:rPr>
          <w:rFonts w:ascii="Verdana" w:hAnsi="Verdana"/>
          <w:sz w:val="24"/>
          <w:szCs w:val="24"/>
        </w:rPr>
        <w:t xml:space="preserve">. </w:t>
      </w:r>
    </w:p>
    <w:p w:rsidR="00C867B3" w:rsidRPr="00085914" w:rsidRDefault="00C867B3" w:rsidP="00085914">
      <w:pPr>
        <w:spacing w:line="360" w:lineRule="auto"/>
        <w:jc w:val="both"/>
        <w:rPr>
          <w:rFonts w:ascii="Verdana" w:hAnsi="Verdana"/>
          <w:sz w:val="24"/>
          <w:szCs w:val="24"/>
        </w:rPr>
      </w:pPr>
    </w:p>
    <w:p w:rsidR="00C867B3" w:rsidRPr="00085914" w:rsidRDefault="00C867B3" w:rsidP="00085914">
      <w:pPr>
        <w:spacing w:line="360" w:lineRule="auto"/>
        <w:jc w:val="both"/>
        <w:rPr>
          <w:rFonts w:ascii="Verdana" w:hAnsi="Verdana"/>
          <w:sz w:val="24"/>
          <w:szCs w:val="24"/>
        </w:rPr>
      </w:pPr>
      <w:r w:rsidRPr="00085914">
        <w:rPr>
          <w:rFonts w:ascii="Verdana" w:hAnsi="Verdana"/>
          <w:sz w:val="24"/>
          <w:szCs w:val="24"/>
        </w:rPr>
        <w:t>5. Surge de esas prue</w:t>
      </w:r>
      <w:r w:rsidR="005210E2">
        <w:rPr>
          <w:rFonts w:ascii="Verdana" w:hAnsi="Verdana"/>
          <w:sz w:val="24"/>
          <w:szCs w:val="24"/>
        </w:rPr>
        <w:t>bas que</w:t>
      </w:r>
      <w:r w:rsidR="00DB1803" w:rsidRPr="00085914">
        <w:rPr>
          <w:rFonts w:ascii="Verdana" w:hAnsi="Verdana"/>
          <w:sz w:val="24"/>
          <w:szCs w:val="24"/>
        </w:rPr>
        <w:t xml:space="preserve"> </w:t>
      </w:r>
      <w:r w:rsidR="005210E2">
        <w:rPr>
          <w:rFonts w:ascii="Verdana" w:hAnsi="Verdana"/>
          <w:sz w:val="24"/>
          <w:szCs w:val="24"/>
        </w:rPr>
        <w:t xml:space="preserve">en este caso, </w:t>
      </w:r>
      <w:r w:rsidR="00DB1803" w:rsidRPr="00085914">
        <w:rPr>
          <w:rFonts w:ascii="Verdana" w:hAnsi="Verdana"/>
          <w:sz w:val="24"/>
          <w:szCs w:val="24"/>
        </w:rPr>
        <w:t>si bien es cierto</w:t>
      </w:r>
      <w:r w:rsidR="006C39F5">
        <w:rPr>
          <w:rFonts w:ascii="Verdana" w:hAnsi="Verdana"/>
          <w:sz w:val="24"/>
          <w:szCs w:val="24"/>
        </w:rPr>
        <w:t xml:space="preserve"> el juzgado demandado</w:t>
      </w:r>
      <w:r w:rsidR="00DB1803" w:rsidRPr="00085914">
        <w:rPr>
          <w:rFonts w:ascii="Verdana" w:hAnsi="Verdana"/>
          <w:sz w:val="24"/>
          <w:szCs w:val="24"/>
        </w:rPr>
        <w:t xml:space="preserve"> procedió a rechazar por competencia la demanda popular en dos oportunidades, también lo es que frente a </w:t>
      </w:r>
      <w:r w:rsidR="00B245F7" w:rsidRPr="00085914">
        <w:rPr>
          <w:rFonts w:ascii="Verdana" w:hAnsi="Verdana"/>
          <w:sz w:val="24"/>
          <w:szCs w:val="24"/>
        </w:rPr>
        <w:t>esas decisiones ya</w:t>
      </w:r>
      <w:r w:rsidR="00AB3FD6" w:rsidRPr="00085914">
        <w:rPr>
          <w:rFonts w:ascii="Verdana" w:hAnsi="Verdana"/>
          <w:sz w:val="24"/>
          <w:szCs w:val="24"/>
        </w:rPr>
        <w:t xml:space="preserve"> se surtieron los respectivos </w:t>
      </w:r>
      <w:r w:rsidR="00B245F7" w:rsidRPr="00085914">
        <w:rPr>
          <w:rFonts w:ascii="Verdana" w:hAnsi="Verdana"/>
          <w:sz w:val="24"/>
          <w:szCs w:val="24"/>
        </w:rPr>
        <w:t>conflicto</w:t>
      </w:r>
      <w:r w:rsidR="00AB3FD6" w:rsidRPr="00085914">
        <w:rPr>
          <w:rFonts w:ascii="Verdana" w:hAnsi="Verdana"/>
          <w:sz w:val="24"/>
          <w:szCs w:val="24"/>
        </w:rPr>
        <w:t>s</w:t>
      </w:r>
      <w:r w:rsidR="00B245F7" w:rsidRPr="00085914">
        <w:rPr>
          <w:rFonts w:ascii="Verdana" w:hAnsi="Verdana"/>
          <w:sz w:val="24"/>
          <w:szCs w:val="24"/>
        </w:rPr>
        <w:t xml:space="preserve"> de competencia por parte de la</w:t>
      </w:r>
      <w:r w:rsidR="00320600" w:rsidRPr="00085914">
        <w:rPr>
          <w:rFonts w:ascii="Verdana" w:hAnsi="Verdana"/>
          <w:sz w:val="24"/>
          <w:szCs w:val="24"/>
        </w:rPr>
        <w:t xml:space="preserve"> </w:t>
      </w:r>
      <w:r w:rsidR="00320600" w:rsidRPr="00085914">
        <w:rPr>
          <w:rFonts w:ascii="Verdana" w:hAnsi="Verdana"/>
          <w:sz w:val="24"/>
          <w:szCs w:val="24"/>
        </w:rPr>
        <w:lastRenderedPageBreak/>
        <w:t>Sala Civil de la</w:t>
      </w:r>
      <w:r w:rsidR="00B245F7" w:rsidRPr="00085914">
        <w:rPr>
          <w:rFonts w:ascii="Verdana" w:hAnsi="Verdana"/>
          <w:sz w:val="24"/>
          <w:szCs w:val="24"/>
        </w:rPr>
        <w:t xml:space="preserve"> Corte Suprema de Justicia</w:t>
      </w:r>
      <w:r w:rsidR="0002538D" w:rsidRPr="00085914">
        <w:rPr>
          <w:rFonts w:ascii="Verdana" w:hAnsi="Verdana"/>
          <w:sz w:val="24"/>
          <w:szCs w:val="24"/>
        </w:rPr>
        <w:t xml:space="preserve">, </w:t>
      </w:r>
      <w:r w:rsidR="00AB3FD6" w:rsidRPr="00085914">
        <w:rPr>
          <w:rFonts w:ascii="Verdana" w:hAnsi="Verdana"/>
          <w:sz w:val="24"/>
          <w:szCs w:val="24"/>
        </w:rPr>
        <w:t xml:space="preserve">en los cuales se resolvió, primero, </w:t>
      </w:r>
      <w:r w:rsidR="0011749C" w:rsidRPr="00085914">
        <w:rPr>
          <w:rFonts w:ascii="Verdana" w:hAnsi="Verdana"/>
          <w:sz w:val="24"/>
          <w:szCs w:val="24"/>
        </w:rPr>
        <w:t xml:space="preserve">radicar </w:t>
      </w:r>
      <w:r w:rsidR="0002538D" w:rsidRPr="00085914">
        <w:rPr>
          <w:rFonts w:ascii="Verdana" w:hAnsi="Verdana"/>
          <w:sz w:val="24"/>
          <w:szCs w:val="24"/>
        </w:rPr>
        <w:t>el conoci</w:t>
      </w:r>
      <w:r w:rsidR="0011749C" w:rsidRPr="00085914">
        <w:rPr>
          <w:rFonts w:ascii="Verdana" w:hAnsi="Verdana"/>
          <w:sz w:val="24"/>
          <w:szCs w:val="24"/>
        </w:rPr>
        <w:t>miento del proceso en</w:t>
      </w:r>
      <w:r w:rsidR="0002538D" w:rsidRPr="00085914">
        <w:rPr>
          <w:rFonts w:ascii="Verdana" w:hAnsi="Verdana"/>
          <w:sz w:val="24"/>
          <w:szCs w:val="24"/>
        </w:rPr>
        <w:t xml:space="preserve"> ese despacho</w:t>
      </w:r>
      <w:r w:rsidR="0011749C" w:rsidRPr="00085914">
        <w:rPr>
          <w:rFonts w:ascii="Verdana" w:hAnsi="Verdana"/>
          <w:sz w:val="24"/>
          <w:szCs w:val="24"/>
        </w:rPr>
        <w:t xml:space="preserve"> y segundo</w:t>
      </w:r>
      <w:r w:rsidR="00E41CC7" w:rsidRPr="00085914">
        <w:rPr>
          <w:rFonts w:ascii="Verdana" w:hAnsi="Verdana"/>
          <w:sz w:val="24"/>
          <w:szCs w:val="24"/>
        </w:rPr>
        <w:t xml:space="preserve"> devolverle las diligencias</w:t>
      </w:r>
      <w:r w:rsidR="00AB3FD6" w:rsidRPr="00085914">
        <w:rPr>
          <w:rFonts w:ascii="Verdana" w:hAnsi="Verdana"/>
          <w:sz w:val="24"/>
          <w:szCs w:val="24"/>
        </w:rPr>
        <w:t xml:space="preserve"> </w:t>
      </w:r>
      <w:r w:rsidR="00E41CC7" w:rsidRPr="00085914">
        <w:rPr>
          <w:rFonts w:ascii="Verdana" w:hAnsi="Verdana"/>
          <w:sz w:val="24"/>
          <w:szCs w:val="24"/>
        </w:rPr>
        <w:t>porque las circunsta</w:t>
      </w:r>
      <w:r w:rsidR="00C103CF" w:rsidRPr="00085914">
        <w:rPr>
          <w:rFonts w:ascii="Verdana" w:hAnsi="Verdana"/>
          <w:sz w:val="24"/>
          <w:szCs w:val="24"/>
        </w:rPr>
        <w:t>ncias que llevaron a adoptar aquella primera decisión,</w:t>
      </w:r>
      <w:r w:rsidR="00E41CC7" w:rsidRPr="00085914">
        <w:rPr>
          <w:rFonts w:ascii="Verdana" w:hAnsi="Verdana"/>
          <w:sz w:val="24"/>
          <w:szCs w:val="24"/>
        </w:rPr>
        <w:t xml:space="preserve"> no habían variado.</w:t>
      </w:r>
      <w:r w:rsidRPr="00085914">
        <w:rPr>
          <w:rFonts w:ascii="Verdana" w:hAnsi="Verdana"/>
          <w:sz w:val="24"/>
          <w:szCs w:val="24"/>
        </w:rPr>
        <w:t xml:space="preserve"> </w:t>
      </w:r>
    </w:p>
    <w:p w:rsidR="0011749C" w:rsidRPr="00085914" w:rsidRDefault="0011749C" w:rsidP="00085914">
      <w:pPr>
        <w:spacing w:line="360" w:lineRule="auto"/>
        <w:jc w:val="both"/>
        <w:rPr>
          <w:rFonts w:ascii="Verdana" w:hAnsi="Verdana"/>
          <w:sz w:val="24"/>
          <w:szCs w:val="24"/>
        </w:rPr>
      </w:pPr>
    </w:p>
    <w:p w:rsidR="00CD288B" w:rsidRPr="00085914" w:rsidRDefault="0011749C" w:rsidP="00085914">
      <w:pPr>
        <w:spacing w:line="360" w:lineRule="auto"/>
        <w:jc w:val="both"/>
        <w:rPr>
          <w:rFonts w:ascii="Verdana" w:hAnsi="Verdana"/>
          <w:sz w:val="24"/>
          <w:szCs w:val="24"/>
        </w:rPr>
      </w:pPr>
      <w:r w:rsidRPr="00085914">
        <w:rPr>
          <w:rFonts w:ascii="Verdana" w:hAnsi="Verdana"/>
          <w:sz w:val="24"/>
          <w:szCs w:val="24"/>
        </w:rPr>
        <w:t>En estas condiciones</w:t>
      </w:r>
      <w:r w:rsidR="00490074" w:rsidRPr="00085914">
        <w:rPr>
          <w:rFonts w:ascii="Verdana" w:hAnsi="Verdana"/>
          <w:sz w:val="24"/>
          <w:szCs w:val="24"/>
        </w:rPr>
        <w:t>,</w:t>
      </w:r>
      <w:r w:rsidRPr="00085914">
        <w:rPr>
          <w:rFonts w:ascii="Verdana" w:hAnsi="Verdana"/>
          <w:sz w:val="24"/>
          <w:szCs w:val="24"/>
        </w:rPr>
        <w:t xml:space="preserve"> cualquier irregularidad que se</w:t>
      </w:r>
      <w:r w:rsidR="00886537" w:rsidRPr="00085914">
        <w:rPr>
          <w:rFonts w:ascii="Verdana" w:hAnsi="Verdana"/>
          <w:sz w:val="24"/>
          <w:szCs w:val="24"/>
        </w:rPr>
        <w:t xml:space="preserve"> pudo causar con el proceder </w:t>
      </w:r>
      <w:r w:rsidR="00490074" w:rsidRPr="00085914">
        <w:rPr>
          <w:rFonts w:ascii="Verdana" w:hAnsi="Verdana"/>
          <w:sz w:val="24"/>
          <w:szCs w:val="24"/>
        </w:rPr>
        <w:t xml:space="preserve">del juzgado demandado, en relación con la competencia del asunto, </w:t>
      </w:r>
      <w:r w:rsidR="00886537" w:rsidRPr="00085914">
        <w:rPr>
          <w:rFonts w:ascii="Verdana" w:hAnsi="Verdana"/>
          <w:sz w:val="24"/>
          <w:szCs w:val="24"/>
        </w:rPr>
        <w:t>ha quedado subsanado con las</w:t>
      </w:r>
      <w:r w:rsidR="00490074" w:rsidRPr="00085914">
        <w:rPr>
          <w:rFonts w:ascii="Verdana" w:hAnsi="Verdana"/>
          <w:sz w:val="24"/>
          <w:szCs w:val="24"/>
        </w:rPr>
        <w:t xml:space="preserve"> medidas</w:t>
      </w:r>
      <w:r w:rsidR="00886537" w:rsidRPr="00085914">
        <w:rPr>
          <w:rFonts w:ascii="Verdana" w:hAnsi="Verdana"/>
          <w:sz w:val="24"/>
          <w:szCs w:val="24"/>
        </w:rPr>
        <w:t xml:space="preserve"> adoptadas por la</w:t>
      </w:r>
      <w:r w:rsidR="00490074" w:rsidRPr="00085914">
        <w:rPr>
          <w:rFonts w:ascii="Verdana" w:hAnsi="Verdana"/>
          <w:sz w:val="24"/>
          <w:szCs w:val="24"/>
        </w:rPr>
        <w:t xml:space="preserve"> citada Corporación.</w:t>
      </w:r>
      <w:r w:rsidR="00C103CF" w:rsidRPr="00085914">
        <w:rPr>
          <w:rFonts w:ascii="Verdana" w:hAnsi="Verdana"/>
          <w:sz w:val="24"/>
          <w:szCs w:val="24"/>
        </w:rPr>
        <w:t xml:space="preserve"> </w:t>
      </w:r>
      <w:r w:rsidR="00CD288B" w:rsidRPr="00085914">
        <w:rPr>
          <w:rFonts w:ascii="Verdana" w:hAnsi="Verdana"/>
          <w:sz w:val="24"/>
          <w:szCs w:val="24"/>
        </w:rPr>
        <w:t>Razón por la cual</w:t>
      </w:r>
      <w:r w:rsidR="006C39F5">
        <w:rPr>
          <w:rFonts w:ascii="Verdana" w:hAnsi="Verdana"/>
          <w:sz w:val="24"/>
          <w:szCs w:val="24"/>
        </w:rPr>
        <w:t>,</w:t>
      </w:r>
      <w:r w:rsidR="00CD288B" w:rsidRPr="00085914">
        <w:rPr>
          <w:rFonts w:ascii="Verdana" w:hAnsi="Verdana"/>
          <w:sz w:val="24"/>
          <w:szCs w:val="24"/>
        </w:rPr>
        <w:t xml:space="preserve"> como ninguna lesión se </w:t>
      </w:r>
      <w:r w:rsidR="00C103CF" w:rsidRPr="00085914">
        <w:rPr>
          <w:rFonts w:ascii="Verdana" w:hAnsi="Verdana"/>
          <w:sz w:val="24"/>
          <w:szCs w:val="24"/>
        </w:rPr>
        <w:t>encuentra vigente, el amparo debe ser</w:t>
      </w:r>
      <w:r w:rsidR="00CD288B" w:rsidRPr="00085914">
        <w:rPr>
          <w:rFonts w:ascii="Verdana" w:hAnsi="Verdana"/>
          <w:sz w:val="24"/>
          <w:szCs w:val="24"/>
        </w:rPr>
        <w:t xml:space="preserve"> negado.</w:t>
      </w:r>
    </w:p>
    <w:p w:rsidR="00CD288B" w:rsidRPr="00085914" w:rsidRDefault="00CD288B" w:rsidP="00085914">
      <w:pPr>
        <w:spacing w:line="360" w:lineRule="auto"/>
        <w:jc w:val="both"/>
        <w:rPr>
          <w:rFonts w:ascii="Verdana" w:hAnsi="Verdana"/>
          <w:sz w:val="24"/>
          <w:szCs w:val="24"/>
        </w:rPr>
      </w:pPr>
    </w:p>
    <w:p w:rsidR="001752CC" w:rsidRDefault="00C103CF" w:rsidP="00085914">
      <w:pPr>
        <w:spacing w:line="360" w:lineRule="auto"/>
        <w:jc w:val="both"/>
        <w:rPr>
          <w:rFonts w:ascii="Verdana" w:hAnsi="Verdana"/>
          <w:sz w:val="24"/>
          <w:szCs w:val="24"/>
        </w:rPr>
      </w:pPr>
      <w:r w:rsidRPr="00085914">
        <w:rPr>
          <w:rFonts w:ascii="Verdana" w:hAnsi="Verdana"/>
          <w:sz w:val="24"/>
          <w:szCs w:val="24"/>
        </w:rPr>
        <w:t>6</w:t>
      </w:r>
      <w:r w:rsidR="00F46799" w:rsidRPr="00085914">
        <w:rPr>
          <w:rFonts w:ascii="Verdana" w:hAnsi="Verdana"/>
          <w:sz w:val="24"/>
          <w:szCs w:val="24"/>
        </w:rPr>
        <w:t xml:space="preserve">. </w:t>
      </w:r>
      <w:r w:rsidR="001752CC" w:rsidRPr="00085914">
        <w:rPr>
          <w:rFonts w:ascii="Verdana" w:hAnsi="Verdana"/>
          <w:sz w:val="24"/>
          <w:szCs w:val="24"/>
        </w:rPr>
        <w:t>Aparte de lo dicho</w:t>
      </w:r>
      <w:r w:rsidR="00F46799" w:rsidRPr="00085914">
        <w:rPr>
          <w:rFonts w:ascii="Verdana" w:hAnsi="Verdana"/>
          <w:sz w:val="24"/>
          <w:szCs w:val="24"/>
        </w:rPr>
        <w:t>,</w:t>
      </w:r>
      <w:r w:rsidR="001752CC" w:rsidRPr="00085914">
        <w:rPr>
          <w:rFonts w:ascii="Verdana" w:hAnsi="Verdana"/>
          <w:sz w:val="24"/>
          <w:szCs w:val="24"/>
        </w:rPr>
        <w:t xml:space="preserve"> la Sala considera que existen otras circunstancias que impiden la concesión de la tutela, las cuales se pasan a analizar.</w:t>
      </w:r>
    </w:p>
    <w:p w:rsidR="00D41108" w:rsidRPr="00085914" w:rsidRDefault="00D41108" w:rsidP="00085914">
      <w:pPr>
        <w:spacing w:line="360" w:lineRule="auto"/>
        <w:jc w:val="both"/>
        <w:rPr>
          <w:rFonts w:ascii="Verdana" w:hAnsi="Verdana"/>
          <w:sz w:val="24"/>
          <w:szCs w:val="24"/>
        </w:rPr>
      </w:pPr>
    </w:p>
    <w:p w:rsidR="00D41108" w:rsidRDefault="001752CC" w:rsidP="00085914">
      <w:pPr>
        <w:spacing w:line="360" w:lineRule="auto"/>
        <w:jc w:val="both"/>
        <w:rPr>
          <w:rFonts w:ascii="Verdana" w:hAnsi="Verdana"/>
          <w:sz w:val="24"/>
          <w:szCs w:val="24"/>
          <w:lang w:val="es-CO"/>
        </w:rPr>
      </w:pPr>
      <w:r w:rsidRPr="00085914">
        <w:rPr>
          <w:rFonts w:ascii="Verdana" w:hAnsi="Verdana"/>
          <w:sz w:val="24"/>
          <w:szCs w:val="24"/>
        </w:rPr>
        <w:t>6.1</w:t>
      </w:r>
      <w:r w:rsidR="00AB6A3A">
        <w:rPr>
          <w:rFonts w:ascii="Verdana" w:hAnsi="Verdana"/>
          <w:sz w:val="24"/>
          <w:szCs w:val="24"/>
        </w:rPr>
        <w:t xml:space="preserve"> Las pruebas aportadas</w:t>
      </w:r>
      <w:r w:rsidR="001B6928" w:rsidRPr="00085914">
        <w:rPr>
          <w:rFonts w:ascii="Verdana" w:hAnsi="Verdana"/>
          <w:sz w:val="24"/>
          <w:szCs w:val="24"/>
        </w:rPr>
        <w:t xml:space="preserve"> acreditan</w:t>
      </w:r>
      <w:r w:rsidR="00AB6A3A">
        <w:rPr>
          <w:rFonts w:ascii="Verdana" w:hAnsi="Verdana"/>
          <w:sz w:val="24"/>
          <w:szCs w:val="24"/>
        </w:rPr>
        <w:t xml:space="preserve"> también</w:t>
      </w:r>
      <w:r w:rsidR="001B6928" w:rsidRPr="00085914">
        <w:rPr>
          <w:rFonts w:ascii="Verdana" w:hAnsi="Verdana"/>
          <w:sz w:val="24"/>
          <w:szCs w:val="24"/>
        </w:rPr>
        <w:t xml:space="preserve"> que</w:t>
      </w:r>
      <w:r w:rsidR="00AA044C" w:rsidRPr="00085914">
        <w:rPr>
          <w:rFonts w:ascii="Verdana" w:hAnsi="Verdana"/>
          <w:sz w:val="24"/>
          <w:szCs w:val="24"/>
        </w:rPr>
        <w:t xml:space="preserve"> el accionante acudió al Juzgado Cuarto Civil del Circuito para solicitar </w:t>
      </w:r>
      <w:r w:rsidR="00B70446" w:rsidRPr="00085914">
        <w:rPr>
          <w:rFonts w:ascii="Verdana" w:hAnsi="Verdana"/>
          <w:sz w:val="24"/>
          <w:szCs w:val="24"/>
        </w:rPr>
        <w:t>se aclararan los motivos que lo llevaron a declarar su falta de competencia, a pesar de lo reglado por el artículo 16 de la Ley 472 de 1998,</w:t>
      </w:r>
      <w:r w:rsidR="008064EA" w:rsidRPr="00085914">
        <w:rPr>
          <w:rFonts w:ascii="Verdana" w:hAnsi="Verdana"/>
          <w:sz w:val="24"/>
          <w:szCs w:val="24"/>
        </w:rPr>
        <w:t xml:space="preserve"> y que</w:t>
      </w:r>
      <w:r w:rsidR="001B6928" w:rsidRPr="00085914">
        <w:rPr>
          <w:rFonts w:ascii="Verdana" w:hAnsi="Verdana"/>
          <w:sz w:val="24"/>
          <w:szCs w:val="24"/>
        </w:rPr>
        <w:t xml:space="preserve"> a la fecha esa petición se encuentra pendiente de resolver, </w:t>
      </w:r>
      <w:r w:rsidR="00F46799" w:rsidRPr="00085914">
        <w:rPr>
          <w:rFonts w:ascii="Verdana" w:hAnsi="Verdana"/>
          <w:sz w:val="24"/>
          <w:szCs w:val="24"/>
          <w:lang w:val="es-CO"/>
        </w:rPr>
        <w:t>por lo que el amparo constitucional se torna improcedente, pues el actor debía aguardar a que se produjera tal decisión para</w:t>
      </w:r>
      <w:r w:rsidR="004D161E" w:rsidRPr="00085914">
        <w:rPr>
          <w:rFonts w:ascii="Verdana" w:hAnsi="Verdana"/>
          <w:sz w:val="24"/>
          <w:szCs w:val="24"/>
          <w:lang w:val="es-CO"/>
        </w:rPr>
        <w:t xml:space="preserve"> acudir a este medio</w:t>
      </w:r>
      <w:r w:rsidR="00C807E9">
        <w:rPr>
          <w:rFonts w:ascii="Verdana" w:hAnsi="Verdana"/>
          <w:sz w:val="24"/>
          <w:szCs w:val="24"/>
          <w:lang w:val="es-CO"/>
        </w:rPr>
        <w:t xml:space="preserve">, en caso de que </w:t>
      </w:r>
      <w:r w:rsidR="00D41108">
        <w:rPr>
          <w:rFonts w:ascii="Verdana" w:hAnsi="Verdana"/>
          <w:sz w:val="24"/>
          <w:szCs w:val="24"/>
          <w:lang w:val="es-CO"/>
        </w:rPr>
        <w:t>se violara algún derecho fundamental del que sea titular.</w:t>
      </w:r>
    </w:p>
    <w:p w:rsidR="004D161E" w:rsidRPr="00085914" w:rsidRDefault="00D41108" w:rsidP="00085914">
      <w:pPr>
        <w:spacing w:line="360" w:lineRule="auto"/>
        <w:jc w:val="both"/>
        <w:rPr>
          <w:rFonts w:ascii="Verdana" w:hAnsi="Verdana"/>
          <w:sz w:val="24"/>
          <w:szCs w:val="24"/>
          <w:lang w:val="es-CO"/>
        </w:rPr>
      </w:pPr>
      <w:r w:rsidRPr="00085914">
        <w:rPr>
          <w:rFonts w:ascii="Verdana" w:hAnsi="Verdana"/>
          <w:sz w:val="24"/>
          <w:szCs w:val="24"/>
          <w:lang w:val="es-CO"/>
        </w:rPr>
        <w:t xml:space="preserve"> </w:t>
      </w:r>
    </w:p>
    <w:p w:rsidR="00F46799" w:rsidRPr="00085914" w:rsidRDefault="00F46799" w:rsidP="00085914">
      <w:pPr>
        <w:spacing w:line="360" w:lineRule="auto"/>
        <w:jc w:val="both"/>
        <w:rPr>
          <w:rFonts w:ascii="Verdana" w:hAnsi="Verdana"/>
          <w:sz w:val="24"/>
          <w:szCs w:val="24"/>
        </w:rPr>
      </w:pPr>
      <w:r w:rsidRPr="00085914">
        <w:rPr>
          <w:rFonts w:ascii="Verdana" w:hAnsi="Verdana"/>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última providencia transcrita, que como ya se indicara, no se satisface en el caso concreto.</w:t>
      </w:r>
    </w:p>
    <w:p w:rsidR="00F46799" w:rsidRPr="00085914" w:rsidRDefault="00F46799" w:rsidP="00085914">
      <w:pPr>
        <w:spacing w:line="360" w:lineRule="auto"/>
        <w:jc w:val="both"/>
        <w:rPr>
          <w:rFonts w:ascii="Verdana" w:hAnsi="Verdana"/>
          <w:sz w:val="24"/>
          <w:szCs w:val="24"/>
        </w:rPr>
      </w:pPr>
    </w:p>
    <w:p w:rsidR="00F46799" w:rsidRPr="00085914" w:rsidRDefault="00F46799" w:rsidP="00085914">
      <w:pPr>
        <w:spacing w:line="360" w:lineRule="auto"/>
        <w:jc w:val="both"/>
        <w:rPr>
          <w:rFonts w:ascii="Verdana" w:hAnsi="Verdana"/>
          <w:sz w:val="24"/>
          <w:szCs w:val="24"/>
        </w:rPr>
      </w:pPr>
      <w:r w:rsidRPr="00085914">
        <w:rPr>
          <w:rFonts w:ascii="Verdana" w:hAnsi="Verdana"/>
          <w:sz w:val="24"/>
          <w:szCs w:val="24"/>
        </w:rPr>
        <w:t>Y es que el juez constitucional no puede desconocer las formas propias de cada juicio y adoptar por este excepcional medio de protección decisiones que deben ser resueltas en el propio proceso, escenario normal previsto por el legislador para ello.</w:t>
      </w:r>
    </w:p>
    <w:p w:rsidR="00F46799" w:rsidRPr="00085914" w:rsidRDefault="00F46799" w:rsidP="00085914">
      <w:pPr>
        <w:spacing w:line="360" w:lineRule="auto"/>
        <w:jc w:val="both"/>
        <w:rPr>
          <w:rFonts w:ascii="Verdana" w:hAnsi="Verdana"/>
          <w:sz w:val="24"/>
          <w:szCs w:val="24"/>
        </w:rPr>
      </w:pPr>
    </w:p>
    <w:p w:rsidR="00F46799" w:rsidRDefault="00AF463E" w:rsidP="00085914">
      <w:pPr>
        <w:spacing w:line="360" w:lineRule="auto"/>
        <w:jc w:val="both"/>
        <w:rPr>
          <w:rFonts w:ascii="Verdana" w:hAnsi="Verdana"/>
          <w:sz w:val="24"/>
          <w:szCs w:val="24"/>
        </w:rPr>
      </w:pPr>
      <w:r w:rsidRPr="00085914">
        <w:rPr>
          <w:rFonts w:ascii="Verdana" w:hAnsi="Verdana"/>
          <w:sz w:val="24"/>
          <w:szCs w:val="24"/>
        </w:rPr>
        <w:t xml:space="preserve">6.2 </w:t>
      </w:r>
      <w:r w:rsidR="00754C0E" w:rsidRPr="00085914">
        <w:rPr>
          <w:rFonts w:ascii="Verdana" w:hAnsi="Verdana"/>
          <w:sz w:val="24"/>
          <w:szCs w:val="24"/>
        </w:rPr>
        <w:t>De todas formas, y r</w:t>
      </w:r>
      <w:r w:rsidRPr="00085914">
        <w:rPr>
          <w:rFonts w:ascii="Verdana" w:hAnsi="Verdana"/>
          <w:sz w:val="24"/>
          <w:szCs w:val="24"/>
        </w:rPr>
        <w:t>especto a la supuesta dilación del</w:t>
      </w:r>
      <w:r w:rsidR="00717A1D" w:rsidRPr="00085914">
        <w:rPr>
          <w:rFonts w:ascii="Verdana" w:hAnsi="Verdana"/>
          <w:sz w:val="24"/>
          <w:szCs w:val="24"/>
        </w:rPr>
        <w:t xml:space="preserve"> proceso</w:t>
      </w:r>
      <w:r w:rsidRPr="00085914">
        <w:rPr>
          <w:rFonts w:ascii="Verdana" w:hAnsi="Verdana"/>
          <w:sz w:val="24"/>
          <w:szCs w:val="24"/>
        </w:rPr>
        <w:t>,</w:t>
      </w:r>
      <w:r w:rsidR="00754C0E" w:rsidRPr="00085914">
        <w:rPr>
          <w:rFonts w:ascii="Verdana" w:hAnsi="Verdana"/>
          <w:sz w:val="24"/>
          <w:szCs w:val="24"/>
        </w:rPr>
        <w:t xml:space="preserve"> </w:t>
      </w:r>
      <w:r w:rsidR="00C807E9">
        <w:rPr>
          <w:rFonts w:ascii="Verdana" w:hAnsi="Verdana"/>
          <w:sz w:val="24"/>
          <w:szCs w:val="24"/>
        </w:rPr>
        <w:t>se debe</w:t>
      </w:r>
      <w:r w:rsidR="00754C0E" w:rsidRPr="00085914">
        <w:rPr>
          <w:rFonts w:ascii="Verdana" w:hAnsi="Verdana"/>
          <w:sz w:val="24"/>
          <w:szCs w:val="24"/>
        </w:rPr>
        <w:t xml:space="preserve"> indicar que </w:t>
      </w:r>
      <w:r w:rsidR="00301EB1" w:rsidRPr="00085914">
        <w:rPr>
          <w:rFonts w:ascii="Verdana" w:hAnsi="Verdana"/>
          <w:sz w:val="24"/>
          <w:szCs w:val="24"/>
        </w:rPr>
        <w:t>de la prueba documental aportada, se infiere que la acción popular sí se encuentra en trámite y en este momento está pendiente de</w:t>
      </w:r>
      <w:r w:rsidR="00717A1D" w:rsidRPr="00085914">
        <w:rPr>
          <w:rFonts w:ascii="Verdana" w:hAnsi="Verdana"/>
          <w:sz w:val="24"/>
          <w:szCs w:val="24"/>
        </w:rPr>
        <w:t xml:space="preserve"> definir lo relativo al recurso de reposición</w:t>
      </w:r>
      <w:r w:rsidR="00301EB1" w:rsidRPr="00085914">
        <w:rPr>
          <w:rFonts w:ascii="Verdana" w:hAnsi="Verdana"/>
          <w:sz w:val="24"/>
          <w:szCs w:val="24"/>
        </w:rPr>
        <w:t xml:space="preserve"> </w:t>
      </w:r>
      <w:r w:rsidR="005B3C87" w:rsidRPr="00085914">
        <w:rPr>
          <w:rFonts w:ascii="Verdana" w:hAnsi="Verdana"/>
          <w:sz w:val="24"/>
          <w:szCs w:val="24"/>
        </w:rPr>
        <w:t>formulado por el accionante</w:t>
      </w:r>
      <w:r w:rsidR="001B7E84" w:rsidRPr="00085914">
        <w:rPr>
          <w:rFonts w:ascii="Verdana" w:hAnsi="Verdana"/>
          <w:sz w:val="24"/>
          <w:szCs w:val="24"/>
        </w:rPr>
        <w:t xml:space="preserve"> contra el auto que rechazó la demanda por agotamiento de jurisdicción, situación que, </w:t>
      </w:r>
      <w:r w:rsidR="0010374F" w:rsidRPr="00085914">
        <w:rPr>
          <w:rFonts w:ascii="Verdana" w:hAnsi="Verdana"/>
          <w:sz w:val="24"/>
          <w:szCs w:val="24"/>
        </w:rPr>
        <w:t xml:space="preserve">por demás, de mantenerse implicaría </w:t>
      </w:r>
      <w:r w:rsidR="00754C0E" w:rsidRPr="00085914">
        <w:rPr>
          <w:rFonts w:ascii="Verdana" w:hAnsi="Verdana"/>
          <w:sz w:val="24"/>
          <w:szCs w:val="24"/>
        </w:rPr>
        <w:t>que la acción popular en la que encuentra el demandante lesionados sus derechos</w:t>
      </w:r>
      <w:r w:rsidR="00C807E9">
        <w:rPr>
          <w:rFonts w:ascii="Verdana" w:hAnsi="Verdana"/>
          <w:sz w:val="24"/>
          <w:szCs w:val="24"/>
        </w:rPr>
        <w:t xml:space="preserve"> estaría</w:t>
      </w:r>
      <w:r w:rsidR="00754C0E" w:rsidRPr="00085914">
        <w:rPr>
          <w:rFonts w:ascii="Verdana" w:hAnsi="Verdana"/>
          <w:sz w:val="24"/>
          <w:szCs w:val="24"/>
        </w:rPr>
        <w:t xml:space="preserve"> legalmente culminada </w:t>
      </w:r>
      <w:r w:rsidR="00063883" w:rsidRPr="00085914">
        <w:rPr>
          <w:rFonts w:ascii="Verdana" w:hAnsi="Verdana"/>
          <w:sz w:val="24"/>
          <w:szCs w:val="24"/>
        </w:rPr>
        <w:t>y por tanto cualquier medida que se adoptara sobre el particular sería vana.</w:t>
      </w:r>
      <w:r w:rsidR="00754C0E" w:rsidRPr="00085914">
        <w:rPr>
          <w:rFonts w:ascii="Verdana" w:hAnsi="Verdana"/>
          <w:sz w:val="24"/>
          <w:szCs w:val="24"/>
        </w:rPr>
        <w:t xml:space="preserve"> </w:t>
      </w:r>
    </w:p>
    <w:p w:rsidR="00D41108" w:rsidRPr="00085914" w:rsidRDefault="00D41108" w:rsidP="00085914">
      <w:pPr>
        <w:spacing w:line="360" w:lineRule="auto"/>
        <w:jc w:val="both"/>
        <w:rPr>
          <w:rFonts w:ascii="Verdana" w:hAnsi="Verdana"/>
          <w:sz w:val="24"/>
          <w:szCs w:val="24"/>
        </w:rPr>
      </w:pPr>
    </w:p>
    <w:p w:rsidR="00085914" w:rsidRPr="00C633A6" w:rsidRDefault="00CC573C"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2"/>
          <w:sz w:val="24"/>
          <w:szCs w:val="24"/>
        </w:rPr>
      </w:pPr>
      <w:r w:rsidRPr="00085914">
        <w:rPr>
          <w:rFonts w:ascii="Verdana" w:hAnsi="Verdana"/>
          <w:sz w:val="24"/>
          <w:szCs w:val="24"/>
        </w:rPr>
        <w:t xml:space="preserve">7. </w:t>
      </w:r>
      <w:r w:rsidR="00085914" w:rsidRPr="00085914">
        <w:rPr>
          <w:rFonts w:ascii="Verdana" w:hAnsi="Verdana"/>
          <w:sz w:val="24"/>
          <w:szCs w:val="24"/>
        </w:rPr>
        <w:t>En cuanto a</w:t>
      </w:r>
      <w:r w:rsidR="0090624A">
        <w:rPr>
          <w:rFonts w:ascii="Verdana" w:hAnsi="Verdana"/>
          <w:sz w:val="24"/>
          <w:szCs w:val="24"/>
        </w:rPr>
        <w:t xml:space="preserve"> </w:t>
      </w:r>
      <w:r w:rsidR="00085914" w:rsidRPr="00085914">
        <w:rPr>
          <w:rFonts w:ascii="Verdana" w:hAnsi="Verdana"/>
          <w:sz w:val="24"/>
          <w:szCs w:val="24"/>
        </w:rPr>
        <w:t>l</w:t>
      </w:r>
      <w:r w:rsidR="0090624A">
        <w:rPr>
          <w:rFonts w:ascii="Verdana" w:hAnsi="Verdana"/>
          <w:sz w:val="24"/>
          <w:szCs w:val="24"/>
        </w:rPr>
        <w:t xml:space="preserve">a solicitud del actor </w:t>
      </w:r>
      <w:r w:rsidR="00085914" w:rsidRPr="00085914">
        <w:rPr>
          <w:rFonts w:ascii="Verdana" w:hAnsi="Verdana"/>
          <w:sz w:val="24"/>
          <w:szCs w:val="24"/>
        </w:rPr>
        <w:t>dirigida a que se</w:t>
      </w:r>
      <w:r w:rsidR="0090624A">
        <w:rPr>
          <w:rFonts w:ascii="Verdana" w:hAnsi="Verdana"/>
          <w:sz w:val="24"/>
          <w:szCs w:val="24"/>
        </w:rPr>
        <w:t xml:space="preserve"> </w:t>
      </w:r>
      <w:r w:rsidR="00085914" w:rsidRPr="00085914">
        <w:rPr>
          <w:rFonts w:ascii="Verdana" w:hAnsi="Verdana"/>
          <w:sz w:val="24"/>
          <w:szCs w:val="24"/>
        </w:rPr>
        <w:t xml:space="preserve">expida copia </w:t>
      </w:r>
      <w:r w:rsidR="0090624A">
        <w:rPr>
          <w:rFonts w:ascii="Verdana" w:hAnsi="Verdana"/>
          <w:sz w:val="24"/>
          <w:szCs w:val="24"/>
        </w:rPr>
        <w:t>del expediente que contiene la acción popular</w:t>
      </w:r>
      <w:r w:rsidR="00085914" w:rsidRPr="00085914">
        <w:rPr>
          <w:rFonts w:ascii="Verdana" w:hAnsi="Verdana"/>
          <w:sz w:val="24"/>
          <w:szCs w:val="24"/>
        </w:rPr>
        <w:t xml:space="preserve"> para adelantar acción de </w:t>
      </w:r>
      <w:r w:rsidR="00085914" w:rsidRPr="00C633A6">
        <w:rPr>
          <w:rFonts w:ascii="Verdana" w:hAnsi="Verdana"/>
          <w:spacing w:val="2"/>
          <w:sz w:val="24"/>
          <w:szCs w:val="24"/>
        </w:rPr>
        <w:t>reparación, el amparo será declarado improcedente, por las siguientes razones.</w:t>
      </w:r>
    </w:p>
    <w:p w:rsidR="0090624A" w:rsidRPr="00C633A6" w:rsidRDefault="0090624A"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2"/>
          <w:sz w:val="31"/>
          <w:szCs w:val="31"/>
        </w:rPr>
      </w:pPr>
    </w:p>
    <w:p w:rsidR="00085914" w:rsidRPr="00C633A6" w:rsidRDefault="00085914"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2"/>
          <w:sz w:val="24"/>
          <w:szCs w:val="24"/>
        </w:rPr>
      </w:pPr>
      <w:r w:rsidRPr="00C633A6">
        <w:rPr>
          <w:rFonts w:ascii="Verdana" w:hAnsi="Verdana"/>
          <w:spacing w:val="2"/>
          <w:sz w:val="24"/>
          <w:szCs w:val="24"/>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085914" w:rsidRPr="00C633A6" w:rsidRDefault="00085914" w:rsidP="00085914">
      <w:pPr>
        <w:spacing w:line="360" w:lineRule="auto"/>
        <w:jc w:val="both"/>
        <w:rPr>
          <w:rFonts w:ascii="Verdana" w:hAnsi="Verdana"/>
          <w:spacing w:val="2"/>
          <w:sz w:val="31"/>
          <w:szCs w:val="31"/>
        </w:rPr>
      </w:pPr>
    </w:p>
    <w:p w:rsidR="00085914" w:rsidRPr="00C633A6" w:rsidRDefault="00085914" w:rsidP="00085914">
      <w:pPr>
        <w:spacing w:line="360" w:lineRule="auto"/>
        <w:jc w:val="both"/>
        <w:rPr>
          <w:rFonts w:ascii="Verdana" w:hAnsi="Verdana"/>
          <w:spacing w:val="2"/>
          <w:sz w:val="24"/>
          <w:szCs w:val="24"/>
        </w:rPr>
      </w:pPr>
      <w:r w:rsidRPr="00C633A6">
        <w:rPr>
          <w:rFonts w:ascii="Verdana" w:hAnsi="Verdana"/>
          <w:spacing w:val="2"/>
          <w:sz w:val="24"/>
          <w:szCs w:val="24"/>
        </w:rPr>
        <w:t xml:space="preserve">En este caso, el demandante ninguna actividad ha desplegado en el proceso en el que encuentra lesionados sus derechos, con el fin de </w:t>
      </w:r>
      <w:r w:rsidRPr="00C633A6">
        <w:rPr>
          <w:rFonts w:ascii="Verdana" w:hAnsi="Verdana"/>
          <w:spacing w:val="2"/>
          <w:sz w:val="24"/>
          <w:szCs w:val="24"/>
        </w:rPr>
        <w:lastRenderedPageBreak/>
        <w:t>obtener copia de</w:t>
      </w:r>
      <w:r w:rsidR="004C599F" w:rsidRPr="00C633A6">
        <w:rPr>
          <w:rFonts w:ascii="Verdana" w:hAnsi="Verdana"/>
          <w:spacing w:val="2"/>
          <w:sz w:val="24"/>
          <w:szCs w:val="24"/>
        </w:rPr>
        <w:t xml:space="preserve"> ese expediente</w:t>
      </w:r>
      <w:r w:rsidRPr="00C633A6">
        <w:rPr>
          <w:rFonts w:ascii="Verdana" w:hAnsi="Verdana"/>
          <w:spacing w:val="2"/>
          <w:sz w:val="24"/>
          <w:szCs w:val="24"/>
        </w:rPr>
        <w:t xml:space="preserve"> y por tanto, el despacho accionado tampoco ha tenido oportunidad de resolver lo que corresponda.</w:t>
      </w:r>
    </w:p>
    <w:p w:rsidR="00085914" w:rsidRPr="00C633A6" w:rsidRDefault="00085914" w:rsidP="00085914">
      <w:pPr>
        <w:spacing w:line="360" w:lineRule="auto"/>
        <w:jc w:val="both"/>
        <w:rPr>
          <w:rFonts w:ascii="Verdana" w:hAnsi="Verdana"/>
          <w:spacing w:val="2"/>
          <w:sz w:val="31"/>
          <w:szCs w:val="31"/>
        </w:rPr>
      </w:pPr>
    </w:p>
    <w:p w:rsidR="00085914" w:rsidRPr="00C633A6" w:rsidRDefault="00085914" w:rsidP="00085914">
      <w:pPr>
        <w:tabs>
          <w:tab w:val="left" w:pos="0"/>
        </w:tabs>
        <w:spacing w:line="360" w:lineRule="auto"/>
        <w:jc w:val="both"/>
        <w:rPr>
          <w:rFonts w:ascii="Verdana" w:hAnsi="Verdana"/>
          <w:spacing w:val="2"/>
          <w:sz w:val="24"/>
          <w:szCs w:val="24"/>
        </w:rPr>
      </w:pPr>
      <w:r w:rsidRPr="00C633A6">
        <w:rPr>
          <w:rFonts w:ascii="Verdana" w:hAnsi="Verdana"/>
          <w:spacing w:val="2"/>
          <w:sz w:val="24"/>
          <w:szCs w:val="24"/>
        </w:rPr>
        <w:t>Ese pasivo comportamiento impide otorgar el amparo solicitado, porque, tal como ya se dijo, el juez de tutela no puede ignorar las etapas establecidas para cada proceso y decidir por este medio excepcional de protección cuestiones que deben ser resueltas en el trámite ordinario.</w:t>
      </w:r>
    </w:p>
    <w:p w:rsidR="00085914" w:rsidRPr="00C633A6" w:rsidRDefault="00085914" w:rsidP="00085914">
      <w:pPr>
        <w:tabs>
          <w:tab w:val="left" w:pos="-720"/>
        </w:tabs>
        <w:suppressAutoHyphens/>
        <w:spacing w:line="360" w:lineRule="auto"/>
        <w:jc w:val="both"/>
        <w:rPr>
          <w:rFonts w:ascii="Verdana" w:hAnsi="Verdana"/>
          <w:spacing w:val="2"/>
          <w:sz w:val="31"/>
          <w:szCs w:val="31"/>
        </w:rPr>
      </w:pPr>
    </w:p>
    <w:p w:rsidR="00085914" w:rsidRPr="00C633A6" w:rsidRDefault="00085914" w:rsidP="00085914">
      <w:pPr>
        <w:tabs>
          <w:tab w:val="left" w:pos="-720"/>
        </w:tabs>
        <w:suppressAutoHyphens/>
        <w:spacing w:line="360" w:lineRule="auto"/>
        <w:jc w:val="both"/>
        <w:rPr>
          <w:rFonts w:ascii="Verdana" w:hAnsi="Verdana"/>
          <w:spacing w:val="2"/>
          <w:sz w:val="24"/>
          <w:szCs w:val="24"/>
        </w:rPr>
      </w:pPr>
      <w:r w:rsidRPr="00C633A6">
        <w:rPr>
          <w:rFonts w:ascii="Verdana" w:hAnsi="Verdana"/>
          <w:spacing w:val="2"/>
          <w:sz w:val="24"/>
          <w:szCs w:val="24"/>
        </w:rPr>
        <w:t>Así lo ha explicado la jurisprudencia:</w:t>
      </w:r>
    </w:p>
    <w:p w:rsidR="00085914" w:rsidRPr="00C633A6" w:rsidRDefault="00085914" w:rsidP="00085914">
      <w:pPr>
        <w:tabs>
          <w:tab w:val="left" w:pos="-720"/>
        </w:tabs>
        <w:suppressAutoHyphens/>
        <w:spacing w:line="360" w:lineRule="auto"/>
        <w:jc w:val="both"/>
        <w:rPr>
          <w:rFonts w:ascii="Verdana" w:hAnsi="Verdana"/>
          <w:spacing w:val="2"/>
          <w:sz w:val="31"/>
          <w:szCs w:val="31"/>
        </w:rPr>
      </w:pPr>
    </w:p>
    <w:p w:rsidR="00085914" w:rsidRPr="001375DE" w:rsidRDefault="00085914" w:rsidP="009766AA">
      <w:pPr>
        <w:spacing w:line="360" w:lineRule="auto"/>
        <w:ind w:left="567" w:right="646"/>
        <w:jc w:val="both"/>
        <w:rPr>
          <w:rFonts w:ascii="Verdana" w:hAnsi="Verdana"/>
          <w:spacing w:val="6"/>
          <w:sz w:val="22"/>
          <w:szCs w:val="21"/>
        </w:rPr>
      </w:pPr>
      <w:r w:rsidRPr="001375DE">
        <w:rPr>
          <w:rFonts w:ascii="Verdana" w:hAnsi="Verdana"/>
          <w:spacing w:val="6"/>
          <w:sz w:val="22"/>
          <w:szCs w:val="21"/>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085914" w:rsidRPr="001375DE" w:rsidRDefault="00085914" w:rsidP="009766AA">
      <w:pPr>
        <w:spacing w:line="360" w:lineRule="auto"/>
        <w:ind w:left="567" w:right="646"/>
        <w:jc w:val="both"/>
        <w:rPr>
          <w:rFonts w:ascii="Verdana" w:hAnsi="Verdana"/>
          <w:spacing w:val="6"/>
          <w:sz w:val="24"/>
          <w:szCs w:val="31"/>
        </w:rPr>
      </w:pPr>
    </w:p>
    <w:p w:rsidR="00085914" w:rsidRPr="000F3C0E" w:rsidRDefault="00085914" w:rsidP="009766AA">
      <w:pPr>
        <w:spacing w:line="360" w:lineRule="auto"/>
        <w:ind w:left="567" w:right="646"/>
        <w:jc w:val="both"/>
        <w:rPr>
          <w:rFonts w:ascii="Verdana" w:hAnsi="Verdana"/>
          <w:spacing w:val="7"/>
          <w:sz w:val="22"/>
          <w:szCs w:val="21"/>
        </w:rPr>
      </w:pPr>
      <w:r w:rsidRPr="000F3C0E">
        <w:rPr>
          <w:rFonts w:ascii="Verdana" w:hAnsi="Verdana"/>
          <w:spacing w:val="7"/>
          <w:sz w:val="22"/>
          <w:szCs w:val="21"/>
        </w:rPr>
        <w:t xml:space="preserve">Cuando alguna de las partes por descuido, negligencia o </w:t>
      </w:r>
      <w:r w:rsidR="001375DE" w:rsidRPr="000F3C0E">
        <w:rPr>
          <w:rFonts w:ascii="Verdana" w:hAnsi="Verdana"/>
          <w:spacing w:val="7"/>
          <w:sz w:val="22"/>
          <w:szCs w:val="21"/>
        </w:rPr>
        <w:t xml:space="preserve">     </w:t>
      </w:r>
      <w:r w:rsidRPr="000F3C0E">
        <w:rPr>
          <w:rFonts w:ascii="Verdana" w:hAnsi="Verdana"/>
          <w:spacing w:val="7"/>
          <w:sz w:val="22"/>
          <w:szCs w:val="21"/>
        </w:rPr>
        <w:t xml:space="preserve">falta de diligencia profesional, omite interponer oportunamente los recursos que el ordenamiento jurídico </w:t>
      </w:r>
      <w:r w:rsidR="001375DE" w:rsidRPr="000F3C0E">
        <w:rPr>
          <w:rFonts w:ascii="Verdana" w:hAnsi="Verdana"/>
          <w:spacing w:val="7"/>
          <w:sz w:val="22"/>
          <w:szCs w:val="21"/>
        </w:rPr>
        <w:t xml:space="preserve">        </w:t>
      </w:r>
      <w:r w:rsidRPr="000F3C0E">
        <w:rPr>
          <w:rFonts w:ascii="Verdana" w:hAnsi="Verdana"/>
          <w:spacing w:val="7"/>
          <w:sz w:val="22"/>
          <w:szCs w:val="21"/>
        </w:rPr>
        <w:t xml:space="preserve">le autoriza o, más grave aún, después de interponerlos </w:t>
      </w:r>
      <w:r w:rsidR="001375DE" w:rsidRPr="000F3C0E">
        <w:rPr>
          <w:rFonts w:ascii="Verdana" w:hAnsi="Verdana"/>
          <w:spacing w:val="7"/>
          <w:sz w:val="22"/>
          <w:szCs w:val="21"/>
        </w:rPr>
        <w:t xml:space="preserve">       </w:t>
      </w:r>
      <w:r w:rsidRPr="000F3C0E">
        <w:rPr>
          <w:rFonts w:ascii="Verdana" w:hAnsi="Verdana"/>
          <w:spacing w:val="7"/>
          <w:sz w:val="22"/>
          <w:szCs w:val="21"/>
        </w:rPr>
        <w:t xml:space="preserve">deja vencer el término para sustentarlos, la parte afectada </w:t>
      </w:r>
      <w:r w:rsidR="001375DE" w:rsidRPr="000F3C0E">
        <w:rPr>
          <w:rFonts w:ascii="Verdana" w:hAnsi="Verdana"/>
          <w:spacing w:val="7"/>
          <w:sz w:val="22"/>
          <w:szCs w:val="21"/>
        </w:rPr>
        <w:t xml:space="preserve">  </w:t>
      </w:r>
      <w:r w:rsidRPr="000F3C0E">
        <w:rPr>
          <w:rFonts w:ascii="Verdana" w:hAnsi="Verdana"/>
          <w:spacing w:val="7"/>
          <w:sz w:val="22"/>
          <w:szCs w:val="21"/>
        </w:rPr>
        <w:t xml:space="preserve">con este hecho no podrá mediante la acción de tutela pretender revivir la oportunidad procesal con la cual </w:t>
      </w:r>
      <w:r w:rsidR="001375DE" w:rsidRPr="000F3C0E">
        <w:rPr>
          <w:rFonts w:ascii="Verdana" w:hAnsi="Verdana"/>
          <w:spacing w:val="7"/>
          <w:sz w:val="22"/>
          <w:szCs w:val="21"/>
        </w:rPr>
        <w:t xml:space="preserve">          </w:t>
      </w:r>
      <w:r w:rsidRPr="000F3C0E">
        <w:rPr>
          <w:rFonts w:ascii="Verdana" w:hAnsi="Verdana"/>
          <w:spacing w:val="7"/>
          <w:sz w:val="22"/>
          <w:szCs w:val="21"/>
        </w:rPr>
        <w:t xml:space="preserve">contó y que por su propia culpa no fue utilizada de la </w:t>
      </w:r>
      <w:r w:rsidR="001375DE" w:rsidRPr="000F3C0E">
        <w:rPr>
          <w:rFonts w:ascii="Verdana" w:hAnsi="Verdana"/>
          <w:spacing w:val="7"/>
          <w:sz w:val="22"/>
          <w:szCs w:val="21"/>
        </w:rPr>
        <w:t xml:space="preserve">      </w:t>
      </w:r>
      <w:r w:rsidRPr="000F3C0E">
        <w:rPr>
          <w:rFonts w:ascii="Verdana" w:hAnsi="Verdana"/>
          <w:spacing w:val="7"/>
          <w:sz w:val="22"/>
          <w:szCs w:val="21"/>
        </w:rPr>
        <w:t>manera más adecuada para sus intereses. En eventos como este, la incuria de quien desatiende sus deberes no puede servir de fundamento para el ejercicio de la acción de tutela…”</w:t>
      </w:r>
      <w:r w:rsidRPr="000F3C0E">
        <w:rPr>
          <w:rStyle w:val="Refdenotaalpie"/>
          <w:rFonts w:ascii="Verdana" w:hAnsi="Verdana"/>
          <w:spacing w:val="7"/>
          <w:sz w:val="22"/>
          <w:szCs w:val="21"/>
        </w:rPr>
        <w:footnoteReference w:id="15"/>
      </w:r>
      <w:r w:rsidRPr="000F3C0E">
        <w:rPr>
          <w:rFonts w:ascii="Verdana" w:hAnsi="Verdana"/>
          <w:spacing w:val="7"/>
          <w:sz w:val="22"/>
          <w:szCs w:val="21"/>
        </w:rPr>
        <w:t>.</w:t>
      </w:r>
    </w:p>
    <w:p w:rsidR="00085914" w:rsidRPr="000F3C0E" w:rsidRDefault="00085914" w:rsidP="00085914">
      <w:pPr>
        <w:pStyle w:val="Textoindependiente210"/>
        <w:spacing w:line="360" w:lineRule="auto"/>
        <w:rPr>
          <w:spacing w:val="2"/>
          <w:sz w:val="28"/>
          <w:szCs w:val="28"/>
        </w:rPr>
      </w:pPr>
    </w:p>
    <w:p w:rsidR="004C599F" w:rsidRPr="00C633A6" w:rsidRDefault="001972D2" w:rsidP="00085914">
      <w:pPr>
        <w:spacing w:line="360" w:lineRule="auto"/>
        <w:jc w:val="both"/>
        <w:rPr>
          <w:rFonts w:ascii="Verdana" w:hAnsi="Verdana"/>
          <w:spacing w:val="2"/>
          <w:sz w:val="24"/>
          <w:szCs w:val="24"/>
        </w:rPr>
      </w:pPr>
      <w:r w:rsidRPr="00C633A6">
        <w:rPr>
          <w:rFonts w:ascii="Verdana" w:hAnsi="Verdana"/>
          <w:spacing w:val="2"/>
          <w:sz w:val="24"/>
          <w:szCs w:val="24"/>
        </w:rPr>
        <w:t>8. I</w:t>
      </w:r>
      <w:r w:rsidR="00761816" w:rsidRPr="00C633A6">
        <w:rPr>
          <w:rFonts w:ascii="Verdana" w:hAnsi="Verdana"/>
          <w:spacing w:val="2"/>
          <w:sz w:val="24"/>
          <w:szCs w:val="24"/>
        </w:rPr>
        <w:t>mprocedente</w:t>
      </w:r>
      <w:r w:rsidR="004919D5" w:rsidRPr="00C633A6">
        <w:rPr>
          <w:rFonts w:ascii="Verdana" w:hAnsi="Verdana"/>
          <w:spacing w:val="2"/>
          <w:sz w:val="24"/>
          <w:szCs w:val="24"/>
        </w:rPr>
        <w:t xml:space="preserve"> también resulta </w:t>
      </w:r>
      <w:r w:rsidRPr="00C633A6">
        <w:rPr>
          <w:rFonts w:ascii="Verdana" w:hAnsi="Verdana"/>
          <w:spacing w:val="2"/>
          <w:sz w:val="24"/>
          <w:szCs w:val="24"/>
        </w:rPr>
        <w:t>la</w:t>
      </w:r>
      <w:r w:rsidR="004919D5" w:rsidRPr="00C633A6">
        <w:rPr>
          <w:rFonts w:ascii="Verdana" w:hAnsi="Verdana"/>
          <w:spacing w:val="2"/>
          <w:sz w:val="24"/>
          <w:szCs w:val="24"/>
        </w:rPr>
        <w:t xml:space="preserve"> pretensión </w:t>
      </w:r>
      <w:r w:rsidRPr="00C633A6">
        <w:rPr>
          <w:rFonts w:ascii="Verdana" w:hAnsi="Verdana"/>
          <w:spacing w:val="2"/>
          <w:sz w:val="24"/>
          <w:szCs w:val="24"/>
        </w:rPr>
        <w:t>dirigida a obtener que por esta Sala se profiera sentencia de un</w:t>
      </w:r>
      <w:r w:rsidR="004919D5" w:rsidRPr="00C633A6">
        <w:rPr>
          <w:rFonts w:ascii="Verdana" w:hAnsi="Verdana"/>
          <w:spacing w:val="2"/>
          <w:sz w:val="24"/>
          <w:szCs w:val="24"/>
        </w:rPr>
        <w:t>ificación en la que se defina</w:t>
      </w:r>
      <w:r w:rsidRPr="00C633A6">
        <w:rPr>
          <w:rFonts w:ascii="Verdana" w:hAnsi="Verdana"/>
          <w:spacing w:val="2"/>
          <w:sz w:val="24"/>
          <w:szCs w:val="24"/>
        </w:rPr>
        <w:t xml:space="preserve"> </w:t>
      </w:r>
      <w:r w:rsidRPr="00C633A6">
        <w:rPr>
          <w:rFonts w:ascii="Verdana" w:hAnsi="Verdana"/>
          <w:spacing w:val="2"/>
          <w:sz w:val="24"/>
          <w:szCs w:val="24"/>
        </w:rPr>
        <w:lastRenderedPageBreak/>
        <w:t xml:space="preserve">sobre </w:t>
      </w:r>
      <w:r w:rsidR="00D52F70" w:rsidRPr="00C633A6">
        <w:rPr>
          <w:rFonts w:ascii="Verdana" w:hAnsi="Verdana"/>
          <w:spacing w:val="2"/>
          <w:sz w:val="24"/>
          <w:szCs w:val="24"/>
        </w:rPr>
        <w:t>si</w:t>
      </w:r>
      <w:r w:rsidR="00785C9A" w:rsidRPr="00C633A6">
        <w:rPr>
          <w:rFonts w:ascii="Verdana" w:hAnsi="Verdana"/>
          <w:spacing w:val="2"/>
          <w:sz w:val="24"/>
          <w:szCs w:val="24"/>
        </w:rPr>
        <w:t>: a)</w:t>
      </w:r>
      <w:r w:rsidR="00D52F70" w:rsidRPr="00C633A6">
        <w:rPr>
          <w:rFonts w:ascii="Verdana" w:hAnsi="Verdana"/>
          <w:spacing w:val="2"/>
          <w:sz w:val="24"/>
          <w:szCs w:val="24"/>
        </w:rPr>
        <w:t xml:space="preserve"> el accionante es el único que puede elegir el lugar donde presenta la acción popular</w:t>
      </w:r>
      <w:r w:rsidR="004919D5" w:rsidRPr="00C633A6">
        <w:rPr>
          <w:rFonts w:ascii="Verdana" w:hAnsi="Verdana"/>
          <w:spacing w:val="2"/>
          <w:sz w:val="24"/>
          <w:szCs w:val="24"/>
        </w:rPr>
        <w:t>; b)</w:t>
      </w:r>
      <w:r w:rsidR="00D52F70" w:rsidRPr="00C633A6">
        <w:rPr>
          <w:rFonts w:ascii="Verdana" w:hAnsi="Verdana"/>
          <w:spacing w:val="2"/>
          <w:sz w:val="24"/>
          <w:szCs w:val="24"/>
        </w:rPr>
        <w:t xml:space="preserve"> </w:t>
      </w:r>
      <w:r w:rsidRPr="00C633A6">
        <w:rPr>
          <w:rFonts w:ascii="Verdana" w:hAnsi="Verdana"/>
          <w:spacing w:val="2"/>
          <w:sz w:val="24"/>
          <w:szCs w:val="24"/>
        </w:rPr>
        <w:t>la funcionaria accionada</w:t>
      </w:r>
      <w:r w:rsidR="00785C9A" w:rsidRPr="00C633A6">
        <w:rPr>
          <w:rFonts w:ascii="Verdana" w:hAnsi="Verdana"/>
          <w:spacing w:val="2"/>
          <w:sz w:val="24"/>
          <w:szCs w:val="24"/>
        </w:rPr>
        <w:t xml:space="preserve"> podía</w:t>
      </w:r>
      <w:r w:rsidR="00D52F70" w:rsidRPr="00C633A6">
        <w:rPr>
          <w:rFonts w:ascii="Verdana" w:hAnsi="Verdana"/>
          <w:spacing w:val="2"/>
          <w:sz w:val="24"/>
          <w:szCs w:val="24"/>
        </w:rPr>
        <w:t xml:space="preserve"> declararse incompetente para conocerla</w:t>
      </w:r>
      <w:r w:rsidR="00761816" w:rsidRPr="00C633A6">
        <w:rPr>
          <w:rFonts w:ascii="Verdana" w:hAnsi="Verdana"/>
          <w:spacing w:val="2"/>
          <w:sz w:val="24"/>
          <w:szCs w:val="24"/>
        </w:rPr>
        <w:t xml:space="preserve"> y</w:t>
      </w:r>
      <w:r w:rsidR="004919D5" w:rsidRPr="00C633A6">
        <w:rPr>
          <w:rFonts w:ascii="Verdana" w:hAnsi="Verdana"/>
          <w:spacing w:val="2"/>
          <w:sz w:val="24"/>
          <w:szCs w:val="24"/>
        </w:rPr>
        <w:t xml:space="preserve"> c)</w:t>
      </w:r>
      <w:r w:rsidRPr="00C633A6">
        <w:rPr>
          <w:rFonts w:ascii="Verdana" w:hAnsi="Verdana"/>
          <w:spacing w:val="2"/>
          <w:sz w:val="24"/>
          <w:szCs w:val="24"/>
        </w:rPr>
        <w:t xml:space="preserve"> el auto proferido en la citada acción de grupo</w:t>
      </w:r>
      <w:r w:rsidR="00B56BC7" w:rsidRPr="00C633A6">
        <w:rPr>
          <w:rFonts w:ascii="Verdana" w:hAnsi="Verdana"/>
          <w:spacing w:val="2"/>
          <w:sz w:val="24"/>
          <w:szCs w:val="24"/>
        </w:rPr>
        <w:t xml:space="preserve"> radicada “2016-451”</w:t>
      </w:r>
      <w:r w:rsidRPr="00C633A6">
        <w:rPr>
          <w:rFonts w:ascii="Verdana" w:hAnsi="Verdana"/>
          <w:spacing w:val="2"/>
          <w:sz w:val="24"/>
          <w:szCs w:val="24"/>
        </w:rPr>
        <w:t xml:space="preserve"> es “ajustado a derecho”, ya que la acción de amparo está concebida para proteger derechos fundamentales concretos y no para </w:t>
      </w:r>
      <w:r w:rsidR="00D41108" w:rsidRPr="00C633A6">
        <w:rPr>
          <w:rFonts w:ascii="Verdana" w:hAnsi="Verdana"/>
          <w:spacing w:val="2"/>
          <w:sz w:val="24"/>
          <w:szCs w:val="24"/>
        </w:rPr>
        <w:t>emitir conceptos como los que pretende el demandante.</w:t>
      </w:r>
    </w:p>
    <w:p w:rsidR="00D41108" w:rsidRPr="000F3C0E" w:rsidRDefault="00D41108" w:rsidP="00085914">
      <w:pPr>
        <w:spacing w:line="360" w:lineRule="auto"/>
        <w:jc w:val="both"/>
        <w:rPr>
          <w:rFonts w:ascii="Verdana" w:hAnsi="Verdana"/>
          <w:spacing w:val="2"/>
          <w:sz w:val="28"/>
          <w:szCs w:val="28"/>
        </w:rPr>
      </w:pPr>
    </w:p>
    <w:p w:rsidR="004C599F" w:rsidRPr="00C633A6" w:rsidRDefault="004C599F" w:rsidP="004C599F">
      <w:pPr>
        <w:pStyle w:val="Textoindependiente210"/>
        <w:suppressAutoHyphens w:val="0"/>
        <w:spacing w:line="360" w:lineRule="auto"/>
        <w:rPr>
          <w:spacing w:val="2"/>
          <w:sz w:val="24"/>
          <w:szCs w:val="24"/>
        </w:rPr>
      </w:pPr>
      <w:r w:rsidRPr="00C633A6">
        <w:rPr>
          <w:spacing w:val="2"/>
          <w:sz w:val="24"/>
          <w:szCs w:val="24"/>
        </w:rPr>
        <w:t xml:space="preserve">9. En estas condiciones, respecto del reproche del actor frente a la </w:t>
      </w:r>
      <w:r w:rsidR="00EC3C70" w:rsidRPr="00C633A6">
        <w:rPr>
          <w:spacing w:val="2"/>
          <w:sz w:val="24"/>
          <w:szCs w:val="24"/>
        </w:rPr>
        <w:t>a la declaratoria de incompetencia por parte del juzgado accionado el amparo será negado</w:t>
      </w:r>
      <w:r w:rsidRPr="00C633A6">
        <w:rPr>
          <w:spacing w:val="2"/>
          <w:sz w:val="24"/>
          <w:szCs w:val="24"/>
        </w:rPr>
        <w:t xml:space="preserve">. Las restantes pretensiones </w:t>
      </w:r>
      <w:r w:rsidR="00EC3C70" w:rsidRPr="00C633A6">
        <w:rPr>
          <w:spacing w:val="2"/>
          <w:sz w:val="24"/>
          <w:szCs w:val="24"/>
        </w:rPr>
        <w:t>serán declaradas improcedentes</w:t>
      </w:r>
      <w:r w:rsidRPr="00C633A6">
        <w:rPr>
          <w:spacing w:val="2"/>
          <w:sz w:val="24"/>
          <w:szCs w:val="24"/>
        </w:rPr>
        <w:t>.</w:t>
      </w:r>
    </w:p>
    <w:p w:rsidR="00C867B3" w:rsidRPr="000F3C0E" w:rsidRDefault="00C867B3" w:rsidP="00085914">
      <w:pPr>
        <w:spacing w:line="360" w:lineRule="auto"/>
        <w:ind w:right="51"/>
        <w:jc w:val="both"/>
        <w:rPr>
          <w:rFonts w:ascii="Verdana" w:hAnsi="Verdana"/>
          <w:spacing w:val="2"/>
          <w:sz w:val="28"/>
          <w:szCs w:val="28"/>
        </w:rPr>
      </w:pPr>
    </w:p>
    <w:p w:rsidR="00C867B3" w:rsidRPr="00C633A6" w:rsidRDefault="00C867B3" w:rsidP="00085914">
      <w:pPr>
        <w:spacing w:line="360" w:lineRule="auto"/>
        <w:jc w:val="both"/>
        <w:rPr>
          <w:rFonts w:ascii="Verdana" w:hAnsi="Verdana"/>
          <w:spacing w:val="2"/>
          <w:sz w:val="24"/>
          <w:szCs w:val="24"/>
        </w:rPr>
      </w:pPr>
      <w:r w:rsidRPr="00C633A6">
        <w:rPr>
          <w:rFonts w:ascii="Verdana" w:hAnsi="Verdana"/>
          <w:spacing w:val="2"/>
          <w:sz w:val="24"/>
          <w:szCs w:val="24"/>
        </w:rPr>
        <w:t>En mérito de lo expuesto, la Sala Civil Familia del Tribunal Superior de Pereira, Risaralda, administrando justicia en nombre de la República y por autoridad de la ley,</w:t>
      </w:r>
    </w:p>
    <w:p w:rsidR="00F16545" w:rsidRPr="00C633A6" w:rsidRDefault="00F16545" w:rsidP="00085914">
      <w:pPr>
        <w:spacing w:line="360" w:lineRule="auto"/>
        <w:jc w:val="both"/>
        <w:rPr>
          <w:rFonts w:ascii="Verdana" w:hAnsi="Verdana"/>
          <w:b/>
          <w:sz w:val="31"/>
          <w:szCs w:val="31"/>
        </w:rPr>
      </w:pPr>
    </w:p>
    <w:p w:rsidR="00C867B3" w:rsidRPr="00085914" w:rsidRDefault="00C867B3" w:rsidP="00085914">
      <w:pPr>
        <w:spacing w:line="360" w:lineRule="auto"/>
        <w:jc w:val="both"/>
        <w:rPr>
          <w:rFonts w:ascii="Verdana" w:hAnsi="Verdana"/>
          <w:b/>
          <w:sz w:val="24"/>
          <w:szCs w:val="24"/>
        </w:rPr>
      </w:pPr>
      <w:r w:rsidRPr="00085914">
        <w:rPr>
          <w:rFonts w:ascii="Verdana" w:hAnsi="Verdana"/>
          <w:b/>
          <w:sz w:val="24"/>
          <w:szCs w:val="24"/>
        </w:rPr>
        <w:t>R E S U E L V E </w:t>
      </w:r>
    </w:p>
    <w:p w:rsidR="00C867B3" w:rsidRPr="00085914" w:rsidRDefault="00C867B3" w:rsidP="00085914">
      <w:pPr>
        <w:spacing w:line="360" w:lineRule="auto"/>
        <w:jc w:val="both"/>
        <w:rPr>
          <w:rFonts w:ascii="Verdana" w:hAnsi="Verdana"/>
          <w:sz w:val="23"/>
          <w:szCs w:val="23"/>
        </w:rPr>
      </w:pPr>
    </w:p>
    <w:p w:rsidR="00497478" w:rsidRPr="00085914" w:rsidRDefault="00C867B3" w:rsidP="00497478">
      <w:pPr>
        <w:spacing w:line="360" w:lineRule="auto"/>
        <w:jc w:val="both"/>
        <w:rPr>
          <w:rFonts w:ascii="Verdana" w:hAnsi="Verdana"/>
          <w:sz w:val="24"/>
          <w:szCs w:val="24"/>
        </w:rPr>
      </w:pPr>
      <w:r w:rsidRPr="00085914">
        <w:rPr>
          <w:rFonts w:ascii="Verdana" w:hAnsi="Verdana"/>
          <w:b/>
          <w:sz w:val="24"/>
          <w:szCs w:val="24"/>
        </w:rPr>
        <w:t>PRIMERO:</w:t>
      </w:r>
      <w:r w:rsidRPr="00085914">
        <w:rPr>
          <w:rFonts w:ascii="Verdana" w:hAnsi="Verdana"/>
          <w:sz w:val="24"/>
          <w:szCs w:val="24"/>
        </w:rPr>
        <w:t xml:space="preserve"> </w:t>
      </w:r>
      <w:r w:rsidR="00EC3C70">
        <w:rPr>
          <w:rFonts w:ascii="Verdana" w:hAnsi="Verdana"/>
          <w:sz w:val="24"/>
          <w:szCs w:val="24"/>
        </w:rPr>
        <w:t xml:space="preserve">Se niega </w:t>
      </w:r>
      <w:r w:rsidRPr="00085914">
        <w:rPr>
          <w:rFonts w:ascii="Verdana" w:hAnsi="Verdana"/>
          <w:sz w:val="24"/>
          <w:szCs w:val="24"/>
        </w:rPr>
        <w:t>la acción de tutela propuesta</w:t>
      </w:r>
      <w:r w:rsidR="0092607C">
        <w:rPr>
          <w:rFonts w:ascii="Verdana" w:hAnsi="Verdana"/>
          <w:sz w:val="24"/>
          <w:szCs w:val="24"/>
        </w:rPr>
        <w:t xml:space="preserve"> por el señor</w:t>
      </w:r>
      <w:r w:rsidRPr="00085914">
        <w:rPr>
          <w:rFonts w:ascii="Verdana" w:hAnsi="Verdana"/>
          <w:sz w:val="24"/>
          <w:szCs w:val="24"/>
        </w:rPr>
        <w:t xml:space="preserve"> </w:t>
      </w:r>
      <w:r w:rsidR="00497478" w:rsidRPr="00085914">
        <w:rPr>
          <w:rFonts w:ascii="Verdana" w:hAnsi="Verdana"/>
          <w:sz w:val="24"/>
          <w:szCs w:val="24"/>
        </w:rPr>
        <w:t>Javier Elías Arias Idárraga contra el Juzgado Cuarto Civil del Circuito local y el Procurador 10 II Delegado en Asuntos Civiles, a la que fueron vinculados Bancolombia, el señor Leandro Giraldo,</w:t>
      </w:r>
      <w:r w:rsidR="00497478" w:rsidRPr="00085914">
        <w:rPr>
          <w:rFonts w:ascii="Verdana" w:hAnsi="Verdana"/>
          <w:sz w:val="24"/>
          <w:szCs w:val="24"/>
          <w:lang w:val="es-ES"/>
        </w:rPr>
        <w:t xml:space="preserve"> el Alcalde de Pereira</w:t>
      </w:r>
      <w:r w:rsidR="00497478" w:rsidRPr="00085914">
        <w:rPr>
          <w:rFonts w:ascii="Verdana" w:hAnsi="Verdana"/>
          <w:sz w:val="24"/>
          <w:szCs w:val="24"/>
        </w:rPr>
        <w:t>, la Defensoría del Pueblo y el Ministerio Público, ambos de la Regional Risaralda</w:t>
      </w:r>
      <w:r w:rsidR="00497478">
        <w:rPr>
          <w:rFonts w:ascii="Verdana" w:hAnsi="Verdana"/>
          <w:sz w:val="24"/>
          <w:szCs w:val="24"/>
        </w:rPr>
        <w:t>, salvo en las pretensiones dirigidas a obtener se expidiera copia de la acción popular</w:t>
      </w:r>
      <w:r w:rsidR="001375DE">
        <w:rPr>
          <w:rFonts w:ascii="Verdana" w:hAnsi="Verdana"/>
          <w:sz w:val="24"/>
          <w:szCs w:val="24"/>
        </w:rPr>
        <w:t>, se declarara la dilación injustificada del trámite</w:t>
      </w:r>
      <w:r w:rsidR="00497478">
        <w:rPr>
          <w:rFonts w:ascii="Verdana" w:hAnsi="Verdana"/>
          <w:sz w:val="24"/>
          <w:szCs w:val="24"/>
        </w:rPr>
        <w:t xml:space="preserve"> y se profiriera un fallo de unificación</w:t>
      </w:r>
      <w:r w:rsidR="00EE26BF">
        <w:rPr>
          <w:rFonts w:ascii="Verdana" w:hAnsi="Verdana"/>
          <w:sz w:val="24"/>
          <w:szCs w:val="24"/>
        </w:rPr>
        <w:t>,</w:t>
      </w:r>
      <w:r w:rsidR="00B56BC7">
        <w:rPr>
          <w:rFonts w:ascii="Verdana" w:hAnsi="Verdana"/>
          <w:sz w:val="24"/>
          <w:szCs w:val="24"/>
        </w:rPr>
        <w:t xml:space="preserve"> que se declaran improcedentes</w:t>
      </w:r>
      <w:r w:rsidR="00497478" w:rsidRPr="00085914">
        <w:rPr>
          <w:rFonts w:ascii="Verdana" w:hAnsi="Verdana"/>
          <w:sz w:val="24"/>
          <w:szCs w:val="24"/>
        </w:rPr>
        <w:t>.</w:t>
      </w:r>
    </w:p>
    <w:p w:rsidR="00C867B3" w:rsidRPr="00085914" w:rsidRDefault="00C867B3" w:rsidP="00085914">
      <w:pPr>
        <w:spacing w:line="360" w:lineRule="auto"/>
        <w:jc w:val="both"/>
        <w:rPr>
          <w:rFonts w:ascii="Verdana" w:hAnsi="Verdana"/>
          <w:sz w:val="23"/>
          <w:szCs w:val="23"/>
        </w:rPr>
      </w:pPr>
    </w:p>
    <w:p w:rsidR="00C867B3" w:rsidRPr="00085914" w:rsidRDefault="00C867B3" w:rsidP="00085914">
      <w:pPr>
        <w:spacing w:line="360" w:lineRule="auto"/>
        <w:ind w:right="51"/>
        <w:jc w:val="both"/>
        <w:rPr>
          <w:rFonts w:ascii="Verdana" w:hAnsi="Verdana"/>
          <w:sz w:val="24"/>
          <w:szCs w:val="24"/>
        </w:rPr>
      </w:pPr>
      <w:r w:rsidRPr="00085914">
        <w:rPr>
          <w:rFonts w:ascii="Verdana" w:hAnsi="Verdana"/>
          <w:b/>
          <w:sz w:val="24"/>
          <w:szCs w:val="24"/>
        </w:rPr>
        <w:t>SEGUNDO:</w:t>
      </w:r>
      <w:r w:rsidRPr="00085914">
        <w:rPr>
          <w:rFonts w:ascii="Verdana" w:hAnsi="Verdana"/>
          <w:sz w:val="24"/>
          <w:szCs w:val="24"/>
        </w:rPr>
        <w:t xml:space="preserve"> Notifíquese esta decisión a las partes conforme lo previene el artículo 30 del Decreto 2591 de 1991.</w:t>
      </w:r>
    </w:p>
    <w:p w:rsidR="00C867B3" w:rsidRPr="00085914" w:rsidRDefault="00C867B3" w:rsidP="00085914">
      <w:pPr>
        <w:spacing w:line="360" w:lineRule="auto"/>
        <w:jc w:val="both"/>
        <w:rPr>
          <w:rFonts w:ascii="Verdana" w:hAnsi="Verdana"/>
          <w:b/>
          <w:sz w:val="23"/>
          <w:szCs w:val="23"/>
        </w:rPr>
      </w:pPr>
    </w:p>
    <w:p w:rsidR="00C867B3" w:rsidRPr="00085914" w:rsidRDefault="00C867B3" w:rsidP="00085914">
      <w:pPr>
        <w:spacing w:line="360" w:lineRule="auto"/>
        <w:jc w:val="both"/>
        <w:rPr>
          <w:rFonts w:ascii="Verdana" w:hAnsi="Verdana"/>
          <w:sz w:val="24"/>
          <w:szCs w:val="24"/>
        </w:rPr>
      </w:pPr>
      <w:r w:rsidRPr="00085914">
        <w:rPr>
          <w:rFonts w:ascii="Verdana" w:hAnsi="Verdana"/>
          <w:b/>
          <w:sz w:val="24"/>
          <w:szCs w:val="24"/>
        </w:rPr>
        <w:lastRenderedPageBreak/>
        <w:t>TERCERO:</w:t>
      </w:r>
      <w:r w:rsidRPr="00085914">
        <w:rPr>
          <w:rFonts w:ascii="Verdana" w:hAnsi="Verdana"/>
          <w:sz w:val="24"/>
          <w:szCs w:val="24"/>
        </w:rPr>
        <w:t xml:space="preserve"> De no ser impugnada esta decisión, envíese el expediente a la Corte Constitucional para su eventual revisión conforme lo dispone el artículo 32 del Decreto 2591 de 1991.</w:t>
      </w:r>
    </w:p>
    <w:p w:rsidR="00C867B3" w:rsidRPr="00085914" w:rsidRDefault="00C867B3" w:rsidP="00085914">
      <w:pPr>
        <w:spacing w:line="360" w:lineRule="auto"/>
        <w:jc w:val="both"/>
        <w:rPr>
          <w:rFonts w:ascii="Verdana" w:hAnsi="Verdana"/>
          <w:sz w:val="23"/>
          <w:szCs w:val="23"/>
        </w:rPr>
      </w:pPr>
    </w:p>
    <w:p w:rsidR="00C867B3" w:rsidRPr="00085914" w:rsidRDefault="00C867B3" w:rsidP="00085914">
      <w:pPr>
        <w:spacing w:line="360" w:lineRule="auto"/>
        <w:jc w:val="both"/>
        <w:rPr>
          <w:rFonts w:ascii="Verdana" w:hAnsi="Verdana"/>
          <w:sz w:val="24"/>
          <w:szCs w:val="24"/>
        </w:rPr>
      </w:pPr>
      <w:r w:rsidRPr="00085914">
        <w:rPr>
          <w:rFonts w:ascii="Verdana" w:hAnsi="Verdana"/>
          <w:sz w:val="24"/>
          <w:szCs w:val="24"/>
        </w:rPr>
        <w:t xml:space="preserve">Notifíquese y cúmplase, </w:t>
      </w:r>
    </w:p>
    <w:p w:rsidR="00C867B3" w:rsidRPr="00085914" w:rsidRDefault="00C867B3" w:rsidP="00085914">
      <w:pPr>
        <w:spacing w:line="360" w:lineRule="auto"/>
        <w:jc w:val="both"/>
        <w:rPr>
          <w:rFonts w:ascii="Verdana" w:hAnsi="Verdana"/>
          <w:sz w:val="23"/>
          <w:szCs w:val="23"/>
        </w:rPr>
      </w:pPr>
    </w:p>
    <w:p w:rsidR="00C867B3" w:rsidRPr="00085914" w:rsidRDefault="00C867B3" w:rsidP="00085914">
      <w:pPr>
        <w:spacing w:line="360" w:lineRule="auto"/>
        <w:jc w:val="both"/>
        <w:rPr>
          <w:rFonts w:ascii="Verdana" w:hAnsi="Verdana"/>
          <w:sz w:val="24"/>
          <w:szCs w:val="24"/>
        </w:rPr>
      </w:pPr>
      <w:r w:rsidRPr="00085914">
        <w:rPr>
          <w:rFonts w:ascii="Verdana" w:hAnsi="Verdana"/>
          <w:sz w:val="24"/>
          <w:szCs w:val="24"/>
        </w:rPr>
        <w:t>Los Magistrados,</w:t>
      </w: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C867B3" w:rsidRPr="000F3C0E"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30"/>
          <w:szCs w:val="30"/>
        </w:rPr>
      </w:pP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085914">
        <w:rPr>
          <w:rFonts w:ascii="Verdana" w:hAnsi="Verdana"/>
          <w:b/>
          <w:sz w:val="24"/>
          <w:szCs w:val="24"/>
        </w:rPr>
        <w:tab/>
      </w:r>
      <w:r w:rsidRPr="00085914">
        <w:rPr>
          <w:rFonts w:ascii="Verdana" w:hAnsi="Verdana"/>
          <w:b/>
          <w:sz w:val="24"/>
          <w:szCs w:val="24"/>
        </w:rPr>
        <w:tab/>
      </w:r>
      <w:r w:rsidRPr="00085914">
        <w:rPr>
          <w:rFonts w:ascii="Verdana" w:hAnsi="Verdana"/>
          <w:b/>
          <w:sz w:val="24"/>
          <w:szCs w:val="24"/>
        </w:rPr>
        <w:tab/>
        <w:t>CLAUDIA MARÍA ARCILA RÍOS</w:t>
      </w: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C867B3" w:rsidRPr="000F3C0E"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0"/>
          <w:szCs w:val="30"/>
        </w:rPr>
      </w:pPr>
    </w:p>
    <w:p w:rsidR="00C867B3" w:rsidRPr="00085914" w:rsidRDefault="00C867B3" w:rsidP="00085914">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085914">
        <w:rPr>
          <w:rFonts w:ascii="Verdana" w:hAnsi="Verdana"/>
          <w:b/>
          <w:sz w:val="24"/>
          <w:szCs w:val="24"/>
        </w:rPr>
        <w:tab/>
      </w:r>
      <w:r w:rsidRPr="00085914">
        <w:rPr>
          <w:rFonts w:ascii="Verdana" w:hAnsi="Verdana"/>
          <w:b/>
          <w:sz w:val="24"/>
          <w:szCs w:val="24"/>
        </w:rPr>
        <w:tab/>
      </w:r>
      <w:r w:rsidRPr="00085914">
        <w:rPr>
          <w:rFonts w:ascii="Verdana" w:hAnsi="Verdana"/>
          <w:b/>
          <w:sz w:val="24"/>
          <w:szCs w:val="24"/>
        </w:rPr>
        <w:tab/>
        <w:t>DUBERNEY GRISALES HERRERA</w:t>
      </w: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C867B3" w:rsidRPr="000F3C0E"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0"/>
          <w:szCs w:val="30"/>
        </w:rPr>
      </w:pPr>
    </w:p>
    <w:p w:rsidR="00C867B3" w:rsidRPr="00085914" w:rsidRDefault="00C867B3" w:rsidP="000859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085914">
        <w:rPr>
          <w:rFonts w:ascii="Verdana" w:hAnsi="Verdana"/>
          <w:b/>
          <w:sz w:val="24"/>
          <w:szCs w:val="24"/>
        </w:rPr>
        <w:tab/>
      </w:r>
      <w:r w:rsidRPr="00085914">
        <w:rPr>
          <w:rFonts w:ascii="Verdana" w:hAnsi="Verdana"/>
          <w:b/>
          <w:sz w:val="24"/>
          <w:szCs w:val="24"/>
        </w:rPr>
        <w:tab/>
      </w:r>
      <w:r w:rsidRPr="00085914">
        <w:rPr>
          <w:rFonts w:ascii="Verdana" w:hAnsi="Verdana"/>
          <w:b/>
          <w:sz w:val="24"/>
          <w:szCs w:val="24"/>
        </w:rPr>
        <w:tab/>
        <w:t>EDDER JIMMY SÁNCHEZ CALAMBÁS</w:t>
      </w:r>
    </w:p>
    <w:sectPr w:rsidR="00C867B3" w:rsidRPr="00085914" w:rsidSect="00476962">
      <w:footerReference w:type="default" r:id="rId8"/>
      <w:pgSz w:w="12242" w:h="18722" w:code="14"/>
      <w:pgMar w:top="2041"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8B" w:rsidRDefault="00C80B8B">
      <w:r>
        <w:separator/>
      </w:r>
    </w:p>
  </w:endnote>
  <w:endnote w:type="continuationSeparator" w:id="0">
    <w:p w:rsidR="00C80B8B" w:rsidRDefault="00C8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C20A87">
      <w:rPr>
        <w:rStyle w:val="Nmerodepgina"/>
        <w:rFonts w:ascii="Verdana" w:hAnsi="Verdana"/>
        <w:noProof/>
      </w:rPr>
      <w:t>1</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8B" w:rsidRDefault="00C80B8B">
      <w:r>
        <w:separator/>
      </w:r>
    </w:p>
  </w:footnote>
  <w:footnote w:type="continuationSeparator" w:id="0">
    <w:p w:rsidR="00C80B8B" w:rsidRDefault="00C80B8B">
      <w:r>
        <w:continuationSeparator/>
      </w:r>
    </w:p>
  </w:footnote>
  <w:footnote w:id="1">
    <w:p w:rsidR="00C867B3" w:rsidRPr="00DE4745" w:rsidRDefault="00C867B3" w:rsidP="00DE4745">
      <w:pPr>
        <w:pStyle w:val="Textonotapie"/>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Pr="00DE4745">
        <w:rPr>
          <w:rFonts w:ascii="Verdana" w:hAnsi="Verdana"/>
          <w:sz w:val="16"/>
          <w:szCs w:val="16"/>
          <w:lang w:val="es-CO"/>
        </w:rPr>
        <w:t>Sentencia T-307 de 2015</w:t>
      </w:r>
    </w:p>
  </w:footnote>
  <w:footnote w:id="2">
    <w:p w:rsidR="00C867B3" w:rsidRPr="00DE4745" w:rsidRDefault="00C867B3" w:rsidP="009766AA">
      <w:pPr>
        <w:pStyle w:val="Textonotapie"/>
        <w:spacing w:line="276" w:lineRule="auto"/>
        <w:jc w:val="both"/>
        <w:rPr>
          <w:rFonts w:ascii="Verdana" w:hAnsi="Verdana"/>
          <w:sz w:val="16"/>
          <w:szCs w:val="16"/>
          <w:lang w:val="es-MX"/>
        </w:rPr>
      </w:pPr>
      <w:r w:rsidRPr="00DE4745">
        <w:rPr>
          <w:rStyle w:val="Smbolodenotaalpie"/>
          <w:rFonts w:ascii="Verdana" w:hAnsi="Verdana"/>
          <w:sz w:val="16"/>
          <w:szCs w:val="16"/>
        </w:rPr>
        <w:footnoteRef/>
      </w:r>
      <w:r w:rsidRPr="00DE4745">
        <w:rPr>
          <w:rFonts w:ascii="Verdana" w:hAnsi="Verdana"/>
          <w:sz w:val="16"/>
          <w:szCs w:val="16"/>
          <w:lang w:val="es-MX"/>
        </w:rPr>
        <w:t xml:space="preserve"> </w:t>
      </w:r>
      <w:r w:rsidRPr="00DE4745">
        <w:rPr>
          <w:rFonts w:ascii="Verdana" w:hAnsi="Verdana"/>
          <w:sz w:val="16"/>
          <w:szCs w:val="16"/>
          <w:lang w:val="es-CO"/>
        </w:rPr>
        <w:t>Sentencia SU-241 de 2015</w:t>
      </w:r>
    </w:p>
  </w:footnote>
  <w:footnote w:id="3">
    <w:p w:rsidR="00F80529" w:rsidRPr="00DE4745" w:rsidRDefault="00F80529" w:rsidP="009766AA">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Pr="00DE4745">
        <w:rPr>
          <w:rFonts w:ascii="Verdana" w:hAnsi="Verdana"/>
          <w:sz w:val="16"/>
          <w:szCs w:val="16"/>
          <w:lang w:val="es-CO"/>
        </w:rPr>
        <w:t>Foli</w:t>
      </w:r>
      <w:r w:rsidR="00013DC2" w:rsidRPr="00DE4745">
        <w:rPr>
          <w:rFonts w:ascii="Verdana" w:hAnsi="Verdana"/>
          <w:sz w:val="16"/>
          <w:szCs w:val="16"/>
          <w:lang w:val="es-CO"/>
        </w:rPr>
        <w:t>o 30</w:t>
      </w:r>
    </w:p>
  </w:footnote>
  <w:footnote w:id="4">
    <w:p w:rsidR="002327D0" w:rsidRPr="00DE4745" w:rsidRDefault="002327D0" w:rsidP="009766AA">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Pr="00DE4745">
        <w:rPr>
          <w:rFonts w:ascii="Verdana" w:hAnsi="Verdana"/>
          <w:sz w:val="16"/>
          <w:szCs w:val="16"/>
          <w:lang w:val="es-CO"/>
        </w:rPr>
        <w:t>Folio 31</w:t>
      </w:r>
    </w:p>
  </w:footnote>
  <w:footnote w:id="5">
    <w:p w:rsidR="00A01A1B" w:rsidRPr="00DE4745" w:rsidRDefault="00A01A1B" w:rsidP="009766AA">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Pr="00DE4745">
        <w:rPr>
          <w:rFonts w:ascii="Verdana" w:hAnsi="Verdana"/>
          <w:sz w:val="16"/>
          <w:szCs w:val="16"/>
          <w:lang w:val="es-CO"/>
        </w:rPr>
        <w:t>Folios 32 a 36</w:t>
      </w:r>
    </w:p>
  </w:footnote>
  <w:footnote w:id="6">
    <w:p w:rsidR="00021AEE" w:rsidRDefault="00021AEE" w:rsidP="009766AA">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Pr="00DE4745">
        <w:rPr>
          <w:rFonts w:ascii="Verdana" w:hAnsi="Verdana"/>
          <w:sz w:val="16"/>
          <w:szCs w:val="16"/>
          <w:lang w:val="es-CO"/>
        </w:rPr>
        <w:t>Folios 14 a 16</w:t>
      </w:r>
    </w:p>
    <w:p w:rsidR="009766AA" w:rsidRPr="009766AA" w:rsidRDefault="009766AA" w:rsidP="009766AA">
      <w:pPr>
        <w:pStyle w:val="Textonotapie"/>
        <w:spacing w:line="276" w:lineRule="auto"/>
        <w:jc w:val="both"/>
        <w:rPr>
          <w:rFonts w:ascii="Verdana" w:hAnsi="Verdana"/>
          <w:sz w:val="10"/>
          <w:szCs w:val="16"/>
          <w:lang w:val="es-CO"/>
        </w:rPr>
      </w:pPr>
    </w:p>
  </w:footnote>
  <w:footnote w:id="7">
    <w:p w:rsidR="00F80529" w:rsidRPr="00DE4745" w:rsidRDefault="00F80529" w:rsidP="00BD1E15">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001006AB" w:rsidRPr="00DE4745">
        <w:rPr>
          <w:rFonts w:ascii="Verdana" w:hAnsi="Verdana"/>
          <w:sz w:val="16"/>
          <w:szCs w:val="16"/>
          <w:lang w:val="es-CO"/>
        </w:rPr>
        <w:t>Folios 37 y 38</w:t>
      </w:r>
    </w:p>
  </w:footnote>
  <w:footnote w:id="8">
    <w:p w:rsidR="00E3484D" w:rsidRPr="00DE4745" w:rsidRDefault="00EB7150" w:rsidP="00BD1E15">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00E3484D" w:rsidRPr="00DE4745">
        <w:rPr>
          <w:rFonts w:ascii="Verdana" w:hAnsi="Verdana"/>
          <w:sz w:val="16"/>
          <w:szCs w:val="16"/>
          <w:lang w:val="es-CO"/>
        </w:rPr>
        <w:t>Folio 41 a 43</w:t>
      </w:r>
    </w:p>
  </w:footnote>
  <w:footnote w:id="9">
    <w:p w:rsidR="00F80529" w:rsidRPr="00DE4745" w:rsidRDefault="00F80529" w:rsidP="00BD1E15">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001C29DD" w:rsidRPr="00DE4745">
        <w:rPr>
          <w:rFonts w:ascii="Verdana" w:hAnsi="Verdana"/>
          <w:sz w:val="16"/>
          <w:szCs w:val="16"/>
          <w:lang w:val="es-CO"/>
        </w:rPr>
        <w:t>Folios 27 y 28</w:t>
      </w:r>
    </w:p>
  </w:footnote>
  <w:footnote w:id="10">
    <w:p w:rsidR="00F80529" w:rsidRPr="00DE4745" w:rsidRDefault="00F80529" w:rsidP="00BD1E15">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007A2B00" w:rsidRPr="00DE4745">
        <w:rPr>
          <w:rFonts w:ascii="Verdana" w:hAnsi="Verdana"/>
          <w:sz w:val="16"/>
          <w:szCs w:val="16"/>
          <w:lang w:val="es-CO"/>
        </w:rPr>
        <w:t>Folio 44</w:t>
      </w:r>
    </w:p>
  </w:footnote>
  <w:footnote w:id="11">
    <w:p w:rsidR="00F80529" w:rsidRPr="00DE4745" w:rsidRDefault="00F80529" w:rsidP="00BD1E15">
      <w:pPr>
        <w:pStyle w:val="Textonotapie"/>
        <w:spacing w:line="276" w:lineRule="auto"/>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00023618" w:rsidRPr="00DE4745">
        <w:rPr>
          <w:rFonts w:ascii="Verdana" w:hAnsi="Verdana"/>
          <w:sz w:val="16"/>
          <w:szCs w:val="16"/>
          <w:lang w:val="es-CO"/>
        </w:rPr>
        <w:t>Folios 52 y 53</w:t>
      </w:r>
    </w:p>
  </w:footnote>
  <w:footnote w:id="12">
    <w:p w:rsidR="00C50527" w:rsidRPr="00DE4745" w:rsidRDefault="00C50527" w:rsidP="00DE4745">
      <w:pPr>
        <w:pStyle w:val="Textonotapie"/>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Pr="00DE4745">
        <w:rPr>
          <w:rFonts w:ascii="Verdana" w:hAnsi="Verdana"/>
          <w:sz w:val="16"/>
          <w:szCs w:val="16"/>
          <w:lang w:val="es-CO"/>
        </w:rPr>
        <w:t>Calidad reconocida mediante auto del 9 de febrero de 2017, de conformidad con lo informado por el Secretario del despacho accionado. Folio 20</w:t>
      </w:r>
    </w:p>
  </w:footnote>
  <w:footnote w:id="13">
    <w:p w:rsidR="00EE3AD9" w:rsidRPr="00DE4745" w:rsidRDefault="00EE3AD9" w:rsidP="00DE4745">
      <w:pPr>
        <w:pStyle w:val="Textonotapie"/>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Pr="00DE4745">
        <w:rPr>
          <w:rFonts w:ascii="Verdana" w:hAnsi="Verdana"/>
          <w:sz w:val="16"/>
          <w:szCs w:val="16"/>
          <w:lang w:val="es-CO"/>
        </w:rPr>
        <w:t>Folios 54 y 55</w:t>
      </w:r>
    </w:p>
  </w:footnote>
  <w:footnote w:id="14">
    <w:p w:rsidR="00F80529" w:rsidRPr="00DE4745" w:rsidRDefault="00F80529" w:rsidP="00DE4745">
      <w:pPr>
        <w:pStyle w:val="Textonotapie"/>
        <w:jc w:val="both"/>
        <w:rPr>
          <w:rFonts w:ascii="Verdana" w:hAnsi="Verdana"/>
          <w:sz w:val="16"/>
          <w:szCs w:val="16"/>
          <w:lang w:val="es-CO"/>
        </w:rPr>
      </w:pPr>
      <w:r w:rsidRPr="00DE4745">
        <w:rPr>
          <w:rStyle w:val="Refdenotaalpie"/>
          <w:rFonts w:ascii="Verdana" w:hAnsi="Verdana"/>
          <w:sz w:val="16"/>
          <w:szCs w:val="16"/>
        </w:rPr>
        <w:footnoteRef/>
      </w:r>
      <w:r w:rsidRPr="00DE4745">
        <w:rPr>
          <w:rFonts w:ascii="Verdana" w:hAnsi="Verdana"/>
          <w:sz w:val="16"/>
          <w:szCs w:val="16"/>
        </w:rPr>
        <w:t xml:space="preserve"> </w:t>
      </w:r>
      <w:r w:rsidR="00EE3AD9" w:rsidRPr="00DE4745">
        <w:rPr>
          <w:rFonts w:ascii="Verdana" w:hAnsi="Verdana"/>
          <w:sz w:val="16"/>
          <w:szCs w:val="16"/>
          <w:lang w:val="es-CO"/>
        </w:rPr>
        <w:t>Folio 56</w:t>
      </w:r>
    </w:p>
  </w:footnote>
  <w:footnote w:id="15">
    <w:p w:rsidR="00085914" w:rsidRPr="00270F36" w:rsidRDefault="00085914" w:rsidP="00C633A6">
      <w:pPr>
        <w:pStyle w:val="Textonotapie"/>
        <w:spacing w:line="276" w:lineRule="auto"/>
        <w:jc w:val="both"/>
        <w:rPr>
          <w:rFonts w:ascii="Verdana" w:hAnsi="Verdana" w:cs="Arial"/>
          <w:sz w:val="17"/>
          <w:szCs w:val="17"/>
        </w:rPr>
      </w:pPr>
      <w:r w:rsidRPr="00270F36">
        <w:rPr>
          <w:rStyle w:val="Refdenotaalpie"/>
          <w:rFonts w:ascii="Verdana" w:hAnsi="Verdana" w:cs="Arial"/>
          <w:sz w:val="17"/>
          <w:szCs w:val="17"/>
        </w:rPr>
        <w:footnoteRef/>
      </w:r>
      <w:r w:rsidRPr="00270F36">
        <w:rPr>
          <w:rFonts w:ascii="Verdana" w:hAnsi="Verdana" w:cs="Arial"/>
          <w:sz w:val="17"/>
          <w:szCs w:val="17"/>
        </w:rPr>
        <w:t xml:space="preserve"> Sentencia T-1065 de 2005, Magistrado Ponente: Humberto Antonio Sierra Porto.</w:t>
      </w:r>
    </w:p>
    <w:p w:rsidR="00C633A6" w:rsidRPr="00C633A6" w:rsidRDefault="00C633A6" w:rsidP="00C633A6">
      <w:pPr>
        <w:pStyle w:val="Textonotapie"/>
        <w:spacing w:line="276" w:lineRule="auto"/>
        <w:jc w:val="both"/>
        <w:rPr>
          <w:rFonts w:ascii="Verdana" w:hAnsi="Verdana" w:cs="Arial"/>
          <w:sz w:val="14"/>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3DC2"/>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1AEE"/>
    <w:rsid w:val="00022845"/>
    <w:rsid w:val="00022C44"/>
    <w:rsid w:val="00022FE4"/>
    <w:rsid w:val="00023618"/>
    <w:rsid w:val="00023662"/>
    <w:rsid w:val="00024086"/>
    <w:rsid w:val="00024D5E"/>
    <w:rsid w:val="00024FD0"/>
    <w:rsid w:val="0002538D"/>
    <w:rsid w:val="0002610D"/>
    <w:rsid w:val="00026512"/>
    <w:rsid w:val="000266CB"/>
    <w:rsid w:val="00026867"/>
    <w:rsid w:val="00027119"/>
    <w:rsid w:val="000276D4"/>
    <w:rsid w:val="00027D7B"/>
    <w:rsid w:val="00027DAF"/>
    <w:rsid w:val="00030B79"/>
    <w:rsid w:val="00030EDE"/>
    <w:rsid w:val="000311F4"/>
    <w:rsid w:val="0003187C"/>
    <w:rsid w:val="00032350"/>
    <w:rsid w:val="000328BF"/>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A54"/>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5F8"/>
    <w:rsid w:val="00051FF7"/>
    <w:rsid w:val="0005202C"/>
    <w:rsid w:val="00052219"/>
    <w:rsid w:val="00052E08"/>
    <w:rsid w:val="00052EA9"/>
    <w:rsid w:val="00052F30"/>
    <w:rsid w:val="0005347A"/>
    <w:rsid w:val="00053768"/>
    <w:rsid w:val="00054202"/>
    <w:rsid w:val="00054738"/>
    <w:rsid w:val="00054CAF"/>
    <w:rsid w:val="000553F0"/>
    <w:rsid w:val="00055408"/>
    <w:rsid w:val="00055572"/>
    <w:rsid w:val="0005630E"/>
    <w:rsid w:val="00056CED"/>
    <w:rsid w:val="000571D6"/>
    <w:rsid w:val="000575B1"/>
    <w:rsid w:val="00057944"/>
    <w:rsid w:val="00057A36"/>
    <w:rsid w:val="00057E02"/>
    <w:rsid w:val="00057E5B"/>
    <w:rsid w:val="00057F7B"/>
    <w:rsid w:val="00061E08"/>
    <w:rsid w:val="00062126"/>
    <w:rsid w:val="00062AA2"/>
    <w:rsid w:val="00063883"/>
    <w:rsid w:val="000638C4"/>
    <w:rsid w:val="000646C5"/>
    <w:rsid w:val="000647C3"/>
    <w:rsid w:val="00064B09"/>
    <w:rsid w:val="000656EE"/>
    <w:rsid w:val="0006572B"/>
    <w:rsid w:val="00065A90"/>
    <w:rsid w:val="0006608D"/>
    <w:rsid w:val="000666B1"/>
    <w:rsid w:val="0006672E"/>
    <w:rsid w:val="00066A34"/>
    <w:rsid w:val="00067A0E"/>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5C0E"/>
    <w:rsid w:val="000761D8"/>
    <w:rsid w:val="000763C3"/>
    <w:rsid w:val="00076487"/>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914"/>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6F22"/>
    <w:rsid w:val="000A708D"/>
    <w:rsid w:val="000A71FA"/>
    <w:rsid w:val="000A72A2"/>
    <w:rsid w:val="000A7EBE"/>
    <w:rsid w:val="000B0BD2"/>
    <w:rsid w:val="000B161C"/>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67F7"/>
    <w:rsid w:val="000C7D99"/>
    <w:rsid w:val="000D03F8"/>
    <w:rsid w:val="000D0ABC"/>
    <w:rsid w:val="000D0E55"/>
    <w:rsid w:val="000D0FA6"/>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10C"/>
    <w:rsid w:val="000E7500"/>
    <w:rsid w:val="000E7C09"/>
    <w:rsid w:val="000F0CEF"/>
    <w:rsid w:val="000F14C2"/>
    <w:rsid w:val="000F17DA"/>
    <w:rsid w:val="000F2682"/>
    <w:rsid w:val="000F2E5B"/>
    <w:rsid w:val="000F2E7D"/>
    <w:rsid w:val="000F3C0E"/>
    <w:rsid w:val="000F43F4"/>
    <w:rsid w:val="000F4BD5"/>
    <w:rsid w:val="000F4E36"/>
    <w:rsid w:val="000F5083"/>
    <w:rsid w:val="000F50E9"/>
    <w:rsid w:val="000F521B"/>
    <w:rsid w:val="000F5371"/>
    <w:rsid w:val="000F5EAA"/>
    <w:rsid w:val="000F662F"/>
    <w:rsid w:val="000F6AC0"/>
    <w:rsid w:val="000F6D73"/>
    <w:rsid w:val="000F6FD6"/>
    <w:rsid w:val="000F7F72"/>
    <w:rsid w:val="001006AB"/>
    <w:rsid w:val="00100B50"/>
    <w:rsid w:val="001021E3"/>
    <w:rsid w:val="00102CB4"/>
    <w:rsid w:val="0010374F"/>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49C"/>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198"/>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5DE"/>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CE8"/>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2CC"/>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6B9E"/>
    <w:rsid w:val="001970F9"/>
    <w:rsid w:val="001971AC"/>
    <w:rsid w:val="001972D2"/>
    <w:rsid w:val="00197682"/>
    <w:rsid w:val="00197C05"/>
    <w:rsid w:val="00197FB8"/>
    <w:rsid w:val="001A028D"/>
    <w:rsid w:val="001A0F53"/>
    <w:rsid w:val="001A10F7"/>
    <w:rsid w:val="001A1CCE"/>
    <w:rsid w:val="001A2EC3"/>
    <w:rsid w:val="001A2F44"/>
    <w:rsid w:val="001A30E1"/>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928"/>
    <w:rsid w:val="001B6E17"/>
    <w:rsid w:val="001B72E7"/>
    <w:rsid w:val="001B74F4"/>
    <w:rsid w:val="001B7866"/>
    <w:rsid w:val="001B7972"/>
    <w:rsid w:val="001B7E84"/>
    <w:rsid w:val="001B7F93"/>
    <w:rsid w:val="001C005D"/>
    <w:rsid w:val="001C0366"/>
    <w:rsid w:val="001C03EE"/>
    <w:rsid w:val="001C05A2"/>
    <w:rsid w:val="001C0C2C"/>
    <w:rsid w:val="001C10D6"/>
    <w:rsid w:val="001C1A25"/>
    <w:rsid w:val="001C205F"/>
    <w:rsid w:val="001C29DD"/>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AA4"/>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2A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B65"/>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50E"/>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38E8"/>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132"/>
    <w:rsid w:val="002233E4"/>
    <w:rsid w:val="002237A0"/>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27D0"/>
    <w:rsid w:val="00233053"/>
    <w:rsid w:val="002332AE"/>
    <w:rsid w:val="00233F0B"/>
    <w:rsid w:val="00234800"/>
    <w:rsid w:val="00234A8B"/>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3E5"/>
    <w:rsid w:val="002625C2"/>
    <w:rsid w:val="00262E1D"/>
    <w:rsid w:val="00262E9A"/>
    <w:rsid w:val="0026324C"/>
    <w:rsid w:val="002633D7"/>
    <w:rsid w:val="0026343B"/>
    <w:rsid w:val="00263CF6"/>
    <w:rsid w:val="002640CF"/>
    <w:rsid w:val="00264381"/>
    <w:rsid w:val="002648D1"/>
    <w:rsid w:val="00264B5B"/>
    <w:rsid w:val="00264DC1"/>
    <w:rsid w:val="002652ED"/>
    <w:rsid w:val="00265DDF"/>
    <w:rsid w:val="002661E8"/>
    <w:rsid w:val="00266AF8"/>
    <w:rsid w:val="00266F19"/>
    <w:rsid w:val="00267286"/>
    <w:rsid w:val="00267FD9"/>
    <w:rsid w:val="00270B09"/>
    <w:rsid w:val="00270CAF"/>
    <w:rsid w:val="00270E80"/>
    <w:rsid w:val="00270F36"/>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77E66"/>
    <w:rsid w:val="00280547"/>
    <w:rsid w:val="002806E1"/>
    <w:rsid w:val="002809FC"/>
    <w:rsid w:val="00280F97"/>
    <w:rsid w:val="00281CF1"/>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9C"/>
    <w:rsid w:val="002B38FF"/>
    <w:rsid w:val="002B3952"/>
    <w:rsid w:val="002B4281"/>
    <w:rsid w:val="002B4867"/>
    <w:rsid w:val="002B48DF"/>
    <w:rsid w:val="002B49D6"/>
    <w:rsid w:val="002B5ABF"/>
    <w:rsid w:val="002B6B01"/>
    <w:rsid w:val="002B79FD"/>
    <w:rsid w:val="002C036B"/>
    <w:rsid w:val="002C0646"/>
    <w:rsid w:val="002C0B62"/>
    <w:rsid w:val="002C0CA8"/>
    <w:rsid w:val="002C1185"/>
    <w:rsid w:val="002C1AEC"/>
    <w:rsid w:val="002C22DD"/>
    <w:rsid w:val="002C22E8"/>
    <w:rsid w:val="002C267E"/>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086E"/>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1EB1"/>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5E71"/>
    <w:rsid w:val="003162D6"/>
    <w:rsid w:val="00316324"/>
    <w:rsid w:val="003166EA"/>
    <w:rsid w:val="003168B0"/>
    <w:rsid w:val="00316BA5"/>
    <w:rsid w:val="00317921"/>
    <w:rsid w:val="00317B17"/>
    <w:rsid w:val="00317F7C"/>
    <w:rsid w:val="003200CF"/>
    <w:rsid w:val="00320600"/>
    <w:rsid w:val="003206F2"/>
    <w:rsid w:val="00320851"/>
    <w:rsid w:val="0032087C"/>
    <w:rsid w:val="00320A53"/>
    <w:rsid w:val="003227B0"/>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A79"/>
    <w:rsid w:val="00332E2E"/>
    <w:rsid w:val="00332EBD"/>
    <w:rsid w:val="00332FF2"/>
    <w:rsid w:val="00333189"/>
    <w:rsid w:val="003334EC"/>
    <w:rsid w:val="00333972"/>
    <w:rsid w:val="00333CE1"/>
    <w:rsid w:val="003347C9"/>
    <w:rsid w:val="00334959"/>
    <w:rsid w:val="003352C6"/>
    <w:rsid w:val="00335E15"/>
    <w:rsid w:val="00335F4F"/>
    <w:rsid w:val="0033648F"/>
    <w:rsid w:val="00336A08"/>
    <w:rsid w:val="00336A34"/>
    <w:rsid w:val="00336EC8"/>
    <w:rsid w:val="003376B6"/>
    <w:rsid w:val="00337C1D"/>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077"/>
    <w:rsid w:val="00344D1B"/>
    <w:rsid w:val="00344F09"/>
    <w:rsid w:val="0034566D"/>
    <w:rsid w:val="003458F7"/>
    <w:rsid w:val="00345C3A"/>
    <w:rsid w:val="0034710C"/>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478"/>
    <w:rsid w:val="00356901"/>
    <w:rsid w:val="00356B74"/>
    <w:rsid w:val="00357236"/>
    <w:rsid w:val="0035799A"/>
    <w:rsid w:val="0036018D"/>
    <w:rsid w:val="00360198"/>
    <w:rsid w:val="003603A6"/>
    <w:rsid w:val="00360863"/>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5D3"/>
    <w:rsid w:val="00365885"/>
    <w:rsid w:val="00365EB9"/>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3F23"/>
    <w:rsid w:val="00374449"/>
    <w:rsid w:val="0037476F"/>
    <w:rsid w:val="00374ECB"/>
    <w:rsid w:val="0037507D"/>
    <w:rsid w:val="00375656"/>
    <w:rsid w:val="0037566B"/>
    <w:rsid w:val="003758DA"/>
    <w:rsid w:val="00375926"/>
    <w:rsid w:val="00375D39"/>
    <w:rsid w:val="00376066"/>
    <w:rsid w:val="00376313"/>
    <w:rsid w:val="003763DF"/>
    <w:rsid w:val="0037692A"/>
    <w:rsid w:val="00376C65"/>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06B"/>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279A"/>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6F7"/>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6D17"/>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89C"/>
    <w:rsid w:val="003F7BF9"/>
    <w:rsid w:val="0040058A"/>
    <w:rsid w:val="004006E8"/>
    <w:rsid w:val="00400982"/>
    <w:rsid w:val="00400CC6"/>
    <w:rsid w:val="0040133B"/>
    <w:rsid w:val="00401C23"/>
    <w:rsid w:val="00401DB4"/>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771"/>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2226"/>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4E88"/>
    <w:rsid w:val="0044537E"/>
    <w:rsid w:val="00445597"/>
    <w:rsid w:val="00445665"/>
    <w:rsid w:val="00445FFE"/>
    <w:rsid w:val="004465D2"/>
    <w:rsid w:val="004474CB"/>
    <w:rsid w:val="00447652"/>
    <w:rsid w:val="00447928"/>
    <w:rsid w:val="00450255"/>
    <w:rsid w:val="004502FE"/>
    <w:rsid w:val="0045053A"/>
    <w:rsid w:val="00450A7A"/>
    <w:rsid w:val="0045178A"/>
    <w:rsid w:val="00451AA8"/>
    <w:rsid w:val="00452288"/>
    <w:rsid w:val="00452369"/>
    <w:rsid w:val="00452AFF"/>
    <w:rsid w:val="004537DE"/>
    <w:rsid w:val="00453F83"/>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4A1E"/>
    <w:rsid w:val="0046522F"/>
    <w:rsid w:val="0046537E"/>
    <w:rsid w:val="004655BE"/>
    <w:rsid w:val="00465DAB"/>
    <w:rsid w:val="00466075"/>
    <w:rsid w:val="0046710C"/>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62"/>
    <w:rsid w:val="004769E1"/>
    <w:rsid w:val="00476DCC"/>
    <w:rsid w:val="004774B0"/>
    <w:rsid w:val="004776C9"/>
    <w:rsid w:val="00477B23"/>
    <w:rsid w:val="00481812"/>
    <w:rsid w:val="004819D2"/>
    <w:rsid w:val="00481CD5"/>
    <w:rsid w:val="00481EBE"/>
    <w:rsid w:val="004824A6"/>
    <w:rsid w:val="004836A9"/>
    <w:rsid w:val="004839A3"/>
    <w:rsid w:val="00483B4F"/>
    <w:rsid w:val="00483D34"/>
    <w:rsid w:val="004849E6"/>
    <w:rsid w:val="00484C80"/>
    <w:rsid w:val="0048525B"/>
    <w:rsid w:val="0048537D"/>
    <w:rsid w:val="004859A1"/>
    <w:rsid w:val="00486911"/>
    <w:rsid w:val="00486B80"/>
    <w:rsid w:val="00486E4F"/>
    <w:rsid w:val="004874FE"/>
    <w:rsid w:val="00490074"/>
    <w:rsid w:val="004913B4"/>
    <w:rsid w:val="00491554"/>
    <w:rsid w:val="004919D5"/>
    <w:rsid w:val="00491D58"/>
    <w:rsid w:val="00492090"/>
    <w:rsid w:val="00492189"/>
    <w:rsid w:val="00492193"/>
    <w:rsid w:val="00492394"/>
    <w:rsid w:val="00492DF1"/>
    <w:rsid w:val="0049323F"/>
    <w:rsid w:val="00493D4B"/>
    <w:rsid w:val="00494E3B"/>
    <w:rsid w:val="00495D40"/>
    <w:rsid w:val="004970B2"/>
    <w:rsid w:val="00497478"/>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6C83"/>
    <w:rsid w:val="004A76F6"/>
    <w:rsid w:val="004A7E66"/>
    <w:rsid w:val="004B02B9"/>
    <w:rsid w:val="004B03BA"/>
    <w:rsid w:val="004B06ED"/>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2F89"/>
    <w:rsid w:val="004C304B"/>
    <w:rsid w:val="004C3703"/>
    <w:rsid w:val="004C39DE"/>
    <w:rsid w:val="004C3D7A"/>
    <w:rsid w:val="004C3E15"/>
    <w:rsid w:val="004C41CA"/>
    <w:rsid w:val="004C560F"/>
    <w:rsid w:val="004C589B"/>
    <w:rsid w:val="004C599F"/>
    <w:rsid w:val="004C6519"/>
    <w:rsid w:val="004C6675"/>
    <w:rsid w:val="004C7660"/>
    <w:rsid w:val="004C7AEA"/>
    <w:rsid w:val="004C7F6A"/>
    <w:rsid w:val="004D1121"/>
    <w:rsid w:val="004D161E"/>
    <w:rsid w:val="004D1A4C"/>
    <w:rsid w:val="004D1D5D"/>
    <w:rsid w:val="004D225C"/>
    <w:rsid w:val="004D23D3"/>
    <w:rsid w:val="004D253F"/>
    <w:rsid w:val="004D2976"/>
    <w:rsid w:val="004D3447"/>
    <w:rsid w:val="004D3FDB"/>
    <w:rsid w:val="004D407C"/>
    <w:rsid w:val="004D43A3"/>
    <w:rsid w:val="004D484A"/>
    <w:rsid w:val="004D48B6"/>
    <w:rsid w:val="004D4F6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4C5A"/>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CCF"/>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0E2"/>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5BBB"/>
    <w:rsid w:val="005373A0"/>
    <w:rsid w:val="0053741B"/>
    <w:rsid w:val="005376AF"/>
    <w:rsid w:val="00537D0A"/>
    <w:rsid w:val="0054036D"/>
    <w:rsid w:val="00540E16"/>
    <w:rsid w:val="00541258"/>
    <w:rsid w:val="005418ED"/>
    <w:rsid w:val="00541E27"/>
    <w:rsid w:val="00542291"/>
    <w:rsid w:val="0054231A"/>
    <w:rsid w:val="00542763"/>
    <w:rsid w:val="00543338"/>
    <w:rsid w:val="005436D9"/>
    <w:rsid w:val="00543700"/>
    <w:rsid w:val="0054404B"/>
    <w:rsid w:val="005440FE"/>
    <w:rsid w:val="00544290"/>
    <w:rsid w:val="00544376"/>
    <w:rsid w:val="00545A12"/>
    <w:rsid w:val="00546368"/>
    <w:rsid w:val="005466F6"/>
    <w:rsid w:val="00547A55"/>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362"/>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8A1"/>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3C87"/>
    <w:rsid w:val="005B462F"/>
    <w:rsid w:val="005B46B9"/>
    <w:rsid w:val="005B4718"/>
    <w:rsid w:val="005B4DAC"/>
    <w:rsid w:val="005B4FDD"/>
    <w:rsid w:val="005B609C"/>
    <w:rsid w:val="005B6C2D"/>
    <w:rsid w:val="005B6F9E"/>
    <w:rsid w:val="005B6FEC"/>
    <w:rsid w:val="005B74BD"/>
    <w:rsid w:val="005B7D57"/>
    <w:rsid w:val="005C0279"/>
    <w:rsid w:val="005C034C"/>
    <w:rsid w:val="005C04C7"/>
    <w:rsid w:val="005C0CDC"/>
    <w:rsid w:val="005C1547"/>
    <w:rsid w:val="005C1E4E"/>
    <w:rsid w:val="005C20BC"/>
    <w:rsid w:val="005C215C"/>
    <w:rsid w:val="005C3098"/>
    <w:rsid w:val="005C3461"/>
    <w:rsid w:val="005C4A80"/>
    <w:rsid w:val="005C59E2"/>
    <w:rsid w:val="005C5D00"/>
    <w:rsid w:val="005C5EF9"/>
    <w:rsid w:val="005C7A48"/>
    <w:rsid w:val="005C7BBA"/>
    <w:rsid w:val="005D0B37"/>
    <w:rsid w:val="005D0D4E"/>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A61"/>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186"/>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234"/>
    <w:rsid w:val="00637406"/>
    <w:rsid w:val="0063759C"/>
    <w:rsid w:val="00637B84"/>
    <w:rsid w:val="0064044B"/>
    <w:rsid w:val="0064082D"/>
    <w:rsid w:val="00640992"/>
    <w:rsid w:val="00640E54"/>
    <w:rsid w:val="00641178"/>
    <w:rsid w:val="0064162F"/>
    <w:rsid w:val="006416CE"/>
    <w:rsid w:val="00641BF8"/>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1B0"/>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2F8C"/>
    <w:rsid w:val="00693328"/>
    <w:rsid w:val="006936C3"/>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264"/>
    <w:rsid w:val="006A1735"/>
    <w:rsid w:val="006A1AB3"/>
    <w:rsid w:val="006A1FC7"/>
    <w:rsid w:val="006A275A"/>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0FC2"/>
    <w:rsid w:val="006C1684"/>
    <w:rsid w:val="006C17F8"/>
    <w:rsid w:val="006C1A90"/>
    <w:rsid w:val="006C1C51"/>
    <w:rsid w:val="006C1E26"/>
    <w:rsid w:val="006C2C12"/>
    <w:rsid w:val="006C2C72"/>
    <w:rsid w:val="006C2EA3"/>
    <w:rsid w:val="006C2FA1"/>
    <w:rsid w:val="006C3676"/>
    <w:rsid w:val="006C3861"/>
    <w:rsid w:val="006C39F5"/>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10E"/>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17A1D"/>
    <w:rsid w:val="00720304"/>
    <w:rsid w:val="00720719"/>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8DB"/>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C0E"/>
    <w:rsid w:val="00754EB0"/>
    <w:rsid w:val="0075523F"/>
    <w:rsid w:val="007560A9"/>
    <w:rsid w:val="00756224"/>
    <w:rsid w:val="0075693D"/>
    <w:rsid w:val="00756C5D"/>
    <w:rsid w:val="00757BBA"/>
    <w:rsid w:val="007602CE"/>
    <w:rsid w:val="00761721"/>
    <w:rsid w:val="00761816"/>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6DA5"/>
    <w:rsid w:val="00767460"/>
    <w:rsid w:val="0076781F"/>
    <w:rsid w:val="00767A77"/>
    <w:rsid w:val="00767B68"/>
    <w:rsid w:val="00770A5E"/>
    <w:rsid w:val="00770D04"/>
    <w:rsid w:val="00771120"/>
    <w:rsid w:val="007713DF"/>
    <w:rsid w:val="0077183D"/>
    <w:rsid w:val="00771ECC"/>
    <w:rsid w:val="00772834"/>
    <w:rsid w:val="0077318B"/>
    <w:rsid w:val="007736C9"/>
    <w:rsid w:val="00774C26"/>
    <w:rsid w:val="00774CB6"/>
    <w:rsid w:val="0077520F"/>
    <w:rsid w:val="00776484"/>
    <w:rsid w:val="007765CC"/>
    <w:rsid w:val="00776FD5"/>
    <w:rsid w:val="00777969"/>
    <w:rsid w:val="00777B4C"/>
    <w:rsid w:val="00780073"/>
    <w:rsid w:val="007800AB"/>
    <w:rsid w:val="00783354"/>
    <w:rsid w:val="00783EED"/>
    <w:rsid w:val="007851C9"/>
    <w:rsid w:val="00785C9A"/>
    <w:rsid w:val="007867D4"/>
    <w:rsid w:val="007868A6"/>
    <w:rsid w:val="00786A9A"/>
    <w:rsid w:val="007871A1"/>
    <w:rsid w:val="00787928"/>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44C"/>
    <w:rsid w:val="007A053F"/>
    <w:rsid w:val="007A11E5"/>
    <w:rsid w:val="007A183D"/>
    <w:rsid w:val="007A1A08"/>
    <w:rsid w:val="007A1BF9"/>
    <w:rsid w:val="007A2965"/>
    <w:rsid w:val="007A2AE3"/>
    <w:rsid w:val="007A2B00"/>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BDB"/>
    <w:rsid w:val="007A7E64"/>
    <w:rsid w:val="007A7FDE"/>
    <w:rsid w:val="007B157F"/>
    <w:rsid w:val="007B1D1B"/>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01C"/>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7B5"/>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015"/>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7F7DC5"/>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4EA"/>
    <w:rsid w:val="00806DFB"/>
    <w:rsid w:val="00807038"/>
    <w:rsid w:val="008074B5"/>
    <w:rsid w:val="00807537"/>
    <w:rsid w:val="008077B9"/>
    <w:rsid w:val="00807FEE"/>
    <w:rsid w:val="008100EE"/>
    <w:rsid w:val="00810915"/>
    <w:rsid w:val="00810977"/>
    <w:rsid w:val="008109B0"/>
    <w:rsid w:val="00811A44"/>
    <w:rsid w:val="00811FD2"/>
    <w:rsid w:val="00812545"/>
    <w:rsid w:val="008125F7"/>
    <w:rsid w:val="008131EF"/>
    <w:rsid w:val="00813475"/>
    <w:rsid w:val="0081363E"/>
    <w:rsid w:val="00813685"/>
    <w:rsid w:val="00814193"/>
    <w:rsid w:val="0081483F"/>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0F2"/>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741"/>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1CE"/>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339"/>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4E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373"/>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37"/>
    <w:rsid w:val="008865A6"/>
    <w:rsid w:val="0088680E"/>
    <w:rsid w:val="00886917"/>
    <w:rsid w:val="00887911"/>
    <w:rsid w:val="00890BC9"/>
    <w:rsid w:val="00890C32"/>
    <w:rsid w:val="008910CE"/>
    <w:rsid w:val="0089298E"/>
    <w:rsid w:val="008932B8"/>
    <w:rsid w:val="008934D0"/>
    <w:rsid w:val="0089453E"/>
    <w:rsid w:val="0089495D"/>
    <w:rsid w:val="008963B2"/>
    <w:rsid w:val="008964B2"/>
    <w:rsid w:val="00896790"/>
    <w:rsid w:val="00896BC5"/>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A78"/>
    <w:rsid w:val="008B0B6A"/>
    <w:rsid w:val="008B110A"/>
    <w:rsid w:val="008B11A1"/>
    <w:rsid w:val="008B1ADC"/>
    <w:rsid w:val="008B1B00"/>
    <w:rsid w:val="008B1BA9"/>
    <w:rsid w:val="008B1C21"/>
    <w:rsid w:val="008B20ED"/>
    <w:rsid w:val="008B23AB"/>
    <w:rsid w:val="008B4170"/>
    <w:rsid w:val="008B65B6"/>
    <w:rsid w:val="008B6631"/>
    <w:rsid w:val="008B6E35"/>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196E"/>
    <w:rsid w:val="008F2840"/>
    <w:rsid w:val="008F352A"/>
    <w:rsid w:val="008F373C"/>
    <w:rsid w:val="008F377A"/>
    <w:rsid w:val="008F4072"/>
    <w:rsid w:val="008F4DAC"/>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24A"/>
    <w:rsid w:val="00906ADB"/>
    <w:rsid w:val="00906AED"/>
    <w:rsid w:val="009071E9"/>
    <w:rsid w:val="009073DC"/>
    <w:rsid w:val="00907AC0"/>
    <w:rsid w:val="00907F87"/>
    <w:rsid w:val="009105F0"/>
    <w:rsid w:val="009114BE"/>
    <w:rsid w:val="0091250A"/>
    <w:rsid w:val="00912511"/>
    <w:rsid w:val="009125A5"/>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07C"/>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8CB"/>
    <w:rsid w:val="00954A81"/>
    <w:rsid w:val="00954C78"/>
    <w:rsid w:val="009553C6"/>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5F2B"/>
    <w:rsid w:val="009766AA"/>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8A4"/>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BE9"/>
    <w:rsid w:val="00993D50"/>
    <w:rsid w:val="00994415"/>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2F6"/>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29F1"/>
    <w:rsid w:val="009C31F2"/>
    <w:rsid w:val="009C3515"/>
    <w:rsid w:val="009C3531"/>
    <w:rsid w:val="009C3E48"/>
    <w:rsid w:val="009C4945"/>
    <w:rsid w:val="009C59C9"/>
    <w:rsid w:val="009C5F38"/>
    <w:rsid w:val="009C5F8B"/>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48F"/>
    <w:rsid w:val="009D559E"/>
    <w:rsid w:val="009D5726"/>
    <w:rsid w:val="009D6075"/>
    <w:rsid w:val="009D62EC"/>
    <w:rsid w:val="009D657F"/>
    <w:rsid w:val="009D697D"/>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1A1B"/>
    <w:rsid w:val="00A020F1"/>
    <w:rsid w:val="00A02572"/>
    <w:rsid w:val="00A02E45"/>
    <w:rsid w:val="00A030D4"/>
    <w:rsid w:val="00A0385B"/>
    <w:rsid w:val="00A03B9B"/>
    <w:rsid w:val="00A03E86"/>
    <w:rsid w:val="00A04801"/>
    <w:rsid w:val="00A04960"/>
    <w:rsid w:val="00A059FA"/>
    <w:rsid w:val="00A06915"/>
    <w:rsid w:val="00A06C10"/>
    <w:rsid w:val="00A06F3E"/>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5620"/>
    <w:rsid w:val="00A160AE"/>
    <w:rsid w:val="00A161EB"/>
    <w:rsid w:val="00A166B6"/>
    <w:rsid w:val="00A173F8"/>
    <w:rsid w:val="00A17673"/>
    <w:rsid w:val="00A1799E"/>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45B1"/>
    <w:rsid w:val="00A3530B"/>
    <w:rsid w:val="00A35379"/>
    <w:rsid w:val="00A35428"/>
    <w:rsid w:val="00A35E5B"/>
    <w:rsid w:val="00A36251"/>
    <w:rsid w:val="00A36DF8"/>
    <w:rsid w:val="00A40066"/>
    <w:rsid w:val="00A4014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2A0F"/>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BAF"/>
    <w:rsid w:val="00A81F69"/>
    <w:rsid w:val="00A82B74"/>
    <w:rsid w:val="00A82E33"/>
    <w:rsid w:val="00A83808"/>
    <w:rsid w:val="00A83BB3"/>
    <w:rsid w:val="00A84021"/>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80A"/>
    <w:rsid w:val="00A97CCE"/>
    <w:rsid w:val="00AA044C"/>
    <w:rsid w:val="00AA0D54"/>
    <w:rsid w:val="00AA10DC"/>
    <w:rsid w:val="00AA125D"/>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3FD6"/>
    <w:rsid w:val="00AB406B"/>
    <w:rsid w:val="00AB409D"/>
    <w:rsid w:val="00AB4486"/>
    <w:rsid w:val="00AB4813"/>
    <w:rsid w:val="00AB5436"/>
    <w:rsid w:val="00AB55DE"/>
    <w:rsid w:val="00AB578B"/>
    <w:rsid w:val="00AB5AF8"/>
    <w:rsid w:val="00AB6312"/>
    <w:rsid w:val="00AB6A3A"/>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B58"/>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6C3A"/>
    <w:rsid w:val="00AE78EA"/>
    <w:rsid w:val="00AE79B1"/>
    <w:rsid w:val="00AF0788"/>
    <w:rsid w:val="00AF113D"/>
    <w:rsid w:val="00AF1598"/>
    <w:rsid w:val="00AF2075"/>
    <w:rsid w:val="00AF2F34"/>
    <w:rsid w:val="00AF2F3B"/>
    <w:rsid w:val="00AF2FB7"/>
    <w:rsid w:val="00AF3085"/>
    <w:rsid w:val="00AF332B"/>
    <w:rsid w:val="00AF3ABD"/>
    <w:rsid w:val="00AF463E"/>
    <w:rsid w:val="00AF4927"/>
    <w:rsid w:val="00AF4D1C"/>
    <w:rsid w:val="00AF5325"/>
    <w:rsid w:val="00AF5B23"/>
    <w:rsid w:val="00AF5C3E"/>
    <w:rsid w:val="00AF634F"/>
    <w:rsid w:val="00AF666A"/>
    <w:rsid w:val="00B003BD"/>
    <w:rsid w:val="00B005CF"/>
    <w:rsid w:val="00B00AD8"/>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5F7"/>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6F00"/>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25C"/>
    <w:rsid w:val="00B53A89"/>
    <w:rsid w:val="00B53DBF"/>
    <w:rsid w:val="00B53FE8"/>
    <w:rsid w:val="00B54178"/>
    <w:rsid w:val="00B5417C"/>
    <w:rsid w:val="00B54737"/>
    <w:rsid w:val="00B549B1"/>
    <w:rsid w:val="00B54B90"/>
    <w:rsid w:val="00B55663"/>
    <w:rsid w:val="00B5644D"/>
    <w:rsid w:val="00B568B8"/>
    <w:rsid w:val="00B568EA"/>
    <w:rsid w:val="00B56BC7"/>
    <w:rsid w:val="00B57EC0"/>
    <w:rsid w:val="00B6006E"/>
    <w:rsid w:val="00B603FC"/>
    <w:rsid w:val="00B608CC"/>
    <w:rsid w:val="00B60CD1"/>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0446"/>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24C7"/>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2D2"/>
    <w:rsid w:val="00BA7CA0"/>
    <w:rsid w:val="00BA7E54"/>
    <w:rsid w:val="00BB0CF5"/>
    <w:rsid w:val="00BB11F2"/>
    <w:rsid w:val="00BB1751"/>
    <w:rsid w:val="00BB1EC5"/>
    <w:rsid w:val="00BB1F30"/>
    <w:rsid w:val="00BB1FE6"/>
    <w:rsid w:val="00BB25B3"/>
    <w:rsid w:val="00BB3397"/>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1DD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67FB"/>
    <w:rsid w:val="00BC7418"/>
    <w:rsid w:val="00BC76F6"/>
    <w:rsid w:val="00BC796D"/>
    <w:rsid w:val="00BD0485"/>
    <w:rsid w:val="00BD0BEC"/>
    <w:rsid w:val="00BD0D70"/>
    <w:rsid w:val="00BD1780"/>
    <w:rsid w:val="00BD1CA6"/>
    <w:rsid w:val="00BD1DE7"/>
    <w:rsid w:val="00BD1E15"/>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E14"/>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3CF"/>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A87"/>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C93"/>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0D"/>
    <w:rsid w:val="00C47DF3"/>
    <w:rsid w:val="00C50527"/>
    <w:rsid w:val="00C506DE"/>
    <w:rsid w:val="00C50CF7"/>
    <w:rsid w:val="00C51386"/>
    <w:rsid w:val="00C51A76"/>
    <w:rsid w:val="00C52AD9"/>
    <w:rsid w:val="00C54302"/>
    <w:rsid w:val="00C5449D"/>
    <w:rsid w:val="00C54923"/>
    <w:rsid w:val="00C54FCA"/>
    <w:rsid w:val="00C55CE9"/>
    <w:rsid w:val="00C55F19"/>
    <w:rsid w:val="00C56CA3"/>
    <w:rsid w:val="00C56ED4"/>
    <w:rsid w:val="00C56F1C"/>
    <w:rsid w:val="00C56F44"/>
    <w:rsid w:val="00C56FEC"/>
    <w:rsid w:val="00C5759C"/>
    <w:rsid w:val="00C5774F"/>
    <w:rsid w:val="00C57825"/>
    <w:rsid w:val="00C601CF"/>
    <w:rsid w:val="00C60618"/>
    <w:rsid w:val="00C608F9"/>
    <w:rsid w:val="00C6130A"/>
    <w:rsid w:val="00C61659"/>
    <w:rsid w:val="00C61BC5"/>
    <w:rsid w:val="00C61DA6"/>
    <w:rsid w:val="00C62D7A"/>
    <w:rsid w:val="00C631E2"/>
    <w:rsid w:val="00C633A6"/>
    <w:rsid w:val="00C63D1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44D"/>
    <w:rsid w:val="00C7266A"/>
    <w:rsid w:val="00C7318A"/>
    <w:rsid w:val="00C74A84"/>
    <w:rsid w:val="00C74C83"/>
    <w:rsid w:val="00C74F57"/>
    <w:rsid w:val="00C75162"/>
    <w:rsid w:val="00C757C3"/>
    <w:rsid w:val="00C762FA"/>
    <w:rsid w:val="00C76578"/>
    <w:rsid w:val="00C76AC2"/>
    <w:rsid w:val="00C76C0B"/>
    <w:rsid w:val="00C7724E"/>
    <w:rsid w:val="00C807E9"/>
    <w:rsid w:val="00C80B8B"/>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7B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0F05"/>
    <w:rsid w:val="00CC1202"/>
    <w:rsid w:val="00CC1289"/>
    <w:rsid w:val="00CC1CD5"/>
    <w:rsid w:val="00CC1E32"/>
    <w:rsid w:val="00CC20B5"/>
    <w:rsid w:val="00CC2813"/>
    <w:rsid w:val="00CC29EE"/>
    <w:rsid w:val="00CC43D4"/>
    <w:rsid w:val="00CC44DC"/>
    <w:rsid w:val="00CC482A"/>
    <w:rsid w:val="00CC4853"/>
    <w:rsid w:val="00CC4856"/>
    <w:rsid w:val="00CC573C"/>
    <w:rsid w:val="00CC5EEC"/>
    <w:rsid w:val="00CC6E3E"/>
    <w:rsid w:val="00CC7D02"/>
    <w:rsid w:val="00CC7E43"/>
    <w:rsid w:val="00CD01D0"/>
    <w:rsid w:val="00CD069B"/>
    <w:rsid w:val="00CD0A43"/>
    <w:rsid w:val="00CD13EF"/>
    <w:rsid w:val="00CD14B2"/>
    <w:rsid w:val="00CD14E7"/>
    <w:rsid w:val="00CD23E4"/>
    <w:rsid w:val="00CD244B"/>
    <w:rsid w:val="00CD259B"/>
    <w:rsid w:val="00CD288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6E6"/>
    <w:rsid w:val="00CF4CAE"/>
    <w:rsid w:val="00CF56BF"/>
    <w:rsid w:val="00CF6775"/>
    <w:rsid w:val="00CF6B49"/>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C8"/>
    <w:rsid w:val="00D273EB"/>
    <w:rsid w:val="00D27D3E"/>
    <w:rsid w:val="00D302A8"/>
    <w:rsid w:val="00D30913"/>
    <w:rsid w:val="00D311AE"/>
    <w:rsid w:val="00D3147A"/>
    <w:rsid w:val="00D31935"/>
    <w:rsid w:val="00D31E2B"/>
    <w:rsid w:val="00D3269A"/>
    <w:rsid w:val="00D32B59"/>
    <w:rsid w:val="00D34A50"/>
    <w:rsid w:val="00D35116"/>
    <w:rsid w:val="00D3544B"/>
    <w:rsid w:val="00D3558D"/>
    <w:rsid w:val="00D355B4"/>
    <w:rsid w:val="00D35AF2"/>
    <w:rsid w:val="00D36131"/>
    <w:rsid w:val="00D3616F"/>
    <w:rsid w:val="00D36490"/>
    <w:rsid w:val="00D371E2"/>
    <w:rsid w:val="00D37927"/>
    <w:rsid w:val="00D4053A"/>
    <w:rsid w:val="00D40A50"/>
    <w:rsid w:val="00D40B64"/>
    <w:rsid w:val="00D40D5B"/>
    <w:rsid w:val="00D41108"/>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70"/>
    <w:rsid w:val="00D52FFD"/>
    <w:rsid w:val="00D53753"/>
    <w:rsid w:val="00D538A1"/>
    <w:rsid w:val="00D54043"/>
    <w:rsid w:val="00D540E4"/>
    <w:rsid w:val="00D54105"/>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E2B"/>
    <w:rsid w:val="00D75FCB"/>
    <w:rsid w:val="00D76691"/>
    <w:rsid w:val="00D76A9E"/>
    <w:rsid w:val="00D76E7B"/>
    <w:rsid w:val="00D77543"/>
    <w:rsid w:val="00D778C2"/>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BF7"/>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803"/>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745"/>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4F04"/>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187"/>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4669"/>
    <w:rsid w:val="00E14E89"/>
    <w:rsid w:val="00E15114"/>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29"/>
    <w:rsid w:val="00E23840"/>
    <w:rsid w:val="00E239AC"/>
    <w:rsid w:val="00E23BA8"/>
    <w:rsid w:val="00E23FDE"/>
    <w:rsid w:val="00E2457A"/>
    <w:rsid w:val="00E256F7"/>
    <w:rsid w:val="00E25F00"/>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84D"/>
    <w:rsid w:val="00E34A30"/>
    <w:rsid w:val="00E34B2F"/>
    <w:rsid w:val="00E34F92"/>
    <w:rsid w:val="00E3533A"/>
    <w:rsid w:val="00E35E7B"/>
    <w:rsid w:val="00E36068"/>
    <w:rsid w:val="00E36940"/>
    <w:rsid w:val="00E37282"/>
    <w:rsid w:val="00E372EF"/>
    <w:rsid w:val="00E3787B"/>
    <w:rsid w:val="00E400DF"/>
    <w:rsid w:val="00E40AC6"/>
    <w:rsid w:val="00E40B99"/>
    <w:rsid w:val="00E41CC7"/>
    <w:rsid w:val="00E41D12"/>
    <w:rsid w:val="00E42052"/>
    <w:rsid w:val="00E4244F"/>
    <w:rsid w:val="00E42552"/>
    <w:rsid w:val="00E42ABA"/>
    <w:rsid w:val="00E42B06"/>
    <w:rsid w:val="00E42B53"/>
    <w:rsid w:val="00E42C9E"/>
    <w:rsid w:val="00E446C8"/>
    <w:rsid w:val="00E44B25"/>
    <w:rsid w:val="00E44C47"/>
    <w:rsid w:val="00E45386"/>
    <w:rsid w:val="00E454B5"/>
    <w:rsid w:val="00E47020"/>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164"/>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52F"/>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593"/>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150"/>
    <w:rsid w:val="00EB76DF"/>
    <w:rsid w:val="00EC035A"/>
    <w:rsid w:val="00EC0AFB"/>
    <w:rsid w:val="00EC0C8B"/>
    <w:rsid w:val="00EC185C"/>
    <w:rsid w:val="00EC1C43"/>
    <w:rsid w:val="00EC1DB2"/>
    <w:rsid w:val="00EC1FFD"/>
    <w:rsid w:val="00EC234E"/>
    <w:rsid w:val="00EC307C"/>
    <w:rsid w:val="00EC360D"/>
    <w:rsid w:val="00EC3A15"/>
    <w:rsid w:val="00EC3B06"/>
    <w:rsid w:val="00EC3C70"/>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CDE"/>
    <w:rsid w:val="00ED48C4"/>
    <w:rsid w:val="00ED4A83"/>
    <w:rsid w:val="00ED56F3"/>
    <w:rsid w:val="00ED5F2A"/>
    <w:rsid w:val="00ED5F76"/>
    <w:rsid w:val="00ED6A4B"/>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6B5"/>
    <w:rsid w:val="00EE26BF"/>
    <w:rsid w:val="00EE2BB6"/>
    <w:rsid w:val="00EE30C8"/>
    <w:rsid w:val="00EE3AD9"/>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1FF"/>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7DD"/>
    <w:rsid w:val="00F1290B"/>
    <w:rsid w:val="00F13CBD"/>
    <w:rsid w:val="00F13D4C"/>
    <w:rsid w:val="00F13F73"/>
    <w:rsid w:val="00F13FA5"/>
    <w:rsid w:val="00F14C5C"/>
    <w:rsid w:val="00F15332"/>
    <w:rsid w:val="00F1585C"/>
    <w:rsid w:val="00F15BF4"/>
    <w:rsid w:val="00F16304"/>
    <w:rsid w:val="00F16545"/>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10B"/>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035"/>
    <w:rsid w:val="00F41A3D"/>
    <w:rsid w:val="00F41E5C"/>
    <w:rsid w:val="00F42365"/>
    <w:rsid w:val="00F42AEA"/>
    <w:rsid w:val="00F435CB"/>
    <w:rsid w:val="00F45251"/>
    <w:rsid w:val="00F461BA"/>
    <w:rsid w:val="00F46799"/>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18"/>
    <w:rsid w:val="00F60BF6"/>
    <w:rsid w:val="00F60E96"/>
    <w:rsid w:val="00F60F75"/>
    <w:rsid w:val="00F6138E"/>
    <w:rsid w:val="00F6144F"/>
    <w:rsid w:val="00F61646"/>
    <w:rsid w:val="00F61C29"/>
    <w:rsid w:val="00F61D26"/>
    <w:rsid w:val="00F62096"/>
    <w:rsid w:val="00F62975"/>
    <w:rsid w:val="00F65B5C"/>
    <w:rsid w:val="00F65F29"/>
    <w:rsid w:val="00F6612E"/>
    <w:rsid w:val="00F6628B"/>
    <w:rsid w:val="00F66DFA"/>
    <w:rsid w:val="00F67252"/>
    <w:rsid w:val="00F674FC"/>
    <w:rsid w:val="00F679E4"/>
    <w:rsid w:val="00F67D48"/>
    <w:rsid w:val="00F708BD"/>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529"/>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E6D"/>
    <w:rsid w:val="00F87F51"/>
    <w:rsid w:val="00F90061"/>
    <w:rsid w:val="00F90619"/>
    <w:rsid w:val="00F907CF"/>
    <w:rsid w:val="00F90A95"/>
    <w:rsid w:val="00F91949"/>
    <w:rsid w:val="00F91DFD"/>
    <w:rsid w:val="00F9281E"/>
    <w:rsid w:val="00F92963"/>
    <w:rsid w:val="00F93072"/>
    <w:rsid w:val="00F93792"/>
    <w:rsid w:val="00F93825"/>
    <w:rsid w:val="00F93D72"/>
    <w:rsid w:val="00F94059"/>
    <w:rsid w:val="00F945EC"/>
    <w:rsid w:val="00F94A55"/>
    <w:rsid w:val="00F95DDD"/>
    <w:rsid w:val="00F95EAE"/>
    <w:rsid w:val="00F960FC"/>
    <w:rsid w:val="00F96B1B"/>
    <w:rsid w:val="00F9709E"/>
    <w:rsid w:val="00F97D2B"/>
    <w:rsid w:val="00FA046D"/>
    <w:rsid w:val="00FA11CA"/>
    <w:rsid w:val="00FA143F"/>
    <w:rsid w:val="00FA1662"/>
    <w:rsid w:val="00FA1DCF"/>
    <w:rsid w:val="00FA2019"/>
    <w:rsid w:val="00FA2057"/>
    <w:rsid w:val="00FA26AF"/>
    <w:rsid w:val="00FA2A12"/>
    <w:rsid w:val="00FA31C0"/>
    <w:rsid w:val="00FA34B2"/>
    <w:rsid w:val="00FA3787"/>
    <w:rsid w:val="00FA3FE8"/>
    <w:rsid w:val="00FA42F7"/>
    <w:rsid w:val="00FA46DB"/>
    <w:rsid w:val="00FA4BFF"/>
    <w:rsid w:val="00FA6584"/>
    <w:rsid w:val="00FA6793"/>
    <w:rsid w:val="00FA769A"/>
    <w:rsid w:val="00FA7DF3"/>
    <w:rsid w:val="00FB0984"/>
    <w:rsid w:val="00FB2722"/>
    <w:rsid w:val="00FB2F81"/>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6AB"/>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099"/>
    <w:rsid w:val="00FD5525"/>
    <w:rsid w:val="00FD56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E7D86"/>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styleId="Sinespaciado">
    <w:name w:val="No Spacing"/>
    <w:uiPriority w:val="1"/>
    <w:qFormat/>
    <w:rsid w:val="00C20A87"/>
    <w:pPr>
      <w:overflowPunct w:val="0"/>
      <w:autoSpaceDE w:val="0"/>
      <w:autoSpaceDN w:val="0"/>
      <w:adjustRightInd w:val="0"/>
      <w:textAlignment w:val="baseline"/>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6113219">
      <w:bodyDiv w:val="1"/>
      <w:marLeft w:val="0"/>
      <w:marRight w:val="0"/>
      <w:marTop w:val="0"/>
      <w:marBottom w:val="0"/>
      <w:divBdr>
        <w:top w:val="none" w:sz="0" w:space="0" w:color="auto"/>
        <w:left w:val="none" w:sz="0" w:space="0" w:color="auto"/>
        <w:bottom w:val="none" w:sz="0" w:space="0" w:color="auto"/>
        <w:right w:val="none" w:sz="0" w:space="0" w:color="auto"/>
      </w:divBdr>
    </w:div>
    <w:div w:id="355541982">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2FC9-C2E7-42BF-B29D-BABF1B73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3218</Words>
  <Characters>17701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18</cp:revision>
  <cp:lastPrinted>2018-03-22T16:13:00Z</cp:lastPrinted>
  <dcterms:created xsi:type="dcterms:W3CDTF">2018-03-21T12:07:00Z</dcterms:created>
  <dcterms:modified xsi:type="dcterms:W3CDTF">2018-04-09T19:28:00Z</dcterms:modified>
</cp:coreProperties>
</file>