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C7" w:rsidRPr="0054294B" w:rsidRDefault="00162AC7" w:rsidP="00162AC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162AC7" w:rsidRPr="0054294B" w:rsidRDefault="00162AC7" w:rsidP="00162AC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663A1F" w:rsidRDefault="00663A1F"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2"/>
          <w:sz w:val="24"/>
          <w:szCs w:val="24"/>
        </w:rPr>
      </w:pPr>
      <w:bookmarkStart w:id="0" w:name="_GoBack"/>
      <w:bookmarkEnd w:id="0"/>
      <w:r w:rsidRPr="004F2BB5">
        <w:rPr>
          <w:rFonts w:ascii="Verdana" w:hAnsi="Verdana"/>
          <w:b/>
          <w:spacing w:val="-2"/>
          <w:sz w:val="24"/>
          <w:szCs w:val="24"/>
        </w:rPr>
        <w:t>TRIBUNAL SUPERIOR DEL DISTRITO JUDICIAL</w:t>
      </w:r>
    </w:p>
    <w:p w:rsidR="00663A1F" w:rsidRPr="004F2BB5" w:rsidRDefault="00663A1F"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2"/>
          <w:sz w:val="24"/>
          <w:szCs w:val="24"/>
        </w:rPr>
      </w:pPr>
      <w:r w:rsidRPr="004F2BB5">
        <w:rPr>
          <w:rFonts w:ascii="Verdana" w:hAnsi="Verdana"/>
          <w:b/>
          <w:spacing w:val="-2"/>
          <w:sz w:val="24"/>
          <w:szCs w:val="24"/>
        </w:rPr>
        <w:t>SALA DE DECISIÓN CIVIL FAMILIA</w:t>
      </w:r>
    </w:p>
    <w:p w:rsidR="00663A1F" w:rsidRPr="00E843E7" w:rsidRDefault="00663A1F"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3"/>
          <w:szCs w:val="23"/>
        </w:rPr>
      </w:pPr>
    </w:p>
    <w:p w:rsidR="0046710C" w:rsidRDefault="0046710C" w:rsidP="00E843E7">
      <w:pPr>
        <w:spacing w:line="276" w:lineRule="auto"/>
        <w:jc w:val="both"/>
        <w:rPr>
          <w:rFonts w:ascii="Verdana" w:hAnsi="Verdana"/>
          <w:spacing w:val="-2"/>
          <w:sz w:val="24"/>
          <w:szCs w:val="24"/>
        </w:rPr>
      </w:pPr>
      <w:r w:rsidRPr="004F2BB5">
        <w:rPr>
          <w:rFonts w:ascii="Verdana" w:hAnsi="Verdana"/>
          <w:spacing w:val="-2"/>
          <w:sz w:val="24"/>
          <w:szCs w:val="24"/>
        </w:rPr>
        <w:tab/>
        <w:t>Magistrada Ponente: Claudia María Arcila Ríos</w:t>
      </w:r>
    </w:p>
    <w:p w:rsidR="0046710C" w:rsidRDefault="0046710C" w:rsidP="00E843E7">
      <w:pPr>
        <w:spacing w:line="276" w:lineRule="auto"/>
        <w:jc w:val="both"/>
        <w:rPr>
          <w:rFonts w:ascii="Verdana" w:hAnsi="Verdana"/>
          <w:spacing w:val="-2"/>
          <w:sz w:val="24"/>
          <w:szCs w:val="24"/>
        </w:rPr>
      </w:pPr>
      <w:r w:rsidRPr="004F2BB5">
        <w:rPr>
          <w:rFonts w:ascii="Verdana" w:hAnsi="Verdana"/>
          <w:spacing w:val="-2"/>
          <w:sz w:val="24"/>
          <w:szCs w:val="24"/>
        </w:rPr>
        <w:tab/>
        <w:t xml:space="preserve">Pereira, </w:t>
      </w:r>
      <w:r w:rsidR="00A52007" w:rsidRPr="004F2BB5">
        <w:rPr>
          <w:rFonts w:ascii="Verdana" w:hAnsi="Verdana"/>
          <w:spacing w:val="-2"/>
          <w:sz w:val="24"/>
          <w:szCs w:val="24"/>
        </w:rPr>
        <w:t>mayo</w:t>
      </w:r>
      <w:r w:rsidR="00394292">
        <w:rPr>
          <w:rFonts w:ascii="Verdana" w:hAnsi="Verdana"/>
          <w:spacing w:val="-2"/>
          <w:sz w:val="24"/>
          <w:szCs w:val="24"/>
        </w:rPr>
        <w:t xml:space="preserve"> siete</w:t>
      </w:r>
      <w:r w:rsidR="00A52007" w:rsidRPr="004F2BB5">
        <w:rPr>
          <w:rFonts w:ascii="Verdana" w:hAnsi="Verdana"/>
          <w:spacing w:val="-2"/>
          <w:sz w:val="24"/>
          <w:szCs w:val="24"/>
        </w:rPr>
        <w:t xml:space="preserve"> </w:t>
      </w:r>
      <w:r w:rsidR="00D355B4" w:rsidRPr="004F2BB5">
        <w:rPr>
          <w:rFonts w:ascii="Verdana" w:hAnsi="Verdana"/>
          <w:spacing w:val="-2"/>
          <w:sz w:val="24"/>
          <w:szCs w:val="24"/>
        </w:rPr>
        <w:t>(</w:t>
      </w:r>
      <w:r w:rsidR="00394292">
        <w:rPr>
          <w:rFonts w:ascii="Verdana" w:hAnsi="Verdana"/>
          <w:spacing w:val="-2"/>
          <w:sz w:val="24"/>
          <w:szCs w:val="24"/>
        </w:rPr>
        <w:t>7</w:t>
      </w:r>
      <w:r w:rsidR="00D355B4" w:rsidRPr="004F2BB5">
        <w:rPr>
          <w:rFonts w:ascii="Verdana" w:hAnsi="Verdana"/>
          <w:spacing w:val="-2"/>
          <w:sz w:val="24"/>
          <w:szCs w:val="24"/>
        </w:rPr>
        <w:t>) de dos mil dieciocho (2018</w:t>
      </w:r>
      <w:r w:rsidRPr="004F2BB5">
        <w:rPr>
          <w:rFonts w:ascii="Verdana" w:hAnsi="Verdana"/>
          <w:spacing w:val="-2"/>
          <w:sz w:val="24"/>
          <w:szCs w:val="24"/>
        </w:rPr>
        <w:t>)</w:t>
      </w:r>
    </w:p>
    <w:p w:rsidR="0046710C" w:rsidRDefault="0046710C" w:rsidP="00E843E7">
      <w:pPr>
        <w:spacing w:line="276" w:lineRule="auto"/>
        <w:jc w:val="both"/>
        <w:rPr>
          <w:rFonts w:ascii="Verdana" w:hAnsi="Verdana"/>
          <w:spacing w:val="-2"/>
          <w:sz w:val="24"/>
          <w:szCs w:val="24"/>
        </w:rPr>
      </w:pPr>
      <w:r w:rsidRPr="004F2BB5">
        <w:rPr>
          <w:rFonts w:ascii="Verdana" w:hAnsi="Verdana"/>
          <w:spacing w:val="-2"/>
          <w:sz w:val="24"/>
          <w:szCs w:val="24"/>
        </w:rPr>
        <w:tab/>
        <w:t xml:space="preserve">Acta No. </w:t>
      </w:r>
      <w:r w:rsidR="001975F8">
        <w:rPr>
          <w:rFonts w:ascii="Verdana" w:hAnsi="Verdana"/>
          <w:spacing w:val="-2"/>
          <w:sz w:val="24"/>
          <w:szCs w:val="24"/>
        </w:rPr>
        <w:t xml:space="preserve">144 </w:t>
      </w:r>
      <w:r w:rsidRPr="004F2BB5">
        <w:rPr>
          <w:rFonts w:ascii="Verdana" w:hAnsi="Verdana"/>
          <w:spacing w:val="-2"/>
          <w:sz w:val="24"/>
          <w:szCs w:val="24"/>
        </w:rPr>
        <w:t xml:space="preserve">del </w:t>
      </w:r>
      <w:r w:rsidR="001975F8">
        <w:rPr>
          <w:rFonts w:ascii="Verdana" w:hAnsi="Verdana"/>
          <w:spacing w:val="-2"/>
          <w:sz w:val="24"/>
          <w:szCs w:val="24"/>
        </w:rPr>
        <w:t xml:space="preserve">7 </w:t>
      </w:r>
      <w:r w:rsidRPr="004F2BB5">
        <w:rPr>
          <w:rFonts w:ascii="Verdana" w:hAnsi="Verdana"/>
          <w:spacing w:val="-2"/>
          <w:sz w:val="24"/>
          <w:szCs w:val="24"/>
        </w:rPr>
        <w:t xml:space="preserve">de </w:t>
      </w:r>
      <w:r w:rsidR="00A52007" w:rsidRPr="004F2BB5">
        <w:rPr>
          <w:rFonts w:ascii="Verdana" w:hAnsi="Verdana"/>
          <w:spacing w:val="-2"/>
          <w:sz w:val="24"/>
          <w:szCs w:val="24"/>
        </w:rPr>
        <w:t>may</w:t>
      </w:r>
      <w:r w:rsidR="00D355B4" w:rsidRPr="004F2BB5">
        <w:rPr>
          <w:rFonts w:ascii="Verdana" w:hAnsi="Verdana"/>
          <w:spacing w:val="-2"/>
          <w:sz w:val="24"/>
          <w:szCs w:val="24"/>
        </w:rPr>
        <w:t>o de 2018</w:t>
      </w:r>
    </w:p>
    <w:p w:rsidR="00394C86" w:rsidRPr="004F2BB5" w:rsidRDefault="004110A6" w:rsidP="00E843E7">
      <w:pPr>
        <w:spacing w:line="276" w:lineRule="auto"/>
        <w:jc w:val="both"/>
        <w:rPr>
          <w:rFonts w:ascii="Verdana" w:hAnsi="Verdana"/>
          <w:spacing w:val="-2"/>
          <w:sz w:val="24"/>
          <w:szCs w:val="24"/>
          <w:lang w:val="es-ES"/>
        </w:rPr>
      </w:pPr>
      <w:r w:rsidRPr="004F2BB5">
        <w:rPr>
          <w:rFonts w:ascii="Verdana" w:hAnsi="Verdana"/>
          <w:spacing w:val="-2"/>
          <w:sz w:val="24"/>
          <w:szCs w:val="24"/>
        </w:rPr>
        <w:tab/>
      </w:r>
      <w:r w:rsidR="0028203E" w:rsidRPr="004F2BB5">
        <w:rPr>
          <w:rFonts w:ascii="Verdana" w:hAnsi="Verdana"/>
          <w:spacing w:val="-2"/>
          <w:sz w:val="24"/>
          <w:szCs w:val="24"/>
          <w:lang w:val="es-ES"/>
        </w:rPr>
        <w:t>Expediente</w:t>
      </w:r>
      <w:r w:rsidR="00394C86" w:rsidRPr="004F2BB5">
        <w:rPr>
          <w:rFonts w:ascii="Verdana" w:hAnsi="Verdana"/>
          <w:spacing w:val="-2"/>
          <w:sz w:val="24"/>
          <w:szCs w:val="24"/>
          <w:lang w:val="es-ES"/>
        </w:rPr>
        <w:t xml:space="preserve"> </w:t>
      </w:r>
      <w:r w:rsidR="00360863" w:rsidRPr="004F2BB5">
        <w:rPr>
          <w:rFonts w:ascii="Verdana" w:hAnsi="Verdana"/>
          <w:spacing w:val="-2"/>
          <w:sz w:val="24"/>
          <w:szCs w:val="24"/>
          <w:lang w:val="es-ES"/>
        </w:rPr>
        <w:t>No.</w:t>
      </w:r>
      <w:r w:rsidR="00394C86" w:rsidRPr="004F2BB5">
        <w:rPr>
          <w:rFonts w:ascii="Verdana" w:hAnsi="Verdana"/>
          <w:spacing w:val="-2"/>
          <w:sz w:val="24"/>
          <w:szCs w:val="24"/>
          <w:lang w:val="es-ES"/>
        </w:rPr>
        <w:t xml:space="preserve"> 66001-</w:t>
      </w:r>
      <w:r w:rsidR="0066529D" w:rsidRPr="004F2BB5">
        <w:rPr>
          <w:rFonts w:ascii="Verdana" w:hAnsi="Verdana"/>
          <w:spacing w:val="-2"/>
          <w:sz w:val="24"/>
          <w:szCs w:val="24"/>
          <w:lang w:val="es-ES"/>
        </w:rPr>
        <w:t>22-13-000-2018-00186</w:t>
      </w:r>
      <w:r w:rsidR="00394C86" w:rsidRPr="004F2BB5">
        <w:rPr>
          <w:rFonts w:ascii="Verdana" w:hAnsi="Verdana"/>
          <w:spacing w:val="-2"/>
          <w:sz w:val="24"/>
          <w:szCs w:val="24"/>
          <w:lang w:val="es-ES"/>
        </w:rPr>
        <w:t>-00</w:t>
      </w:r>
    </w:p>
    <w:p w:rsidR="00A747F8" w:rsidRPr="00E843E7" w:rsidRDefault="00A747F8" w:rsidP="004F2BB5">
      <w:pPr>
        <w:spacing w:line="336" w:lineRule="auto"/>
        <w:jc w:val="both"/>
        <w:rPr>
          <w:rFonts w:ascii="Verdana" w:hAnsi="Verdana"/>
          <w:spacing w:val="-2"/>
          <w:sz w:val="23"/>
          <w:szCs w:val="23"/>
          <w:lang w:val="es-ES"/>
        </w:rPr>
      </w:pPr>
    </w:p>
    <w:p w:rsidR="00082DF6" w:rsidRPr="004F2BB5" w:rsidRDefault="00E04FA5" w:rsidP="004F2BB5">
      <w:pPr>
        <w:spacing w:line="336" w:lineRule="auto"/>
        <w:jc w:val="both"/>
        <w:rPr>
          <w:rFonts w:ascii="Verdana" w:hAnsi="Verdana"/>
          <w:spacing w:val="-2"/>
          <w:sz w:val="24"/>
          <w:szCs w:val="24"/>
        </w:rPr>
      </w:pPr>
      <w:r w:rsidRPr="004F2BB5">
        <w:rPr>
          <w:rFonts w:ascii="Verdana" w:hAnsi="Verdana"/>
          <w:spacing w:val="-2"/>
          <w:sz w:val="24"/>
          <w:szCs w:val="24"/>
        </w:rPr>
        <w:t>Se decide en primera instancia la acción</w:t>
      </w:r>
      <w:r w:rsidR="00325DB4" w:rsidRPr="004F2BB5">
        <w:rPr>
          <w:rFonts w:ascii="Verdana" w:hAnsi="Verdana"/>
          <w:spacing w:val="-2"/>
          <w:sz w:val="24"/>
          <w:szCs w:val="24"/>
        </w:rPr>
        <w:t xml:space="preserve"> de tut</w:t>
      </w:r>
      <w:r w:rsidRPr="004F2BB5">
        <w:rPr>
          <w:rFonts w:ascii="Verdana" w:hAnsi="Verdana"/>
          <w:spacing w:val="-2"/>
          <w:sz w:val="24"/>
          <w:szCs w:val="24"/>
        </w:rPr>
        <w:t>ela de la referencia, promovida</w:t>
      </w:r>
      <w:r w:rsidR="00325DB4" w:rsidRPr="004F2BB5">
        <w:rPr>
          <w:rFonts w:ascii="Verdana" w:hAnsi="Verdana"/>
          <w:spacing w:val="-2"/>
          <w:sz w:val="24"/>
          <w:szCs w:val="24"/>
        </w:rPr>
        <w:t xml:space="preserve"> por el señor </w:t>
      </w:r>
      <w:r w:rsidR="006F0C7C" w:rsidRPr="004F2BB5">
        <w:rPr>
          <w:rFonts w:ascii="Verdana" w:hAnsi="Verdana"/>
          <w:spacing w:val="-2"/>
          <w:sz w:val="24"/>
          <w:szCs w:val="24"/>
        </w:rPr>
        <w:t>Augusto Becerra Largo</w:t>
      </w:r>
      <w:r w:rsidR="009D3ABF" w:rsidRPr="004F2BB5">
        <w:rPr>
          <w:rFonts w:ascii="Verdana" w:hAnsi="Verdana"/>
          <w:spacing w:val="-2"/>
          <w:sz w:val="24"/>
          <w:szCs w:val="24"/>
        </w:rPr>
        <w:t xml:space="preserve"> contra el Juzgado</w:t>
      </w:r>
      <w:r w:rsidR="006F0C7C" w:rsidRPr="004F2BB5">
        <w:rPr>
          <w:rFonts w:ascii="Verdana" w:hAnsi="Verdana"/>
          <w:spacing w:val="-2"/>
          <w:sz w:val="24"/>
          <w:szCs w:val="24"/>
        </w:rPr>
        <w:t xml:space="preserve"> Promiscuo del Circuito de La Virginia</w:t>
      </w:r>
      <w:r w:rsidR="007C501C" w:rsidRPr="004F2BB5">
        <w:rPr>
          <w:rFonts w:ascii="Verdana" w:hAnsi="Verdana"/>
          <w:spacing w:val="-2"/>
          <w:sz w:val="24"/>
          <w:szCs w:val="24"/>
        </w:rPr>
        <w:t>,</w:t>
      </w:r>
      <w:r w:rsidR="00C61340" w:rsidRPr="004F2BB5">
        <w:rPr>
          <w:rFonts w:ascii="Verdana" w:hAnsi="Verdana"/>
          <w:spacing w:val="-2"/>
          <w:sz w:val="24"/>
          <w:szCs w:val="24"/>
        </w:rPr>
        <w:t xml:space="preserve"> a la que fueron vinculados</w:t>
      </w:r>
      <w:r w:rsidR="00E20373" w:rsidRPr="004F2BB5">
        <w:rPr>
          <w:rFonts w:ascii="Verdana" w:hAnsi="Verdana"/>
          <w:spacing w:val="-2"/>
          <w:sz w:val="24"/>
          <w:szCs w:val="24"/>
        </w:rPr>
        <w:t xml:space="preserve"> el Banco Davivienda,</w:t>
      </w:r>
      <w:r w:rsidR="00FF491D" w:rsidRPr="004F2BB5">
        <w:rPr>
          <w:rFonts w:ascii="Verdana" w:hAnsi="Verdana"/>
          <w:spacing w:val="-2"/>
          <w:sz w:val="24"/>
          <w:szCs w:val="24"/>
        </w:rPr>
        <w:t xml:space="preserve"> </w:t>
      </w:r>
      <w:r w:rsidR="007C501C" w:rsidRPr="004F2BB5">
        <w:rPr>
          <w:rFonts w:ascii="Verdana" w:hAnsi="Verdana"/>
          <w:spacing w:val="-2"/>
          <w:sz w:val="24"/>
          <w:szCs w:val="24"/>
          <w:lang w:val="es-ES"/>
        </w:rPr>
        <w:t>l</w:t>
      </w:r>
      <w:r w:rsidR="00181F84" w:rsidRPr="004F2BB5">
        <w:rPr>
          <w:rFonts w:ascii="Verdana" w:hAnsi="Verdana"/>
          <w:spacing w:val="-2"/>
          <w:sz w:val="24"/>
          <w:szCs w:val="24"/>
          <w:lang w:val="es-ES"/>
        </w:rPr>
        <w:t>as Alcaldías</w:t>
      </w:r>
      <w:r w:rsidR="007C501C" w:rsidRPr="004F2BB5">
        <w:rPr>
          <w:rFonts w:ascii="Verdana" w:hAnsi="Verdana"/>
          <w:spacing w:val="-2"/>
          <w:sz w:val="24"/>
          <w:szCs w:val="24"/>
          <w:lang w:val="es-ES"/>
        </w:rPr>
        <w:t xml:space="preserve"> de </w:t>
      </w:r>
      <w:r w:rsidR="00FF219D" w:rsidRPr="004F2BB5">
        <w:rPr>
          <w:rFonts w:ascii="Verdana" w:hAnsi="Verdana"/>
          <w:spacing w:val="-2"/>
          <w:sz w:val="24"/>
          <w:szCs w:val="24"/>
          <w:lang w:val="es-ES"/>
        </w:rPr>
        <w:t>La Virginia</w:t>
      </w:r>
      <w:r w:rsidR="00181F84" w:rsidRPr="004F2BB5">
        <w:rPr>
          <w:rFonts w:ascii="Verdana" w:hAnsi="Verdana"/>
          <w:spacing w:val="-2"/>
          <w:sz w:val="24"/>
          <w:szCs w:val="24"/>
          <w:lang w:val="es-ES"/>
        </w:rPr>
        <w:t xml:space="preserve"> y de Bogotá</w:t>
      </w:r>
      <w:r w:rsidR="00FF491D" w:rsidRPr="004F2BB5">
        <w:rPr>
          <w:rFonts w:ascii="Verdana" w:hAnsi="Verdana"/>
          <w:spacing w:val="-2"/>
          <w:sz w:val="24"/>
          <w:szCs w:val="24"/>
        </w:rPr>
        <w:t>, la Defensoría del Pueblo</w:t>
      </w:r>
      <w:r w:rsidR="00E20373" w:rsidRPr="004F2BB5">
        <w:rPr>
          <w:rFonts w:ascii="Verdana" w:hAnsi="Verdana"/>
          <w:spacing w:val="-2"/>
          <w:sz w:val="24"/>
          <w:szCs w:val="24"/>
        </w:rPr>
        <w:t xml:space="preserve"> de Bogotá y Risaralda, la Procuraduría General de la Nación</w:t>
      </w:r>
      <w:r w:rsidR="00F93792" w:rsidRPr="004F2BB5">
        <w:rPr>
          <w:rFonts w:ascii="Verdana" w:hAnsi="Verdana"/>
          <w:spacing w:val="-2"/>
          <w:sz w:val="24"/>
          <w:szCs w:val="24"/>
        </w:rPr>
        <w:t xml:space="preserve"> </w:t>
      </w:r>
      <w:r w:rsidR="00082DF6" w:rsidRPr="004F2BB5">
        <w:rPr>
          <w:rFonts w:ascii="Verdana" w:hAnsi="Verdana"/>
          <w:spacing w:val="-2"/>
          <w:sz w:val="24"/>
          <w:szCs w:val="24"/>
        </w:rPr>
        <w:t>y el Ministerio Público Regional Risaralda.</w:t>
      </w:r>
    </w:p>
    <w:p w:rsidR="00082DF6" w:rsidRPr="00E843E7" w:rsidRDefault="00082DF6" w:rsidP="004F2BB5">
      <w:pPr>
        <w:spacing w:line="336" w:lineRule="auto"/>
        <w:jc w:val="both"/>
        <w:rPr>
          <w:rFonts w:ascii="Verdana" w:hAnsi="Verdana"/>
          <w:spacing w:val="-2"/>
          <w:sz w:val="23"/>
          <w:szCs w:val="23"/>
        </w:rPr>
      </w:pPr>
    </w:p>
    <w:p w:rsidR="00325DB4" w:rsidRPr="004F2BB5" w:rsidRDefault="00325DB4" w:rsidP="004F2BB5">
      <w:pPr>
        <w:spacing w:line="336" w:lineRule="auto"/>
        <w:jc w:val="both"/>
        <w:rPr>
          <w:rFonts w:ascii="Verdana" w:hAnsi="Verdana"/>
          <w:b/>
          <w:spacing w:val="-2"/>
          <w:sz w:val="24"/>
          <w:szCs w:val="24"/>
        </w:rPr>
      </w:pPr>
      <w:r w:rsidRPr="004F2BB5">
        <w:rPr>
          <w:rFonts w:ascii="Verdana" w:hAnsi="Verdana"/>
          <w:b/>
          <w:spacing w:val="-2"/>
          <w:sz w:val="24"/>
          <w:szCs w:val="24"/>
        </w:rPr>
        <w:t>A N T E C E D E N T E S</w:t>
      </w:r>
    </w:p>
    <w:p w:rsidR="00325DB4" w:rsidRPr="00E843E7" w:rsidRDefault="00325DB4" w:rsidP="004F2BB5">
      <w:pPr>
        <w:spacing w:line="336" w:lineRule="auto"/>
        <w:jc w:val="both"/>
        <w:rPr>
          <w:rFonts w:ascii="Verdana" w:hAnsi="Verdana"/>
          <w:spacing w:val="-2"/>
          <w:sz w:val="23"/>
          <w:szCs w:val="23"/>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1. Relató el</w:t>
      </w:r>
      <w:r w:rsidR="00D63917" w:rsidRPr="004F2BB5">
        <w:rPr>
          <w:rFonts w:ascii="Verdana" w:hAnsi="Verdana"/>
          <w:spacing w:val="-2"/>
          <w:sz w:val="24"/>
          <w:szCs w:val="24"/>
        </w:rPr>
        <w:t xml:space="preserve"> actor que en la acción popular </w:t>
      </w:r>
      <w:r w:rsidRPr="004F2BB5">
        <w:rPr>
          <w:rFonts w:ascii="Verdana" w:hAnsi="Verdana"/>
          <w:spacing w:val="-2"/>
          <w:sz w:val="24"/>
          <w:szCs w:val="24"/>
        </w:rPr>
        <w:t>radicada bajo el</w:t>
      </w:r>
      <w:r w:rsidR="00D374BC" w:rsidRPr="004F2BB5">
        <w:rPr>
          <w:rFonts w:ascii="Verdana" w:hAnsi="Verdana"/>
          <w:spacing w:val="-2"/>
          <w:sz w:val="24"/>
          <w:szCs w:val="24"/>
        </w:rPr>
        <w:t xml:space="preserve"> No. “2018-39</w:t>
      </w:r>
      <w:r w:rsidRPr="004F2BB5">
        <w:rPr>
          <w:rFonts w:ascii="Verdana" w:hAnsi="Verdana"/>
          <w:spacing w:val="-2"/>
          <w:sz w:val="24"/>
          <w:szCs w:val="24"/>
        </w:rPr>
        <w:t>”</w:t>
      </w:r>
      <w:r w:rsidRPr="004F2BB5">
        <w:rPr>
          <w:rFonts w:ascii="Verdana" w:hAnsi="Verdana"/>
          <w:spacing w:val="-2"/>
          <w:sz w:val="24"/>
          <w:szCs w:val="23"/>
          <w:lang w:val="es-CO"/>
        </w:rPr>
        <w:t xml:space="preserve">, </w:t>
      </w:r>
      <w:r w:rsidR="00D63917" w:rsidRPr="004F2BB5">
        <w:rPr>
          <w:rFonts w:ascii="Verdana" w:hAnsi="Verdana"/>
          <w:spacing w:val="-2"/>
          <w:sz w:val="24"/>
          <w:szCs w:val="23"/>
          <w:lang w:val="es-CO"/>
        </w:rPr>
        <w:t xml:space="preserve">en la que actúa, </w:t>
      </w:r>
      <w:r w:rsidRPr="004F2BB5">
        <w:rPr>
          <w:rFonts w:ascii="Verdana" w:hAnsi="Verdana"/>
          <w:spacing w:val="-2"/>
          <w:sz w:val="24"/>
          <w:szCs w:val="24"/>
        </w:rPr>
        <w:t>el juzgado accionado</w:t>
      </w:r>
      <w:r w:rsidR="0027619E" w:rsidRPr="004F2BB5">
        <w:rPr>
          <w:rFonts w:ascii="Verdana" w:hAnsi="Verdana"/>
          <w:spacing w:val="-2"/>
          <w:sz w:val="24"/>
          <w:szCs w:val="24"/>
        </w:rPr>
        <w:t xml:space="preserve"> </w:t>
      </w:r>
      <w:r w:rsidR="00590012" w:rsidRPr="004F2BB5">
        <w:rPr>
          <w:rFonts w:ascii="Verdana" w:hAnsi="Verdana"/>
          <w:spacing w:val="-2"/>
          <w:sz w:val="24"/>
          <w:szCs w:val="24"/>
        </w:rPr>
        <w:t>se negó a conceder el amparo de pobreza que solicit</w:t>
      </w:r>
      <w:r w:rsidR="001C3247" w:rsidRPr="004F2BB5">
        <w:rPr>
          <w:rFonts w:ascii="Verdana" w:hAnsi="Verdana"/>
          <w:spacing w:val="-2"/>
          <w:sz w:val="24"/>
          <w:szCs w:val="24"/>
        </w:rPr>
        <w:t>ó</w:t>
      </w:r>
      <w:r w:rsidR="00BB44B2" w:rsidRPr="004F2BB5">
        <w:rPr>
          <w:rFonts w:ascii="Verdana" w:hAnsi="Verdana"/>
          <w:spacing w:val="-2"/>
          <w:sz w:val="24"/>
          <w:szCs w:val="24"/>
        </w:rPr>
        <w:t xml:space="preserve"> para que “se informe a la comunidad”</w:t>
      </w:r>
      <w:r w:rsidR="00590012" w:rsidRPr="004F2BB5">
        <w:rPr>
          <w:rFonts w:ascii="Verdana" w:hAnsi="Verdana"/>
          <w:spacing w:val="-2"/>
          <w:sz w:val="24"/>
          <w:szCs w:val="24"/>
        </w:rPr>
        <w:t>, a pesar de que a ello sí procedió en otras acciones populares</w:t>
      </w:r>
      <w:r w:rsidR="00016D57" w:rsidRPr="004F2BB5">
        <w:rPr>
          <w:rFonts w:ascii="Verdana" w:hAnsi="Verdana"/>
          <w:spacing w:val="-2"/>
          <w:sz w:val="24"/>
          <w:szCs w:val="24"/>
        </w:rPr>
        <w:t>.</w:t>
      </w:r>
    </w:p>
    <w:p w:rsidR="00C867B3" w:rsidRPr="00E843E7" w:rsidRDefault="00C867B3" w:rsidP="004F2BB5">
      <w:pPr>
        <w:spacing w:line="336" w:lineRule="auto"/>
        <w:jc w:val="both"/>
        <w:rPr>
          <w:rFonts w:ascii="Verdana" w:hAnsi="Verdana"/>
          <w:spacing w:val="-2"/>
          <w:sz w:val="23"/>
          <w:szCs w:val="23"/>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2. Considera lesionados sus </w:t>
      </w:r>
      <w:r w:rsidR="0083776E" w:rsidRPr="004F2BB5">
        <w:rPr>
          <w:rFonts w:ascii="Verdana" w:hAnsi="Verdana"/>
          <w:spacing w:val="-2"/>
          <w:sz w:val="24"/>
          <w:szCs w:val="24"/>
        </w:rPr>
        <w:t xml:space="preserve">derechos a la igualdad y </w:t>
      </w:r>
      <w:r w:rsidRPr="004F2BB5">
        <w:rPr>
          <w:rFonts w:ascii="Verdana" w:hAnsi="Verdana"/>
          <w:spacing w:val="-2"/>
          <w:sz w:val="24"/>
          <w:szCs w:val="24"/>
        </w:rPr>
        <w:t>al principio de la presunción de buena fe. Para su protección</w:t>
      </w:r>
      <w:r w:rsidR="00FC143E" w:rsidRPr="004F2BB5">
        <w:rPr>
          <w:rFonts w:ascii="Verdana" w:hAnsi="Verdana"/>
          <w:spacing w:val="-2"/>
          <w:sz w:val="24"/>
          <w:szCs w:val="24"/>
        </w:rPr>
        <w:t>,</w:t>
      </w:r>
      <w:r w:rsidRPr="004F2BB5">
        <w:rPr>
          <w:rFonts w:ascii="Verdana" w:hAnsi="Verdana"/>
          <w:spacing w:val="-2"/>
          <w:sz w:val="24"/>
          <w:szCs w:val="24"/>
        </w:rPr>
        <w:t xml:space="preserve"> solicita</w:t>
      </w:r>
      <w:r w:rsidR="0024004C" w:rsidRPr="004F2BB5">
        <w:rPr>
          <w:rFonts w:ascii="Verdana" w:hAnsi="Verdana"/>
          <w:spacing w:val="-2"/>
          <w:sz w:val="24"/>
          <w:szCs w:val="24"/>
        </w:rPr>
        <w:t xml:space="preserve"> se ordene</w:t>
      </w:r>
      <w:r w:rsidR="00BB44B2" w:rsidRPr="004F2BB5">
        <w:rPr>
          <w:rFonts w:ascii="Verdana" w:hAnsi="Verdana"/>
          <w:spacing w:val="-2"/>
          <w:sz w:val="24"/>
          <w:szCs w:val="24"/>
        </w:rPr>
        <w:t xml:space="preserve"> al juzgado accionado</w:t>
      </w:r>
      <w:r w:rsidR="00CF3198" w:rsidRPr="004F2BB5">
        <w:rPr>
          <w:rFonts w:ascii="Verdana" w:hAnsi="Verdana"/>
          <w:spacing w:val="-2"/>
          <w:sz w:val="24"/>
          <w:szCs w:val="24"/>
        </w:rPr>
        <w:t xml:space="preserve">: a) </w:t>
      </w:r>
      <w:r w:rsidR="005D5373" w:rsidRPr="004F2BB5">
        <w:rPr>
          <w:rFonts w:ascii="Verdana" w:hAnsi="Verdana"/>
          <w:spacing w:val="-2"/>
          <w:sz w:val="24"/>
          <w:szCs w:val="24"/>
        </w:rPr>
        <w:t>informar</w:t>
      </w:r>
      <w:r w:rsidR="00BB44B2" w:rsidRPr="004F2BB5">
        <w:rPr>
          <w:rFonts w:ascii="Verdana" w:hAnsi="Verdana"/>
          <w:spacing w:val="-2"/>
          <w:sz w:val="24"/>
          <w:szCs w:val="24"/>
        </w:rPr>
        <w:t xml:space="preserve"> a la comunidad de la existencia de la acción popular; b) otorgar el amparo</w:t>
      </w:r>
      <w:r w:rsidR="00D1473E" w:rsidRPr="004F2BB5">
        <w:rPr>
          <w:rFonts w:ascii="Verdana" w:hAnsi="Verdana"/>
          <w:spacing w:val="-2"/>
          <w:sz w:val="24"/>
          <w:szCs w:val="24"/>
        </w:rPr>
        <w:t xml:space="preserve"> de pobreza</w:t>
      </w:r>
      <w:r w:rsidR="005D5373" w:rsidRPr="004F2BB5">
        <w:rPr>
          <w:rFonts w:ascii="Verdana" w:hAnsi="Verdana"/>
          <w:spacing w:val="-2"/>
          <w:sz w:val="24"/>
          <w:szCs w:val="24"/>
        </w:rPr>
        <w:t xml:space="preserve"> </w:t>
      </w:r>
      <w:r w:rsidR="00D1473E" w:rsidRPr="004F2BB5">
        <w:rPr>
          <w:rFonts w:ascii="Verdana" w:hAnsi="Verdana"/>
          <w:spacing w:val="-2"/>
          <w:sz w:val="24"/>
          <w:szCs w:val="24"/>
        </w:rPr>
        <w:t>y c</w:t>
      </w:r>
      <w:r w:rsidR="0024004C" w:rsidRPr="004F2BB5">
        <w:rPr>
          <w:rFonts w:ascii="Verdana" w:hAnsi="Verdana"/>
          <w:spacing w:val="-2"/>
          <w:sz w:val="24"/>
          <w:szCs w:val="24"/>
        </w:rPr>
        <w:t xml:space="preserve">) </w:t>
      </w:r>
      <w:r w:rsidR="00DE78E3" w:rsidRPr="004F2BB5">
        <w:rPr>
          <w:rFonts w:ascii="Verdana" w:hAnsi="Verdana"/>
          <w:spacing w:val="-2"/>
          <w:sz w:val="24"/>
          <w:szCs w:val="24"/>
        </w:rPr>
        <w:t>aplicar</w:t>
      </w:r>
      <w:r w:rsidR="00D1473E" w:rsidRPr="004F2BB5">
        <w:rPr>
          <w:rFonts w:ascii="Verdana" w:hAnsi="Verdana"/>
          <w:spacing w:val="-2"/>
          <w:sz w:val="24"/>
          <w:szCs w:val="24"/>
        </w:rPr>
        <w:t xml:space="preserve"> los artículos 8º y 42 del Código General del Proceso</w:t>
      </w:r>
      <w:r w:rsidRPr="004F2BB5">
        <w:rPr>
          <w:rFonts w:ascii="Verdana" w:hAnsi="Verdana"/>
          <w:spacing w:val="-2"/>
          <w:sz w:val="24"/>
          <w:szCs w:val="24"/>
        </w:rPr>
        <w:t>.</w:t>
      </w:r>
    </w:p>
    <w:p w:rsidR="00016D57" w:rsidRPr="00E843E7" w:rsidRDefault="00016D57" w:rsidP="004F2BB5">
      <w:pPr>
        <w:spacing w:line="336" w:lineRule="auto"/>
        <w:jc w:val="both"/>
        <w:rPr>
          <w:rFonts w:ascii="Verdana" w:hAnsi="Verdana"/>
          <w:spacing w:val="-2"/>
          <w:sz w:val="23"/>
          <w:szCs w:val="23"/>
        </w:rPr>
      </w:pPr>
    </w:p>
    <w:p w:rsidR="00C867B3" w:rsidRPr="004F2BB5" w:rsidRDefault="00C867B3" w:rsidP="004F2BB5">
      <w:pPr>
        <w:spacing w:line="336" w:lineRule="auto"/>
        <w:jc w:val="both"/>
        <w:rPr>
          <w:rFonts w:ascii="Verdana" w:hAnsi="Verdana"/>
          <w:b/>
          <w:spacing w:val="-2"/>
          <w:sz w:val="24"/>
          <w:szCs w:val="24"/>
        </w:rPr>
      </w:pPr>
      <w:r w:rsidRPr="004F2BB5">
        <w:rPr>
          <w:rFonts w:ascii="Verdana" w:hAnsi="Verdana"/>
          <w:b/>
          <w:spacing w:val="-2"/>
          <w:sz w:val="24"/>
          <w:szCs w:val="24"/>
        </w:rPr>
        <w:t>ACTUACIÓN PROCESAL</w:t>
      </w:r>
    </w:p>
    <w:p w:rsidR="00C867B3" w:rsidRPr="00E843E7" w:rsidRDefault="00C867B3" w:rsidP="004F2BB5">
      <w:pPr>
        <w:spacing w:line="336" w:lineRule="auto"/>
        <w:jc w:val="both"/>
        <w:rPr>
          <w:rFonts w:ascii="Verdana" w:hAnsi="Verdana"/>
          <w:spacing w:val="-2"/>
          <w:sz w:val="23"/>
          <w:szCs w:val="23"/>
        </w:rPr>
      </w:pPr>
    </w:p>
    <w:p w:rsidR="004D60BE"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1. Mediante proveído </w:t>
      </w:r>
      <w:r w:rsidR="007B7AAF" w:rsidRPr="004F2BB5">
        <w:rPr>
          <w:rFonts w:ascii="Verdana" w:hAnsi="Verdana"/>
          <w:spacing w:val="-2"/>
          <w:sz w:val="24"/>
          <w:szCs w:val="24"/>
        </w:rPr>
        <w:t>del 23</w:t>
      </w:r>
      <w:r w:rsidRPr="004F2BB5">
        <w:rPr>
          <w:rFonts w:ascii="Verdana" w:hAnsi="Verdana"/>
          <w:spacing w:val="-2"/>
          <w:sz w:val="24"/>
          <w:szCs w:val="24"/>
        </w:rPr>
        <w:t xml:space="preserve"> de </w:t>
      </w:r>
      <w:r w:rsidR="00433136" w:rsidRPr="004F2BB5">
        <w:rPr>
          <w:rFonts w:ascii="Verdana" w:hAnsi="Verdana"/>
          <w:spacing w:val="-2"/>
          <w:sz w:val="24"/>
          <w:szCs w:val="24"/>
        </w:rPr>
        <w:t>abril</w:t>
      </w:r>
      <w:r w:rsidRPr="004F2BB5">
        <w:rPr>
          <w:rFonts w:ascii="Verdana" w:hAnsi="Verdana"/>
          <w:spacing w:val="-2"/>
          <w:sz w:val="24"/>
          <w:szCs w:val="24"/>
        </w:rPr>
        <w:t xml:space="preserve"> último se admitió la tutela y se ordenó vincular a la Alcaldía de</w:t>
      </w:r>
      <w:r w:rsidR="007B7AAF" w:rsidRPr="004F2BB5">
        <w:rPr>
          <w:rFonts w:ascii="Verdana" w:hAnsi="Verdana"/>
          <w:spacing w:val="-2"/>
          <w:sz w:val="24"/>
          <w:szCs w:val="24"/>
        </w:rPr>
        <w:t xml:space="preserve"> </w:t>
      </w:r>
      <w:r w:rsidR="00181F84" w:rsidRPr="004F2BB5">
        <w:rPr>
          <w:rFonts w:ascii="Verdana" w:hAnsi="Verdana"/>
          <w:spacing w:val="-2"/>
          <w:sz w:val="24"/>
          <w:szCs w:val="24"/>
        </w:rPr>
        <w:t>La Virginia</w:t>
      </w:r>
      <w:r w:rsidRPr="004F2BB5">
        <w:rPr>
          <w:rFonts w:ascii="Verdana" w:hAnsi="Verdana"/>
          <w:spacing w:val="-2"/>
          <w:sz w:val="24"/>
          <w:szCs w:val="24"/>
        </w:rPr>
        <w:t>, al Procurador y al Defensor del Pueblo, ambos de la Regional Risaralda. También a</w:t>
      </w:r>
      <w:r w:rsidR="00BD3916" w:rsidRPr="004F2BB5">
        <w:rPr>
          <w:rFonts w:ascii="Verdana" w:hAnsi="Verdana"/>
          <w:spacing w:val="-2"/>
          <w:sz w:val="24"/>
          <w:szCs w:val="24"/>
        </w:rPr>
        <w:t xml:space="preserve">l </w:t>
      </w:r>
      <w:r w:rsidR="004D60BE" w:rsidRPr="004F2BB5">
        <w:rPr>
          <w:rFonts w:ascii="Verdana" w:hAnsi="Verdana"/>
          <w:spacing w:val="-2"/>
          <w:sz w:val="24"/>
          <w:szCs w:val="24"/>
        </w:rPr>
        <w:t xml:space="preserve">Banco Davivienda, </w:t>
      </w:r>
      <w:r w:rsidR="004D60BE" w:rsidRPr="004F2BB5">
        <w:rPr>
          <w:rFonts w:ascii="Verdana" w:hAnsi="Verdana"/>
          <w:spacing w:val="-2"/>
          <w:sz w:val="24"/>
          <w:szCs w:val="24"/>
          <w:lang w:val="es-ES"/>
        </w:rPr>
        <w:t>la Alcald</w:t>
      </w:r>
      <w:r w:rsidR="00591978" w:rsidRPr="004F2BB5">
        <w:rPr>
          <w:rFonts w:ascii="Verdana" w:hAnsi="Verdana"/>
          <w:spacing w:val="-2"/>
          <w:sz w:val="24"/>
          <w:szCs w:val="24"/>
          <w:lang w:val="es-ES"/>
        </w:rPr>
        <w:t>ía</w:t>
      </w:r>
      <w:r w:rsidR="004D60BE" w:rsidRPr="004F2BB5">
        <w:rPr>
          <w:rFonts w:ascii="Verdana" w:hAnsi="Verdana"/>
          <w:spacing w:val="-2"/>
          <w:sz w:val="24"/>
          <w:szCs w:val="24"/>
          <w:lang w:val="es-ES"/>
        </w:rPr>
        <w:t xml:space="preserve"> de Bogotá</w:t>
      </w:r>
      <w:r w:rsidR="004D60BE" w:rsidRPr="004F2BB5">
        <w:rPr>
          <w:rFonts w:ascii="Verdana" w:hAnsi="Verdana"/>
          <w:spacing w:val="-2"/>
          <w:sz w:val="24"/>
          <w:szCs w:val="24"/>
        </w:rPr>
        <w:t>, la Defensoría del Pueblo de esa ciudad y la Procuraduría General de la Nación.</w:t>
      </w:r>
    </w:p>
    <w:p w:rsidR="00E843E7" w:rsidRPr="00E843E7" w:rsidRDefault="00E843E7" w:rsidP="004F2BB5">
      <w:pPr>
        <w:spacing w:line="336" w:lineRule="auto"/>
        <w:jc w:val="both"/>
        <w:rPr>
          <w:rFonts w:ascii="Verdana" w:hAnsi="Verdana"/>
          <w:spacing w:val="-2"/>
          <w:sz w:val="23"/>
          <w:szCs w:val="23"/>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lastRenderedPageBreak/>
        <w:t>2. En el trámite de esta instancia, se produjeron los siguientes pronunciamientos:</w:t>
      </w:r>
    </w:p>
    <w:p w:rsidR="00C867B3" w:rsidRPr="004F2BB5" w:rsidRDefault="00F154C3"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2.1 </w:t>
      </w:r>
      <w:r w:rsidR="00BE0413" w:rsidRPr="004F2BB5">
        <w:rPr>
          <w:rFonts w:ascii="Verdana" w:hAnsi="Verdana"/>
          <w:spacing w:val="-2"/>
          <w:sz w:val="24"/>
          <w:szCs w:val="24"/>
        </w:rPr>
        <w:t>La Asesora G-19 de la Procuradu</w:t>
      </w:r>
      <w:r w:rsidR="00C867B3" w:rsidRPr="004F2BB5">
        <w:rPr>
          <w:rFonts w:ascii="Verdana" w:hAnsi="Verdana"/>
          <w:spacing w:val="-2"/>
          <w:sz w:val="24"/>
          <w:szCs w:val="24"/>
        </w:rPr>
        <w:t>r</w:t>
      </w:r>
      <w:r w:rsidR="00BE0413" w:rsidRPr="004F2BB5">
        <w:rPr>
          <w:rFonts w:ascii="Verdana" w:hAnsi="Verdana"/>
          <w:spacing w:val="-2"/>
          <w:sz w:val="24"/>
          <w:szCs w:val="24"/>
        </w:rPr>
        <w:t>ía</w:t>
      </w:r>
      <w:r w:rsidR="00C867B3" w:rsidRPr="004F2BB5">
        <w:rPr>
          <w:rFonts w:ascii="Verdana" w:hAnsi="Verdana"/>
          <w:spacing w:val="-2"/>
          <w:sz w:val="24"/>
          <w:szCs w:val="24"/>
        </w:rPr>
        <w:t xml:space="preserve">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1006EF" w:rsidRPr="009F48B4" w:rsidRDefault="001006EF" w:rsidP="004F2BB5">
      <w:pPr>
        <w:spacing w:line="336" w:lineRule="auto"/>
        <w:jc w:val="both"/>
        <w:rPr>
          <w:rFonts w:ascii="Verdana" w:hAnsi="Verdana"/>
          <w:spacing w:val="-2"/>
          <w:sz w:val="21"/>
          <w:szCs w:val="21"/>
        </w:rPr>
      </w:pPr>
    </w:p>
    <w:p w:rsidR="001006EF" w:rsidRPr="004F2BB5" w:rsidRDefault="00BC48F9" w:rsidP="004F2BB5">
      <w:pPr>
        <w:spacing w:line="336" w:lineRule="auto"/>
        <w:jc w:val="both"/>
        <w:rPr>
          <w:rFonts w:ascii="Verdana" w:hAnsi="Verdana"/>
          <w:spacing w:val="-2"/>
          <w:sz w:val="24"/>
          <w:szCs w:val="24"/>
        </w:rPr>
      </w:pPr>
      <w:r w:rsidRPr="004F2BB5">
        <w:rPr>
          <w:rFonts w:ascii="Verdana" w:hAnsi="Verdana"/>
          <w:spacing w:val="-2"/>
          <w:sz w:val="24"/>
          <w:szCs w:val="24"/>
        </w:rPr>
        <w:t>2.2</w:t>
      </w:r>
      <w:r w:rsidR="001006EF" w:rsidRPr="004F2BB5">
        <w:rPr>
          <w:rFonts w:ascii="Verdana" w:hAnsi="Verdana"/>
          <w:spacing w:val="-2"/>
          <w:sz w:val="24"/>
          <w:szCs w:val="24"/>
        </w:rPr>
        <w:t xml:space="preserve"> </w:t>
      </w:r>
      <w:r w:rsidRPr="004F2BB5">
        <w:rPr>
          <w:rFonts w:ascii="Verdana" w:hAnsi="Verdana"/>
          <w:spacing w:val="-2"/>
          <w:sz w:val="24"/>
          <w:szCs w:val="24"/>
        </w:rPr>
        <w:t xml:space="preserve">La titular del juzgado demandado informó que mediante auto del 19 de abril último, se resolvió la solicitud </w:t>
      </w:r>
      <w:r w:rsidR="00A160DD" w:rsidRPr="004F2BB5">
        <w:rPr>
          <w:rFonts w:ascii="Verdana" w:hAnsi="Verdana"/>
          <w:spacing w:val="-2"/>
          <w:sz w:val="24"/>
          <w:szCs w:val="24"/>
        </w:rPr>
        <w:t>de amparo de pobreza elevada por el actor, en el sentido de que</w:t>
      </w:r>
      <w:r w:rsidR="00524EBF" w:rsidRPr="004F2BB5">
        <w:rPr>
          <w:rFonts w:ascii="Verdana" w:hAnsi="Verdana"/>
          <w:spacing w:val="-2"/>
          <w:sz w:val="24"/>
          <w:szCs w:val="24"/>
        </w:rPr>
        <w:t xml:space="preserve"> es</w:t>
      </w:r>
      <w:r w:rsidR="00A160DD" w:rsidRPr="004F2BB5">
        <w:rPr>
          <w:rFonts w:ascii="Verdana" w:hAnsi="Verdana"/>
          <w:spacing w:val="-2"/>
          <w:sz w:val="24"/>
          <w:szCs w:val="24"/>
        </w:rPr>
        <w:t xml:space="preserve"> al accionante</w:t>
      </w:r>
      <w:r w:rsidR="00524EBF" w:rsidRPr="004F2BB5">
        <w:rPr>
          <w:rFonts w:ascii="Verdana" w:hAnsi="Verdana"/>
          <w:spacing w:val="-2"/>
          <w:sz w:val="24"/>
          <w:szCs w:val="24"/>
        </w:rPr>
        <w:t xml:space="preserve"> al que</w:t>
      </w:r>
      <w:r w:rsidR="00A160DD" w:rsidRPr="004F2BB5">
        <w:rPr>
          <w:rFonts w:ascii="Verdana" w:hAnsi="Verdana"/>
          <w:spacing w:val="-2"/>
          <w:sz w:val="24"/>
          <w:szCs w:val="24"/>
        </w:rPr>
        <w:t xml:space="preserve"> </w:t>
      </w:r>
      <w:r w:rsidR="00524EBF" w:rsidRPr="004F2BB5">
        <w:rPr>
          <w:rFonts w:ascii="Verdana" w:hAnsi="Verdana"/>
          <w:spacing w:val="-2"/>
          <w:sz w:val="24"/>
          <w:szCs w:val="24"/>
        </w:rPr>
        <w:t xml:space="preserve">le </w:t>
      </w:r>
      <w:r w:rsidR="00A160DD" w:rsidRPr="004F2BB5">
        <w:rPr>
          <w:rFonts w:ascii="Verdana" w:hAnsi="Verdana"/>
          <w:spacing w:val="-2"/>
          <w:sz w:val="24"/>
          <w:szCs w:val="24"/>
        </w:rPr>
        <w:t xml:space="preserve">corresponde acudir al Fondo para la Defensa de los Derechos e Intereses Colectivos, para que allí </w:t>
      </w:r>
      <w:r w:rsidR="00D6618A" w:rsidRPr="004F2BB5">
        <w:rPr>
          <w:rFonts w:ascii="Verdana" w:hAnsi="Verdana"/>
          <w:spacing w:val="-2"/>
          <w:sz w:val="24"/>
          <w:szCs w:val="24"/>
        </w:rPr>
        <w:t>se determine la procedenci</w:t>
      </w:r>
      <w:r w:rsidR="0015520E" w:rsidRPr="004F2BB5">
        <w:rPr>
          <w:rFonts w:ascii="Verdana" w:hAnsi="Verdana"/>
          <w:spacing w:val="-2"/>
          <w:sz w:val="24"/>
          <w:szCs w:val="24"/>
        </w:rPr>
        <w:t>a del financiamiento de</w:t>
      </w:r>
      <w:r w:rsidR="007F5AD5" w:rsidRPr="004F2BB5">
        <w:rPr>
          <w:rFonts w:ascii="Verdana" w:hAnsi="Verdana"/>
          <w:spacing w:val="-2"/>
          <w:sz w:val="24"/>
          <w:szCs w:val="24"/>
        </w:rPr>
        <w:t xml:space="preserve"> sus peticiones</w:t>
      </w:r>
      <w:r w:rsidR="00017A09" w:rsidRPr="004F2BB5">
        <w:rPr>
          <w:rFonts w:ascii="Verdana" w:hAnsi="Verdana"/>
          <w:spacing w:val="-2"/>
          <w:sz w:val="24"/>
          <w:szCs w:val="24"/>
        </w:rPr>
        <w:t>.</w:t>
      </w:r>
      <w:r w:rsidR="007F5AD5" w:rsidRPr="004F2BB5">
        <w:rPr>
          <w:rFonts w:ascii="Verdana" w:hAnsi="Verdana"/>
          <w:spacing w:val="-2"/>
          <w:sz w:val="24"/>
          <w:szCs w:val="24"/>
        </w:rPr>
        <w:t xml:space="preserve"> </w:t>
      </w:r>
      <w:r w:rsidR="00591FDC" w:rsidRPr="004F2BB5">
        <w:rPr>
          <w:rFonts w:ascii="Verdana" w:hAnsi="Verdana"/>
          <w:spacing w:val="-2"/>
          <w:sz w:val="24"/>
          <w:szCs w:val="24"/>
        </w:rPr>
        <w:t>Se opuso a las pretensiones de la demanda.</w:t>
      </w:r>
    </w:p>
    <w:p w:rsidR="00E7536E" w:rsidRPr="009F48B4" w:rsidRDefault="00E7536E" w:rsidP="004F2BB5">
      <w:pPr>
        <w:spacing w:line="336" w:lineRule="auto"/>
        <w:jc w:val="both"/>
        <w:rPr>
          <w:rFonts w:ascii="Verdana" w:hAnsi="Verdana"/>
          <w:spacing w:val="-2"/>
          <w:sz w:val="21"/>
          <w:szCs w:val="21"/>
        </w:rPr>
      </w:pPr>
    </w:p>
    <w:p w:rsidR="00E7536E" w:rsidRDefault="00E7536E"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2.3 El representante legal para efectos jurídicos del Banco Davivienda </w:t>
      </w:r>
      <w:r w:rsidR="00081EB8" w:rsidRPr="004F2BB5">
        <w:rPr>
          <w:rFonts w:ascii="Verdana" w:hAnsi="Verdana"/>
          <w:spacing w:val="-2"/>
          <w:sz w:val="24"/>
          <w:szCs w:val="24"/>
        </w:rPr>
        <w:t xml:space="preserve">solicitó se negara el amparo ya que la acción de tutela no es el medio idóneo para declarar o extinguir obligaciones o derechos de carácter económico. </w:t>
      </w:r>
    </w:p>
    <w:p w:rsidR="001975F8" w:rsidRPr="009F48B4" w:rsidRDefault="001975F8" w:rsidP="004F2BB5">
      <w:pPr>
        <w:spacing w:line="336" w:lineRule="auto"/>
        <w:jc w:val="both"/>
        <w:rPr>
          <w:rFonts w:ascii="Verdana" w:hAnsi="Verdana"/>
          <w:spacing w:val="-2"/>
          <w:sz w:val="21"/>
          <w:szCs w:val="21"/>
        </w:rPr>
      </w:pPr>
    </w:p>
    <w:p w:rsidR="001975F8" w:rsidRPr="004F2BB5" w:rsidRDefault="001975F8" w:rsidP="004F2BB5">
      <w:pPr>
        <w:spacing w:line="336" w:lineRule="auto"/>
        <w:jc w:val="both"/>
        <w:rPr>
          <w:rFonts w:ascii="Verdana" w:hAnsi="Verdana"/>
          <w:spacing w:val="-2"/>
          <w:sz w:val="24"/>
          <w:szCs w:val="24"/>
        </w:rPr>
      </w:pPr>
      <w:r>
        <w:rPr>
          <w:rFonts w:ascii="Verdana" w:hAnsi="Verdana"/>
          <w:spacing w:val="-2"/>
          <w:sz w:val="24"/>
          <w:szCs w:val="24"/>
        </w:rPr>
        <w:t xml:space="preserve">2.4 </w:t>
      </w:r>
      <w:r w:rsidR="00471279">
        <w:rPr>
          <w:rFonts w:ascii="Verdana" w:hAnsi="Verdana"/>
          <w:spacing w:val="-2"/>
          <w:sz w:val="24"/>
          <w:szCs w:val="24"/>
        </w:rPr>
        <w:t>La</w:t>
      </w:r>
      <w:r w:rsidRPr="001975F8">
        <w:rPr>
          <w:rFonts w:ascii="Verdana" w:hAnsi="Verdana"/>
          <w:spacing w:val="-2"/>
          <w:sz w:val="24"/>
          <w:szCs w:val="24"/>
        </w:rPr>
        <w:t xml:space="preserve"> Directora Distrital de Defensa Judicial y Prevención del Daño Antijurídico de la Secretaría Distrital de Bogotá expresó que ese ente territorial es ajeno a la actuación desplegada por el Juzgado accionado, razón por la cual carece de legitimación en la causa por pasiva y tampoco se da la causalidad jurídica.</w:t>
      </w:r>
    </w:p>
    <w:p w:rsidR="00E86DB8" w:rsidRPr="009F48B4" w:rsidRDefault="00E86DB8" w:rsidP="004F2BB5">
      <w:pPr>
        <w:spacing w:line="336" w:lineRule="auto"/>
        <w:jc w:val="both"/>
        <w:rPr>
          <w:rFonts w:ascii="Verdana" w:hAnsi="Verdana"/>
          <w:spacing w:val="-2"/>
          <w:sz w:val="21"/>
          <w:szCs w:val="21"/>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3. Los demás vinculados guardaron silencio.</w:t>
      </w:r>
    </w:p>
    <w:p w:rsidR="008F02E2" w:rsidRPr="009F48B4" w:rsidRDefault="008F02E2" w:rsidP="004F2BB5">
      <w:pPr>
        <w:spacing w:line="336" w:lineRule="auto"/>
        <w:jc w:val="both"/>
        <w:rPr>
          <w:rFonts w:ascii="Verdana" w:hAnsi="Verdana"/>
          <w:spacing w:val="-2"/>
          <w:sz w:val="21"/>
          <w:szCs w:val="21"/>
        </w:rPr>
      </w:pPr>
    </w:p>
    <w:p w:rsidR="00C867B3" w:rsidRPr="004F2BB5" w:rsidRDefault="00C867B3" w:rsidP="004F2BB5">
      <w:pPr>
        <w:spacing w:line="336" w:lineRule="auto"/>
        <w:jc w:val="both"/>
        <w:rPr>
          <w:rFonts w:ascii="Verdana" w:hAnsi="Verdana"/>
          <w:b/>
          <w:spacing w:val="-2"/>
          <w:sz w:val="24"/>
          <w:szCs w:val="24"/>
        </w:rPr>
      </w:pPr>
      <w:r w:rsidRPr="004F2BB5">
        <w:rPr>
          <w:rFonts w:ascii="Verdana" w:hAnsi="Verdana"/>
          <w:b/>
          <w:spacing w:val="-2"/>
          <w:sz w:val="24"/>
          <w:szCs w:val="24"/>
        </w:rPr>
        <w:t xml:space="preserve">C O N S I D E R A C I O N E S </w:t>
      </w:r>
    </w:p>
    <w:p w:rsidR="00C867B3" w:rsidRPr="009F48B4" w:rsidRDefault="00C867B3" w:rsidP="004F2BB5">
      <w:pPr>
        <w:spacing w:line="336" w:lineRule="auto"/>
        <w:jc w:val="both"/>
        <w:rPr>
          <w:rFonts w:ascii="Verdana" w:hAnsi="Verdana"/>
          <w:spacing w:val="-2"/>
          <w:sz w:val="21"/>
          <w:szCs w:val="21"/>
        </w:rPr>
      </w:pPr>
    </w:p>
    <w:p w:rsidR="00385B39"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1. El fin de la acción de tutela es la protección inmediata de los derechos constitucionales fundamentales, concedida a todas las personas por el </w:t>
      </w:r>
      <w:r w:rsidRPr="004F2BB5">
        <w:rPr>
          <w:rFonts w:ascii="Verdana" w:hAnsi="Verdana"/>
          <w:spacing w:val="-2"/>
          <w:sz w:val="24"/>
          <w:szCs w:val="24"/>
        </w:rPr>
        <w:lastRenderedPageBreak/>
        <w:t xml:space="preserve">artículo 86 de </w:t>
      </w:r>
      <w:smartTag w:uri="urn:schemas-microsoft-com:office:smarttags" w:element="metricconverter">
        <w:smartTagPr>
          <w:attr w:name="ProductID" w:val="la Constituci￳n Pol￭tica"/>
        </w:smartTagPr>
        <w:smartTag w:uri="urn:schemas-microsoft-com:office:smarttags" w:element="metricconverter">
          <w:smartTagPr>
            <w:attr w:name="ProductID" w:val="la Constituci￳n"/>
          </w:smartTagPr>
          <w:r w:rsidRPr="004F2BB5">
            <w:rPr>
              <w:rFonts w:ascii="Verdana" w:hAnsi="Verdana"/>
              <w:spacing w:val="-2"/>
              <w:sz w:val="24"/>
              <w:szCs w:val="24"/>
            </w:rPr>
            <w:t>la Constitución</w:t>
          </w:r>
        </w:smartTag>
        <w:r w:rsidRPr="004F2BB5">
          <w:rPr>
            <w:rFonts w:ascii="Verdana" w:hAnsi="Verdana"/>
            <w:spacing w:val="-2"/>
            <w:sz w:val="24"/>
            <w:szCs w:val="24"/>
          </w:rPr>
          <w:t xml:space="preserve"> Política</w:t>
        </w:r>
      </w:smartTag>
      <w:r w:rsidRPr="004F2BB5">
        <w:rPr>
          <w:rFonts w:ascii="Verdana" w:hAnsi="Verdana"/>
          <w:spacing w:val="-2"/>
          <w:sz w:val="24"/>
          <w:szCs w:val="24"/>
        </w:rPr>
        <w:t>, ante su vulneración o amenaza generada</w:t>
      </w:r>
      <w:r w:rsidRPr="009F48B4">
        <w:rPr>
          <w:rFonts w:ascii="Verdana" w:hAnsi="Verdana"/>
          <w:spacing w:val="14"/>
          <w:sz w:val="24"/>
          <w:szCs w:val="24"/>
        </w:rPr>
        <w:t xml:space="preserve"> </w:t>
      </w:r>
      <w:r w:rsidRPr="004F2BB5">
        <w:rPr>
          <w:rFonts w:ascii="Verdana" w:hAnsi="Verdana"/>
          <w:spacing w:val="-2"/>
          <w:sz w:val="24"/>
          <w:szCs w:val="24"/>
        </w:rPr>
        <w:t>por</w:t>
      </w:r>
      <w:r w:rsidRPr="009F48B4">
        <w:rPr>
          <w:rFonts w:ascii="Verdana" w:hAnsi="Verdana"/>
          <w:spacing w:val="14"/>
          <w:sz w:val="24"/>
          <w:szCs w:val="24"/>
        </w:rPr>
        <w:t xml:space="preserve"> </w:t>
      </w:r>
      <w:r w:rsidRPr="004F2BB5">
        <w:rPr>
          <w:rFonts w:ascii="Verdana" w:hAnsi="Verdana"/>
          <w:spacing w:val="-2"/>
          <w:sz w:val="24"/>
          <w:szCs w:val="24"/>
        </w:rPr>
        <w:t>cualquier</w:t>
      </w:r>
      <w:r w:rsidRPr="009F48B4">
        <w:rPr>
          <w:rFonts w:ascii="Verdana" w:hAnsi="Verdana"/>
          <w:spacing w:val="14"/>
          <w:sz w:val="24"/>
          <w:szCs w:val="24"/>
        </w:rPr>
        <w:t xml:space="preserve"> </w:t>
      </w:r>
      <w:r w:rsidRPr="004F2BB5">
        <w:rPr>
          <w:rFonts w:ascii="Verdana" w:hAnsi="Verdana"/>
          <w:spacing w:val="-2"/>
          <w:sz w:val="24"/>
          <w:szCs w:val="24"/>
        </w:rPr>
        <w:t>autoridad</w:t>
      </w:r>
      <w:r w:rsidRPr="009F48B4">
        <w:rPr>
          <w:rFonts w:ascii="Verdana" w:hAnsi="Verdana"/>
          <w:spacing w:val="14"/>
          <w:sz w:val="24"/>
          <w:szCs w:val="24"/>
        </w:rPr>
        <w:t xml:space="preserve"> </w:t>
      </w:r>
      <w:r w:rsidRPr="004F2BB5">
        <w:rPr>
          <w:rFonts w:ascii="Verdana" w:hAnsi="Verdana"/>
          <w:spacing w:val="-2"/>
          <w:sz w:val="24"/>
          <w:szCs w:val="24"/>
        </w:rPr>
        <w:t>pública</w:t>
      </w:r>
      <w:r w:rsidRPr="009F48B4">
        <w:rPr>
          <w:rFonts w:ascii="Verdana" w:hAnsi="Verdana"/>
          <w:spacing w:val="14"/>
          <w:sz w:val="24"/>
          <w:szCs w:val="24"/>
        </w:rPr>
        <w:t xml:space="preserve"> </w:t>
      </w:r>
      <w:r w:rsidRPr="004F2BB5">
        <w:rPr>
          <w:rFonts w:ascii="Verdana" w:hAnsi="Verdana"/>
          <w:spacing w:val="-2"/>
          <w:sz w:val="24"/>
          <w:szCs w:val="24"/>
        </w:rPr>
        <w:t>y</w:t>
      </w:r>
      <w:r w:rsidRPr="009F48B4">
        <w:rPr>
          <w:rFonts w:ascii="Verdana" w:hAnsi="Verdana"/>
          <w:spacing w:val="14"/>
          <w:sz w:val="24"/>
          <w:szCs w:val="24"/>
        </w:rPr>
        <w:t xml:space="preserve"> </w:t>
      </w:r>
      <w:r w:rsidRPr="004F2BB5">
        <w:rPr>
          <w:rFonts w:ascii="Verdana" w:hAnsi="Verdana"/>
          <w:spacing w:val="-2"/>
          <w:sz w:val="24"/>
          <w:szCs w:val="24"/>
        </w:rPr>
        <w:t>aun</w:t>
      </w:r>
      <w:r w:rsidRPr="009F48B4">
        <w:rPr>
          <w:rFonts w:ascii="Verdana" w:hAnsi="Verdana"/>
          <w:spacing w:val="14"/>
          <w:sz w:val="24"/>
          <w:szCs w:val="24"/>
        </w:rPr>
        <w:t xml:space="preserve"> </w:t>
      </w:r>
      <w:r w:rsidRPr="004F2BB5">
        <w:rPr>
          <w:rFonts w:ascii="Verdana" w:hAnsi="Verdana"/>
          <w:spacing w:val="-2"/>
          <w:sz w:val="24"/>
          <w:szCs w:val="24"/>
        </w:rPr>
        <w:t>por</w:t>
      </w:r>
      <w:r w:rsidRPr="009F48B4">
        <w:rPr>
          <w:rFonts w:ascii="Verdana" w:hAnsi="Verdana"/>
          <w:spacing w:val="14"/>
          <w:sz w:val="24"/>
          <w:szCs w:val="24"/>
        </w:rPr>
        <w:t xml:space="preserve"> </w:t>
      </w:r>
      <w:r w:rsidRPr="004F2BB5">
        <w:rPr>
          <w:rFonts w:ascii="Verdana" w:hAnsi="Verdana"/>
          <w:spacing w:val="-2"/>
          <w:sz w:val="24"/>
          <w:szCs w:val="24"/>
        </w:rPr>
        <w:t>los</w:t>
      </w:r>
      <w:r w:rsidRPr="009F48B4">
        <w:rPr>
          <w:rFonts w:ascii="Verdana" w:hAnsi="Verdana"/>
          <w:spacing w:val="14"/>
          <w:sz w:val="24"/>
          <w:szCs w:val="24"/>
        </w:rPr>
        <w:t xml:space="preserve"> </w:t>
      </w:r>
      <w:r w:rsidRPr="004F2BB5">
        <w:rPr>
          <w:rFonts w:ascii="Verdana" w:hAnsi="Verdana"/>
          <w:spacing w:val="-2"/>
          <w:sz w:val="24"/>
          <w:szCs w:val="24"/>
        </w:rPr>
        <w:t>particulares</w:t>
      </w:r>
      <w:r w:rsidRPr="009F48B4">
        <w:rPr>
          <w:rFonts w:ascii="Verdana" w:hAnsi="Verdana"/>
          <w:spacing w:val="14"/>
          <w:sz w:val="24"/>
          <w:szCs w:val="24"/>
        </w:rPr>
        <w:t xml:space="preserve"> </w:t>
      </w:r>
      <w:r w:rsidRPr="004F2BB5">
        <w:rPr>
          <w:rFonts w:ascii="Verdana" w:hAnsi="Verdana"/>
          <w:spacing w:val="-2"/>
          <w:sz w:val="24"/>
          <w:szCs w:val="24"/>
        </w:rPr>
        <w:t xml:space="preserve">en </w:t>
      </w:r>
    </w:p>
    <w:p w:rsidR="00C867B3" w:rsidRPr="004F2BB5" w:rsidRDefault="00C867B3" w:rsidP="004F2BB5">
      <w:pPr>
        <w:spacing w:line="336" w:lineRule="auto"/>
        <w:jc w:val="both"/>
        <w:rPr>
          <w:rFonts w:ascii="Verdana" w:hAnsi="Verdana"/>
          <w:spacing w:val="-2"/>
          <w:sz w:val="24"/>
          <w:szCs w:val="24"/>
        </w:rPr>
      </w:pPr>
      <w:proofErr w:type="gramStart"/>
      <w:r w:rsidRPr="004F2BB5">
        <w:rPr>
          <w:rFonts w:ascii="Verdana" w:hAnsi="Verdana"/>
          <w:spacing w:val="-2"/>
          <w:sz w:val="24"/>
          <w:szCs w:val="24"/>
        </w:rPr>
        <w:t>los</w:t>
      </w:r>
      <w:proofErr w:type="gramEnd"/>
      <w:r w:rsidRPr="004F2BB5">
        <w:rPr>
          <w:rFonts w:ascii="Verdana" w:hAnsi="Verdana"/>
          <w:spacing w:val="-2"/>
          <w:sz w:val="24"/>
          <w:szCs w:val="24"/>
        </w:rPr>
        <w:t xml:space="preserve"> casos previstos por el artículo 42 del Decreto 2591 de 1991.</w:t>
      </w:r>
    </w:p>
    <w:p w:rsidR="00635563" w:rsidRPr="00385B39" w:rsidRDefault="00635563" w:rsidP="004F2BB5">
      <w:pPr>
        <w:tabs>
          <w:tab w:val="left" w:pos="-720"/>
          <w:tab w:val="left" w:pos="-567"/>
          <w:tab w:val="left" w:pos="8222"/>
          <w:tab w:val="left" w:pos="8364"/>
        </w:tabs>
        <w:spacing w:line="336" w:lineRule="auto"/>
        <w:jc w:val="both"/>
        <w:rPr>
          <w:rFonts w:ascii="Verdana" w:hAnsi="Verdana"/>
          <w:spacing w:val="-2"/>
          <w:szCs w:val="22"/>
        </w:rPr>
      </w:pPr>
    </w:p>
    <w:p w:rsidR="00C867B3" w:rsidRPr="004F2BB5" w:rsidRDefault="00C867B3" w:rsidP="004F2BB5">
      <w:pPr>
        <w:tabs>
          <w:tab w:val="left" w:pos="-720"/>
          <w:tab w:val="left" w:pos="-567"/>
          <w:tab w:val="left" w:pos="8222"/>
          <w:tab w:val="left" w:pos="8364"/>
        </w:tabs>
        <w:spacing w:line="336" w:lineRule="auto"/>
        <w:jc w:val="both"/>
        <w:rPr>
          <w:rFonts w:ascii="Verdana" w:hAnsi="Verdana"/>
          <w:spacing w:val="-2"/>
          <w:sz w:val="24"/>
          <w:szCs w:val="24"/>
        </w:rPr>
      </w:pPr>
      <w:r w:rsidRPr="004F2BB5">
        <w:rPr>
          <w:rFonts w:ascii="Verdana" w:hAnsi="Verdana"/>
          <w:spacing w:val="-2"/>
          <w:sz w:val="24"/>
          <w:szCs w:val="24"/>
        </w:rPr>
        <w:t>2. Corresponde a esta Sala determinar si en este caso procede la tutela</w:t>
      </w:r>
      <w:r w:rsidR="00523F13" w:rsidRPr="004F2BB5">
        <w:rPr>
          <w:rFonts w:ascii="Verdana" w:hAnsi="Verdana"/>
          <w:spacing w:val="-2"/>
          <w:sz w:val="24"/>
          <w:szCs w:val="24"/>
        </w:rPr>
        <w:t xml:space="preserve"> frente al auto por medio del cual e</w:t>
      </w:r>
      <w:r w:rsidRPr="004F2BB5">
        <w:rPr>
          <w:rFonts w:ascii="Verdana" w:hAnsi="Verdana"/>
          <w:spacing w:val="-2"/>
          <w:sz w:val="24"/>
          <w:szCs w:val="24"/>
        </w:rPr>
        <w:t>l juzgado accionado</w:t>
      </w:r>
      <w:r w:rsidR="00523F13" w:rsidRPr="004F2BB5">
        <w:rPr>
          <w:rFonts w:ascii="Verdana" w:hAnsi="Verdana"/>
          <w:spacing w:val="-2"/>
          <w:sz w:val="24"/>
          <w:szCs w:val="24"/>
        </w:rPr>
        <w:t xml:space="preserve"> se negó a conceder el amparo de pobreza solicitado por</w:t>
      </w:r>
      <w:r w:rsidR="001571AE" w:rsidRPr="004F2BB5">
        <w:rPr>
          <w:rFonts w:ascii="Verdana" w:hAnsi="Verdana"/>
          <w:spacing w:val="-2"/>
          <w:sz w:val="24"/>
          <w:szCs w:val="24"/>
        </w:rPr>
        <w:t xml:space="preserve"> el demandante</w:t>
      </w:r>
      <w:r w:rsidR="0015520E" w:rsidRPr="004F2BB5">
        <w:rPr>
          <w:rFonts w:ascii="Verdana" w:hAnsi="Verdana"/>
          <w:spacing w:val="-2"/>
          <w:sz w:val="24"/>
          <w:szCs w:val="24"/>
        </w:rPr>
        <w:t>, para efectos de</w:t>
      </w:r>
      <w:r w:rsidR="000839DE" w:rsidRPr="004F2BB5">
        <w:rPr>
          <w:rFonts w:ascii="Verdana" w:hAnsi="Verdana"/>
          <w:spacing w:val="-2"/>
          <w:sz w:val="24"/>
          <w:szCs w:val="24"/>
        </w:rPr>
        <w:t xml:space="preserve"> cumplir la carga de avisar</w:t>
      </w:r>
      <w:r w:rsidR="0015520E" w:rsidRPr="004F2BB5">
        <w:rPr>
          <w:rFonts w:ascii="Verdana" w:hAnsi="Verdana"/>
          <w:spacing w:val="-2"/>
          <w:sz w:val="24"/>
          <w:szCs w:val="24"/>
        </w:rPr>
        <w:t xml:space="preserve"> a la comunidad sobre la existencia de la acción popular</w:t>
      </w:r>
      <w:r w:rsidRPr="004F2BB5">
        <w:rPr>
          <w:rFonts w:ascii="Verdana" w:hAnsi="Verdana"/>
          <w:spacing w:val="-2"/>
          <w:sz w:val="24"/>
          <w:szCs w:val="24"/>
        </w:rPr>
        <w:t>. De serlo, se establecerá si en esa providencia se incurrió en defecto que lesione los derechos fundamentales de que es titular el peticionario.</w:t>
      </w:r>
    </w:p>
    <w:p w:rsidR="00C867B3" w:rsidRPr="00385B39" w:rsidRDefault="00C867B3" w:rsidP="004F2BB5">
      <w:pPr>
        <w:tabs>
          <w:tab w:val="left" w:pos="-720"/>
          <w:tab w:val="left" w:pos="-567"/>
          <w:tab w:val="left" w:pos="8222"/>
          <w:tab w:val="left" w:pos="8364"/>
        </w:tabs>
        <w:spacing w:line="336" w:lineRule="auto"/>
        <w:jc w:val="both"/>
        <w:rPr>
          <w:rFonts w:ascii="Verdana" w:hAnsi="Verdana"/>
          <w:spacing w:val="-2"/>
          <w:szCs w:val="22"/>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4F2BB5">
        <w:rPr>
          <w:rFonts w:ascii="Verdana" w:hAnsi="Verdana"/>
          <w:spacing w:val="-2"/>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C867B3" w:rsidRPr="00385B39" w:rsidRDefault="00C867B3" w:rsidP="004F2BB5">
      <w:pPr>
        <w:tabs>
          <w:tab w:val="left" w:pos="-720"/>
          <w:tab w:val="left" w:pos="-567"/>
          <w:tab w:val="left" w:pos="8222"/>
          <w:tab w:val="left" w:pos="8364"/>
        </w:tabs>
        <w:spacing w:line="336" w:lineRule="auto"/>
        <w:jc w:val="both"/>
        <w:rPr>
          <w:rFonts w:ascii="Verdana" w:hAnsi="Verdana"/>
          <w:spacing w:val="-2"/>
          <w:szCs w:val="22"/>
        </w:rPr>
      </w:pPr>
    </w:p>
    <w:p w:rsidR="00C867B3" w:rsidRPr="004F2BB5" w:rsidRDefault="00C867B3" w:rsidP="004F2BB5">
      <w:pPr>
        <w:tabs>
          <w:tab w:val="left" w:pos="-720"/>
          <w:tab w:val="left" w:pos="-567"/>
          <w:tab w:val="left" w:pos="8222"/>
          <w:tab w:val="left" w:pos="8364"/>
        </w:tabs>
        <w:spacing w:line="336" w:lineRule="auto"/>
        <w:jc w:val="both"/>
        <w:rPr>
          <w:rFonts w:ascii="Verdana" w:hAnsi="Verdana"/>
          <w:spacing w:val="-8"/>
          <w:sz w:val="24"/>
          <w:szCs w:val="24"/>
        </w:rPr>
      </w:pPr>
      <w:r w:rsidRPr="004F2BB5">
        <w:rPr>
          <w:rFonts w:ascii="Verdana" w:hAnsi="Verdana"/>
          <w:spacing w:val="-2"/>
          <w:sz w:val="24"/>
          <w:szCs w:val="24"/>
          <w:lang w:val="es-ES"/>
        </w:rPr>
        <w:t xml:space="preserve">Así entonces ha enlistado como condiciones generales de procedencia, que deben ser examinadas antes de pasar al análisis de las causales específicas, las siguientes: </w:t>
      </w:r>
      <w:r w:rsidRPr="004F2BB5">
        <w:rPr>
          <w:rStyle w:val="apple-converted-space"/>
          <w:rFonts w:ascii="Verdana" w:hAnsi="Verdana"/>
          <w:spacing w:val="-2"/>
          <w:sz w:val="24"/>
          <w:szCs w:val="24"/>
          <w:shd w:val="clear" w:color="auto" w:fill="FFFFFF"/>
        </w:rPr>
        <w:t> </w:t>
      </w:r>
      <w:r w:rsidRPr="004F2BB5">
        <w:rPr>
          <w:rStyle w:val="apple-converted-space"/>
          <w:rFonts w:ascii="Verdana" w:hAnsi="Verdana"/>
          <w:spacing w:val="-8"/>
          <w:sz w:val="24"/>
          <w:szCs w:val="24"/>
          <w:shd w:val="clear" w:color="auto" w:fill="FFFFFF"/>
        </w:rPr>
        <w:t>“</w:t>
      </w:r>
      <w:r w:rsidRPr="004F2BB5">
        <w:rPr>
          <w:rStyle w:val="apple-converted-space"/>
          <w:rFonts w:ascii="Verdana" w:hAnsi="Verdana"/>
          <w:i/>
          <w:spacing w:val="-8"/>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4F2BB5">
        <w:rPr>
          <w:rStyle w:val="apple-converted-space"/>
          <w:rFonts w:ascii="Verdana" w:hAnsi="Verdana"/>
          <w:i/>
          <w:spacing w:val="-8"/>
          <w:sz w:val="24"/>
          <w:szCs w:val="24"/>
          <w:shd w:val="clear" w:color="auto" w:fill="FFFFFF"/>
        </w:rPr>
        <w:t>v</w:t>
      </w:r>
      <w:proofErr w:type="gramEnd"/>
      <w:r w:rsidRPr="004F2BB5">
        <w:rPr>
          <w:rStyle w:val="apple-converted-space"/>
          <w:rFonts w:ascii="Verdana" w:hAnsi="Verdana"/>
          <w:i/>
          <w:spacing w:val="-8"/>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4F2BB5">
        <w:rPr>
          <w:rStyle w:val="apple-converted-space"/>
          <w:rFonts w:ascii="Verdana" w:hAnsi="Verdana"/>
          <w:spacing w:val="-8"/>
          <w:sz w:val="24"/>
          <w:szCs w:val="24"/>
          <w:shd w:val="clear" w:color="auto" w:fill="FFFFFF"/>
        </w:rPr>
        <w:t>”</w:t>
      </w:r>
      <w:r w:rsidRPr="004F2BB5">
        <w:rPr>
          <w:rStyle w:val="Refdenotaalpie"/>
          <w:rFonts w:ascii="Verdana" w:hAnsi="Verdana"/>
          <w:spacing w:val="-8"/>
          <w:sz w:val="24"/>
          <w:szCs w:val="24"/>
          <w:shd w:val="clear" w:color="auto" w:fill="FFFFFF"/>
        </w:rPr>
        <w:footnoteReference w:id="1"/>
      </w:r>
      <w:r w:rsidRPr="004F2BB5">
        <w:rPr>
          <w:rFonts w:ascii="Verdana" w:hAnsi="Verdana"/>
          <w:spacing w:val="-8"/>
          <w:sz w:val="24"/>
          <w:szCs w:val="24"/>
        </w:rPr>
        <w:t>.</w:t>
      </w:r>
    </w:p>
    <w:p w:rsidR="004F2BB5" w:rsidRPr="00385B39" w:rsidRDefault="004F2BB5" w:rsidP="004F2BB5">
      <w:pPr>
        <w:tabs>
          <w:tab w:val="left" w:pos="-720"/>
          <w:tab w:val="left" w:pos="-567"/>
          <w:tab w:val="left" w:pos="8222"/>
          <w:tab w:val="left" w:pos="8364"/>
        </w:tabs>
        <w:spacing w:line="336" w:lineRule="auto"/>
        <w:jc w:val="both"/>
        <w:rPr>
          <w:rFonts w:ascii="Verdana" w:hAnsi="Verdana"/>
          <w:i/>
          <w:spacing w:val="-8"/>
          <w:szCs w:val="22"/>
          <w:shd w:val="clear" w:color="auto" w:fill="FFFFFF"/>
        </w:rPr>
      </w:pPr>
    </w:p>
    <w:p w:rsidR="00C867B3" w:rsidRPr="004F2BB5" w:rsidRDefault="00C867B3" w:rsidP="004F2BB5">
      <w:pPr>
        <w:tabs>
          <w:tab w:val="left" w:pos="-720"/>
          <w:tab w:val="left" w:pos="-567"/>
          <w:tab w:val="left" w:pos="8222"/>
          <w:tab w:val="left" w:pos="8364"/>
        </w:tabs>
        <w:spacing w:line="336" w:lineRule="auto"/>
        <w:jc w:val="both"/>
        <w:rPr>
          <w:rFonts w:ascii="Verdana" w:hAnsi="Verdana"/>
          <w:i/>
          <w:spacing w:val="-2"/>
          <w:sz w:val="24"/>
          <w:szCs w:val="24"/>
        </w:rPr>
      </w:pPr>
      <w:r w:rsidRPr="004F2BB5">
        <w:rPr>
          <w:rFonts w:ascii="Verdana" w:hAnsi="Verdana"/>
          <w:spacing w:val="-8"/>
          <w:sz w:val="24"/>
          <w:szCs w:val="24"/>
          <w:lang w:val="es-ES"/>
        </w:rPr>
        <w:lastRenderedPageBreak/>
        <w:t>Superado ese primer análisis, la Corte ha identificado como causales específicas de procedencia de la acción, las siguientes</w:t>
      </w:r>
      <w:r w:rsidRPr="004F2BB5">
        <w:rPr>
          <w:rFonts w:ascii="Verdana" w:hAnsi="Verdana"/>
          <w:i/>
          <w:spacing w:val="-8"/>
          <w:sz w:val="24"/>
          <w:szCs w:val="24"/>
          <w:lang w:val="es-ES"/>
        </w:rPr>
        <w:t>: “</w:t>
      </w:r>
      <w:r w:rsidRPr="004F2BB5">
        <w:rPr>
          <w:rFonts w:ascii="Verdana" w:hAnsi="Verdana"/>
          <w:i/>
          <w:spacing w:val="-8"/>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4F2BB5">
        <w:rPr>
          <w:rFonts w:ascii="Verdana" w:hAnsi="Verdana"/>
          <w:i/>
          <w:spacing w:val="-8"/>
          <w:sz w:val="24"/>
          <w:szCs w:val="24"/>
          <w:vertAlign w:val="superscript"/>
        </w:rPr>
        <w:footnoteReference w:id="2"/>
      </w:r>
      <w:r w:rsidRPr="004F2BB5">
        <w:rPr>
          <w:rFonts w:ascii="Verdana" w:hAnsi="Verdana"/>
          <w:i/>
          <w:spacing w:val="-8"/>
          <w:sz w:val="24"/>
          <w:szCs w:val="24"/>
        </w:rPr>
        <w:t>.</w:t>
      </w:r>
      <w:r w:rsidRPr="004F2BB5">
        <w:rPr>
          <w:rFonts w:ascii="Verdana" w:hAnsi="Verdana"/>
          <w:i/>
          <w:spacing w:val="-2"/>
          <w:sz w:val="24"/>
          <w:szCs w:val="24"/>
        </w:rPr>
        <w:t xml:space="preserve"> </w:t>
      </w:r>
    </w:p>
    <w:p w:rsidR="001571AE" w:rsidRPr="004F2BB5" w:rsidRDefault="001571AE" w:rsidP="004F2BB5">
      <w:pPr>
        <w:tabs>
          <w:tab w:val="left" w:pos="-720"/>
          <w:tab w:val="left" w:pos="-567"/>
          <w:tab w:val="left" w:pos="8222"/>
          <w:tab w:val="left" w:pos="8364"/>
        </w:tabs>
        <w:spacing w:line="336" w:lineRule="auto"/>
        <w:jc w:val="both"/>
        <w:rPr>
          <w:rFonts w:ascii="Verdana" w:hAnsi="Verdana"/>
          <w:i/>
          <w:spacing w:val="-2"/>
          <w:sz w:val="24"/>
          <w:szCs w:val="24"/>
        </w:rPr>
      </w:pPr>
    </w:p>
    <w:p w:rsidR="00C867B3" w:rsidRPr="004F2BB5" w:rsidRDefault="00C867B3" w:rsidP="004F2BB5">
      <w:pPr>
        <w:tabs>
          <w:tab w:val="left" w:pos="-720"/>
        </w:tabs>
        <w:suppressAutoHyphens/>
        <w:spacing w:line="336" w:lineRule="auto"/>
        <w:jc w:val="both"/>
        <w:rPr>
          <w:rFonts w:ascii="Verdana" w:hAnsi="Verdana"/>
          <w:spacing w:val="-2"/>
          <w:sz w:val="24"/>
          <w:szCs w:val="24"/>
        </w:rPr>
      </w:pPr>
      <w:r w:rsidRPr="004F2BB5">
        <w:rPr>
          <w:rFonts w:ascii="Verdana" w:hAnsi="Verdana"/>
          <w:spacing w:val="-2"/>
          <w:sz w:val="24"/>
          <w:szCs w:val="24"/>
        </w:rPr>
        <w:t xml:space="preserve">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w:t>
      </w:r>
      <w:r w:rsidRPr="004F2BB5">
        <w:rPr>
          <w:rFonts w:ascii="Verdana" w:hAnsi="Verdana"/>
          <w:spacing w:val="-2"/>
          <w:sz w:val="24"/>
          <w:szCs w:val="24"/>
        </w:rPr>
        <w:lastRenderedPageBreak/>
        <w:t>convertirse en uno de protección alternativo o principal. Así lo ha explicado la jurisprudencia de la Corte Constitucional:</w:t>
      </w:r>
    </w:p>
    <w:p w:rsidR="00C867B3" w:rsidRPr="004F2BB5" w:rsidRDefault="00C867B3" w:rsidP="004F2BB5">
      <w:pPr>
        <w:shd w:val="clear" w:color="auto" w:fill="FFFFFF"/>
        <w:tabs>
          <w:tab w:val="left" w:pos="4200"/>
        </w:tabs>
        <w:overflowPunct/>
        <w:autoSpaceDE/>
        <w:autoSpaceDN/>
        <w:adjustRightInd/>
        <w:spacing w:line="336" w:lineRule="auto"/>
        <w:ind w:left="142" w:right="193"/>
        <w:jc w:val="both"/>
        <w:rPr>
          <w:rFonts w:ascii="Verdana" w:hAnsi="Verdana"/>
          <w:spacing w:val="-6"/>
          <w:sz w:val="21"/>
          <w:szCs w:val="21"/>
          <w:lang w:val="es-ES"/>
        </w:rPr>
      </w:pPr>
      <w:r w:rsidRPr="004F2BB5">
        <w:rPr>
          <w:rFonts w:ascii="Verdana" w:hAnsi="Verdana"/>
          <w:spacing w:val="-6"/>
          <w:sz w:val="21"/>
          <w:szCs w:val="21"/>
          <w:lang w:val="es-ES"/>
        </w:rPr>
        <w:t>“El tercer inciso del artículo 86 constitucional establece que la tutela </w:t>
      </w:r>
      <w:r w:rsidRPr="004F2BB5">
        <w:rPr>
          <w:rFonts w:ascii="Verdana" w:hAnsi="Verdana"/>
          <w:i/>
          <w:iCs/>
          <w:spacing w:val="-6"/>
          <w:sz w:val="21"/>
          <w:szCs w:val="21"/>
          <w:bdr w:val="none" w:sz="0" w:space="0" w:color="auto" w:frame="1"/>
          <w:lang w:val="es-ES"/>
        </w:rPr>
        <w:t>“sólo procederá cuando el afectado no disponga de otro medio de defensa judicial, salvo que aquélla se utilice como mecanismo transitorio para evitar un perjuicio irremediable”</w:t>
      </w:r>
      <w:r w:rsidRPr="004F2BB5">
        <w:rPr>
          <w:rFonts w:ascii="Verdana" w:hAnsi="Verdana"/>
          <w:spacing w:val="-6"/>
          <w:sz w:val="21"/>
          <w:szCs w:val="21"/>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C867B3" w:rsidRPr="004F2BB5" w:rsidRDefault="00C867B3" w:rsidP="004F2BB5">
      <w:pPr>
        <w:shd w:val="clear" w:color="auto" w:fill="FFFFFF"/>
        <w:tabs>
          <w:tab w:val="left" w:pos="4200"/>
        </w:tabs>
        <w:overflowPunct/>
        <w:autoSpaceDE/>
        <w:autoSpaceDN/>
        <w:adjustRightInd/>
        <w:spacing w:line="336" w:lineRule="auto"/>
        <w:ind w:left="142" w:right="193"/>
        <w:jc w:val="both"/>
        <w:rPr>
          <w:rFonts w:ascii="Verdana" w:hAnsi="Verdana"/>
          <w:spacing w:val="-6"/>
          <w:sz w:val="21"/>
          <w:szCs w:val="21"/>
          <w:lang w:val="es-ES"/>
        </w:rPr>
      </w:pPr>
      <w:r w:rsidRPr="004F2BB5">
        <w:rPr>
          <w:rFonts w:ascii="Verdana" w:hAnsi="Verdana"/>
          <w:spacing w:val="-6"/>
          <w:sz w:val="21"/>
          <w:szCs w:val="21"/>
          <w:lang w:val="es-ES"/>
        </w:rPr>
        <w:t> </w:t>
      </w:r>
    </w:p>
    <w:p w:rsidR="00C867B3" w:rsidRPr="004F2BB5" w:rsidRDefault="00C867B3" w:rsidP="004F2BB5">
      <w:pPr>
        <w:shd w:val="clear" w:color="auto" w:fill="FFFFFF"/>
        <w:tabs>
          <w:tab w:val="left" w:pos="4200"/>
        </w:tabs>
        <w:overflowPunct/>
        <w:autoSpaceDE/>
        <w:autoSpaceDN/>
        <w:adjustRightInd/>
        <w:spacing w:line="336" w:lineRule="auto"/>
        <w:ind w:left="142" w:right="193"/>
        <w:jc w:val="both"/>
        <w:rPr>
          <w:rFonts w:ascii="Verdana" w:hAnsi="Verdana"/>
          <w:spacing w:val="-6"/>
          <w:sz w:val="21"/>
          <w:szCs w:val="21"/>
          <w:lang w:val="es-ES"/>
        </w:rPr>
      </w:pPr>
      <w:r w:rsidRPr="004F2BB5">
        <w:rPr>
          <w:rFonts w:ascii="Verdana" w:hAnsi="Verdana"/>
          <w:spacing w:val="-6"/>
          <w:sz w:val="21"/>
          <w:szCs w:val="21"/>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C867B3" w:rsidRPr="004F2BB5" w:rsidRDefault="00C867B3" w:rsidP="004F2BB5">
      <w:pPr>
        <w:shd w:val="clear" w:color="auto" w:fill="FFFFFF"/>
        <w:tabs>
          <w:tab w:val="left" w:pos="4200"/>
        </w:tabs>
        <w:overflowPunct/>
        <w:autoSpaceDE/>
        <w:autoSpaceDN/>
        <w:adjustRightInd/>
        <w:spacing w:line="336" w:lineRule="auto"/>
        <w:ind w:left="142" w:right="193"/>
        <w:jc w:val="both"/>
        <w:rPr>
          <w:rFonts w:ascii="Verdana" w:hAnsi="Verdana"/>
          <w:spacing w:val="-6"/>
          <w:sz w:val="21"/>
          <w:szCs w:val="21"/>
          <w:lang w:val="es-ES"/>
        </w:rPr>
      </w:pPr>
      <w:r w:rsidRPr="004F2BB5">
        <w:rPr>
          <w:rFonts w:ascii="Verdana" w:hAnsi="Verdana"/>
          <w:spacing w:val="-6"/>
          <w:sz w:val="21"/>
          <w:szCs w:val="21"/>
          <w:lang w:val="es-ES"/>
        </w:rPr>
        <w:t> </w:t>
      </w:r>
    </w:p>
    <w:p w:rsidR="00C867B3" w:rsidRPr="004F2BB5" w:rsidRDefault="00C867B3" w:rsidP="004F2BB5">
      <w:pPr>
        <w:shd w:val="clear" w:color="auto" w:fill="FFFFFF"/>
        <w:tabs>
          <w:tab w:val="left" w:pos="4200"/>
        </w:tabs>
        <w:overflowPunct/>
        <w:autoSpaceDE/>
        <w:autoSpaceDN/>
        <w:adjustRightInd/>
        <w:spacing w:line="336" w:lineRule="auto"/>
        <w:ind w:left="142" w:right="193"/>
        <w:jc w:val="both"/>
        <w:rPr>
          <w:rFonts w:ascii="Verdana" w:hAnsi="Verdana"/>
          <w:spacing w:val="-6"/>
          <w:sz w:val="21"/>
          <w:szCs w:val="21"/>
          <w:lang w:val="es-ES"/>
        </w:rPr>
      </w:pPr>
      <w:r w:rsidRPr="004F2BB5">
        <w:rPr>
          <w:rFonts w:ascii="Verdana" w:hAnsi="Verdana"/>
          <w:spacing w:val="-6"/>
          <w:sz w:val="21"/>
          <w:szCs w:val="21"/>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4F2BB5">
        <w:rPr>
          <w:rFonts w:ascii="Verdana" w:hAnsi="Verdana"/>
          <w:i/>
          <w:iCs/>
          <w:spacing w:val="-6"/>
          <w:sz w:val="21"/>
          <w:szCs w:val="21"/>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1" w:name="_ftnref23"/>
      <w:r w:rsidRPr="004F2BB5">
        <w:rPr>
          <w:rStyle w:val="Refdenotaalpie"/>
          <w:rFonts w:ascii="Verdana" w:hAnsi="Verdana"/>
          <w:i/>
          <w:iCs/>
          <w:spacing w:val="-6"/>
          <w:sz w:val="21"/>
          <w:szCs w:val="21"/>
          <w:bdr w:val="none" w:sz="0" w:space="0" w:color="auto" w:frame="1"/>
          <w:lang w:val="es-ES"/>
        </w:rPr>
        <w:footnoteReference w:id="3"/>
      </w:r>
      <w:bookmarkEnd w:id="1"/>
      <w:r w:rsidRPr="004F2BB5">
        <w:rPr>
          <w:rFonts w:ascii="Verdana" w:hAnsi="Verdana"/>
          <w:i/>
          <w:iCs/>
          <w:spacing w:val="-6"/>
          <w:sz w:val="21"/>
          <w:szCs w:val="21"/>
          <w:bdr w:val="none" w:sz="0" w:space="0" w:color="auto" w:frame="1"/>
          <w:lang w:val="es-ES"/>
        </w:rPr>
        <w:t>”</w:t>
      </w:r>
    </w:p>
    <w:p w:rsidR="00C867B3" w:rsidRPr="004F2BB5" w:rsidRDefault="00C867B3" w:rsidP="004F2BB5">
      <w:pPr>
        <w:shd w:val="clear" w:color="auto" w:fill="FFFFFF"/>
        <w:tabs>
          <w:tab w:val="left" w:pos="4200"/>
        </w:tabs>
        <w:overflowPunct/>
        <w:autoSpaceDE/>
        <w:autoSpaceDN/>
        <w:adjustRightInd/>
        <w:spacing w:line="336" w:lineRule="auto"/>
        <w:ind w:left="142"/>
        <w:jc w:val="both"/>
        <w:rPr>
          <w:rFonts w:ascii="Verdana" w:hAnsi="Verdana"/>
          <w:spacing w:val="-6"/>
          <w:sz w:val="21"/>
          <w:szCs w:val="21"/>
          <w:lang w:val="es-ES"/>
        </w:rPr>
      </w:pPr>
      <w:r w:rsidRPr="004F2BB5">
        <w:rPr>
          <w:rFonts w:ascii="Verdana" w:hAnsi="Verdana"/>
          <w:spacing w:val="-6"/>
          <w:sz w:val="21"/>
          <w:szCs w:val="21"/>
          <w:lang w:val="es-ES"/>
        </w:rPr>
        <w:t> </w:t>
      </w:r>
    </w:p>
    <w:p w:rsidR="00C867B3" w:rsidRPr="004F2BB5" w:rsidRDefault="00C867B3" w:rsidP="004F2BB5">
      <w:pPr>
        <w:shd w:val="clear" w:color="auto" w:fill="FFFFFF"/>
        <w:tabs>
          <w:tab w:val="left" w:pos="4200"/>
        </w:tabs>
        <w:overflowPunct/>
        <w:autoSpaceDE/>
        <w:autoSpaceDN/>
        <w:adjustRightInd/>
        <w:spacing w:line="336" w:lineRule="auto"/>
        <w:ind w:left="142" w:right="193"/>
        <w:jc w:val="both"/>
        <w:rPr>
          <w:rFonts w:ascii="Verdana" w:hAnsi="Verdana"/>
          <w:spacing w:val="-6"/>
          <w:sz w:val="21"/>
          <w:szCs w:val="21"/>
          <w:lang w:val="es-ES"/>
        </w:rPr>
      </w:pPr>
      <w:r w:rsidRPr="004F2BB5">
        <w:rPr>
          <w:rFonts w:ascii="Verdana" w:hAnsi="Verdana"/>
          <w:spacing w:val="-6"/>
          <w:sz w:val="21"/>
          <w:szCs w:val="21"/>
          <w:lang w:val="es-ES"/>
        </w:rPr>
        <w:t>En igual sentido, la Corte Constitucional, en sentencia T-753 de 2006 señaló que:</w:t>
      </w:r>
    </w:p>
    <w:p w:rsidR="001271B5" w:rsidRPr="004F2BB5" w:rsidRDefault="001271B5" w:rsidP="004F2BB5">
      <w:pPr>
        <w:shd w:val="clear" w:color="auto" w:fill="FFFFFF"/>
        <w:tabs>
          <w:tab w:val="left" w:pos="4200"/>
        </w:tabs>
        <w:overflowPunct/>
        <w:autoSpaceDE/>
        <w:autoSpaceDN/>
        <w:adjustRightInd/>
        <w:spacing w:line="336" w:lineRule="auto"/>
        <w:ind w:left="567" w:right="646"/>
        <w:jc w:val="both"/>
        <w:rPr>
          <w:rFonts w:ascii="Verdana" w:hAnsi="Verdana"/>
          <w:i/>
          <w:iCs/>
          <w:spacing w:val="-6"/>
          <w:sz w:val="21"/>
          <w:szCs w:val="21"/>
          <w:bdr w:val="none" w:sz="0" w:space="0" w:color="auto" w:frame="1"/>
          <w:lang w:val="es-ES"/>
        </w:rPr>
      </w:pPr>
    </w:p>
    <w:p w:rsidR="00C867B3" w:rsidRPr="004F2BB5" w:rsidRDefault="00C867B3" w:rsidP="004F2BB5">
      <w:pPr>
        <w:shd w:val="clear" w:color="auto" w:fill="FFFFFF"/>
        <w:tabs>
          <w:tab w:val="left" w:pos="4200"/>
        </w:tabs>
        <w:overflowPunct/>
        <w:autoSpaceDE/>
        <w:autoSpaceDN/>
        <w:adjustRightInd/>
        <w:spacing w:line="336" w:lineRule="auto"/>
        <w:ind w:left="567" w:right="646"/>
        <w:jc w:val="both"/>
        <w:rPr>
          <w:rFonts w:ascii="Verdana" w:hAnsi="Verdana"/>
          <w:spacing w:val="-6"/>
          <w:szCs w:val="24"/>
          <w:lang w:val="es-ES"/>
        </w:rPr>
      </w:pPr>
      <w:r w:rsidRPr="004F2BB5">
        <w:rPr>
          <w:rFonts w:ascii="Verdana" w:hAnsi="Verdana"/>
          <w:i/>
          <w:iCs/>
          <w:spacing w:val="-6"/>
          <w:sz w:val="21"/>
          <w:szCs w:val="21"/>
          <w:bdr w:val="none" w:sz="0" w:space="0" w:color="auto" w:frame="1"/>
          <w:lang w:val="es-ES"/>
        </w:rPr>
        <w:t>“Frente a la necesidad</w:t>
      </w:r>
      <w:r w:rsidR="00682731" w:rsidRPr="004F2BB5">
        <w:rPr>
          <w:rFonts w:ascii="Verdana" w:hAnsi="Verdana"/>
          <w:i/>
          <w:iCs/>
          <w:spacing w:val="-6"/>
          <w:sz w:val="21"/>
          <w:szCs w:val="21"/>
          <w:bdr w:val="none" w:sz="0" w:space="0" w:color="auto" w:frame="1"/>
          <w:lang w:val="es-ES"/>
        </w:rPr>
        <w:t xml:space="preserve"> de preservar el principio de </w:t>
      </w:r>
      <w:r w:rsidRPr="004F2BB5">
        <w:rPr>
          <w:rFonts w:ascii="Verdana" w:hAnsi="Verdana"/>
          <w:i/>
          <w:iCs/>
          <w:spacing w:val="-6"/>
          <w:sz w:val="21"/>
          <w:szCs w:val="21"/>
          <w:bdr w:val="none" w:sz="0" w:space="0" w:color="auto" w:frame="1"/>
          <w:lang w:val="es-ES"/>
        </w:rPr>
        <w:t>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005C0E69" w:rsidRPr="005C0E69">
        <w:rPr>
          <w:rStyle w:val="Refdenotaalpie"/>
          <w:rFonts w:ascii="Verdana" w:hAnsi="Verdana"/>
          <w:spacing w:val="-2"/>
          <w:sz w:val="24"/>
          <w:szCs w:val="24"/>
        </w:rPr>
        <w:t xml:space="preserve"> </w:t>
      </w:r>
      <w:r w:rsidR="005C0E69" w:rsidRPr="004F2BB5">
        <w:rPr>
          <w:rStyle w:val="Refdenotaalpie"/>
          <w:rFonts w:ascii="Verdana" w:hAnsi="Verdana"/>
          <w:spacing w:val="-2"/>
          <w:sz w:val="24"/>
          <w:szCs w:val="24"/>
        </w:rPr>
        <w:footnoteReference w:id="4"/>
      </w:r>
    </w:p>
    <w:p w:rsidR="00C867B3" w:rsidRPr="004F2BB5" w:rsidRDefault="00C867B3" w:rsidP="004F2BB5">
      <w:pPr>
        <w:tabs>
          <w:tab w:val="left" w:pos="-720"/>
        </w:tabs>
        <w:suppressAutoHyphens/>
        <w:spacing w:line="336" w:lineRule="auto"/>
        <w:jc w:val="both"/>
        <w:rPr>
          <w:rFonts w:ascii="Verdana" w:hAnsi="Verdana"/>
          <w:spacing w:val="-2"/>
          <w:sz w:val="24"/>
          <w:szCs w:val="24"/>
        </w:rPr>
      </w:pPr>
    </w:p>
    <w:p w:rsidR="00C867B3" w:rsidRPr="004F2BB5" w:rsidRDefault="00C867B3" w:rsidP="004F2BB5">
      <w:pPr>
        <w:tabs>
          <w:tab w:val="left" w:pos="-720"/>
        </w:tabs>
        <w:suppressAutoHyphens/>
        <w:spacing w:line="336" w:lineRule="auto"/>
        <w:jc w:val="both"/>
        <w:rPr>
          <w:rFonts w:ascii="Verdana" w:hAnsi="Verdana"/>
          <w:spacing w:val="-2"/>
          <w:sz w:val="24"/>
          <w:szCs w:val="24"/>
        </w:rPr>
      </w:pPr>
      <w:r w:rsidRPr="004F2BB5">
        <w:rPr>
          <w:rFonts w:ascii="Verdana" w:hAnsi="Verdana"/>
          <w:spacing w:val="-2"/>
          <w:sz w:val="24"/>
          <w:szCs w:val="24"/>
        </w:rPr>
        <w:lastRenderedPageBreak/>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4. Las pruebas documentales incorpo</w:t>
      </w:r>
      <w:r w:rsidR="00264B5B" w:rsidRPr="004F2BB5">
        <w:rPr>
          <w:rFonts w:ascii="Verdana" w:hAnsi="Verdana"/>
          <w:spacing w:val="-2"/>
          <w:sz w:val="24"/>
          <w:szCs w:val="24"/>
        </w:rPr>
        <w:t>radas a este cuaderno</w:t>
      </w:r>
      <w:r w:rsidR="00523F13" w:rsidRPr="004F2BB5">
        <w:rPr>
          <w:rStyle w:val="Refdenotaalpie"/>
          <w:rFonts w:ascii="Verdana" w:hAnsi="Verdana"/>
          <w:spacing w:val="-2"/>
          <w:sz w:val="24"/>
          <w:szCs w:val="24"/>
        </w:rPr>
        <w:footnoteReference w:id="5"/>
      </w:r>
      <w:r w:rsidRPr="004F2BB5">
        <w:rPr>
          <w:rFonts w:ascii="Verdana" w:hAnsi="Verdana"/>
          <w:spacing w:val="-2"/>
          <w:sz w:val="24"/>
          <w:szCs w:val="24"/>
        </w:rPr>
        <w:t>, demuestran los siguientes hechos:</w:t>
      </w:r>
    </w:p>
    <w:p w:rsidR="00C867B3" w:rsidRPr="004F2BB5" w:rsidRDefault="00C867B3" w:rsidP="004F2BB5">
      <w:pPr>
        <w:spacing w:line="336" w:lineRule="auto"/>
        <w:jc w:val="both"/>
        <w:rPr>
          <w:rFonts w:ascii="Verdana" w:hAnsi="Verdana"/>
          <w:spacing w:val="-2"/>
          <w:sz w:val="24"/>
          <w:szCs w:val="24"/>
        </w:rPr>
      </w:pPr>
    </w:p>
    <w:p w:rsidR="00667C5C" w:rsidRPr="004F2BB5" w:rsidRDefault="00FB2F81" w:rsidP="004F2BB5">
      <w:pPr>
        <w:spacing w:line="336" w:lineRule="auto"/>
        <w:jc w:val="both"/>
        <w:rPr>
          <w:rFonts w:ascii="Verdana" w:hAnsi="Verdana"/>
          <w:spacing w:val="-2"/>
          <w:sz w:val="24"/>
          <w:szCs w:val="24"/>
        </w:rPr>
      </w:pPr>
      <w:r w:rsidRPr="004F2BB5">
        <w:rPr>
          <w:rFonts w:ascii="Verdana" w:hAnsi="Verdana"/>
          <w:spacing w:val="-2"/>
          <w:sz w:val="24"/>
          <w:szCs w:val="24"/>
        </w:rPr>
        <w:t>4.1</w:t>
      </w:r>
      <w:r w:rsidR="00C867B3" w:rsidRPr="004F2BB5">
        <w:rPr>
          <w:rFonts w:ascii="Verdana" w:hAnsi="Verdana"/>
          <w:spacing w:val="-2"/>
          <w:sz w:val="24"/>
          <w:szCs w:val="24"/>
        </w:rPr>
        <w:t xml:space="preserve"> </w:t>
      </w:r>
      <w:r w:rsidR="00667C5C" w:rsidRPr="004F2BB5">
        <w:rPr>
          <w:rFonts w:ascii="Verdana" w:hAnsi="Verdana"/>
          <w:spacing w:val="-2"/>
          <w:sz w:val="24"/>
          <w:szCs w:val="24"/>
        </w:rPr>
        <w:t>El señor Augusto Becerra promovió acción popular contra el Banco Davivienda de La Virginia</w:t>
      </w:r>
      <w:r w:rsidR="00B1437A" w:rsidRPr="004F2BB5">
        <w:rPr>
          <w:rFonts w:ascii="Verdana" w:hAnsi="Verdana"/>
          <w:spacing w:val="-2"/>
          <w:sz w:val="24"/>
          <w:szCs w:val="24"/>
        </w:rPr>
        <w:t xml:space="preserve"> y como sitio de la vulneración informó la carrera 75 No. 23</w:t>
      </w:r>
      <w:r w:rsidR="00713D28" w:rsidRPr="004F2BB5">
        <w:rPr>
          <w:rFonts w:ascii="Verdana" w:hAnsi="Verdana"/>
          <w:spacing w:val="-2"/>
          <w:sz w:val="24"/>
          <w:szCs w:val="24"/>
        </w:rPr>
        <w:t>G</w:t>
      </w:r>
      <w:r w:rsidR="00B1437A" w:rsidRPr="004F2BB5">
        <w:rPr>
          <w:rFonts w:ascii="Verdana" w:hAnsi="Verdana"/>
          <w:spacing w:val="-2"/>
          <w:sz w:val="24"/>
          <w:szCs w:val="24"/>
        </w:rPr>
        <w:t>-40 de Bogotá</w:t>
      </w:r>
      <w:r w:rsidR="00521687" w:rsidRPr="004F2BB5">
        <w:rPr>
          <w:rFonts w:ascii="Verdana" w:hAnsi="Verdana"/>
          <w:spacing w:val="-2"/>
          <w:sz w:val="24"/>
          <w:szCs w:val="24"/>
        </w:rPr>
        <w:t>.</w:t>
      </w:r>
      <w:r w:rsidR="00F15029" w:rsidRPr="004F2BB5">
        <w:rPr>
          <w:rFonts w:ascii="Verdana" w:hAnsi="Verdana"/>
          <w:spacing w:val="-2"/>
          <w:sz w:val="24"/>
          <w:szCs w:val="24"/>
        </w:rPr>
        <w:t xml:space="preserve"> En ese escrito so</w:t>
      </w:r>
      <w:r w:rsidR="00521687" w:rsidRPr="004F2BB5">
        <w:rPr>
          <w:rFonts w:ascii="Verdana" w:hAnsi="Verdana"/>
          <w:spacing w:val="-2"/>
          <w:sz w:val="24"/>
          <w:szCs w:val="24"/>
        </w:rPr>
        <w:t>licitó, entre otras cosas, que la información a la comunidad de que trata el artículo 21 de la Ley 472 de 1998</w:t>
      </w:r>
      <w:r w:rsidR="00393A5A" w:rsidRPr="004F2BB5">
        <w:rPr>
          <w:rFonts w:ascii="Verdana" w:hAnsi="Verdana"/>
          <w:spacing w:val="-2"/>
          <w:sz w:val="24"/>
          <w:szCs w:val="24"/>
        </w:rPr>
        <w:t>, se reali</w:t>
      </w:r>
      <w:r w:rsidR="00F15029" w:rsidRPr="004F2BB5">
        <w:rPr>
          <w:rFonts w:ascii="Verdana" w:hAnsi="Verdana"/>
          <w:spacing w:val="-2"/>
          <w:sz w:val="24"/>
          <w:szCs w:val="24"/>
        </w:rPr>
        <w:t>ce</w:t>
      </w:r>
      <w:r w:rsidR="00393A5A" w:rsidRPr="004F2BB5">
        <w:rPr>
          <w:rFonts w:ascii="Verdana" w:hAnsi="Verdana"/>
          <w:spacing w:val="-2"/>
          <w:sz w:val="24"/>
          <w:szCs w:val="24"/>
        </w:rPr>
        <w:t xml:space="preserve"> por la entidad demandada o en su defecto</w:t>
      </w:r>
      <w:r w:rsidR="00BB1432" w:rsidRPr="004F2BB5">
        <w:rPr>
          <w:rFonts w:ascii="Verdana" w:hAnsi="Verdana"/>
          <w:spacing w:val="-2"/>
          <w:sz w:val="24"/>
          <w:szCs w:val="24"/>
        </w:rPr>
        <w:t xml:space="preserve"> por el juzgado</w:t>
      </w:r>
      <w:r w:rsidR="00F16E1E" w:rsidRPr="004F2BB5">
        <w:rPr>
          <w:rFonts w:ascii="Verdana" w:hAnsi="Verdana"/>
          <w:spacing w:val="-2"/>
          <w:sz w:val="24"/>
          <w:szCs w:val="24"/>
        </w:rPr>
        <w:t xml:space="preserve"> y se le concediera “amparo de pobre, referente a la información a la comunidad”</w:t>
      </w:r>
      <w:r w:rsidR="00D865F0" w:rsidRPr="004F2BB5">
        <w:rPr>
          <w:rStyle w:val="Refdenotaalpie"/>
          <w:rFonts w:ascii="Verdana" w:hAnsi="Verdana"/>
          <w:spacing w:val="-2"/>
          <w:sz w:val="24"/>
          <w:szCs w:val="24"/>
        </w:rPr>
        <w:footnoteReference w:id="6"/>
      </w:r>
      <w:r w:rsidR="00F16E1E" w:rsidRPr="004F2BB5">
        <w:rPr>
          <w:rFonts w:ascii="Verdana" w:hAnsi="Verdana"/>
          <w:spacing w:val="-2"/>
          <w:sz w:val="24"/>
          <w:szCs w:val="24"/>
        </w:rPr>
        <w:t>.</w:t>
      </w:r>
    </w:p>
    <w:p w:rsidR="00667C5C" w:rsidRPr="004F2BB5" w:rsidRDefault="00667C5C" w:rsidP="004F2BB5">
      <w:pPr>
        <w:spacing w:line="336" w:lineRule="auto"/>
        <w:jc w:val="both"/>
        <w:rPr>
          <w:rFonts w:ascii="Verdana" w:hAnsi="Verdana"/>
          <w:spacing w:val="-2"/>
          <w:sz w:val="24"/>
          <w:szCs w:val="24"/>
        </w:rPr>
      </w:pPr>
    </w:p>
    <w:p w:rsidR="00C867B3" w:rsidRPr="004F2BB5" w:rsidRDefault="00F16E1E"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4.2 </w:t>
      </w:r>
      <w:r w:rsidR="00FB2F81" w:rsidRPr="004F2BB5">
        <w:rPr>
          <w:rFonts w:ascii="Verdana" w:hAnsi="Verdana"/>
          <w:spacing w:val="-2"/>
          <w:sz w:val="24"/>
          <w:szCs w:val="24"/>
        </w:rPr>
        <w:t>Mediante proveído</w:t>
      </w:r>
      <w:r w:rsidR="00902D58" w:rsidRPr="004F2BB5">
        <w:rPr>
          <w:rFonts w:ascii="Verdana" w:hAnsi="Verdana"/>
          <w:spacing w:val="-2"/>
          <w:sz w:val="24"/>
          <w:szCs w:val="24"/>
        </w:rPr>
        <w:t xml:space="preserve"> del pasado 5</w:t>
      </w:r>
      <w:r w:rsidR="00C867B3" w:rsidRPr="004F2BB5">
        <w:rPr>
          <w:rFonts w:ascii="Verdana" w:hAnsi="Verdana"/>
          <w:spacing w:val="-2"/>
          <w:sz w:val="24"/>
          <w:szCs w:val="24"/>
        </w:rPr>
        <w:t xml:space="preserve"> de</w:t>
      </w:r>
      <w:r w:rsidR="00DC1F27" w:rsidRPr="004F2BB5">
        <w:rPr>
          <w:rFonts w:ascii="Verdana" w:hAnsi="Verdana"/>
          <w:spacing w:val="-2"/>
          <w:sz w:val="24"/>
          <w:szCs w:val="24"/>
        </w:rPr>
        <w:t xml:space="preserve"> </w:t>
      </w:r>
      <w:r w:rsidR="00902D58" w:rsidRPr="004F2BB5">
        <w:rPr>
          <w:rFonts w:ascii="Verdana" w:hAnsi="Verdana"/>
          <w:spacing w:val="-2"/>
          <w:sz w:val="24"/>
          <w:szCs w:val="24"/>
        </w:rPr>
        <w:t>marzo</w:t>
      </w:r>
      <w:r w:rsidR="00DC1F27" w:rsidRPr="004F2BB5">
        <w:rPr>
          <w:rFonts w:ascii="Verdana" w:hAnsi="Verdana"/>
          <w:spacing w:val="-2"/>
          <w:sz w:val="24"/>
          <w:szCs w:val="24"/>
        </w:rPr>
        <w:t xml:space="preserve"> </w:t>
      </w:r>
      <w:r w:rsidR="00FA26AF" w:rsidRPr="004F2BB5">
        <w:rPr>
          <w:rFonts w:ascii="Verdana" w:hAnsi="Verdana"/>
          <w:spacing w:val="-2"/>
          <w:sz w:val="24"/>
          <w:szCs w:val="24"/>
        </w:rPr>
        <w:t>el juzgado accionado</w:t>
      </w:r>
      <w:r w:rsidR="00902D58" w:rsidRPr="004F2BB5">
        <w:rPr>
          <w:rFonts w:ascii="Verdana" w:hAnsi="Verdana"/>
          <w:spacing w:val="-2"/>
          <w:sz w:val="24"/>
          <w:szCs w:val="24"/>
        </w:rPr>
        <w:t xml:space="preserve"> admitió la demanda popular, ordenó las notificaciones de rigor y </w:t>
      </w:r>
      <w:r w:rsidR="00D865F0" w:rsidRPr="004F2BB5">
        <w:rPr>
          <w:rFonts w:ascii="Verdana" w:hAnsi="Verdana"/>
          <w:spacing w:val="-2"/>
          <w:sz w:val="24"/>
          <w:szCs w:val="24"/>
        </w:rPr>
        <w:t xml:space="preserve">requirió al actor para que realizara la publicación prevista en </w:t>
      </w:r>
      <w:r w:rsidR="00F15029" w:rsidRPr="004F2BB5">
        <w:rPr>
          <w:rFonts w:ascii="Verdana" w:hAnsi="Verdana"/>
          <w:spacing w:val="-2"/>
          <w:sz w:val="24"/>
          <w:szCs w:val="24"/>
        </w:rPr>
        <w:t xml:space="preserve">la última disposición </w:t>
      </w:r>
      <w:r w:rsidR="00D865F0" w:rsidRPr="004F2BB5">
        <w:rPr>
          <w:rFonts w:ascii="Verdana" w:hAnsi="Verdana"/>
          <w:spacing w:val="-2"/>
          <w:sz w:val="24"/>
          <w:szCs w:val="24"/>
        </w:rPr>
        <w:t>citad</w:t>
      </w:r>
      <w:r w:rsidR="00F15029" w:rsidRPr="004F2BB5">
        <w:rPr>
          <w:rFonts w:ascii="Verdana" w:hAnsi="Verdana"/>
          <w:spacing w:val="-2"/>
          <w:sz w:val="24"/>
          <w:szCs w:val="24"/>
        </w:rPr>
        <w:t>a</w:t>
      </w:r>
      <w:r w:rsidR="00C867B3" w:rsidRPr="004F2BB5">
        <w:rPr>
          <w:rStyle w:val="Refdenotaalpie"/>
          <w:rFonts w:ascii="Verdana" w:hAnsi="Verdana"/>
          <w:spacing w:val="-2"/>
          <w:sz w:val="24"/>
          <w:szCs w:val="24"/>
        </w:rPr>
        <w:footnoteReference w:id="7"/>
      </w:r>
      <w:r w:rsidR="00D865F0" w:rsidRPr="004F2BB5">
        <w:rPr>
          <w:rFonts w:ascii="Verdana" w:hAnsi="Verdana"/>
          <w:spacing w:val="-2"/>
          <w:sz w:val="24"/>
          <w:szCs w:val="24"/>
        </w:rPr>
        <w:t>.</w:t>
      </w:r>
    </w:p>
    <w:p w:rsidR="00C867B3" w:rsidRPr="004F2BB5" w:rsidRDefault="00C867B3" w:rsidP="004F2BB5">
      <w:pPr>
        <w:spacing w:line="336" w:lineRule="auto"/>
        <w:jc w:val="both"/>
        <w:rPr>
          <w:rFonts w:ascii="Verdana" w:hAnsi="Verdana"/>
          <w:spacing w:val="-2"/>
          <w:sz w:val="24"/>
          <w:szCs w:val="24"/>
        </w:rPr>
      </w:pPr>
    </w:p>
    <w:p w:rsidR="007552A7" w:rsidRPr="004F2BB5" w:rsidRDefault="00C56ED4" w:rsidP="004F2BB5">
      <w:pPr>
        <w:spacing w:line="336" w:lineRule="auto"/>
        <w:jc w:val="both"/>
        <w:rPr>
          <w:rFonts w:ascii="Verdana" w:hAnsi="Verdana"/>
          <w:spacing w:val="-2"/>
          <w:sz w:val="24"/>
          <w:szCs w:val="24"/>
        </w:rPr>
      </w:pPr>
      <w:r w:rsidRPr="004F2BB5">
        <w:rPr>
          <w:rFonts w:ascii="Verdana" w:hAnsi="Verdana"/>
          <w:spacing w:val="-2"/>
          <w:sz w:val="24"/>
          <w:szCs w:val="24"/>
        </w:rPr>
        <w:t>4.</w:t>
      </w:r>
      <w:r w:rsidR="00502F4F" w:rsidRPr="004F2BB5">
        <w:rPr>
          <w:rFonts w:ascii="Verdana" w:hAnsi="Verdana"/>
          <w:spacing w:val="-2"/>
          <w:sz w:val="24"/>
          <w:szCs w:val="24"/>
        </w:rPr>
        <w:t>2</w:t>
      </w:r>
      <w:r w:rsidR="007552A7" w:rsidRPr="004F2BB5">
        <w:rPr>
          <w:rFonts w:ascii="Verdana" w:hAnsi="Verdana"/>
          <w:spacing w:val="-2"/>
          <w:sz w:val="24"/>
          <w:szCs w:val="24"/>
        </w:rPr>
        <w:t xml:space="preserve"> Por auto del 19 de abril último, la funcionaria accionada decidió negar</w:t>
      </w:r>
      <w:r w:rsidR="001F250D" w:rsidRPr="004F2BB5">
        <w:rPr>
          <w:rFonts w:ascii="Verdana" w:hAnsi="Verdana"/>
          <w:spacing w:val="-2"/>
          <w:sz w:val="24"/>
          <w:szCs w:val="24"/>
        </w:rPr>
        <w:t xml:space="preserve"> la petición de amparo de pobreza para efectos de la información a la comunidad, ya que esta solicitud</w:t>
      </w:r>
      <w:r w:rsidR="004576BE" w:rsidRPr="004F2BB5">
        <w:rPr>
          <w:rFonts w:ascii="Verdana" w:hAnsi="Verdana"/>
          <w:spacing w:val="-2"/>
          <w:sz w:val="24"/>
          <w:szCs w:val="24"/>
        </w:rPr>
        <w:t xml:space="preserve"> no satisface </w:t>
      </w:r>
      <w:r w:rsidR="00D572AA" w:rsidRPr="004F2BB5">
        <w:rPr>
          <w:rFonts w:ascii="Verdana" w:hAnsi="Verdana"/>
          <w:spacing w:val="-2"/>
          <w:sz w:val="24"/>
          <w:szCs w:val="24"/>
        </w:rPr>
        <w:t xml:space="preserve">las exigencias </w:t>
      </w:r>
      <w:r w:rsidR="004576BE" w:rsidRPr="004F2BB5">
        <w:rPr>
          <w:rFonts w:ascii="Verdana" w:hAnsi="Verdana"/>
          <w:spacing w:val="-2"/>
          <w:sz w:val="24"/>
          <w:szCs w:val="24"/>
        </w:rPr>
        <w:t>de l</w:t>
      </w:r>
      <w:r w:rsidR="00D572AA" w:rsidRPr="004F2BB5">
        <w:rPr>
          <w:rFonts w:ascii="Verdana" w:hAnsi="Verdana"/>
          <w:spacing w:val="-2"/>
          <w:sz w:val="24"/>
          <w:szCs w:val="24"/>
        </w:rPr>
        <w:t>os artículos 151 y 152 del Código General del Proceso. Además,</w:t>
      </w:r>
      <w:r w:rsidR="004576BE" w:rsidRPr="004F2BB5">
        <w:rPr>
          <w:rFonts w:ascii="Verdana" w:hAnsi="Verdana"/>
          <w:spacing w:val="-2"/>
          <w:sz w:val="24"/>
          <w:szCs w:val="24"/>
        </w:rPr>
        <w:t xml:space="preserve"> indicó, </w:t>
      </w:r>
      <w:r w:rsidR="00D572AA" w:rsidRPr="004F2BB5">
        <w:rPr>
          <w:rFonts w:ascii="Verdana" w:hAnsi="Verdana"/>
          <w:spacing w:val="-2"/>
          <w:sz w:val="24"/>
          <w:szCs w:val="24"/>
        </w:rPr>
        <w:t xml:space="preserve"> </w:t>
      </w:r>
      <w:r w:rsidR="00BE0F10" w:rsidRPr="004F2BB5">
        <w:rPr>
          <w:rFonts w:ascii="Verdana" w:hAnsi="Verdana"/>
          <w:spacing w:val="-2"/>
          <w:sz w:val="24"/>
          <w:szCs w:val="24"/>
        </w:rPr>
        <w:t>el artículo 71 de la Ley 472 de 1998 le atribuye al Fondo para la Defensa de los Derechos e Intereses Colectivos la función de evaluar las solicitudes de financiamiento</w:t>
      </w:r>
      <w:r w:rsidR="002F7436" w:rsidRPr="004F2BB5">
        <w:rPr>
          <w:rFonts w:ascii="Verdana" w:hAnsi="Verdana"/>
          <w:spacing w:val="-2"/>
          <w:sz w:val="24"/>
          <w:szCs w:val="24"/>
        </w:rPr>
        <w:t xml:space="preserve"> de los gastos en que incurra el actor popular y por tanto</w:t>
      </w:r>
      <w:r w:rsidR="004576BE" w:rsidRPr="004F2BB5">
        <w:rPr>
          <w:rFonts w:ascii="Verdana" w:hAnsi="Verdana"/>
          <w:spacing w:val="-2"/>
          <w:sz w:val="24"/>
          <w:szCs w:val="24"/>
        </w:rPr>
        <w:t>,</w:t>
      </w:r>
      <w:r w:rsidR="002F7436" w:rsidRPr="004F2BB5">
        <w:rPr>
          <w:rFonts w:ascii="Verdana" w:hAnsi="Verdana"/>
          <w:spacing w:val="-2"/>
          <w:sz w:val="24"/>
          <w:szCs w:val="24"/>
        </w:rPr>
        <w:t xml:space="preserve"> a ese</w:t>
      </w:r>
      <w:r w:rsidR="002930E3" w:rsidRPr="004F2BB5">
        <w:rPr>
          <w:rFonts w:ascii="Verdana" w:hAnsi="Verdana"/>
          <w:spacing w:val="-2"/>
          <w:sz w:val="24"/>
          <w:szCs w:val="24"/>
        </w:rPr>
        <w:t xml:space="preserve"> ente debe acudir el accionante</w:t>
      </w:r>
      <w:r w:rsidR="002F7436" w:rsidRPr="004F2BB5">
        <w:rPr>
          <w:rFonts w:ascii="Verdana" w:hAnsi="Verdana"/>
          <w:spacing w:val="-2"/>
          <w:sz w:val="24"/>
          <w:szCs w:val="24"/>
        </w:rPr>
        <w:t xml:space="preserve"> para</w:t>
      </w:r>
      <w:r w:rsidR="002930E3" w:rsidRPr="004F2BB5">
        <w:rPr>
          <w:rFonts w:ascii="Verdana" w:hAnsi="Verdana"/>
          <w:spacing w:val="-2"/>
          <w:sz w:val="24"/>
          <w:szCs w:val="24"/>
        </w:rPr>
        <w:t xml:space="preserve"> que “dentro de su criterio respalden o no la financiación que pretende el accionante”</w:t>
      </w:r>
      <w:r w:rsidR="00E10E62" w:rsidRPr="004F2BB5">
        <w:rPr>
          <w:rStyle w:val="Refdenotaalpie"/>
          <w:rFonts w:ascii="Verdana" w:hAnsi="Verdana"/>
          <w:spacing w:val="-2"/>
          <w:sz w:val="24"/>
          <w:szCs w:val="24"/>
        </w:rPr>
        <w:footnoteReference w:id="8"/>
      </w:r>
      <w:r w:rsidR="007552A7" w:rsidRPr="004F2BB5">
        <w:rPr>
          <w:rFonts w:ascii="Verdana" w:hAnsi="Verdana"/>
          <w:spacing w:val="-2"/>
          <w:sz w:val="24"/>
          <w:szCs w:val="24"/>
        </w:rPr>
        <w:t>.</w:t>
      </w:r>
    </w:p>
    <w:p w:rsidR="00046452" w:rsidRPr="004F2BB5" w:rsidRDefault="00046452" w:rsidP="004F2BB5">
      <w:pPr>
        <w:spacing w:line="336" w:lineRule="auto"/>
        <w:jc w:val="both"/>
        <w:rPr>
          <w:rFonts w:ascii="Verdana" w:hAnsi="Verdana"/>
          <w:spacing w:val="-2"/>
          <w:sz w:val="24"/>
          <w:szCs w:val="24"/>
        </w:rPr>
      </w:pPr>
    </w:p>
    <w:p w:rsidR="00046452" w:rsidRPr="004F2BB5" w:rsidRDefault="00046452"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4.3 Esta última decisión se notificó el 20 de abril </w:t>
      </w:r>
      <w:r w:rsidR="00611020" w:rsidRPr="004F2BB5">
        <w:rPr>
          <w:rFonts w:ascii="Verdana" w:hAnsi="Verdana"/>
          <w:spacing w:val="-2"/>
          <w:sz w:val="24"/>
          <w:szCs w:val="24"/>
        </w:rPr>
        <w:t>pasado</w:t>
      </w:r>
      <w:r w:rsidRPr="004F2BB5">
        <w:rPr>
          <w:rStyle w:val="Refdenotaalpie"/>
          <w:rFonts w:ascii="Verdana" w:hAnsi="Verdana"/>
          <w:spacing w:val="-2"/>
          <w:sz w:val="24"/>
          <w:szCs w:val="24"/>
        </w:rPr>
        <w:footnoteReference w:id="9"/>
      </w:r>
      <w:r w:rsidRPr="004F2BB5">
        <w:rPr>
          <w:rFonts w:ascii="Verdana" w:hAnsi="Verdana"/>
          <w:spacing w:val="-2"/>
          <w:sz w:val="24"/>
          <w:szCs w:val="24"/>
        </w:rPr>
        <w:t>.</w:t>
      </w:r>
    </w:p>
    <w:p w:rsidR="00C867B3" w:rsidRPr="004F2BB5" w:rsidRDefault="00C867B3" w:rsidP="004F2BB5">
      <w:pPr>
        <w:spacing w:line="336" w:lineRule="auto"/>
        <w:jc w:val="both"/>
        <w:rPr>
          <w:rFonts w:ascii="Verdana" w:hAnsi="Verdana"/>
          <w:spacing w:val="-2"/>
          <w:sz w:val="24"/>
          <w:szCs w:val="24"/>
        </w:rPr>
      </w:pPr>
    </w:p>
    <w:p w:rsidR="001041CC" w:rsidRDefault="00611020" w:rsidP="004F2BB5">
      <w:pPr>
        <w:spacing w:line="336" w:lineRule="auto"/>
        <w:jc w:val="both"/>
        <w:rPr>
          <w:rFonts w:ascii="Verdana" w:hAnsi="Verdana"/>
          <w:spacing w:val="-2"/>
          <w:sz w:val="24"/>
          <w:szCs w:val="24"/>
        </w:rPr>
      </w:pPr>
      <w:r w:rsidRPr="004F2BB5">
        <w:rPr>
          <w:rFonts w:ascii="Verdana" w:hAnsi="Verdana"/>
          <w:spacing w:val="-2"/>
          <w:sz w:val="24"/>
          <w:szCs w:val="24"/>
        </w:rPr>
        <w:t>5. Surge de esas pruebas que en este</w:t>
      </w:r>
      <w:r w:rsidR="007A55BB">
        <w:rPr>
          <w:rFonts w:ascii="Verdana" w:hAnsi="Verdana"/>
          <w:spacing w:val="-2"/>
          <w:sz w:val="24"/>
          <w:szCs w:val="24"/>
        </w:rPr>
        <w:t xml:space="preserve"> caso concreto no se satisfacen </w:t>
      </w:r>
      <w:r w:rsidRPr="004F2BB5">
        <w:rPr>
          <w:rFonts w:ascii="Verdana" w:hAnsi="Verdana"/>
          <w:spacing w:val="-2"/>
          <w:sz w:val="24"/>
          <w:szCs w:val="24"/>
        </w:rPr>
        <w:t>todos</w:t>
      </w:r>
      <w:r w:rsidRPr="000914C5">
        <w:rPr>
          <w:rFonts w:ascii="Verdana" w:hAnsi="Verdana"/>
          <w:spacing w:val="10"/>
          <w:sz w:val="24"/>
          <w:szCs w:val="24"/>
        </w:rPr>
        <w:t xml:space="preserve"> </w:t>
      </w:r>
      <w:r w:rsidRPr="004F2BB5">
        <w:rPr>
          <w:rFonts w:ascii="Verdana" w:hAnsi="Verdana"/>
          <w:spacing w:val="-2"/>
          <w:sz w:val="24"/>
          <w:szCs w:val="24"/>
        </w:rPr>
        <w:t>los</w:t>
      </w:r>
      <w:r w:rsidRPr="000914C5">
        <w:rPr>
          <w:rFonts w:ascii="Verdana" w:hAnsi="Verdana"/>
          <w:spacing w:val="10"/>
          <w:sz w:val="24"/>
          <w:szCs w:val="24"/>
        </w:rPr>
        <w:t xml:space="preserve"> </w:t>
      </w:r>
      <w:r w:rsidRPr="004F2BB5">
        <w:rPr>
          <w:rFonts w:ascii="Verdana" w:hAnsi="Verdana"/>
          <w:spacing w:val="-2"/>
          <w:sz w:val="24"/>
          <w:szCs w:val="24"/>
        </w:rPr>
        <w:t>presupuestos</w:t>
      </w:r>
      <w:r w:rsidRPr="000914C5">
        <w:rPr>
          <w:rFonts w:ascii="Verdana" w:hAnsi="Verdana"/>
          <w:spacing w:val="10"/>
          <w:sz w:val="24"/>
          <w:szCs w:val="24"/>
        </w:rPr>
        <w:t xml:space="preserve"> </w:t>
      </w:r>
      <w:r w:rsidRPr="004F2BB5">
        <w:rPr>
          <w:rFonts w:ascii="Verdana" w:hAnsi="Verdana"/>
          <w:spacing w:val="-2"/>
          <w:sz w:val="24"/>
          <w:szCs w:val="24"/>
        </w:rPr>
        <w:t>de</w:t>
      </w:r>
      <w:r w:rsidRPr="000914C5">
        <w:rPr>
          <w:rFonts w:ascii="Verdana" w:hAnsi="Verdana"/>
          <w:spacing w:val="10"/>
          <w:sz w:val="24"/>
          <w:szCs w:val="24"/>
        </w:rPr>
        <w:t xml:space="preserve"> </w:t>
      </w:r>
      <w:r w:rsidRPr="004F2BB5">
        <w:rPr>
          <w:rFonts w:ascii="Verdana" w:hAnsi="Verdana"/>
          <w:spacing w:val="-2"/>
          <w:sz w:val="24"/>
          <w:szCs w:val="24"/>
        </w:rPr>
        <w:t>procedencia</w:t>
      </w:r>
      <w:r w:rsidRPr="000914C5">
        <w:rPr>
          <w:rFonts w:ascii="Verdana" w:hAnsi="Verdana"/>
          <w:spacing w:val="10"/>
          <w:sz w:val="24"/>
          <w:szCs w:val="24"/>
        </w:rPr>
        <w:t xml:space="preserve"> </w:t>
      </w:r>
      <w:r w:rsidRPr="004F2BB5">
        <w:rPr>
          <w:rFonts w:ascii="Verdana" w:hAnsi="Verdana"/>
          <w:spacing w:val="-2"/>
          <w:sz w:val="24"/>
          <w:szCs w:val="24"/>
        </w:rPr>
        <w:t>de</w:t>
      </w:r>
      <w:r w:rsidRPr="000914C5">
        <w:rPr>
          <w:rFonts w:ascii="Verdana" w:hAnsi="Verdana"/>
          <w:spacing w:val="10"/>
          <w:sz w:val="24"/>
          <w:szCs w:val="24"/>
        </w:rPr>
        <w:t xml:space="preserve"> </w:t>
      </w:r>
      <w:r w:rsidRPr="004F2BB5">
        <w:rPr>
          <w:rFonts w:ascii="Verdana" w:hAnsi="Verdana"/>
          <w:spacing w:val="-2"/>
          <w:sz w:val="24"/>
          <w:szCs w:val="24"/>
        </w:rPr>
        <w:t>la</w:t>
      </w:r>
      <w:r w:rsidRPr="000914C5">
        <w:rPr>
          <w:rFonts w:ascii="Verdana" w:hAnsi="Verdana"/>
          <w:spacing w:val="10"/>
          <w:sz w:val="24"/>
          <w:szCs w:val="24"/>
        </w:rPr>
        <w:t xml:space="preserve"> </w:t>
      </w:r>
      <w:r w:rsidRPr="004F2BB5">
        <w:rPr>
          <w:rFonts w:ascii="Verdana" w:hAnsi="Verdana"/>
          <w:spacing w:val="-2"/>
          <w:sz w:val="24"/>
          <w:szCs w:val="24"/>
        </w:rPr>
        <w:t>acción</w:t>
      </w:r>
      <w:r w:rsidRPr="000914C5">
        <w:rPr>
          <w:rFonts w:ascii="Verdana" w:hAnsi="Verdana"/>
          <w:spacing w:val="10"/>
          <w:sz w:val="24"/>
          <w:szCs w:val="24"/>
        </w:rPr>
        <w:t xml:space="preserve"> </w:t>
      </w:r>
      <w:r w:rsidRPr="004F2BB5">
        <w:rPr>
          <w:rFonts w:ascii="Verdana" w:hAnsi="Verdana"/>
          <w:spacing w:val="-2"/>
          <w:sz w:val="24"/>
          <w:szCs w:val="24"/>
        </w:rPr>
        <w:t>de</w:t>
      </w:r>
      <w:r w:rsidRPr="000914C5">
        <w:rPr>
          <w:rFonts w:ascii="Verdana" w:hAnsi="Verdana"/>
          <w:spacing w:val="10"/>
          <w:sz w:val="24"/>
          <w:szCs w:val="24"/>
        </w:rPr>
        <w:t xml:space="preserve"> </w:t>
      </w:r>
      <w:r w:rsidRPr="004F2BB5">
        <w:rPr>
          <w:rFonts w:ascii="Verdana" w:hAnsi="Verdana"/>
          <w:spacing w:val="-2"/>
          <w:sz w:val="24"/>
          <w:szCs w:val="24"/>
        </w:rPr>
        <w:t>tutela</w:t>
      </w:r>
      <w:r w:rsidRPr="000914C5">
        <w:rPr>
          <w:rFonts w:ascii="Verdana" w:hAnsi="Verdana"/>
          <w:spacing w:val="10"/>
          <w:sz w:val="24"/>
          <w:szCs w:val="24"/>
        </w:rPr>
        <w:t xml:space="preserve"> </w:t>
      </w:r>
      <w:r w:rsidRPr="004F2BB5">
        <w:rPr>
          <w:rFonts w:ascii="Verdana" w:hAnsi="Verdana"/>
          <w:spacing w:val="-2"/>
          <w:sz w:val="24"/>
          <w:szCs w:val="24"/>
        </w:rPr>
        <w:t>a</w:t>
      </w:r>
      <w:r w:rsidRPr="000914C5">
        <w:rPr>
          <w:rFonts w:ascii="Verdana" w:hAnsi="Verdana"/>
          <w:spacing w:val="10"/>
          <w:sz w:val="24"/>
          <w:szCs w:val="24"/>
        </w:rPr>
        <w:t xml:space="preserve"> </w:t>
      </w:r>
      <w:r w:rsidRPr="004F2BB5">
        <w:rPr>
          <w:rFonts w:ascii="Verdana" w:hAnsi="Verdana"/>
          <w:spacing w:val="-2"/>
          <w:sz w:val="24"/>
          <w:szCs w:val="24"/>
        </w:rPr>
        <w:t>que</w:t>
      </w:r>
      <w:r w:rsidRPr="000914C5">
        <w:rPr>
          <w:rFonts w:ascii="Verdana" w:hAnsi="Verdana"/>
          <w:spacing w:val="10"/>
          <w:sz w:val="24"/>
          <w:szCs w:val="24"/>
        </w:rPr>
        <w:t xml:space="preserve"> </w:t>
      </w:r>
      <w:r w:rsidRPr="004F2BB5">
        <w:rPr>
          <w:rFonts w:ascii="Verdana" w:hAnsi="Verdana"/>
          <w:spacing w:val="-2"/>
          <w:sz w:val="24"/>
          <w:szCs w:val="24"/>
        </w:rPr>
        <w:t xml:space="preserve">se </w:t>
      </w:r>
    </w:p>
    <w:p w:rsidR="00611020" w:rsidRPr="001041CC" w:rsidRDefault="00611020" w:rsidP="004F2BB5">
      <w:pPr>
        <w:spacing w:line="336" w:lineRule="auto"/>
        <w:jc w:val="both"/>
        <w:rPr>
          <w:rFonts w:ascii="Verdana" w:hAnsi="Verdana"/>
          <w:spacing w:val="-2"/>
          <w:sz w:val="24"/>
          <w:szCs w:val="24"/>
        </w:rPr>
      </w:pPr>
      <w:proofErr w:type="gramStart"/>
      <w:r w:rsidRPr="004F2BB5">
        <w:rPr>
          <w:rFonts w:ascii="Verdana" w:hAnsi="Verdana"/>
          <w:spacing w:val="-2"/>
          <w:sz w:val="24"/>
          <w:szCs w:val="24"/>
        </w:rPr>
        <w:t>refiere</w:t>
      </w:r>
      <w:proofErr w:type="gramEnd"/>
      <w:r w:rsidRPr="004F2BB5">
        <w:rPr>
          <w:rFonts w:ascii="Verdana" w:hAnsi="Verdana"/>
          <w:spacing w:val="-2"/>
          <w:sz w:val="24"/>
          <w:szCs w:val="24"/>
        </w:rPr>
        <w:t xml:space="preserve"> la primera jurisprudencia transcrita, concretamente el segundo, pues el 20 de abril de este año</w:t>
      </w:r>
      <w:r w:rsidRPr="00F815CC">
        <w:rPr>
          <w:rFonts w:ascii="Verdana" w:hAnsi="Verdana"/>
          <w:spacing w:val="-2"/>
          <w:sz w:val="24"/>
          <w:szCs w:val="24"/>
          <w:vertAlign w:val="superscript"/>
        </w:rPr>
        <w:footnoteReference w:id="10"/>
      </w:r>
      <w:r w:rsidRPr="004F2BB5">
        <w:rPr>
          <w:rFonts w:ascii="Verdana" w:hAnsi="Verdana"/>
          <w:spacing w:val="-2"/>
          <w:sz w:val="24"/>
          <w:szCs w:val="24"/>
        </w:rPr>
        <w:t xml:space="preserve">, fecha en que se promovió la acción de tutela, apenas se estaba notificando el auto que </w:t>
      </w:r>
      <w:r w:rsidR="00DC5D6A" w:rsidRPr="004F2BB5">
        <w:rPr>
          <w:rFonts w:ascii="Verdana" w:hAnsi="Verdana"/>
          <w:spacing w:val="-2"/>
          <w:sz w:val="24"/>
          <w:szCs w:val="24"/>
        </w:rPr>
        <w:t xml:space="preserve">negó la solicitud de amparo de pobreza </w:t>
      </w:r>
      <w:r w:rsidRPr="004F2BB5">
        <w:rPr>
          <w:rFonts w:ascii="Verdana" w:hAnsi="Verdana"/>
          <w:spacing w:val="-2"/>
          <w:sz w:val="24"/>
          <w:szCs w:val="24"/>
        </w:rPr>
        <w:t>y antes que interponer el recurso de reposición que procede contra esa providencia, acudió el demandante a esta excepcional acción, sin esperar siquiera su ejecutoria. Es decir, empleó la tutela como mecanismo principal de protección, cuando es una de sus características la subsidiaridad.</w:t>
      </w:r>
    </w:p>
    <w:p w:rsidR="00611020" w:rsidRPr="00F815CC" w:rsidRDefault="00611020" w:rsidP="004F2BB5">
      <w:pPr>
        <w:spacing w:line="336" w:lineRule="auto"/>
        <w:jc w:val="both"/>
        <w:rPr>
          <w:rFonts w:ascii="Verdana" w:hAnsi="Verdana"/>
          <w:spacing w:val="-2"/>
          <w:sz w:val="23"/>
          <w:szCs w:val="23"/>
          <w:lang w:val="es-CO"/>
        </w:rPr>
      </w:pPr>
    </w:p>
    <w:p w:rsidR="00611020" w:rsidRPr="004F2BB5" w:rsidRDefault="00611020"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w:t>
      </w:r>
    </w:p>
    <w:p w:rsidR="00FD53E2" w:rsidRPr="00F815CC" w:rsidRDefault="00FD53E2" w:rsidP="004F2BB5">
      <w:pPr>
        <w:spacing w:line="336" w:lineRule="auto"/>
        <w:jc w:val="both"/>
        <w:rPr>
          <w:rFonts w:ascii="Verdana" w:hAnsi="Verdana"/>
          <w:spacing w:val="-2"/>
          <w:sz w:val="23"/>
          <w:szCs w:val="23"/>
        </w:rPr>
      </w:pPr>
    </w:p>
    <w:p w:rsidR="00611020" w:rsidRPr="004F2BB5" w:rsidRDefault="00611020" w:rsidP="004F2BB5">
      <w:pPr>
        <w:spacing w:line="336" w:lineRule="auto"/>
        <w:jc w:val="both"/>
        <w:rPr>
          <w:rFonts w:ascii="Verdana" w:hAnsi="Verdana"/>
          <w:spacing w:val="-2"/>
          <w:sz w:val="24"/>
          <w:szCs w:val="24"/>
        </w:rPr>
      </w:pPr>
      <w:r w:rsidRPr="004F2BB5">
        <w:rPr>
          <w:rFonts w:ascii="Verdana" w:hAnsi="Verdana"/>
          <w:spacing w:val="-2"/>
          <w:sz w:val="24"/>
          <w:szCs w:val="24"/>
        </w:rPr>
        <w:t>Y es que el juez constitucional no puede desconocer las formas propias de cada juicio y adoptar por este excepcional medio de protección decisiones que deben ser resueltas en el propio proceso, escenario normal previsto por el legislador para ello.</w:t>
      </w:r>
    </w:p>
    <w:p w:rsidR="00611020" w:rsidRPr="00F815CC" w:rsidRDefault="00611020" w:rsidP="004F2BB5">
      <w:pPr>
        <w:spacing w:line="336" w:lineRule="auto"/>
        <w:jc w:val="both"/>
        <w:rPr>
          <w:rFonts w:ascii="Verdana" w:hAnsi="Verdana"/>
          <w:spacing w:val="-2"/>
          <w:sz w:val="23"/>
          <w:szCs w:val="23"/>
        </w:rPr>
      </w:pPr>
    </w:p>
    <w:p w:rsidR="00611020" w:rsidRPr="004F2BB5" w:rsidRDefault="00611020" w:rsidP="004F2BB5">
      <w:pPr>
        <w:spacing w:line="336" w:lineRule="auto"/>
        <w:jc w:val="both"/>
        <w:rPr>
          <w:rFonts w:ascii="Verdana" w:hAnsi="Verdana"/>
          <w:spacing w:val="-2"/>
          <w:sz w:val="24"/>
          <w:szCs w:val="24"/>
        </w:rPr>
      </w:pPr>
      <w:r w:rsidRPr="004F2BB5">
        <w:rPr>
          <w:rFonts w:ascii="Verdana" w:hAnsi="Verdana"/>
          <w:spacing w:val="-2"/>
          <w:sz w:val="24"/>
          <w:szCs w:val="24"/>
        </w:rPr>
        <w:t>En</w:t>
      </w:r>
      <w:r w:rsidR="00FD53E2" w:rsidRPr="004F2BB5">
        <w:rPr>
          <w:rFonts w:ascii="Verdana" w:hAnsi="Verdana"/>
          <w:spacing w:val="-2"/>
          <w:sz w:val="24"/>
          <w:szCs w:val="24"/>
        </w:rPr>
        <w:t xml:space="preserve"> estas condiciones,</w:t>
      </w:r>
      <w:r w:rsidRPr="004F2BB5">
        <w:rPr>
          <w:rFonts w:ascii="Verdana" w:hAnsi="Verdana"/>
          <w:spacing w:val="-2"/>
          <w:sz w:val="24"/>
          <w:szCs w:val="24"/>
        </w:rPr>
        <w:t xml:space="preserve"> el amparo solicitado resulta improcedente y así se declarará.</w:t>
      </w:r>
    </w:p>
    <w:p w:rsidR="005D6ADA" w:rsidRPr="00F815CC" w:rsidRDefault="005D6ADA" w:rsidP="004F2BB5">
      <w:pPr>
        <w:spacing w:line="336" w:lineRule="auto"/>
        <w:jc w:val="both"/>
        <w:rPr>
          <w:rFonts w:ascii="Verdana" w:hAnsi="Verdana"/>
          <w:spacing w:val="-2"/>
          <w:sz w:val="23"/>
          <w:szCs w:val="23"/>
        </w:rPr>
      </w:pPr>
    </w:p>
    <w:p w:rsidR="00C867B3" w:rsidRPr="004F2BB5" w:rsidRDefault="005D6ADA" w:rsidP="004F2BB5">
      <w:pPr>
        <w:spacing w:line="336" w:lineRule="auto"/>
        <w:jc w:val="both"/>
        <w:rPr>
          <w:rFonts w:ascii="Verdana" w:hAnsi="Verdana"/>
          <w:spacing w:val="-2"/>
          <w:sz w:val="24"/>
          <w:szCs w:val="24"/>
        </w:rPr>
      </w:pPr>
      <w:r w:rsidRPr="004F2BB5">
        <w:rPr>
          <w:rFonts w:ascii="Verdana" w:hAnsi="Verdana"/>
          <w:spacing w:val="-2"/>
          <w:sz w:val="24"/>
          <w:szCs w:val="24"/>
        </w:rPr>
        <w:t>6.</w:t>
      </w:r>
      <w:r w:rsidR="005112AE" w:rsidRPr="004F2BB5">
        <w:rPr>
          <w:rFonts w:ascii="Verdana" w:hAnsi="Verdana"/>
          <w:spacing w:val="-2"/>
          <w:sz w:val="24"/>
          <w:szCs w:val="24"/>
        </w:rPr>
        <w:t xml:space="preserve"> </w:t>
      </w:r>
      <w:r w:rsidR="00FD53E2" w:rsidRPr="004F2BB5">
        <w:rPr>
          <w:rFonts w:ascii="Verdana" w:hAnsi="Verdana"/>
          <w:spacing w:val="-2"/>
          <w:sz w:val="24"/>
          <w:szCs w:val="24"/>
        </w:rPr>
        <w:t>El actor tambi</w:t>
      </w:r>
      <w:r w:rsidR="00F4010E" w:rsidRPr="004F2BB5">
        <w:rPr>
          <w:rFonts w:ascii="Verdana" w:hAnsi="Verdana"/>
          <w:spacing w:val="-2"/>
          <w:sz w:val="24"/>
          <w:szCs w:val="24"/>
        </w:rPr>
        <w:t>én pretend</w:t>
      </w:r>
      <w:r w:rsidR="00FD53E2" w:rsidRPr="004F2BB5">
        <w:rPr>
          <w:rFonts w:ascii="Verdana" w:hAnsi="Verdana"/>
          <w:spacing w:val="-2"/>
          <w:sz w:val="24"/>
          <w:szCs w:val="24"/>
        </w:rPr>
        <w:t xml:space="preserve">e se ordene al juzgado accionado dar aplicación a los artículos 8º y 42 del Código General del Proceso, </w:t>
      </w:r>
      <w:r w:rsidR="009B12F3" w:rsidRPr="004F2BB5">
        <w:rPr>
          <w:rFonts w:ascii="Verdana" w:hAnsi="Verdana"/>
          <w:spacing w:val="-2"/>
          <w:sz w:val="24"/>
          <w:szCs w:val="24"/>
        </w:rPr>
        <w:t>los cuales se refieren en su orden al impulso de la actuación y a los deberes del juez</w:t>
      </w:r>
      <w:r w:rsidR="005112AE" w:rsidRPr="004F2BB5">
        <w:rPr>
          <w:rFonts w:ascii="Verdana" w:hAnsi="Verdana"/>
          <w:spacing w:val="-2"/>
          <w:sz w:val="24"/>
          <w:szCs w:val="24"/>
        </w:rPr>
        <w:t>.</w:t>
      </w:r>
      <w:r w:rsidR="009B12F3" w:rsidRPr="004F2BB5">
        <w:rPr>
          <w:rFonts w:ascii="Verdana" w:hAnsi="Verdana"/>
          <w:spacing w:val="-2"/>
          <w:sz w:val="24"/>
          <w:szCs w:val="24"/>
        </w:rPr>
        <w:t xml:space="preserve"> Sin embargo,</w:t>
      </w:r>
      <w:r w:rsidR="00D456DA" w:rsidRPr="004F2BB5">
        <w:rPr>
          <w:rFonts w:ascii="Verdana" w:hAnsi="Verdana"/>
          <w:spacing w:val="-2"/>
          <w:sz w:val="24"/>
          <w:szCs w:val="24"/>
        </w:rPr>
        <w:t xml:space="preserve"> para </w:t>
      </w:r>
      <w:r w:rsidR="00A82C94" w:rsidRPr="004F2BB5">
        <w:rPr>
          <w:rFonts w:ascii="Verdana" w:hAnsi="Verdana"/>
          <w:spacing w:val="-2"/>
          <w:sz w:val="24"/>
          <w:szCs w:val="24"/>
        </w:rPr>
        <w:t>negar</w:t>
      </w:r>
      <w:r w:rsidR="004F3405" w:rsidRPr="004F2BB5">
        <w:rPr>
          <w:rFonts w:ascii="Verdana" w:hAnsi="Verdana"/>
          <w:spacing w:val="-2"/>
          <w:sz w:val="24"/>
          <w:szCs w:val="24"/>
        </w:rPr>
        <w:t xml:space="preserve"> esa solicitud basta</w:t>
      </w:r>
      <w:r w:rsidR="00D456DA" w:rsidRPr="004F2BB5">
        <w:rPr>
          <w:rFonts w:ascii="Verdana" w:hAnsi="Verdana"/>
          <w:spacing w:val="-2"/>
          <w:sz w:val="24"/>
          <w:szCs w:val="24"/>
        </w:rPr>
        <w:t xml:space="preserve"> decir que </w:t>
      </w:r>
      <w:r w:rsidR="0032641D" w:rsidRPr="004F2BB5">
        <w:rPr>
          <w:rFonts w:ascii="Verdana" w:hAnsi="Verdana"/>
          <w:spacing w:val="-2"/>
          <w:sz w:val="24"/>
          <w:szCs w:val="24"/>
        </w:rPr>
        <w:t xml:space="preserve">la funcionaria accionada no ha desconocido tales normas, </w:t>
      </w:r>
      <w:r w:rsidR="004576BE" w:rsidRPr="004F2BB5">
        <w:rPr>
          <w:rFonts w:ascii="Verdana" w:hAnsi="Verdana"/>
          <w:spacing w:val="-2"/>
          <w:sz w:val="24"/>
          <w:szCs w:val="24"/>
        </w:rPr>
        <w:t xml:space="preserve">porque </w:t>
      </w:r>
      <w:r w:rsidR="00F4010E" w:rsidRPr="004F2BB5">
        <w:rPr>
          <w:rFonts w:ascii="Verdana" w:hAnsi="Verdana"/>
          <w:spacing w:val="-2"/>
          <w:sz w:val="24"/>
          <w:szCs w:val="24"/>
        </w:rPr>
        <w:t xml:space="preserve">según las pruebas aportadas, la acción popular sí se encuentra en trámite y en este momento </w:t>
      </w:r>
      <w:r w:rsidR="0032641D" w:rsidRPr="004F2BB5">
        <w:rPr>
          <w:rFonts w:ascii="Verdana" w:hAnsi="Verdana"/>
          <w:spacing w:val="-2"/>
          <w:sz w:val="24"/>
          <w:szCs w:val="24"/>
        </w:rPr>
        <w:t>está a la espera de que se cumpla la carga procesal impuesta al actor</w:t>
      </w:r>
      <w:r w:rsidR="00D456DA" w:rsidRPr="004F2BB5">
        <w:rPr>
          <w:rFonts w:ascii="Verdana" w:hAnsi="Verdana"/>
          <w:spacing w:val="-2"/>
          <w:sz w:val="24"/>
          <w:szCs w:val="24"/>
        </w:rPr>
        <w:t>.</w:t>
      </w:r>
      <w:r w:rsidR="00F4010E" w:rsidRPr="004F2BB5">
        <w:rPr>
          <w:rFonts w:ascii="Verdana" w:hAnsi="Verdana"/>
          <w:spacing w:val="-2"/>
          <w:sz w:val="24"/>
          <w:szCs w:val="24"/>
        </w:rPr>
        <w:t xml:space="preserve"> </w:t>
      </w:r>
    </w:p>
    <w:p w:rsidR="00A73F70" w:rsidRPr="00F815CC" w:rsidRDefault="00A73F70" w:rsidP="004F2BB5">
      <w:pPr>
        <w:spacing w:line="336" w:lineRule="auto"/>
        <w:jc w:val="both"/>
        <w:rPr>
          <w:rFonts w:ascii="Verdana" w:hAnsi="Verdana"/>
          <w:spacing w:val="-2"/>
          <w:sz w:val="23"/>
          <w:szCs w:val="23"/>
        </w:rPr>
      </w:pPr>
    </w:p>
    <w:p w:rsidR="00F815CC"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lastRenderedPageBreak/>
        <w:t xml:space="preserve">En mérito de lo expuesto, la Sala Civil Familia del Tribunal Superior de Pereira, Risaralda, administrando justicia en nombre de la República y </w:t>
      </w:r>
    </w:p>
    <w:p w:rsidR="00C867B3" w:rsidRPr="004F2BB5" w:rsidRDefault="00C867B3" w:rsidP="004F2BB5">
      <w:pPr>
        <w:spacing w:line="336" w:lineRule="auto"/>
        <w:jc w:val="both"/>
        <w:rPr>
          <w:rFonts w:ascii="Verdana" w:hAnsi="Verdana"/>
          <w:spacing w:val="-2"/>
          <w:sz w:val="24"/>
          <w:szCs w:val="24"/>
        </w:rPr>
      </w:pPr>
      <w:proofErr w:type="gramStart"/>
      <w:r w:rsidRPr="004F2BB5">
        <w:rPr>
          <w:rFonts w:ascii="Verdana" w:hAnsi="Verdana"/>
          <w:spacing w:val="-2"/>
          <w:sz w:val="24"/>
          <w:szCs w:val="24"/>
        </w:rPr>
        <w:t>por</w:t>
      </w:r>
      <w:proofErr w:type="gramEnd"/>
      <w:r w:rsidRPr="004F2BB5">
        <w:rPr>
          <w:rFonts w:ascii="Verdana" w:hAnsi="Verdana"/>
          <w:spacing w:val="-2"/>
          <w:sz w:val="24"/>
          <w:szCs w:val="24"/>
        </w:rPr>
        <w:t xml:space="preserve"> autoridad de la ley,</w:t>
      </w:r>
    </w:p>
    <w:p w:rsidR="00C867B3" w:rsidRPr="004F2BB5" w:rsidRDefault="00C867B3" w:rsidP="004F2BB5">
      <w:pPr>
        <w:spacing w:line="336" w:lineRule="auto"/>
        <w:jc w:val="both"/>
        <w:rPr>
          <w:rFonts w:ascii="Verdana" w:hAnsi="Verdana"/>
          <w:b/>
          <w:spacing w:val="-2"/>
          <w:sz w:val="24"/>
          <w:szCs w:val="24"/>
        </w:rPr>
      </w:pPr>
      <w:r w:rsidRPr="004F2BB5">
        <w:rPr>
          <w:rFonts w:ascii="Verdana" w:hAnsi="Verdana"/>
          <w:b/>
          <w:spacing w:val="-2"/>
          <w:sz w:val="24"/>
          <w:szCs w:val="24"/>
        </w:rPr>
        <w:t>R E S U E L V E </w:t>
      </w:r>
    </w:p>
    <w:p w:rsidR="00C867B3" w:rsidRPr="00F815CC" w:rsidRDefault="00C867B3" w:rsidP="004F2BB5">
      <w:pPr>
        <w:spacing w:line="336" w:lineRule="auto"/>
        <w:jc w:val="both"/>
        <w:rPr>
          <w:rFonts w:ascii="Verdana" w:hAnsi="Verdana"/>
          <w:spacing w:val="-2"/>
          <w:sz w:val="22"/>
          <w:szCs w:val="23"/>
        </w:rPr>
      </w:pPr>
    </w:p>
    <w:p w:rsidR="002C6C08" w:rsidRPr="004F2BB5" w:rsidRDefault="00C867B3" w:rsidP="004F2BB5">
      <w:pPr>
        <w:spacing w:line="336" w:lineRule="auto"/>
        <w:jc w:val="both"/>
        <w:rPr>
          <w:rFonts w:ascii="Verdana" w:hAnsi="Verdana"/>
          <w:spacing w:val="-2"/>
          <w:sz w:val="24"/>
          <w:szCs w:val="24"/>
        </w:rPr>
      </w:pPr>
      <w:r w:rsidRPr="004F2BB5">
        <w:rPr>
          <w:rFonts w:ascii="Verdana" w:hAnsi="Verdana"/>
          <w:b/>
          <w:spacing w:val="-2"/>
          <w:sz w:val="24"/>
          <w:szCs w:val="24"/>
        </w:rPr>
        <w:t>PRIMERO:</w:t>
      </w:r>
      <w:r w:rsidRPr="004F2BB5">
        <w:rPr>
          <w:rFonts w:ascii="Verdana" w:hAnsi="Verdana"/>
          <w:spacing w:val="-2"/>
          <w:sz w:val="24"/>
          <w:szCs w:val="24"/>
        </w:rPr>
        <w:t xml:space="preserve"> Declarar improcedente la acción de tutela propuesta</w:t>
      </w:r>
      <w:r w:rsidR="000E68B0" w:rsidRPr="004F2BB5">
        <w:rPr>
          <w:rFonts w:ascii="Verdana" w:hAnsi="Verdana"/>
          <w:spacing w:val="-2"/>
          <w:sz w:val="24"/>
          <w:szCs w:val="24"/>
        </w:rPr>
        <w:t xml:space="preserve"> por el</w:t>
      </w:r>
      <w:r w:rsidRPr="004F2BB5">
        <w:rPr>
          <w:rFonts w:ascii="Verdana" w:hAnsi="Verdana"/>
          <w:spacing w:val="-2"/>
          <w:sz w:val="24"/>
          <w:szCs w:val="24"/>
        </w:rPr>
        <w:t xml:space="preserve"> </w:t>
      </w:r>
      <w:r w:rsidR="000E68B0" w:rsidRPr="004F2BB5">
        <w:rPr>
          <w:rFonts w:ascii="Verdana" w:hAnsi="Verdana"/>
          <w:spacing w:val="-2"/>
          <w:sz w:val="24"/>
          <w:szCs w:val="24"/>
        </w:rPr>
        <w:t xml:space="preserve">señor </w:t>
      </w:r>
      <w:r w:rsidR="00D456DA" w:rsidRPr="004F2BB5">
        <w:rPr>
          <w:rFonts w:ascii="Verdana" w:hAnsi="Verdana"/>
          <w:spacing w:val="-2"/>
          <w:sz w:val="24"/>
          <w:szCs w:val="24"/>
        </w:rPr>
        <w:t xml:space="preserve">Augusto Becerra Largo contra el Juzgado Promiscuo del Circuito de La Virginia, a la que fueron vinculados el Banco Davivienda, </w:t>
      </w:r>
      <w:r w:rsidR="00D456DA" w:rsidRPr="004F2BB5">
        <w:rPr>
          <w:rFonts w:ascii="Verdana" w:hAnsi="Verdana"/>
          <w:spacing w:val="-2"/>
          <w:sz w:val="24"/>
          <w:szCs w:val="24"/>
          <w:lang w:val="es-ES"/>
        </w:rPr>
        <w:t xml:space="preserve">las Alcaldías de </w:t>
      </w:r>
      <w:r w:rsidR="00FF219D" w:rsidRPr="004F2BB5">
        <w:rPr>
          <w:rFonts w:ascii="Verdana" w:hAnsi="Verdana"/>
          <w:spacing w:val="-2"/>
          <w:sz w:val="24"/>
          <w:szCs w:val="24"/>
          <w:lang w:val="es-ES"/>
        </w:rPr>
        <w:t>La Virginia</w:t>
      </w:r>
      <w:r w:rsidR="00D456DA" w:rsidRPr="004F2BB5">
        <w:rPr>
          <w:rFonts w:ascii="Verdana" w:hAnsi="Verdana"/>
          <w:spacing w:val="-2"/>
          <w:sz w:val="24"/>
          <w:szCs w:val="24"/>
          <w:lang w:val="es-ES"/>
        </w:rPr>
        <w:t xml:space="preserve"> y de Bogotá</w:t>
      </w:r>
      <w:r w:rsidR="00D456DA" w:rsidRPr="004F2BB5">
        <w:rPr>
          <w:rFonts w:ascii="Verdana" w:hAnsi="Verdana"/>
          <w:spacing w:val="-2"/>
          <w:sz w:val="24"/>
          <w:szCs w:val="24"/>
        </w:rPr>
        <w:t>, la Defensoría del Pueblo de Bogotá y Risaralda, la Procuraduría General de la Nación y el Ministerio Público Regional Risaralda</w:t>
      </w:r>
      <w:r w:rsidR="002C6C08" w:rsidRPr="004F2BB5">
        <w:rPr>
          <w:rFonts w:ascii="Verdana" w:hAnsi="Verdana"/>
          <w:spacing w:val="-2"/>
          <w:sz w:val="24"/>
          <w:szCs w:val="24"/>
        </w:rPr>
        <w:t xml:space="preserve">, respecto de la pretensión dirigida a obtener se otorgara el amparo de pobreza a fin de que se informara a la comunidad de la existencia de la acción popular y se niega respecto de la solicitud </w:t>
      </w:r>
      <w:r w:rsidR="003B3197" w:rsidRPr="004F2BB5">
        <w:rPr>
          <w:rFonts w:ascii="Verdana" w:hAnsi="Verdana"/>
          <w:spacing w:val="-2"/>
          <w:sz w:val="24"/>
          <w:szCs w:val="24"/>
        </w:rPr>
        <w:t>de ordenar al juzgado accionado</w:t>
      </w:r>
      <w:r w:rsidR="002C6C08" w:rsidRPr="004F2BB5">
        <w:rPr>
          <w:rFonts w:ascii="Verdana" w:hAnsi="Verdana"/>
          <w:spacing w:val="-2"/>
          <w:sz w:val="24"/>
          <w:szCs w:val="24"/>
        </w:rPr>
        <w:t xml:space="preserve"> aplicar los artículos 8º y 42 del Código General del Proceso.</w:t>
      </w:r>
    </w:p>
    <w:p w:rsidR="00C867B3" w:rsidRPr="00F815CC" w:rsidRDefault="00C867B3" w:rsidP="004F2BB5">
      <w:pPr>
        <w:spacing w:line="336" w:lineRule="auto"/>
        <w:jc w:val="both"/>
        <w:rPr>
          <w:rFonts w:ascii="Verdana" w:hAnsi="Verdana"/>
          <w:spacing w:val="-2"/>
          <w:sz w:val="22"/>
          <w:szCs w:val="24"/>
        </w:rPr>
      </w:pPr>
    </w:p>
    <w:p w:rsidR="00C867B3" w:rsidRPr="004F2BB5" w:rsidRDefault="00C867B3" w:rsidP="004F2BB5">
      <w:pPr>
        <w:spacing w:line="336" w:lineRule="auto"/>
        <w:ind w:right="51"/>
        <w:jc w:val="both"/>
        <w:rPr>
          <w:rFonts w:ascii="Verdana" w:hAnsi="Verdana"/>
          <w:spacing w:val="-2"/>
          <w:sz w:val="24"/>
          <w:szCs w:val="24"/>
        </w:rPr>
      </w:pPr>
      <w:r w:rsidRPr="004F2BB5">
        <w:rPr>
          <w:rFonts w:ascii="Verdana" w:hAnsi="Verdana"/>
          <w:b/>
          <w:spacing w:val="-2"/>
          <w:sz w:val="24"/>
          <w:szCs w:val="24"/>
        </w:rPr>
        <w:t>SEGUNDO:</w:t>
      </w:r>
      <w:r w:rsidRPr="004F2BB5">
        <w:rPr>
          <w:rFonts w:ascii="Verdana" w:hAnsi="Verdana"/>
          <w:spacing w:val="-2"/>
          <w:sz w:val="24"/>
          <w:szCs w:val="24"/>
        </w:rPr>
        <w:t xml:space="preserve"> Notifíquese esta decisión a las partes conforme lo previene el artículo 30 del Decreto 2591 de 1991.</w:t>
      </w:r>
    </w:p>
    <w:p w:rsidR="00C867B3" w:rsidRPr="00F815CC" w:rsidRDefault="00C867B3" w:rsidP="004F2BB5">
      <w:pPr>
        <w:spacing w:line="336" w:lineRule="auto"/>
        <w:jc w:val="both"/>
        <w:rPr>
          <w:rFonts w:ascii="Verdana" w:hAnsi="Verdana"/>
          <w:b/>
          <w:spacing w:val="-2"/>
          <w:sz w:val="22"/>
          <w:szCs w:val="23"/>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b/>
          <w:spacing w:val="-2"/>
          <w:sz w:val="24"/>
          <w:szCs w:val="24"/>
        </w:rPr>
        <w:t>TERCERO:</w:t>
      </w:r>
      <w:r w:rsidRPr="004F2BB5">
        <w:rPr>
          <w:rFonts w:ascii="Verdana" w:hAnsi="Verdana"/>
          <w:spacing w:val="-2"/>
          <w:sz w:val="24"/>
          <w:szCs w:val="24"/>
        </w:rPr>
        <w:t xml:space="preserve"> De no ser impugnada esta decisión, envíese el expediente a la Corte Constitucional para su eventual revisión conforme lo dispone el artículo 32 del Decreto 2591 de 1991.</w:t>
      </w:r>
    </w:p>
    <w:p w:rsidR="00C867B3" w:rsidRPr="00F815CC" w:rsidRDefault="00C867B3" w:rsidP="004F2BB5">
      <w:pPr>
        <w:spacing w:line="336" w:lineRule="auto"/>
        <w:jc w:val="both"/>
        <w:rPr>
          <w:rFonts w:ascii="Verdana" w:hAnsi="Verdana"/>
          <w:spacing w:val="-2"/>
          <w:sz w:val="22"/>
          <w:szCs w:val="23"/>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 xml:space="preserve">Notifíquese y cúmplase, </w:t>
      </w:r>
    </w:p>
    <w:p w:rsidR="00C867B3" w:rsidRPr="00F815CC" w:rsidRDefault="00C867B3" w:rsidP="004F2BB5">
      <w:pPr>
        <w:spacing w:line="336" w:lineRule="auto"/>
        <w:jc w:val="both"/>
        <w:rPr>
          <w:rFonts w:ascii="Verdana" w:hAnsi="Verdana"/>
          <w:spacing w:val="-2"/>
          <w:sz w:val="22"/>
          <w:szCs w:val="23"/>
        </w:rPr>
      </w:pPr>
    </w:p>
    <w:p w:rsidR="00C867B3" w:rsidRPr="004F2BB5" w:rsidRDefault="00C867B3" w:rsidP="004F2BB5">
      <w:pPr>
        <w:spacing w:line="336" w:lineRule="auto"/>
        <w:jc w:val="both"/>
        <w:rPr>
          <w:rFonts w:ascii="Verdana" w:hAnsi="Verdana"/>
          <w:spacing w:val="-2"/>
          <w:sz w:val="24"/>
          <w:szCs w:val="24"/>
        </w:rPr>
      </w:pPr>
      <w:r w:rsidRPr="004F2BB5">
        <w:rPr>
          <w:rFonts w:ascii="Verdana" w:hAnsi="Verdana"/>
          <w:spacing w:val="-2"/>
          <w:sz w:val="24"/>
          <w:szCs w:val="24"/>
        </w:rPr>
        <w:t>Los Magistrados,</w:t>
      </w: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p>
    <w:p w:rsidR="00C867B3" w:rsidRPr="004850CC"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2"/>
          <w:szCs w:val="21"/>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r w:rsidRPr="004F2BB5">
        <w:rPr>
          <w:rFonts w:ascii="Verdana" w:hAnsi="Verdana"/>
          <w:b/>
          <w:spacing w:val="-2"/>
          <w:sz w:val="24"/>
          <w:szCs w:val="24"/>
        </w:rPr>
        <w:tab/>
      </w:r>
      <w:r w:rsidRPr="004F2BB5">
        <w:rPr>
          <w:rFonts w:ascii="Verdana" w:hAnsi="Verdana"/>
          <w:b/>
          <w:spacing w:val="-2"/>
          <w:sz w:val="24"/>
          <w:szCs w:val="24"/>
        </w:rPr>
        <w:tab/>
      </w:r>
      <w:r w:rsidRPr="004F2BB5">
        <w:rPr>
          <w:rFonts w:ascii="Verdana" w:hAnsi="Verdana"/>
          <w:b/>
          <w:spacing w:val="-2"/>
          <w:sz w:val="24"/>
          <w:szCs w:val="24"/>
        </w:rPr>
        <w:tab/>
        <w:t>CLAUDIA MARÍA ARCILA RÍOS</w:t>
      </w: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p>
    <w:p w:rsidR="00C867B3" w:rsidRPr="004850CC"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2"/>
          <w:szCs w:val="21"/>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pacing w:val="-2"/>
          <w:sz w:val="24"/>
          <w:szCs w:val="24"/>
        </w:rPr>
      </w:pPr>
      <w:r w:rsidRPr="004F2BB5">
        <w:rPr>
          <w:rFonts w:ascii="Verdana" w:hAnsi="Verdana"/>
          <w:b/>
          <w:spacing w:val="-2"/>
          <w:sz w:val="24"/>
          <w:szCs w:val="24"/>
        </w:rPr>
        <w:tab/>
      </w:r>
      <w:r w:rsidRPr="004F2BB5">
        <w:rPr>
          <w:rFonts w:ascii="Verdana" w:hAnsi="Verdana"/>
          <w:b/>
          <w:spacing w:val="-2"/>
          <w:sz w:val="24"/>
          <w:szCs w:val="24"/>
        </w:rPr>
        <w:tab/>
      </w:r>
      <w:r w:rsidRPr="004F2BB5">
        <w:rPr>
          <w:rFonts w:ascii="Verdana" w:hAnsi="Verdana"/>
          <w:b/>
          <w:spacing w:val="-2"/>
          <w:sz w:val="24"/>
          <w:szCs w:val="24"/>
        </w:rPr>
        <w:tab/>
        <w:t>DUBERNEY GRISALES HERRERA</w:t>
      </w: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p>
    <w:p w:rsidR="00C867B3"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p>
    <w:p w:rsidR="00C867B3" w:rsidRPr="004850CC"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2"/>
          <w:szCs w:val="21"/>
        </w:rPr>
      </w:pPr>
    </w:p>
    <w:p w:rsidR="00A81BAF" w:rsidRPr="004F2BB5" w:rsidRDefault="00C867B3" w:rsidP="004F2B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4F2BB5">
        <w:rPr>
          <w:rFonts w:ascii="Verdana" w:hAnsi="Verdana"/>
          <w:b/>
          <w:spacing w:val="-2"/>
          <w:sz w:val="24"/>
          <w:szCs w:val="24"/>
        </w:rPr>
        <w:tab/>
      </w:r>
      <w:r w:rsidRPr="004F2BB5">
        <w:rPr>
          <w:rFonts w:ascii="Verdana" w:hAnsi="Verdana"/>
          <w:b/>
          <w:spacing w:val="-2"/>
          <w:sz w:val="24"/>
          <w:szCs w:val="24"/>
        </w:rPr>
        <w:tab/>
      </w:r>
      <w:r w:rsidRPr="004F2BB5">
        <w:rPr>
          <w:rFonts w:ascii="Verdana" w:hAnsi="Verdana"/>
          <w:b/>
          <w:spacing w:val="-2"/>
          <w:sz w:val="24"/>
          <w:szCs w:val="24"/>
        </w:rPr>
        <w:tab/>
        <w:t>EDDER JIMMY SÁNCHEZ CALAMBÁS</w:t>
      </w:r>
    </w:p>
    <w:sectPr w:rsidR="00A81BAF" w:rsidRPr="004F2BB5" w:rsidSect="00635563">
      <w:footerReference w:type="default" r:id="rId8"/>
      <w:pgSz w:w="12242" w:h="18722" w:code="14"/>
      <w:pgMar w:top="1928"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CA" w:rsidRDefault="003810CA">
      <w:r>
        <w:separator/>
      </w:r>
    </w:p>
  </w:endnote>
  <w:endnote w:type="continuationSeparator" w:id="0">
    <w:p w:rsidR="003810CA" w:rsidRDefault="0038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162AC7">
      <w:rPr>
        <w:rStyle w:val="Nmerodepgina"/>
        <w:rFonts w:ascii="Verdana" w:hAnsi="Verdana"/>
        <w:noProof/>
      </w:rPr>
      <w:t>9</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CA" w:rsidRDefault="003810CA">
      <w:r>
        <w:separator/>
      </w:r>
    </w:p>
  </w:footnote>
  <w:footnote w:type="continuationSeparator" w:id="0">
    <w:p w:rsidR="003810CA" w:rsidRDefault="003810CA">
      <w:r>
        <w:continuationSeparator/>
      </w:r>
    </w:p>
  </w:footnote>
  <w:footnote w:id="1">
    <w:p w:rsidR="00E8188E" w:rsidRPr="009F48B4" w:rsidRDefault="00C867B3"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Sentencia T-307 de 2015</w:t>
      </w:r>
    </w:p>
  </w:footnote>
  <w:footnote w:id="2">
    <w:p w:rsidR="00C867B3" w:rsidRPr="009F48B4" w:rsidRDefault="00C867B3" w:rsidP="009F48B4">
      <w:pPr>
        <w:pStyle w:val="Textonotapie"/>
        <w:rPr>
          <w:rFonts w:ascii="Verdana" w:hAnsi="Verdana"/>
          <w:sz w:val="16"/>
          <w:szCs w:val="16"/>
          <w:lang w:val="es-MX"/>
        </w:rPr>
      </w:pPr>
      <w:r w:rsidRPr="009F48B4">
        <w:rPr>
          <w:rStyle w:val="Smbolodenotaalpie"/>
          <w:rFonts w:ascii="Verdana" w:hAnsi="Verdana"/>
          <w:sz w:val="16"/>
          <w:szCs w:val="16"/>
        </w:rPr>
        <w:footnoteRef/>
      </w:r>
      <w:r w:rsidRPr="009F48B4">
        <w:rPr>
          <w:rFonts w:ascii="Verdana" w:hAnsi="Verdana"/>
          <w:sz w:val="16"/>
          <w:szCs w:val="16"/>
          <w:lang w:val="es-MX"/>
        </w:rPr>
        <w:t xml:space="preserve"> </w:t>
      </w:r>
      <w:r w:rsidRPr="009F48B4">
        <w:rPr>
          <w:rFonts w:ascii="Verdana" w:hAnsi="Verdana"/>
          <w:sz w:val="16"/>
          <w:szCs w:val="16"/>
          <w:lang w:val="es-CO"/>
        </w:rPr>
        <w:t>Sentencia SU-241 de 2015</w:t>
      </w:r>
    </w:p>
  </w:footnote>
  <w:footnote w:id="3">
    <w:p w:rsidR="00C867B3" w:rsidRPr="009F48B4" w:rsidRDefault="00C867B3" w:rsidP="007A55BB">
      <w:pPr>
        <w:pStyle w:val="Textonotapie"/>
        <w:spacing w:line="192" w:lineRule="auto"/>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T-567 de 1998</w:t>
      </w:r>
    </w:p>
  </w:footnote>
  <w:footnote w:id="4">
    <w:p w:rsidR="005C0E69" w:rsidRPr="009F48B4" w:rsidRDefault="005C0E69" w:rsidP="007A55BB">
      <w:pPr>
        <w:pStyle w:val="Textonotapie"/>
        <w:spacing w:line="192" w:lineRule="auto"/>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Sentencia T-735 de 2013</w:t>
      </w:r>
    </w:p>
  </w:footnote>
  <w:footnote w:id="5">
    <w:p w:rsidR="00523F13" w:rsidRPr="009F48B4" w:rsidRDefault="00523F13"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Disco compacto que obra a folio 10</w:t>
      </w:r>
    </w:p>
  </w:footnote>
  <w:footnote w:id="6">
    <w:p w:rsidR="00D865F0" w:rsidRPr="009F48B4" w:rsidRDefault="00D865F0"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Folio 2 del CD</w:t>
      </w:r>
    </w:p>
  </w:footnote>
  <w:footnote w:id="7">
    <w:p w:rsidR="00C867B3" w:rsidRPr="009F48B4" w:rsidRDefault="00C867B3"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00FE4EFD" w:rsidRPr="009F48B4">
        <w:rPr>
          <w:rFonts w:ascii="Verdana" w:hAnsi="Verdana"/>
          <w:sz w:val="16"/>
          <w:szCs w:val="16"/>
          <w:lang w:val="es-CO"/>
        </w:rPr>
        <w:t>Folios 4 y 5 del CD</w:t>
      </w:r>
    </w:p>
  </w:footnote>
  <w:footnote w:id="8">
    <w:p w:rsidR="00E10E62" w:rsidRPr="009F48B4" w:rsidRDefault="00E10E62"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00046452" w:rsidRPr="009F48B4">
        <w:rPr>
          <w:rFonts w:ascii="Verdana" w:hAnsi="Verdana"/>
          <w:sz w:val="16"/>
          <w:szCs w:val="16"/>
          <w:lang w:val="es-CO"/>
        </w:rPr>
        <w:t>Folio 176 del CD</w:t>
      </w:r>
    </w:p>
  </w:footnote>
  <w:footnote w:id="9">
    <w:p w:rsidR="00046452" w:rsidRPr="009F48B4" w:rsidRDefault="00046452"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Folio 177 del CD</w:t>
      </w:r>
    </w:p>
  </w:footnote>
  <w:footnote w:id="10">
    <w:p w:rsidR="00611020" w:rsidRPr="009F48B4" w:rsidRDefault="00611020" w:rsidP="009F48B4">
      <w:pPr>
        <w:pStyle w:val="Textonotapie"/>
        <w:rPr>
          <w:rFonts w:ascii="Verdana" w:hAnsi="Verdana"/>
          <w:sz w:val="16"/>
          <w:szCs w:val="16"/>
          <w:lang w:val="es-CO"/>
        </w:rPr>
      </w:pPr>
      <w:r w:rsidRPr="009F48B4">
        <w:rPr>
          <w:rStyle w:val="Refdenotaalpie"/>
          <w:rFonts w:ascii="Verdana" w:hAnsi="Verdana"/>
          <w:sz w:val="16"/>
          <w:szCs w:val="16"/>
        </w:rPr>
        <w:footnoteRef/>
      </w:r>
      <w:r w:rsidRPr="009F48B4">
        <w:rPr>
          <w:rFonts w:ascii="Verdana" w:hAnsi="Verdana"/>
          <w:sz w:val="16"/>
          <w:szCs w:val="16"/>
        </w:rPr>
        <w:t xml:space="preserve"> </w:t>
      </w:r>
      <w:r w:rsidRPr="009F48B4">
        <w:rPr>
          <w:rFonts w:ascii="Verdana" w:hAnsi="Verdana"/>
          <w:sz w:val="16"/>
          <w:szCs w:val="16"/>
          <w:lang w:val="es-CO"/>
        </w:rPr>
        <w:t>Folio</w:t>
      </w:r>
      <w:r w:rsidR="00DC5D6A" w:rsidRPr="009F48B4">
        <w:rPr>
          <w:rFonts w:ascii="Verdana" w:hAnsi="Verdana"/>
          <w:sz w:val="16"/>
          <w:szCs w:val="16"/>
          <w:lang w:val="es-CO"/>
        </w:rPr>
        <w:t xml:space="preserve"> 3 y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D57"/>
    <w:rsid w:val="00016EEE"/>
    <w:rsid w:val="00016F47"/>
    <w:rsid w:val="0001746E"/>
    <w:rsid w:val="00017A09"/>
    <w:rsid w:val="0002030B"/>
    <w:rsid w:val="00020F04"/>
    <w:rsid w:val="000216D8"/>
    <w:rsid w:val="00022845"/>
    <w:rsid w:val="00022C44"/>
    <w:rsid w:val="00022FE4"/>
    <w:rsid w:val="00023662"/>
    <w:rsid w:val="00024086"/>
    <w:rsid w:val="00024D5E"/>
    <w:rsid w:val="00024FD0"/>
    <w:rsid w:val="0002610D"/>
    <w:rsid w:val="00026512"/>
    <w:rsid w:val="000266CB"/>
    <w:rsid w:val="00026867"/>
    <w:rsid w:val="00027119"/>
    <w:rsid w:val="000276D4"/>
    <w:rsid w:val="00027D7B"/>
    <w:rsid w:val="00027DAF"/>
    <w:rsid w:val="00030B79"/>
    <w:rsid w:val="00030EDE"/>
    <w:rsid w:val="000311F4"/>
    <w:rsid w:val="0003187C"/>
    <w:rsid w:val="00032350"/>
    <w:rsid w:val="000328BF"/>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A54"/>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45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738"/>
    <w:rsid w:val="00054CAF"/>
    <w:rsid w:val="000553F0"/>
    <w:rsid w:val="00055408"/>
    <w:rsid w:val="00055572"/>
    <w:rsid w:val="0005630E"/>
    <w:rsid w:val="00056CED"/>
    <w:rsid w:val="000571D6"/>
    <w:rsid w:val="000575B1"/>
    <w:rsid w:val="00057944"/>
    <w:rsid w:val="00057A36"/>
    <w:rsid w:val="00057E02"/>
    <w:rsid w:val="00057E5B"/>
    <w:rsid w:val="00057F7B"/>
    <w:rsid w:val="00061E08"/>
    <w:rsid w:val="00062126"/>
    <w:rsid w:val="00062AA2"/>
    <w:rsid w:val="000638C4"/>
    <w:rsid w:val="000646C5"/>
    <w:rsid w:val="000647C3"/>
    <w:rsid w:val="00064B09"/>
    <w:rsid w:val="000656EE"/>
    <w:rsid w:val="0006572B"/>
    <w:rsid w:val="00065A90"/>
    <w:rsid w:val="0006608D"/>
    <w:rsid w:val="000666B1"/>
    <w:rsid w:val="0006672E"/>
    <w:rsid w:val="00066A34"/>
    <w:rsid w:val="00067A0E"/>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6487"/>
    <w:rsid w:val="00077118"/>
    <w:rsid w:val="000779BD"/>
    <w:rsid w:val="000801D7"/>
    <w:rsid w:val="0008073C"/>
    <w:rsid w:val="00080A6B"/>
    <w:rsid w:val="00080EE1"/>
    <w:rsid w:val="000814C7"/>
    <w:rsid w:val="00081820"/>
    <w:rsid w:val="00081878"/>
    <w:rsid w:val="0008189B"/>
    <w:rsid w:val="000819DE"/>
    <w:rsid w:val="00081CBE"/>
    <w:rsid w:val="00081EB8"/>
    <w:rsid w:val="00081FFA"/>
    <w:rsid w:val="00082916"/>
    <w:rsid w:val="00082DF6"/>
    <w:rsid w:val="0008349E"/>
    <w:rsid w:val="000835BF"/>
    <w:rsid w:val="00083805"/>
    <w:rsid w:val="000839DE"/>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4C5"/>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A7EBE"/>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67F7"/>
    <w:rsid w:val="000C7D99"/>
    <w:rsid w:val="000D03F8"/>
    <w:rsid w:val="000D0ABC"/>
    <w:rsid w:val="000D0E55"/>
    <w:rsid w:val="000D0FA6"/>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8B0"/>
    <w:rsid w:val="000E6D34"/>
    <w:rsid w:val="000E6DD2"/>
    <w:rsid w:val="000E6FDF"/>
    <w:rsid w:val="000E710C"/>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B52"/>
    <w:rsid w:val="000F6D73"/>
    <w:rsid w:val="000F6FD6"/>
    <w:rsid w:val="000F7F72"/>
    <w:rsid w:val="001006EF"/>
    <w:rsid w:val="00100B50"/>
    <w:rsid w:val="00101A6C"/>
    <w:rsid w:val="001021E3"/>
    <w:rsid w:val="00102CB4"/>
    <w:rsid w:val="00103F02"/>
    <w:rsid w:val="001041CC"/>
    <w:rsid w:val="00105CA6"/>
    <w:rsid w:val="00105E43"/>
    <w:rsid w:val="00106252"/>
    <w:rsid w:val="001062DE"/>
    <w:rsid w:val="00106A2E"/>
    <w:rsid w:val="00106C05"/>
    <w:rsid w:val="00107563"/>
    <w:rsid w:val="001075A2"/>
    <w:rsid w:val="00107AEA"/>
    <w:rsid w:val="00110523"/>
    <w:rsid w:val="00110825"/>
    <w:rsid w:val="0011099F"/>
    <w:rsid w:val="00110CF9"/>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198"/>
    <w:rsid w:val="00124EA8"/>
    <w:rsid w:val="00125539"/>
    <w:rsid w:val="00125BEF"/>
    <w:rsid w:val="00125D1F"/>
    <w:rsid w:val="001264FB"/>
    <w:rsid w:val="001271B5"/>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3CF7"/>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20E"/>
    <w:rsid w:val="00155B23"/>
    <w:rsid w:val="00155CB6"/>
    <w:rsid w:val="00155FC7"/>
    <w:rsid w:val="00156041"/>
    <w:rsid w:val="001571AE"/>
    <w:rsid w:val="001572A5"/>
    <w:rsid w:val="00157644"/>
    <w:rsid w:val="001576E6"/>
    <w:rsid w:val="0015771C"/>
    <w:rsid w:val="00157D3E"/>
    <w:rsid w:val="00161372"/>
    <w:rsid w:val="0016175B"/>
    <w:rsid w:val="00161765"/>
    <w:rsid w:val="00161B5C"/>
    <w:rsid w:val="001629AC"/>
    <w:rsid w:val="00162AA5"/>
    <w:rsid w:val="00162AC7"/>
    <w:rsid w:val="00162CAD"/>
    <w:rsid w:val="001639DE"/>
    <w:rsid w:val="00163DF2"/>
    <w:rsid w:val="0016430C"/>
    <w:rsid w:val="00164376"/>
    <w:rsid w:val="001645D7"/>
    <w:rsid w:val="00164CE8"/>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1BE8"/>
    <w:rsid w:val="001722FB"/>
    <w:rsid w:val="001731AF"/>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1F84"/>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6B9E"/>
    <w:rsid w:val="001970F9"/>
    <w:rsid w:val="001971AC"/>
    <w:rsid w:val="001975F8"/>
    <w:rsid w:val="00197682"/>
    <w:rsid w:val="00197C05"/>
    <w:rsid w:val="00197FB8"/>
    <w:rsid w:val="001A028D"/>
    <w:rsid w:val="001A0F53"/>
    <w:rsid w:val="001A10F7"/>
    <w:rsid w:val="001A1CCE"/>
    <w:rsid w:val="001A2EC3"/>
    <w:rsid w:val="001A2F44"/>
    <w:rsid w:val="001A3070"/>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247"/>
    <w:rsid w:val="001C3957"/>
    <w:rsid w:val="001C3CE5"/>
    <w:rsid w:val="001C406E"/>
    <w:rsid w:val="001C41F5"/>
    <w:rsid w:val="001C52D7"/>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50D"/>
    <w:rsid w:val="001F28E6"/>
    <w:rsid w:val="001F29FD"/>
    <w:rsid w:val="001F33AD"/>
    <w:rsid w:val="001F36CC"/>
    <w:rsid w:val="001F37DB"/>
    <w:rsid w:val="001F3B65"/>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8E8"/>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1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4A8B"/>
    <w:rsid w:val="002350DF"/>
    <w:rsid w:val="00235683"/>
    <w:rsid w:val="00235B12"/>
    <w:rsid w:val="00235CB8"/>
    <w:rsid w:val="00235E52"/>
    <w:rsid w:val="00235EF6"/>
    <w:rsid w:val="002366F6"/>
    <w:rsid w:val="00236AFA"/>
    <w:rsid w:val="0023724D"/>
    <w:rsid w:val="0024004C"/>
    <w:rsid w:val="002402C3"/>
    <w:rsid w:val="0024051C"/>
    <w:rsid w:val="00241B92"/>
    <w:rsid w:val="00241E5B"/>
    <w:rsid w:val="00242C7E"/>
    <w:rsid w:val="00242CF5"/>
    <w:rsid w:val="002430CA"/>
    <w:rsid w:val="00243E21"/>
    <w:rsid w:val="00244216"/>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3E5"/>
    <w:rsid w:val="002625C2"/>
    <w:rsid w:val="00262E1D"/>
    <w:rsid w:val="00262E9A"/>
    <w:rsid w:val="0026324C"/>
    <w:rsid w:val="002633D7"/>
    <w:rsid w:val="00263CF6"/>
    <w:rsid w:val="002640CF"/>
    <w:rsid w:val="00264381"/>
    <w:rsid w:val="002648D1"/>
    <w:rsid w:val="00264B5B"/>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19E"/>
    <w:rsid w:val="00276400"/>
    <w:rsid w:val="002768F7"/>
    <w:rsid w:val="002772D2"/>
    <w:rsid w:val="00277E66"/>
    <w:rsid w:val="00280547"/>
    <w:rsid w:val="002806E1"/>
    <w:rsid w:val="002809FC"/>
    <w:rsid w:val="00280F97"/>
    <w:rsid w:val="00281CF1"/>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0E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9C"/>
    <w:rsid w:val="002B38FF"/>
    <w:rsid w:val="002B3952"/>
    <w:rsid w:val="002B4281"/>
    <w:rsid w:val="002B4867"/>
    <w:rsid w:val="002B48DF"/>
    <w:rsid w:val="002B49D6"/>
    <w:rsid w:val="002B5ABF"/>
    <w:rsid w:val="002B6B01"/>
    <w:rsid w:val="002B79FD"/>
    <w:rsid w:val="002C036B"/>
    <w:rsid w:val="002C0646"/>
    <w:rsid w:val="002C0B62"/>
    <w:rsid w:val="002C0CA8"/>
    <w:rsid w:val="002C1185"/>
    <w:rsid w:val="002C1AEC"/>
    <w:rsid w:val="002C22DD"/>
    <w:rsid w:val="002C22E8"/>
    <w:rsid w:val="002C267E"/>
    <w:rsid w:val="002C2C69"/>
    <w:rsid w:val="002C3708"/>
    <w:rsid w:val="002C4374"/>
    <w:rsid w:val="002C471A"/>
    <w:rsid w:val="002C52CF"/>
    <w:rsid w:val="002C5636"/>
    <w:rsid w:val="002C58BC"/>
    <w:rsid w:val="002C5A3D"/>
    <w:rsid w:val="002C6893"/>
    <w:rsid w:val="002C6C08"/>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2B90"/>
    <w:rsid w:val="002D37DE"/>
    <w:rsid w:val="002D3B4A"/>
    <w:rsid w:val="002D4A86"/>
    <w:rsid w:val="002D54D0"/>
    <w:rsid w:val="002D58AC"/>
    <w:rsid w:val="002D6D5B"/>
    <w:rsid w:val="002D6DC1"/>
    <w:rsid w:val="002D6F26"/>
    <w:rsid w:val="002D761E"/>
    <w:rsid w:val="002D7F89"/>
    <w:rsid w:val="002E044D"/>
    <w:rsid w:val="002E086E"/>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436"/>
    <w:rsid w:val="002F778F"/>
    <w:rsid w:val="002F7B01"/>
    <w:rsid w:val="00300C99"/>
    <w:rsid w:val="00300E98"/>
    <w:rsid w:val="003014EC"/>
    <w:rsid w:val="00302C34"/>
    <w:rsid w:val="00303A15"/>
    <w:rsid w:val="00304261"/>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27B0"/>
    <w:rsid w:val="0032304B"/>
    <w:rsid w:val="00323BBE"/>
    <w:rsid w:val="00325B1A"/>
    <w:rsid w:val="00325DB4"/>
    <w:rsid w:val="00325F2C"/>
    <w:rsid w:val="00326164"/>
    <w:rsid w:val="0032641D"/>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7C9"/>
    <w:rsid w:val="00334959"/>
    <w:rsid w:val="003352C6"/>
    <w:rsid w:val="00335E15"/>
    <w:rsid w:val="00335F4F"/>
    <w:rsid w:val="0033648F"/>
    <w:rsid w:val="00336A08"/>
    <w:rsid w:val="00336A34"/>
    <w:rsid w:val="00336EC8"/>
    <w:rsid w:val="003376B6"/>
    <w:rsid w:val="00337C1D"/>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077"/>
    <w:rsid w:val="00344D1B"/>
    <w:rsid w:val="00344F09"/>
    <w:rsid w:val="0034566D"/>
    <w:rsid w:val="003458F7"/>
    <w:rsid w:val="00345C3A"/>
    <w:rsid w:val="0034710C"/>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478"/>
    <w:rsid w:val="00356901"/>
    <w:rsid w:val="00356B74"/>
    <w:rsid w:val="00357236"/>
    <w:rsid w:val="0035799A"/>
    <w:rsid w:val="0036018D"/>
    <w:rsid w:val="00360198"/>
    <w:rsid w:val="003603A6"/>
    <w:rsid w:val="00360863"/>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5D3"/>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3F23"/>
    <w:rsid w:val="00374449"/>
    <w:rsid w:val="0037476F"/>
    <w:rsid w:val="00374ECB"/>
    <w:rsid w:val="0037507D"/>
    <w:rsid w:val="00375656"/>
    <w:rsid w:val="0037566B"/>
    <w:rsid w:val="003758DA"/>
    <w:rsid w:val="00375926"/>
    <w:rsid w:val="00375D39"/>
    <w:rsid w:val="00375E5A"/>
    <w:rsid w:val="00376066"/>
    <w:rsid w:val="00376313"/>
    <w:rsid w:val="003763DF"/>
    <w:rsid w:val="0037692A"/>
    <w:rsid w:val="00376C65"/>
    <w:rsid w:val="003801BD"/>
    <w:rsid w:val="003810CA"/>
    <w:rsid w:val="0038263A"/>
    <w:rsid w:val="00382979"/>
    <w:rsid w:val="00382B06"/>
    <w:rsid w:val="00383031"/>
    <w:rsid w:val="0038308E"/>
    <w:rsid w:val="003838B4"/>
    <w:rsid w:val="00383B9F"/>
    <w:rsid w:val="00383DA9"/>
    <w:rsid w:val="00384448"/>
    <w:rsid w:val="00384D0D"/>
    <w:rsid w:val="003853AD"/>
    <w:rsid w:val="003855AA"/>
    <w:rsid w:val="00385B39"/>
    <w:rsid w:val="00385CB5"/>
    <w:rsid w:val="003877EB"/>
    <w:rsid w:val="00387BF4"/>
    <w:rsid w:val="00387CE4"/>
    <w:rsid w:val="00387F66"/>
    <w:rsid w:val="0039042A"/>
    <w:rsid w:val="00390539"/>
    <w:rsid w:val="00390695"/>
    <w:rsid w:val="0039076F"/>
    <w:rsid w:val="00391117"/>
    <w:rsid w:val="0039122C"/>
    <w:rsid w:val="00391839"/>
    <w:rsid w:val="00391FB7"/>
    <w:rsid w:val="00392435"/>
    <w:rsid w:val="003924BD"/>
    <w:rsid w:val="00392767"/>
    <w:rsid w:val="00392CD3"/>
    <w:rsid w:val="00392D8F"/>
    <w:rsid w:val="00393660"/>
    <w:rsid w:val="00393A5A"/>
    <w:rsid w:val="00393D87"/>
    <w:rsid w:val="00393DD7"/>
    <w:rsid w:val="00393DF9"/>
    <w:rsid w:val="00394292"/>
    <w:rsid w:val="003943F6"/>
    <w:rsid w:val="003944C7"/>
    <w:rsid w:val="00394580"/>
    <w:rsid w:val="00394C86"/>
    <w:rsid w:val="00394CFD"/>
    <w:rsid w:val="00394F00"/>
    <w:rsid w:val="00395AB3"/>
    <w:rsid w:val="00395E7A"/>
    <w:rsid w:val="00396232"/>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197"/>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6D17"/>
    <w:rsid w:val="003E79B4"/>
    <w:rsid w:val="003E7C58"/>
    <w:rsid w:val="003F07AD"/>
    <w:rsid w:val="003F09FE"/>
    <w:rsid w:val="003F0C8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89C"/>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771"/>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36"/>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4E88"/>
    <w:rsid w:val="0044537E"/>
    <w:rsid w:val="00445597"/>
    <w:rsid w:val="00445665"/>
    <w:rsid w:val="00445FFE"/>
    <w:rsid w:val="004465D2"/>
    <w:rsid w:val="004474CB"/>
    <w:rsid w:val="00447652"/>
    <w:rsid w:val="00447928"/>
    <w:rsid w:val="0044796F"/>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576BE"/>
    <w:rsid w:val="00460385"/>
    <w:rsid w:val="00461B32"/>
    <w:rsid w:val="00461B48"/>
    <w:rsid w:val="00461B67"/>
    <w:rsid w:val="00461C7E"/>
    <w:rsid w:val="00461FC6"/>
    <w:rsid w:val="004621C6"/>
    <w:rsid w:val="00462D73"/>
    <w:rsid w:val="00463C99"/>
    <w:rsid w:val="00464106"/>
    <w:rsid w:val="0046474B"/>
    <w:rsid w:val="00464A1E"/>
    <w:rsid w:val="0046522F"/>
    <w:rsid w:val="0046537E"/>
    <w:rsid w:val="004655BE"/>
    <w:rsid w:val="00465DAB"/>
    <w:rsid w:val="00466075"/>
    <w:rsid w:val="0046710C"/>
    <w:rsid w:val="0046717E"/>
    <w:rsid w:val="00467ABB"/>
    <w:rsid w:val="00470AB2"/>
    <w:rsid w:val="00470FC4"/>
    <w:rsid w:val="00471279"/>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9D2"/>
    <w:rsid w:val="00481CD5"/>
    <w:rsid w:val="00481EBE"/>
    <w:rsid w:val="004824A6"/>
    <w:rsid w:val="004836A9"/>
    <w:rsid w:val="004839A3"/>
    <w:rsid w:val="00483B4F"/>
    <w:rsid w:val="00483D34"/>
    <w:rsid w:val="004849E6"/>
    <w:rsid w:val="00484C80"/>
    <w:rsid w:val="004850CC"/>
    <w:rsid w:val="0048525B"/>
    <w:rsid w:val="0048537D"/>
    <w:rsid w:val="004859A1"/>
    <w:rsid w:val="00486B80"/>
    <w:rsid w:val="00486E4F"/>
    <w:rsid w:val="004874FE"/>
    <w:rsid w:val="004913B4"/>
    <w:rsid w:val="00491554"/>
    <w:rsid w:val="00491D58"/>
    <w:rsid w:val="00492090"/>
    <w:rsid w:val="00492189"/>
    <w:rsid w:val="00492193"/>
    <w:rsid w:val="00492394"/>
    <w:rsid w:val="00492DF1"/>
    <w:rsid w:val="0049323F"/>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6C83"/>
    <w:rsid w:val="004A76F6"/>
    <w:rsid w:val="004A7E66"/>
    <w:rsid w:val="004B02B9"/>
    <w:rsid w:val="004B03BA"/>
    <w:rsid w:val="004B06ED"/>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2F89"/>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25C"/>
    <w:rsid w:val="004D23D3"/>
    <w:rsid w:val="004D253F"/>
    <w:rsid w:val="004D2976"/>
    <w:rsid w:val="004D3447"/>
    <w:rsid w:val="004D3FDB"/>
    <w:rsid w:val="004D407C"/>
    <w:rsid w:val="004D43A3"/>
    <w:rsid w:val="004D484A"/>
    <w:rsid w:val="004D48B6"/>
    <w:rsid w:val="004D5064"/>
    <w:rsid w:val="004D5889"/>
    <w:rsid w:val="004D60BE"/>
    <w:rsid w:val="004D623C"/>
    <w:rsid w:val="004D6811"/>
    <w:rsid w:val="004D6E2A"/>
    <w:rsid w:val="004D7545"/>
    <w:rsid w:val="004D7981"/>
    <w:rsid w:val="004D7B1E"/>
    <w:rsid w:val="004E0227"/>
    <w:rsid w:val="004E0ABF"/>
    <w:rsid w:val="004E36BD"/>
    <w:rsid w:val="004E39CF"/>
    <w:rsid w:val="004E3E9F"/>
    <w:rsid w:val="004E3F4A"/>
    <w:rsid w:val="004E4008"/>
    <w:rsid w:val="004E4C5A"/>
    <w:rsid w:val="004E5F35"/>
    <w:rsid w:val="004F09F3"/>
    <w:rsid w:val="004F0AD3"/>
    <w:rsid w:val="004F0DA7"/>
    <w:rsid w:val="004F1208"/>
    <w:rsid w:val="004F13F4"/>
    <w:rsid w:val="004F1FC3"/>
    <w:rsid w:val="004F224F"/>
    <w:rsid w:val="004F2BB5"/>
    <w:rsid w:val="004F2ECD"/>
    <w:rsid w:val="004F3405"/>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2F4F"/>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12AE"/>
    <w:rsid w:val="00512559"/>
    <w:rsid w:val="00512B73"/>
    <w:rsid w:val="00512CCF"/>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87"/>
    <w:rsid w:val="005216A5"/>
    <w:rsid w:val="00522573"/>
    <w:rsid w:val="00522B6F"/>
    <w:rsid w:val="00522DEE"/>
    <w:rsid w:val="00523EE3"/>
    <w:rsid w:val="00523F13"/>
    <w:rsid w:val="005246E7"/>
    <w:rsid w:val="00524EBF"/>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5BBB"/>
    <w:rsid w:val="005373A0"/>
    <w:rsid w:val="0053741B"/>
    <w:rsid w:val="005376AF"/>
    <w:rsid w:val="00537D0A"/>
    <w:rsid w:val="0054036D"/>
    <w:rsid w:val="00540E16"/>
    <w:rsid w:val="00541258"/>
    <w:rsid w:val="005418ED"/>
    <w:rsid w:val="00541E27"/>
    <w:rsid w:val="00542291"/>
    <w:rsid w:val="0054231A"/>
    <w:rsid w:val="00542763"/>
    <w:rsid w:val="00543338"/>
    <w:rsid w:val="00543643"/>
    <w:rsid w:val="005436D9"/>
    <w:rsid w:val="00543700"/>
    <w:rsid w:val="0054404B"/>
    <w:rsid w:val="005440FE"/>
    <w:rsid w:val="00544290"/>
    <w:rsid w:val="00544376"/>
    <w:rsid w:val="00545A12"/>
    <w:rsid w:val="00546368"/>
    <w:rsid w:val="005466F6"/>
    <w:rsid w:val="00547A55"/>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362"/>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12"/>
    <w:rsid w:val="00590083"/>
    <w:rsid w:val="0059010B"/>
    <w:rsid w:val="005914CF"/>
    <w:rsid w:val="00591978"/>
    <w:rsid w:val="00591B8C"/>
    <w:rsid w:val="00591BFD"/>
    <w:rsid w:val="00591E10"/>
    <w:rsid w:val="00591FDC"/>
    <w:rsid w:val="0059237D"/>
    <w:rsid w:val="00592AC8"/>
    <w:rsid w:val="00592B6C"/>
    <w:rsid w:val="00592D76"/>
    <w:rsid w:val="005933E5"/>
    <w:rsid w:val="00593D7A"/>
    <w:rsid w:val="00594752"/>
    <w:rsid w:val="005949BC"/>
    <w:rsid w:val="00594DA5"/>
    <w:rsid w:val="0059563C"/>
    <w:rsid w:val="00595C44"/>
    <w:rsid w:val="00595C8A"/>
    <w:rsid w:val="00595FE4"/>
    <w:rsid w:val="00596361"/>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462F"/>
    <w:rsid w:val="005B46B9"/>
    <w:rsid w:val="005B4718"/>
    <w:rsid w:val="005B4DAC"/>
    <w:rsid w:val="005B4FDD"/>
    <w:rsid w:val="005B609C"/>
    <w:rsid w:val="005B6C2D"/>
    <w:rsid w:val="005B6F9E"/>
    <w:rsid w:val="005B6FEC"/>
    <w:rsid w:val="005B74BD"/>
    <w:rsid w:val="005B7D57"/>
    <w:rsid w:val="005C0279"/>
    <w:rsid w:val="005C034C"/>
    <w:rsid w:val="005C04C7"/>
    <w:rsid w:val="005C0CDC"/>
    <w:rsid w:val="005C0E69"/>
    <w:rsid w:val="005C1547"/>
    <w:rsid w:val="005C1E4E"/>
    <w:rsid w:val="005C20BC"/>
    <w:rsid w:val="005C215C"/>
    <w:rsid w:val="005C3098"/>
    <w:rsid w:val="005C3461"/>
    <w:rsid w:val="005C4077"/>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3F8"/>
    <w:rsid w:val="005D394B"/>
    <w:rsid w:val="005D4814"/>
    <w:rsid w:val="005D4CE6"/>
    <w:rsid w:val="005D5373"/>
    <w:rsid w:val="005D5DC7"/>
    <w:rsid w:val="005D6A08"/>
    <w:rsid w:val="005D6ADA"/>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5F7E51"/>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020"/>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563"/>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4A0"/>
    <w:rsid w:val="006626C0"/>
    <w:rsid w:val="00662A57"/>
    <w:rsid w:val="00662EB2"/>
    <w:rsid w:val="00662F77"/>
    <w:rsid w:val="006632E4"/>
    <w:rsid w:val="00663356"/>
    <w:rsid w:val="00663A1F"/>
    <w:rsid w:val="00663A6E"/>
    <w:rsid w:val="00663CDE"/>
    <w:rsid w:val="00664679"/>
    <w:rsid w:val="00664714"/>
    <w:rsid w:val="006650A7"/>
    <w:rsid w:val="006651B0"/>
    <w:rsid w:val="0066529D"/>
    <w:rsid w:val="006653A9"/>
    <w:rsid w:val="00665EE0"/>
    <w:rsid w:val="00666138"/>
    <w:rsid w:val="006661EA"/>
    <w:rsid w:val="0066681D"/>
    <w:rsid w:val="006674B3"/>
    <w:rsid w:val="0066758E"/>
    <w:rsid w:val="006679FB"/>
    <w:rsid w:val="00667C5C"/>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731"/>
    <w:rsid w:val="00682A3E"/>
    <w:rsid w:val="00682A92"/>
    <w:rsid w:val="00682EB3"/>
    <w:rsid w:val="00683004"/>
    <w:rsid w:val="006845CC"/>
    <w:rsid w:val="00684C67"/>
    <w:rsid w:val="0068610D"/>
    <w:rsid w:val="00686241"/>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2F8C"/>
    <w:rsid w:val="00693328"/>
    <w:rsid w:val="006936C3"/>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264"/>
    <w:rsid w:val="006A1735"/>
    <w:rsid w:val="006A1AB3"/>
    <w:rsid w:val="006A1FC7"/>
    <w:rsid w:val="006A275A"/>
    <w:rsid w:val="006A2B1F"/>
    <w:rsid w:val="006A30CB"/>
    <w:rsid w:val="006A385B"/>
    <w:rsid w:val="006A3DD6"/>
    <w:rsid w:val="006A3FE1"/>
    <w:rsid w:val="006A44FC"/>
    <w:rsid w:val="006A488C"/>
    <w:rsid w:val="006A4A85"/>
    <w:rsid w:val="006A53BA"/>
    <w:rsid w:val="006A55C7"/>
    <w:rsid w:val="006A579F"/>
    <w:rsid w:val="006A5C87"/>
    <w:rsid w:val="006A6154"/>
    <w:rsid w:val="006A6174"/>
    <w:rsid w:val="006A64C8"/>
    <w:rsid w:val="006A742F"/>
    <w:rsid w:val="006A74C9"/>
    <w:rsid w:val="006A7902"/>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0FC2"/>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C7C"/>
    <w:rsid w:val="006F0D46"/>
    <w:rsid w:val="006F2345"/>
    <w:rsid w:val="006F2EA6"/>
    <w:rsid w:val="006F388F"/>
    <w:rsid w:val="006F3EA4"/>
    <w:rsid w:val="006F410E"/>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3D28"/>
    <w:rsid w:val="0071428C"/>
    <w:rsid w:val="007144D3"/>
    <w:rsid w:val="00714DFE"/>
    <w:rsid w:val="00714EA2"/>
    <w:rsid w:val="00715410"/>
    <w:rsid w:val="00715B84"/>
    <w:rsid w:val="00715D36"/>
    <w:rsid w:val="0071744B"/>
    <w:rsid w:val="007175EB"/>
    <w:rsid w:val="0071771C"/>
    <w:rsid w:val="00720304"/>
    <w:rsid w:val="00720719"/>
    <w:rsid w:val="00720B8C"/>
    <w:rsid w:val="0072184F"/>
    <w:rsid w:val="00721E64"/>
    <w:rsid w:val="00721EAC"/>
    <w:rsid w:val="0072203A"/>
    <w:rsid w:val="00722524"/>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8DB"/>
    <w:rsid w:val="00740C25"/>
    <w:rsid w:val="00740D03"/>
    <w:rsid w:val="0074124A"/>
    <w:rsid w:val="0074160C"/>
    <w:rsid w:val="00741DF4"/>
    <w:rsid w:val="007429AD"/>
    <w:rsid w:val="00742E52"/>
    <w:rsid w:val="007442CB"/>
    <w:rsid w:val="00744312"/>
    <w:rsid w:val="0074482C"/>
    <w:rsid w:val="00745F18"/>
    <w:rsid w:val="00746097"/>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52A7"/>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6DA5"/>
    <w:rsid w:val="00767460"/>
    <w:rsid w:val="0076781F"/>
    <w:rsid w:val="00767A77"/>
    <w:rsid w:val="00767B68"/>
    <w:rsid w:val="00770A5E"/>
    <w:rsid w:val="00770D04"/>
    <w:rsid w:val="00771120"/>
    <w:rsid w:val="007713DF"/>
    <w:rsid w:val="0077183D"/>
    <w:rsid w:val="00771ECC"/>
    <w:rsid w:val="00772834"/>
    <w:rsid w:val="0077318B"/>
    <w:rsid w:val="007736C9"/>
    <w:rsid w:val="00774C26"/>
    <w:rsid w:val="00774CB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621"/>
    <w:rsid w:val="0079487D"/>
    <w:rsid w:val="00794D13"/>
    <w:rsid w:val="00795213"/>
    <w:rsid w:val="007958E3"/>
    <w:rsid w:val="00796823"/>
    <w:rsid w:val="00796918"/>
    <w:rsid w:val="00796D40"/>
    <w:rsid w:val="00796E40"/>
    <w:rsid w:val="007A0079"/>
    <w:rsid w:val="007A0213"/>
    <w:rsid w:val="007A044C"/>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5BB"/>
    <w:rsid w:val="007A560E"/>
    <w:rsid w:val="007A5955"/>
    <w:rsid w:val="007A61A3"/>
    <w:rsid w:val="007A67A0"/>
    <w:rsid w:val="007A6A2C"/>
    <w:rsid w:val="007A7945"/>
    <w:rsid w:val="007A7E64"/>
    <w:rsid w:val="007A7FDE"/>
    <w:rsid w:val="007B157F"/>
    <w:rsid w:val="007B1D1B"/>
    <w:rsid w:val="007B1EC0"/>
    <w:rsid w:val="007B20F3"/>
    <w:rsid w:val="007B2344"/>
    <w:rsid w:val="007B3BA9"/>
    <w:rsid w:val="007B3D74"/>
    <w:rsid w:val="007B44D1"/>
    <w:rsid w:val="007B4A18"/>
    <w:rsid w:val="007B53A1"/>
    <w:rsid w:val="007B5620"/>
    <w:rsid w:val="007B567B"/>
    <w:rsid w:val="007B6F39"/>
    <w:rsid w:val="007B7AAF"/>
    <w:rsid w:val="007B7DAF"/>
    <w:rsid w:val="007C02C5"/>
    <w:rsid w:val="007C0835"/>
    <w:rsid w:val="007C0BD3"/>
    <w:rsid w:val="007C0EE3"/>
    <w:rsid w:val="007C111B"/>
    <w:rsid w:val="007C17A4"/>
    <w:rsid w:val="007C1CFB"/>
    <w:rsid w:val="007C31E0"/>
    <w:rsid w:val="007C3BDE"/>
    <w:rsid w:val="007C41CF"/>
    <w:rsid w:val="007C4797"/>
    <w:rsid w:val="007C501C"/>
    <w:rsid w:val="007C53BD"/>
    <w:rsid w:val="007C5406"/>
    <w:rsid w:val="007C5ADD"/>
    <w:rsid w:val="007C5D33"/>
    <w:rsid w:val="007C633F"/>
    <w:rsid w:val="007C6945"/>
    <w:rsid w:val="007C7F2D"/>
    <w:rsid w:val="007D019A"/>
    <w:rsid w:val="007D044E"/>
    <w:rsid w:val="007D0ADA"/>
    <w:rsid w:val="007D1230"/>
    <w:rsid w:val="007D14C6"/>
    <w:rsid w:val="007D1B29"/>
    <w:rsid w:val="007D226F"/>
    <w:rsid w:val="007D2ACF"/>
    <w:rsid w:val="007D2B5F"/>
    <w:rsid w:val="007D3054"/>
    <w:rsid w:val="007D3493"/>
    <w:rsid w:val="007D352A"/>
    <w:rsid w:val="007D3674"/>
    <w:rsid w:val="007D36AF"/>
    <w:rsid w:val="007D37B5"/>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015"/>
    <w:rsid w:val="007F20E4"/>
    <w:rsid w:val="007F24E2"/>
    <w:rsid w:val="007F33C1"/>
    <w:rsid w:val="007F35D4"/>
    <w:rsid w:val="007F3E3D"/>
    <w:rsid w:val="007F454D"/>
    <w:rsid w:val="007F4BE2"/>
    <w:rsid w:val="007F4FEF"/>
    <w:rsid w:val="007F5AD5"/>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09B0"/>
    <w:rsid w:val="00811A44"/>
    <w:rsid w:val="00811FD2"/>
    <w:rsid w:val="00812545"/>
    <w:rsid w:val="008125F7"/>
    <w:rsid w:val="008131C5"/>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0F2"/>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741"/>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1CE"/>
    <w:rsid w:val="00836689"/>
    <w:rsid w:val="00836986"/>
    <w:rsid w:val="00836FFD"/>
    <w:rsid w:val="008370FA"/>
    <w:rsid w:val="00837699"/>
    <w:rsid w:val="0083776E"/>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4E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373"/>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14BD"/>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BC5"/>
    <w:rsid w:val="00896C91"/>
    <w:rsid w:val="00896CBF"/>
    <w:rsid w:val="0089704D"/>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A78"/>
    <w:rsid w:val="008B0B6A"/>
    <w:rsid w:val="008B110A"/>
    <w:rsid w:val="008B11A1"/>
    <w:rsid w:val="008B1ADC"/>
    <w:rsid w:val="008B1B00"/>
    <w:rsid w:val="008B1BA9"/>
    <w:rsid w:val="008B1C21"/>
    <w:rsid w:val="008B20ED"/>
    <w:rsid w:val="008B23AB"/>
    <w:rsid w:val="008B4170"/>
    <w:rsid w:val="008B65B6"/>
    <w:rsid w:val="008B6631"/>
    <w:rsid w:val="008B6E35"/>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67C"/>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E09"/>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2E2"/>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2D58"/>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43D0"/>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8A4"/>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BE9"/>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2F3"/>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2F6"/>
    <w:rsid w:val="009B56DF"/>
    <w:rsid w:val="009B5912"/>
    <w:rsid w:val="009B5BB0"/>
    <w:rsid w:val="009B5F2C"/>
    <w:rsid w:val="009B5F5B"/>
    <w:rsid w:val="009B61C6"/>
    <w:rsid w:val="009B61D9"/>
    <w:rsid w:val="009B6482"/>
    <w:rsid w:val="009B67EA"/>
    <w:rsid w:val="009B683A"/>
    <w:rsid w:val="009B6A8D"/>
    <w:rsid w:val="009B71D3"/>
    <w:rsid w:val="009C03C0"/>
    <w:rsid w:val="009C0D07"/>
    <w:rsid w:val="009C1184"/>
    <w:rsid w:val="009C1C57"/>
    <w:rsid w:val="009C1FE5"/>
    <w:rsid w:val="009C2014"/>
    <w:rsid w:val="009C2107"/>
    <w:rsid w:val="009C2555"/>
    <w:rsid w:val="009C29F1"/>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48F"/>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8B4"/>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801"/>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0DD"/>
    <w:rsid w:val="00A161EB"/>
    <w:rsid w:val="00A166B6"/>
    <w:rsid w:val="00A173F8"/>
    <w:rsid w:val="00A202F6"/>
    <w:rsid w:val="00A20D6F"/>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45B1"/>
    <w:rsid w:val="00A3530B"/>
    <w:rsid w:val="00A35379"/>
    <w:rsid w:val="00A35428"/>
    <w:rsid w:val="00A35E5B"/>
    <w:rsid w:val="00A36251"/>
    <w:rsid w:val="00A368F2"/>
    <w:rsid w:val="00A36DF8"/>
    <w:rsid w:val="00A40066"/>
    <w:rsid w:val="00A40146"/>
    <w:rsid w:val="00A40773"/>
    <w:rsid w:val="00A40775"/>
    <w:rsid w:val="00A4144E"/>
    <w:rsid w:val="00A41DB5"/>
    <w:rsid w:val="00A4269C"/>
    <w:rsid w:val="00A428B1"/>
    <w:rsid w:val="00A4321D"/>
    <w:rsid w:val="00A4449F"/>
    <w:rsid w:val="00A44FD6"/>
    <w:rsid w:val="00A457D0"/>
    <w:rsid w:val="00A45E92"/>
    <w:rsid w:val="00A46CA1"/>
    <w:rsid w:val="00A46FFE"/>
    <w:rsid w:val="00A471E6"/>
    <w:rsid w:val="00A47295"/>
    <w:rsid w:val="00A47B01"/>
    <w:rsid w:val="00A47FE3"/>
    <w:rsid w:val="00A50143"/>
    <w:rsid w:val="00A5166B"/>
    <w:rsid w:val="00A517F3"/>
    <w:rsid w:val="00A52007"/>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2A0F"/>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3F70"/>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BAF"/>
    <w:rsid w:val="00A81F69"/>
    <w:rsid w:val="00A82B74"/>
    <w:rsid w:val="00A82C94"/>
    <w:rsid w:val="00A82E33"/>
    <w:rsid w:val="00A83808"/>
    <w:rsid w:val="00A83BB3"/>
    <w:rsid w:val="00A840E5"/>
    <w:rsid w:val="00A84349"/>
    <w:rsid w:val="00A844A5"/>
    <w:rsid w:val="00A84817"/>
    <w:rsid w:val="00A84B7E"/>
    <w:rsid w:val="00A85289"/>
    <w:rsid w:val="00A86737"/>
    <w:rsid w:val="00A86C4F"/>
    <w:rsid w:val="00A8734A"/>
    <w:rsid w:val="00A8764F"/>
    <w:rsid w:val="00A8788B"/>
    <w:rsid w:val="00A90AF5"/>
    <w:rsid w:val="00A90B19"/>
    <w:rsid w:val="00A90F59"/>
    <w:rsid w:val="00A91117"/>
    <w:rsid w:val="00A9178D"/>
    <w:rsid w:val="00A91BAC"/>
    <w:rsid w:val="00A928E4"/>
    <w:rsid w:val="00A929DD"/>
    <w:rsid w:val="00A92CC4"/>
    <w:rsid w:val="00A92F6E"/>
    <w:rsid w:val="00A93679"/>
    <w:rsid w:val="00A9389D"/>
    <w:rsid w:val="00A93D7D"/>
    <w:rsid w:val="00A953A5"/>
    <w:rsid w:val="00A95421"/>
    <w:rsid w:val="00A95502"/>
    <w:rsid w:val="00A96BF9"/>
    <w:rsid w:val="00A9760F"/>
    <w:rsid w:val="00A97652"/>
    <w:rsid w:val="00A97CCE"/>
    <w:rsid w:val="00AA0D54"/>
    <w:rsid w:val="00AA10DC"/>
    <w:rsid w:val="00AA125D"/>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4927"/>
    <w:rsid w:val="00AF4D1C"/>
    <w:rsid w:val="00AF5325"/>
    <w:rsid w:val="00AF5B23"/>
    <w:rsid w:val="00AF5C3E"/>
    <w:rsid w:val="00AF634F"/>
    <w:rsid w:val="00AF666A"/>
    <w:rsid w:val="00AF7761"/>
    <w:rsid w:val="00B003BD"/>
    <w:rsid w:val="00B005CF"/>
    <w:rsid w:val="00B00AD8"/>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37A"/>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47"/>
    <w:rsid w:val="00B3315F"/>
    <w:rsid w:val="00B33524"/>
    <w:rsid w:val="00B33784"/>
    <w:rsid w:val="00B33802"/>
    <w:rsid w:val="00B34459"/>
    <w:rsid w:val="00B34463"/>
    <w:rsid w:val="00B34CA8"/>
    <w:rsid w:val="00B35D94"/>
    <w:rsid w:val="00B3602F"/>
    <w:rsid w:val="00B36177"/>
    <w:rsid w:val="00B36847"/>
    <w:rsid w:val="00B36873"/>
    <w:rsid w:val="00B36A7E"/>
    <w:rsid w:val="00B36F00"/>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25C"/>
    <w:rsid w:val="00B53A89"/>
    <w:rsid w:val="00B53DBF"/>
    <w:rsid w:val="00B53FE8"/>
    <w:rsid w:val="00B54178"/>
    <w:rsid w:val="00B5417C"/>
    <w:rsid w:val="00B54737"/>
    <w:rsid w:val="00B549B1"/>
    <w:rsid w:val="00B54B90"/>
    <w:rsid w:val="00B55663"/>
    <w:rsid w:val="00B5644D"/>
    <w:rsid w:val="00B568B8"/>
    <w:rsid w:val="00B568EA"/>
    <w:rsid w:val="00B57EC0"/>
    <w:rsid w:val="00B6006E"/>
    <w:rsid w:val="00B603FC"/>
    <w:rsid w:val="00B608C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4C7"/>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432"/>
    <w:rsid w:val="00BB1751"/>
    <w:rsid w:val="00BB1EC5"/>
    <w:rsid w:val="00BB1F30"/>
    <w:rsid w:val="00BB1FE6"/>
    <w:rsid w:val="00BB25B3"/>
    <w:rsid w:val="00BB3397"/>
    <w:rsid w:val="00BB35AF"/>
    <w:rsid w:val="00BB401E"/>
    <w:rsid w:val="00BB43F2"/>
    <w:rsid w:val="00BB44B2"/>
    <w:rsid w:val="00BB4BD6"/>
    <w:rsid w:val="00BB5363"/>
    <w:rsid w:val="00BB5746"/>
    <w:rsid w:val="00BB5771"/>
    <w:rsid w:val="00BB57FA"/>
    <w:rsid w:val="00BB5FAD"/>
    <w:rsid w:val="00BB62D0"/>
    <w:rsid w:val="00BB6548"/>
    <w:rsid w:val="00BB6DAC"/>
    <w:rsid w:val="00BC09F0"/>
    <w:rsid w:val="00BC0A82"/>
    <w:rsid w:val="00BC0F5F"/>
    <w:rsid w:val="00BC1DDF"/>
    <w:rsid w:val="00BC20A6"/>
    <w:rsid w:val="00BC21A3"/>
    <w:rsid w:val="00BC2832"/>
    <w:rsid w:val="00BC2FD5"/>
    <w:rsid w:val="00BC2FF2"/>
    <w:rsid w:val="00BC34AC"/>
    <w:rsid w:val="00BC35C7"/>
    <w:rsid w:val="00BC38BA"/>
    <w:rsid w:val="00BC398E"/>
    <w:rsid w:val="00BC48F9"/>
    <w:rsid w:val="00BC4C9B"/>
    <w:rsid w:val="00BC4DB7"/>
    <w:rsid w:val="00BC5438"/>
    <w:rsid w:val="00BC5891"/>
    <w:rsid w:val="00BC5AC8"/>
    <w:rsid w:val="00BC5E79"/>
    <w:rsid w:val="00BC5ED7"/>
    <w:rsid w:val="00BC5EDA"/>
    <w:rsid w:val="00BC6164"/>
    <w:rsid w:val="00BC640D"/>
    <w:rsid w:val="00BC6619"/>
    <w:rsid w:val="00BC67FB"/>
    <w:rsid w:val="00BC7418"/>
    <w:rsid w:val="00BC76F6"/>
    <w:rsid w:val="00BC796D"/>
    <w:rsid w:val="00BD0485"/>
    <w:rsid w:val="00BD0BEC"/>
    <w:rsid w:val="00BD0D70"/>
    <w:rsid w:val="00BD1780"/>
    <w:rsid w:val="00BD1CA6"/>
    <w:rsid w:val="00BD1DE7"/>
    <w:rsid w:val="00BD2542"/>
    <w:rsid w:val="00BD25DB"/>
    <w:rsid w:val="00BD30EB"/>
    <w:rsid w:val="00BD3916"/>
    <w:rsid w:val="00BD42D4"/>
    <w:rsid w:val="00BD4369"/>
    <w:rsid w:val="00BD449A"/>
    <w:rsid w:val="00BD44E2"/>
    <w:rsid w:val="00BD45CE"/>
    <w:rsid w:val="00BD5D57"/>
    <w:rsid w:val="00BD61A1"/>
    <w:rsid w:val="00BD688C"/>
    <w:rsid w:val="00BD6B2C"/>
    <w:rsid w:val="00BD70C8"/>
    <w:rsid w:val="00BD7B05"/>
    <w:rsid w:val="00BD7FA3"/>
    <w:rsid w:val="00BE00B3"/>
    <w:rsid w:val="00BE0413"/>
    <w:rsid w:val="00BE05E9"/>
    <w:rsid w:val="00BE09C5"/>
    <w:rsid w:val="00BE0AB8"/>
    <w:rsid w:val="00BE0F10"/>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90C"/>
    <w:rsid w:val="00BE6A1F"/>
    <w:rsid w:val="00BE6E14"/>
    <w:rsid w:val="00BE6F71"/>
    <w:rsid w:val="00BE768E"/>
    <w:rsid w:val="00BF04DE"/>
    <w:rsid w:val="00BF06AF"/>
    <w:rsid w:val="00BF0890"/>
    <w:rsid w:val="00BF0E8B"/>
    <w:rsid w:val="00BF2809"/>
    <w:rsid w:val="00BF4785"/>
    <w:rsid w:val="00BF4A1D"/>
    <w:rsid w:val="00BF4B40"/>
    <w:rsid w:val="00BF4C04"/>
    <w:rsid w:val="00BF4E4D"/>
    <w:rsid w:val="00BF6328"/>
    <w:rsid w:val="00BF6826"/>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C93"/>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0D"/>
    <w:rsid w:val="00C47DF3"/>
    <w:rsid w:val="00C506DE"/>
    <w:rsid w:val="00C50CF7"/>
    <w:rsid w:val="00C51386"/>
    <w:rsid w:val="00C51A76"/>
    <w:rsid w:val="00C52AD9"/>
    <w:rsid w:val="00C54302"/>
    <w:rsid w:val="00C5449D"/>
    <w:rsid w:val="00C54923"/>
    <w:rsid w:val="00C54FCA"/>
    <w:rsid w:val="00C55CE9"/>
    <w:rsid w:val="00C55F19"/>
    <w:rsid w:val="00C56CA3"/>
    <w:rsid w:val="00C56ED4"/>
    <w:rsid w:val="00C56F1C"/>
    <w:rsid w:val="00C56F44"/>
    <w:rsid w:val="00C56FEC"/>
    <w:rsid w:val="00C5759C"/>
    <w:rsid w:val="00C5774F"/>
    <w:rsid w:val="00C57825"/>
    <w:rsid w:val="00C601CF"/>
    <w:rsid w:val="00C60618"/>
    <w:rsid w:val="00C608F9"/>
    <w:rsid w:val="00C61340"/>
    <w:rsid w:val="00C61659"/>
    <w:rsid w:val="00C61BC5"/>
    <w:rsid w:val="00C61DA6"/>
    <w:rsid w:val="00C62D7A"/>
    <w:rsid w:val="00C631E2"/>
    <w:rsid w:val="00C63D1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44D"/>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7B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0F05"/>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066"/>
    <w:rsid w:val="00CD37E1"/>
    <w:rsid w:val="00CD4709"/>
    <w:rsid w:val="00CD4D1E"/>
    <w:rsid w:val="00CD4E48"/>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198"/>
    <w:rsid w:val="00CF372F"/>
    <w:rsid w:val="00CF3D26"/>
    <w:rsid w:val="00CF3DF3"/>
    <w:rsid w:val="00CF4541"/>
    <w:rsid w:val="00CF46E6"/>
    <w:rsid w:val="00CF4CAE"/>
    <w:rsid w:val="00CF56BF"/>
    <w:rsid w:val="00CF6775"/>
    <w:rsid w:val="00CF6B49"/>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473E"/>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C8"/>
    <w:rsid w:val="00D273EB"/>
    <w:rsid w:val="00D27D3E"/>
    <w:rsid w:val="00D302A8"/>
    <w:rsid w:val="00D30913"/>
    <w:rsid w:val="00D311AE"/>
    <w:rsid w:val="00D3147A"/>
    <w:rsid w:val="00D31935"/>
    <w:rsid w:val="00D31E2B"/>
    <w:rsid w:val="00D3269A"/>
    <w:rsid w:val="00D32B59"/>
    <w:rsid w:val="00D34A50"/>
    <w:rsid w:val="00D35116"/>
    <w:rsid w:val="00D3544B"/>
    <w:rsid w:val="00D3558D"/>
    <w:rsid w:val="00D355B4"/>
    <w:rsid w:val="00D35AF2"/>
    <w:rsid w:val="00D36131"/>
    <w:rsid w:val="00D3616F"/>
    <w:rsid w:val="00D36490"/>
    <w:rsid w:val="00D371E2"/>
    <w:rsid w:val="00D374BC"/>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6DA"/>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2AA"/>
    <w:rsid w:val="00D57BD1"/>
    <w:rsid w:val="00D57DEF"/>
    <w:rsid w:val="00D57E1B"/>
    <w:rsid w:val="00D6021A"/>
    <w:rsid w:val="00D6038F"/>
    <w:rsid w:val="00D61059"/>
    <w:rsid w:val="00D617A4"/>
    <w:rsid w:val="00D6298C"/>
    <w:rsid w:val="00D62ACE"/>
    <w:rsid w:val="00D62E31"/>
    <w:rsid w:val="00D63691"/>
    <w:rsid w:val="00D63917"/>
    <w:rsid w:val="00D64AAD"/>
    <w:rsid w:val="00D65D70"/>
    <w:rsid w:val="00D6618A"/>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E2B"/>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5F0"/>
    <w:rsid w:val="00D86B18"/>
    <w:rsid w:val="00D8779C"/>
    <w:rsid w:val="00D87B03"/>
    <w:rsid w:val="00D87BF7"/>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1F27"/>
    <w:rsid w:val="00DC22D7"/>
    <w:rsid w:val="00DC2A4B"/>
    <w:rsid w:val="00DC31BF"/>
    <w:rsid w:val="00DC3A8E"/>
    <w:rsid w:val="00DC3C55"/>
    <w:rsid w:val="00DC3D69"/>
    <w:rsid w:val="00DC3E38"/>
    <w:rsid w:val="00DC4125"/>
    <w:rsid w:val="00DC416A"/>
    <w:rsid w:val="00DC4FF5"/>
    <w:rsid w:val="00DC5D6A"/>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62A"/>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8E3"/>
    <w:rsid w:val="00DE7C06"/>
    <w:rsid w:val="00DF04BA"/>
    <w:rsid w:val="00DF06E8"/>
    <w:rsid w:val="00DF07B3"/>
    <w:rsid w:val="00DF0F8D"/>
    <w:rsid w:val="00DF13DF"/>
    <w:rsid w:val="00DF1570"/>
    <w:rsid w:val="00DF15DB"/>
    <w:rsid w:val="00DF187F"/>
    <w:rsid w:val="00DF2063"/>
    <w:rsid w:val="00DF22FD"/>
    <w:rsid w:val="00DF232A"/>
    <w:rsid w:val="00DF2401"/>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6AA"/>
    <w:rsid w:val="00E05C44"/>
    <w:rsid w:val="00E05DB7"/>
    <w:rsid w:val="00E06968"/>
    <w:rsid w:val="00E06D61"/>
    <w:rsid w:val="00E0721B"/>
    <w:rsid w:val="00E07540"/>
    <w:rsid w:val="00E075A3"/>
    <w:rsid w:val="00E077BB"/>
    <w:rsid w:val="00E07CF2"/>
    <w:rsid w:val="00E108A6"/>
    <w:rsid w:val="00E10E62"/>
    <w:rsid w:val="00E10F3C"/>
    <w:rsid w:val="00E11031"/>
    <w:rsid w:val="00E113E7"/>
    <w:rsid w:val="00E11705"/>
    <w:rsid w:val="00E117CC"/>
    <w:rsid w:val="00E11DE1"/>
    <w:rsid w:val="00E1228D"/>
    <w:rsid w:val="00E1282C"/>
    <w:rsid w:val="00E12EC5"/>
    <w:rsid w:val="00E13934"/>
    <w:rsid w:val="00E1397B"/>
    <w:rsid w:val="00E14669"/>
    <w:rsid w:val="00E14E89"/>
    <w:rsid w:val="00E15114"/>
    <w:rsid w:val="00E15213"/>
    <w:rsid w:val="00E15548"/>
    <w:rsid w:val="00E155A7"/>
    <w:rsid w:val="00E157B0"/>
    <w:rsid w:val="00E15AC0"/>
    <w:rsid w:val="00E16D89"/>
    <w:rsid w:val="00E16EF5"/>
    <w:rsid w:val="00E1795A"/>
    <w:rsid w:val="00E17EA1"/>
    <w:rsid w:val="00E20373"/>
    <w:rsid w:val="00E209AF"/>
    <w:rsid w:val="00E21246"/>
    <w:rsid w:val="00E21450"/>
    <w:rsid w:val="00E21562"/>
    <w:rsid w:val="00E21853"/>
    <w:rsid w:val="00E219D8"/>
    <w:rsid w:val="00E22865"/>
    <w:rsid w:val="00E22999"/>
    <w:rsid w:val="00E22DC1"/>
    <w:rsid w:val="00E23404"/>
    <w:rsid w:val="00E23829"/>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6940"/>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020"/>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164"/>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36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188E"/>
    <w:rsid w:val="00E82035"/>
    <w:rsid w:val="00E82572"/>
    <w:rsid w:val="00E83258"/>
    <w:rsid w:val="00E836B3"/>
    <w:rsid w:val="00E83A52"/>
    <w:rsid w:val="00E83BD1"/>
    <w:rsid w:val="00E83F1D"/>
    <w:rsid w:val="00E843E7"/>
    <w:rsid w:val="00E845C1"/>
    <w:rsid w:val="00E84E4F"/>
    <w:rsid w:val="00E856F9"/>
    <w:rsid w:val="00E8581B"/>
    <w:rsid w:val="00E862BC"/>
    <w:rsid w:val="00E86670"/>
    <w:rsid w:val="00E86DB8"/>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593"/>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38"/>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CDE"/>
    <w:rsid w:val="00ED48C4"/>
    <w:rsid w:val="00ED4A83"/>
    <w:rsid w:val="00ED56F3"/>
    <w:rsid w:val="00ED5F2A"/>
    <w:rsid w:val="00ED5F76"/>
    <w:rsid w:val="00ED75E9"/>
    <w:rsid w:val="00ED785C"/>
    <w:rsid w:val="00ED789E"/>
    <w:rsid w:val="00ED7EFC"/>
    <w:rsid w:val="00EE02F7"/>
    <w:rsid w:val="00EE0446"/>
    <w:rsid w:val="00EE0558"/>
    <w:rsid w:val="00EE1222"/>
    <w:rsid w:val="00EE1358"/>
    <w:rsid w:val="00EE150A"/>
    <w:rsid w:val="00EE1847"/>
    <w:rsid w:val="00EE1EEA"/>
    <w:rsid w:val="00EE20D8"/>
    <w:rsid w:val="00EE2187"/>
    <w:rsid w:val="00EE25F9"/>
    <w:rsid w:val="00EE26B5"/>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4C9"/>
    <w:rsid w:val="00EF253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7DD"/>
    <w:rsid w:val="00F1290B"/>
    <w:rsid w:val="00F131C9"/>
    <w:rsid w:val="00F13CBD"/>
    <w:rsid w:val="00F13D4C"/>
    <w:rsid w:val="00F13F73"/>
    <w:rsid w:val="00F13FA5"/>
    <w:rsid w:val="00F14C5C"/>
    <w:rsid w:val="00F15029"/>
    <w:rsid w:val="00F15332"/>
    <w:rsid w:val="00F154C3"/>
    <w:rsid w:val="00F1585C"/>
    <w:rsid w:val="00F15BF4"/>
    <w:rsid w:val="00F16304"/>
    <w:rsid w:val="00F16545"/>
    <w:rsid w:val="00F16E1E"/>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10B"/>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10E"/>
    <w:rsid w:val="00F408F3"/>
    <w:rsid w:val="00F40CB6"/>
    <w:rsid w:val="00F40F70"/>
    <w:rsid w:val="00F41A3D"/>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18"/>
    <w:rsid w:val="00F60BF6"/>
    <w:rsid w:val="00F60E96"/>
    <w:rsid w:val="00F60F75"/>
    <w:rsid w:val="00F6138E"/>
    <w:rsid w:val="00F6144F"/>
    <w:rsid w:val="00F61646"/>
    <w:rsid w:val="00F61C29"/>
    <w:rsid w:val="00F61D26"/>
    <w:rsid w:val="00F62096"/>
    <w:rsid w:val="00F62975"/>
    <w:rsid w:val="00F65B5C"/>
    <w:rsid w:val="00F65F29"/>
    <w:rsid w:val="00F6612E"/>
    <w:rsid w:val="00F6628B"/>
    <w:rsid w:val="00F66DFA"/>
    <w:rsid w:val="00F67252"/>
    <w:rsid w:val="00F674FC"/>
    <w:rsid w:val="00F679E4"/>
    <w:rsid w:val="00F67D48"/>
    <w:rsid w:val="00F70C59"/>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5CC"/>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1DFD"/>
    <w:rsid w:val="00F9281E"/>
    <w:rsid w:val="00F92963"/>
    <w:rsid w:val="00F93072"/>
    <w:rsid w:val="00F93792"/>
    <w:rsid w:val="00F93825"/>
    <w:rsid w:val="00F93D72"/>
    <w:rsid w:val="00F94059"/>
    <w:rsid w:val="00F945EC"/>
    <w:rsid w:val="00F94A55"/>
    <w:rsid w:val="00F95DDD"/>
    <w:rsid w:val="00F95EAE"/>
    <w:rsid w:val="00F960FC"/>
    <w:rsid w:val="00F96B1B"/>
    <w:rsid w:val="00F9709E"/>
    <w:rsid w:val="00F97D2B"/>
    <w:rsid w:val="00FA046D"/>
    <w:rsid w:val="00FA11CA"/>
    <w:rsid w:val="00FA143F"/>
    <w:rsid w:val="00FA1662"/>
    <w:rsid w:val="00FA1DCF"/>
    <w:rsid w:val="00FA2019"/>
    <w:rsid w:val="00FA2057"/>
    <w:rsid w:val="00FA26AF"/>
    <w:rsid w:val="00FA2A12"/>
    <w:rsid w:val="00FA31C0"/>
    <w:rsid w:val="00FA34B2"/>
    <w:rsid w:val="00FA3787"/>
    <w:rsid w:val="00FA3FE8"/>
    <w:rsid w:val="00FA42F7"/>
    <w:rsid w:val="00FA46DB"/>
    <w:rsid w:val="00FA4BFF"/>
    <w:rsid w:val="00FA6584"/>
    <w:rsid w:val="00FA769A"/>
    <w:rsid w:val="00FA7DF3"/>
    <w:rsid w:val="00FB0984"/>
    <w:rsid w:val="00FB2722"/>
    <w:rsid w:val="00FB2F81"/>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143E"/>
    <w:rsid w:val="00FC22BC"/>
    <w:rsid w:val="00FC2F02"/>
    <w:rsid w:val="00FC31FE"/>
    <w:rsid w:val="00FC34B6"/>
    <w:rsid w:val="00FC38CC"/>
    <w:rsid w:val="00FC3AF1"/>
    <w:rsid w:val="00FC46AB"/>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3E2"/>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EFD"/>
    <w:rsid w:val="00FE4F96"/>
    <w:rsid w:val="00FE58D9"/>
    <w:rsid w:val="00FE5A95"/>
    <w:rsid w:val="00FE7A92"/>
    <w:rsid w:val="00FE7CE8"/>
    <w:rsid w:val="00FF121C"/>
    <w:rsid w:val="00FF19AD"/>
    <w:rsid w:val="00FF1B3F"/>
    <w:rsid w:val="00FF219D"/>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06113219">
      <w:bodyDiv w:val="1"/>
      <w:marLeft w:val="0"/>
      <w:marRight w:val="0"/>
      <w:marTop w:val="0"/>
      <w:marBottom w:val="0"/>
      <w:divBdr>
        <w:top w:val="none" w:sz="0" w:space="0" w:color="auto"/>
        <w:left w:val="none" w:sz="0" w:space="0" w:color="auto"/>
        <w:bottom w:val="none" w:sz="0" w:space="0" w:color="auto"/>
        <w:right w:val="none" w:sz="0" w:space="0" w:color="auto"/>
      </w:divBdr>
    </w:div>
    <w:div w:id="355541982">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D771-65AF-46FA-8E70-89018B4F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2429</Words>
  <Characters>13361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16</cp:revision>
  <cp:lastPrinted>2018-05-07T19:37:00Z</cp:lastPrinted>
  <dcterms:created xsi:type="dcterms:W3CDTF">2018-05-02T18:20:00Z</dcterms:created>
  <dcterms:modified xsi:type="dcterms:W3CDTF">2018-06-21T14:50:00Z</dcterms:modified>
</cp:coreProperties>
</file>