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28" w:rsidRPr="005A172D" w:rsidRDefault="00825128" w:rsidP="00825128">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5A172D">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825128" w:rsidRPr="005A172D" w:rsidRDefault="00825128" w:rsidP="00825128">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5A172D">
        <w:rPr>
          <w:rFonts w:ascii="Arial" w:eastAsia="Calibri" w:hAnsi="Arial" w:cs="Arial"/>
          <w:color w:val="FF0000"/>
          <w:sz w:val="18"/>
          <w:szCs w:val="18"/>
          <w:lang w:val="es-CO" w:eastAsia="fr-FR"/>
        </w:rPr>
        <w:t>El contenido total y fiel de la decisión debe ser verificado en la Secretaría de esta Sala.</w:t>
      </w:r>
    </w:p>
    <w:p w:rsidR="00825128" w:rsidRPr="005A172D" w:rsidRDefault="00825128" w:rsidP="00825128">
      <w:pPr>
        <w:shd w:val="clear" w:color="auto" w:fill="FFFFFF"/>
        <w:overflowPunct/>
        <w:autoSpaceDE/>
        <w:adjustRightInd/>
        <w:ind w:left="1843" w:hanging="1843"/>
        <w:jc w:val="both"/>
        <w:textAlignment w:val="auto"/>
        <w:rPr>
          <w:rFonts w:ascii="Arial" w:hAnsi="Arial" w:cs="Arial"/>
          <w:sz w:val="18"/>
          <w:szCs w:val="18"/>
          <w:lang w:val="es-CO" w:eastAsia="fr-FR"/>
        </w:rPr>
      </w:pPr>
      <w:r w:rsidRPr="005A172D">
        <w:rPr>
          <w:rFonts w:ascii="Arial" w:hAnsi="Arial" w:cs="Arial"/>
          <w:sz w:val="18"/>
          <w:szCs w:val="18"/>
          <w:lang w:val="es-CO" w:eastAsia="fr-FR"/>
        </w:rPr>
        <w:t>Providencia:</w:t>
      </w:r>
      <w:r w:rsidRPr="005A172D">
        <w:rPr>
          <w:rFonts w:ascii="Arial" w:hAnsi="Arial" w:cs="Arial"/>
          <w:sz w:val="18"/>
          <w:szCs w:val="18"/>
          <w:lang w:val="es-CO" w:eastAsia="fr-FR"/>
        </w:rPr>
        <w:tab/>
        <w:t>Sentencia  – 1ª instancia – 1</w:t>
      </w:r>
      <w:r>
        <w:rPr>
          <w:rFonts w:ascii="Arial" w:hAnsi="Arial" w:cs="Arial"/>
          <w:sz w:val="18"/>
          <w:szCs w:val="18"/>
          <w:lang w:val="es-CO" w:eastAsia="fr-FR"/>
        </w:rPr>
        <w:t>2</w:t>
      </w:r>
      <w:r w:rsidRPr="005A172D">
        <w:rPr>
          <w:rFonts w:ascii="Arial" w:hAnsi="Arial" w:cs="Arial"/>
          <w:sz w:val="18"/>
          <w:szCs w:val="18"/>
          <w:lang w:val="es-CO" w:eastAsia="fr-FR"/>
        </w:rPr>
        <w:t xml:space="preserve"> de junio de 2018</w:t>
      </w:r>
    </w:p>
    <w:p w:rsidR="00825128" w:rsidRPr="005A172D" w:rsidRDefault="00825128" w:rsidP="0082512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5A172D">
        <w:rPr>
          <w:rFonts w:ascii="Arial" w:eastAsia="Calibri" w:hAnsi="Arial" w:cs="Arial"/>
          <w:sz w:val="18"/>
          <w:szCs w:val="18"/>
          <w:lang w:val="es-CO" w:eastAsia="fr-FR"/>
        </w:rPr>
        <w:t>Proceso:</w:t>
      </w:r>
      <w:r w:rsidRPr="005A172D">
        <w:rPr>
          <w:rFonts w:ascii="Arial" w:eastAsia="Calibri" w:hAnsi="Arial" w:cs="Arial"/>
          <w:sz w:val="18"/>
          <w:szCs w:val="18"/>
          <w:lang w:val="es-CO" w:eastAsia="fr-FR"/>
        </w:rPr>
        <w:tab/>
        <w:t xml:space="preserve">Acción de Tutela – Declara improcedencia </w:t>
      </w:r>
    </w:p>
    <w:p w:rsidR="00825128" w:rsidRPr="005A172D" w:rsidRDefault="00825128" w:rsidP="00825128">
      <w:pPr>
        <w:textAlignment w:val="auto"/>
        <w:rPr>
          <w:rFonts w:ascii="Arial" w:eastAsia="Calibri" w:hAnsi="Arial" w:cs="Arial"/>
          <w:bCs/>
          <w:iCs/>
          <w:sz w:val="18"/>
          <w:szCs w:val="18"/>
          <w:lang w:val="es-ES" w:eastAsia="fr-FR"/>
        </w:rPr>
      </w:pPr>
      <w:r w:rsidRPr="005A172D">
        <w:rPr>
          <w:rFonts w:ascii="Arial" w:eastAsia="Calibri" w:hAnsi="Arial" w:cs="Arial"/>
          <w:sz w:val="18"/>
          <w:szCs w:val="18"/>
          <w:lang w:val="es-CO" w:eastAsia="fr-FR"/>
        </w:rPr>
        <w:t xml:space="preserve">Radicación Nro. :         </w:t>
      </w:r>
      <w:r w:rsidRPr="00825128">
        <w:rPr>
          <w:rFonts w:ascii="Arial" w:eastAsia="Calibri" w:hAnsi="Arial" w:cs="Arial"/>
          <w:bCs/>
          <w:iCs/>
          <w:sz w:val="18"/>
          <w:szCs w:val="18"/>
          <w:lang w:val="es-ES" w:eastAsia="fr-FR"/>
        </w:rPr>
        <w:t>66001-22-13-000-2018-00299</w:t>
      </w:r>
      <w:r>
        <w:rPr>
          <w:rFonts w:ascii="Arial" w:eastAsia="Calibri" w:hAnsi="Arial" w:cs="Arial"/>
          <w:bCs/>
          <w:iCs/>
          <w:sz w:val="18"/>
          <w:szCs w:val="18"/>
          <w:lang w:val="es-ES" w:eastAsia="fr-FR"/>
        </w:rPr>
        <w:t xml:space="preserve"> y </w:t>
      </w:r>
      <w:r w:rsidRPr="00825128">
        <w:rPr>
          <w:rFonts w:ascii="Arial" w:eastAsia="Calibri" w:hAnsi="Arial" w:cs="Arial"/>
          <w:bCs/>
          <w:iCs/>
          <w:sz w:val="18"/>
          <w:szCs w:val="18"/>
          <w:lang w:val="es-ES" w:eastAsia="fr-FR"/>
        </w:rPr>
        <w:t>2018-00301</w:t>
      </w:r>
    </w:p>
    <w:p w:rsidR="00825128" w:rsidRPr="005A172D" w:rsidRDefault="00825128" w:rsidP="0082512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5A172D">
        <w:rPr>
          <w:rFonts w:ascii="Arial" w:eastAsia="Calibri" w:hAnsi="Arial" w:cs="Arial"/>
          <w:bCs/>
          <w:iCs/>
          <w:sz w:val="18"/>
          <w:szCs w:val="18"/>
          <w:lang w:val="es-ES" w:eastAsia="fr-FR"/>
        </w:rPr>
        <w:t xml:space="preserve">Accionante: </w:t>
      </w:r>
      <w:r w:rsidRPr="005A172D">
        <w:rPr>
          <w:rFonts w:ascii="Arial" w:eastAsia="Calibri" w:hAnsi="Arial" w:cs="Arial"/>
          <w:bCs/>
          <w:iCs/>
          <w:sz w:val="18"/>
          <w:szCs w:val="18"/>
          <w:lang w:val="es-ES" w:eastAsia="fr-FR"/>
        </w:rPr>
        <w:tab/>
      </w:r>
      <w:r w:rsidRPr="005A172D">
        <w:rPr>
          <w:rFonts w:ascii="Arial" w:eastAsia="Calibri" w:hAnsi="Arial" w:cs="Arial"/>
          <w:bCs/>
          <w:iCs/>
          <w:sz w:val="18"/>
          <w:szCs w:val="18"/>
          <w:lang w:val="es-ES" w:eastAsia="fr-FR"/>
        </w:rPr>
        <w:tab/>
        <w:t xml:space="preserve"> </w:t>
      </w:r>
      <w:r w:rsidRPr="005A172D">
        <w:rPr>
          <w:rFonts w:ascii="Arial" w:eastAsia="Calibri" w:hAnsi="Arial" w:cs="Arial"/>
          <w:bCs/>
          <w:iCs/>
          <w:sz w:val="18"/>
          <w:szCs w:val="18"/>
          <w:lang w:eastAsia="fr-FR"/>
        </w:rPr>
        <w:t>AUGUSTO BECERRA</w:t>
      </w:r>
    </w:p>
    <w:p w:rsidR="00825128" w:rsidRPr="005A172D" w:rsidRDefault="00825128" w:rsidP="0082512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5A172D">
        <w:rPr>
          <w:rFonts w:ascii="Arial" w:eastAsia="Calibri" w:hAnsi="Arial" w:cs="Arial"/>
          <w:sz w:val="18"/>
          <w:szCs w:val="18"/>
          <w:lang w:val="es-CO" w:eastAsia="fr-FR"/>
        </w:rPr>
        <w:t>Accionado:</w:t>
      </w:r>
      <w:r w:rsidRPr="005A172D">
        <w:rPr>
          <w:rFonts w:ascii="Arial" w:eastAsia="Calibri" w:hAnsi="Arial" w:cs="Arial"/>
          <w:sz w:val="18"/>
          <w:szCs w:val="18"/>
          <w:lang w:val="es-CO" w:eastAsia="fr-FR"/>
        </w:rPr>
        <w:tab/>
        <w:t xml:space="preserve"> </w:t>
      </w:r>
      <w:r w:rsidRPr="005A172D">
        <w:rPr>
          <w:rFonts w:ascii="Arial" w:eastAsia="Calibri" w:hAnsi="Arial" w:cs="Arial"/>
          <w:bCs/>
          <w:iCs/>
          <w:sz w:val="18"/>
          <w:szCs w:val="18"/>
          <w:lang w:eastAsia="fr-FR"/>
        </w:rPr>
        <w:t xml:space="preserve">JUZGADO </w:t>
      </w:r>
      <w:r>
        <w:rPr>
          <w:rFonts w:ascii="Arial" w:eastAsia="Calibri" w:hAnsi="Arial" w:cs="Arial"/>
          <w:bCs/>
          <w:iCs/>
          <w:sz w:val="18"/>
          <w:szCs w:val="18"/>
          <w:lang w:eastAsia="fr-FR"/>
        </w:rPr>
        <w:t>3</w:t>
      </w:r>
      <w:r w:rsidRPr="005A172D">
        <w:rPr>
          <w:rFonts w:ascii="Arial" w:eastAsia="Calibri" w:hAnsi="Arial" w:cs="Arial"/>
          <w:bCs/>
          <w:iCs/>
          <w:sz w:val="18"/>
          <w:szCs w:val="18"/>
          <w:lang w:eastAsia="fr-FR"/>
        </w:rPr>
        <w:t xml:space="preserve">º CIVIL DEL CIRCUITO Y OTROS </w:t>
      </w:r>
    </w:p>
    <w:p w:rsidR="00825128" w:rsidRPr="005A172D" w:rsidRDefault="00825128" w:rsidP="0082512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5A172D">
        <w:rPr>
          <w:rFonts w:ascii="Arial" w:eastAsia="Calibri" w:hAnsi="Arial" w:cs="Arial"/>
          <w:sz w:val="18"/>
          <w:szCs w:val="18"/>
          <w:lang w:val="es-CO" w:eastAsia="fr-FR"/>
        </w:rPr>
        <w:t xml:space="preserve">Magistrado Ponente: </w:t>
      </w:r>
      <w:r w:rsidRPr="005A172D">
        <w:rPr>
          <w:rFonts w:ascii="Arial" w:eastAsia="Calibri" w:hAnsi="Arial" w:cs="Arial"/>
          <w:sz w:val="18"/>
          <w:szCs w:val="18"/>
          <w:lang w:val="es-CO" w:eastAsia="fr-FR"/>
        </w:rPr>
        <w:tab/>
        <w:t xml:space="preserve"> </w:t>
      </w:r>
      <w:r w:rsidRPr="005A172D">
        <w:rPr>
          <w:rFonts w:ascii="Arial" w:eastAsia="Calibri" w:hAnsi="Arial" w:cs="Arial"/>
          <w:bCs/>
          <w:iCs/>
          <w:sz w:val="18"/>
          <w:szCs w:val="18"/>
          <w:lang w:val="es-CO" w:eastAsia="fr-FR"/>
        </w:rPr>
        <w:t>CLAUDIA MAR</w:t>
      </w:r>
      <w:r w:rsidRPr="005A172D">
        <w:rPr>
          <w:rFonts w:ascii="Arial" w:eastAsia="Calibri" w:hAnsi="Arial" w:cs="Arial"/>
          <w:bCs/>
          <w:iCs/>
          <w:sz w:val="18"/>
          <w:szCs w:val="18"/>
          <w:lang w:val="es-ES" w:eastAsia="fr-FR"/>
        </w:rPr>
        <w:t>ÍA ARCILA RÍOS</w:t>
      </w:r>
    </w:p>
    <w:p w:rsidR="00825128" w:rsidRPr="005A172D" w:rsidRDefault="00825128" w:rsidP="0082512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825128" w:rsidRPr="005A172D" w:rsidRDefault="00825128" w:rsidP="00825128">
      <w:pPr>
        <w:jc w:val="both"/>
        <w:textAlignment w:val="auto"/>
        <w:rPr>
          <w:rFonts w:ascii="Arial" w:eastAsia="Calibri" w:hAnsi="Arial" w:cs="Arial"/>
          <w:sz w:val="18"/>
          <w:szCs w:val="18"/>
          <w:lang w:eastAsia="fr-FR"/>
        </w:rPr>
      </w:pPr>
      <w:r w:rsidRPr="005A172D">
        <w:rPr>
          <w:rFonts w:ascii="Arial" w:eastAsia="Calibri" w:hAnsi="Arial" w:cs="Arial"/>
          <w:b/>
          <w:sz w:val="18"/>
          <w:szCs w:val="18"/>
          <w:lang w:val="es-CO" w:eastAsia="fr-FR"/>
        </w:rPr>
        <w:t xml:space="preserve">Temas: </w:t>
      </w:r>
      <w:r w:rsidRPr="005A172D">
        <w:rPr>
          <w:rFonts w:ascii="Arial" w:eastAsia="Calibri" w:hAnsi="Arial" w:cs="Arial"/>
          <w:b/>
          <w:sz w:val="18"/>
          <w:szCs w:val="18"/>
          <w:lang w:val="es-CO" w:eastAsia="fr-FR"/>
        </w:rPr>
        <w:tab/>
      </w:r>
      <w:r w:rsidRPr="005A172D">
        <w:rPr>
          <w:rFonts w:ascii="Arial" w:eastAsia="Calibri" w:hAnsi="Arial" w:cs="Arial"/>
          <w:b/>
          <w:sz w:val="18"/>
          <w:szCs w:val="18"/>
          <w:lang w:val="es-CO" w:eastAsia="fr-FR"/>
        </w:rPr>
        <w:tab/>
        <w:t xml:space="preserve">          DEBIDO PROCESO / TUTELA CONTRA PROVIDENCIA JUDICIAL / ACCIÓN POPULAR / </w:t>
      </w:r>
      <w:r>
        <w:rPr>
          <w:rFonts w:ascii="Arial" w:eastAsia="Calibri" w:hAnsi="Arial" w:cs="Arial"/>
          <w:b/>
          <w:sz w:val="18"/>
          <w:szCs w:val="18"/>
          <w:lang w:val="es-CO" w:eastAsia="fr-FR"/>
        </w:rPr>
        <w:t>PENDIENTE DE RESOLVER CONFLICTO DE COMPETENCIA</w:t>
      </w:r>
      <w:r w:rsidRPr="005A172D">
        <w:rPr>
          <w:rFonts w:ascii="Arial" w:eastAsia="Calibri" w:hAnsi="Arial" w:cs="Arial"/>
          <w:b/>
          <w:sz w:val="18"/>
          <w:szCs w:val="18"/>
          <w:lang w:val="es-CO" w:eastAsia="fr-FR"/>
        </w:rPr>
        <w:t xml:space="preserve"> / SUBSIDIARIEDAD / ACCIONANTE DEBE AGOTAR RECURSOS ORDINARIOS / IMPROCEDENCIA</w:t>
      </w:r>
      <w:r w:rsidRPr="005A172D">
        <w:rPr>
          <w:rFonts w:ascii="Arial" w:eastAsia="Calibri" w:hAnsi="Arial" w:cs="Arial"/>
          <w:b/>
          <w:sz w:val="18"/>
          <w:szCs w:val="18"/>
          <w:lang w:val="es-ES" w:eastAsia="fr-FR"/>
        </w:rPr>
        <w:t xml:space="preserve"> / </w:t>
      </w:r>
      <w:r w:rsidRPr="00825128">
        <w:rPr>
          <w:rFonts w:ascii="Arial" w:eastAsia="Calibri" w:hAnsi="Arial" w:cs="Arial"/>
          <w:sz w:val="18"/>
          <w:szCs w:val="18"/>
          <w:lang w:eastAsia="fr-FR"/>
        </w:rPr>
        <w:t>Las pruebas documentales allegadas en el proceso y que obran en este cuaderno, acreditan que el Juzgado Tercero Civil del Circuito de Pereira, por auto del 24 de mayo último, decidió rechazar, por falta de competencia, las acciones populares radicadas con los números 2018-00108  y 2018-00106 , instauradas por el actor, y ordenó su remisión al reparto de los Jueces Civiles del Circuito de Medellín.</w:t>
      </w:r>
    </w:p>
    <w:p w:rsidR="00825128" w:rsidRDefault="00825128" w:rsidP="00825128">
      <w:pPr>
        <w:jc w:val="both"/>
        <w:textAlignment w:val="auto"/>
        <w:rPr>
          <w:rFonts w:ascii="Arial" w:eastAsia="Calibri" w:hAnsi="Arial" w:cs="Arial"/>
          <w:sz w:val="18"/>
          <w:szCs w:val="18"/>
          <w:lang w:eastAsia="fr-FR"/>
        </w:rPr>
      </w:pPr>
    </w:p>
    <w:p w:rsidR="00825128" w:rsidRPr="0040317E" w:rsidRDefault="00825128" w:rsidP="00825128">
      <w:pPr>
        <w:jc w:val="both"/>
        <w:textAlignment w:val="auto"/>
        <w:rPr>
          <w:rFonts w:ascii="Arial" w:eastAsia="Calibri" w:hAnsi="Arial" w:cs="Arial"/>
          <w:sz w:val="18"/>
          <w:szCs w:val="18"/>
          <w:lang w:eastAsia="fr-FR"/>
        </w:rPr>
      </w:pPr>
      <w:r w:rsidRPr="0040317E">
        <w:rPr>
          <w:rFonts w:ascii="Arial" w:eastAsia="Calibri" w:hAnsi="Arial" w:cs="Arial"/>
          <w:sz w:val="18"/>
          <w:szCs w:val="18"/>
          <w:lang w:eastAsia="fr-FR"/>
        </w:rPr>
        <w:t>5. Surge de lo anterior, que en este caso concreto no se satisfacen todos los presupuestos de procedencia de la acción de tutela a que se refiere la primera jurisprudencia transcrita, concretamente el segundo.</w:t>
      </w:r>
    </w:p>
    <w:p w:rsidR="00825128" w:rsidRPr="0040317E" w:rsidRDefault="00825128" w:rsidP="00825128">
      <w:pPr>
        <w:jc w:val="both"/>
        <w:textAlignment w:val="auto"/>
        <w:rPr>
          <w:rFonts w:ascii="Arial" w:eastAsia="Calibri" w:hAnsi="Arial" w:cs="Arial"/>
          <w:sz w:val="18"/>
          <w:szCs w:val="18"/>
          <w:lang w:eastAsia="fr-FR"/>
        </w:rPr>
      </w:pPr>
    </w:p>
    <w:p w:rsidR="00825128" w:rsidRPr="005A172D" w:rsidRDefault="00825128" w:rsidP="00825128">
      <w:pPr>
        <w:jc w:val="both"/>
        <w:textAlignment w:val="auto"/>
        <w:rPr>
          <w:rFonts w:ascii="Arial" w:eastAsia="Calibri" w:hAnsi="Arial" w:cs="Arial"/>
          <w:sz w:val="18"/>
          <w:szCs w:val="18"/>
          <w:lang w:eastAsia="fr-FR"/>
        </w:rPr>
      </w:pPr>
      <w:r w:rsidRPr="0040317E">
        <w:rPr>
          <w:rFonts w:ascii="Arial" w:eastAsia="Calibri" w:hAnsi="Arial" w:cs="Arial"/>
          <w:sz w:val="18"/>
          <w:szCs w:val="18"/>
          <w:lang w:eastAsia="fr-FR"/>
        </w:rPr>
        <w:t xml:space="preserve">En efecto, si los Juzgados Civiles del Circuito de Medellín, a los que corresponda la acción popular remitida, no han adoptado aún alguna determinación, el amparo constitucional solicitado se tornaría prematuro, pues todavía estaría por definirse lo relativo a la competencia, en razón a que al recibir el expediente, tendrían la opción de asumirla o, en caso contrario, generar el conflicto correspondiente, que dirimiría la Sala de Casación Civil de la Corte Suprema de Justicia de acuerdo con el artículo 139 del Código General del Proceso </w:t>
      </w:r>
      <w:r w:rsidRPr="005A172D">
        <w:rPr>
          <w:rFonts w:ascii="Arial" w:eastAsia="Calibri" w:hAnsi="Arial" w:cs="Arial"/>
          <w:sz w:val="18"/>
          <w:szCs w:val="18"/>
          <w:lang w:eastAsia="fr-FR"/>
        </w:rPr>
        <w:t>…</w:t>
      </w:r>
    </w:p>
    <w:p w:rsidR="00825128" w:rsidRPr="005A172D" w:rsidRDefault="00825128" w:rsidP="00825128">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w:t>
      </w:r>
    </w:p>
    <w:p w:rsidR="00825128" w:rsidRPr="00825128" w:rsidRDefault="00825128" w:rsidP="00825128">
      <w:pPr>
        <w:jc w:val="both"/>
        <w:textAlignment w:val="auto"/>
        <w:rPr>
          <w:rFonts w:ascii="Arial" w:eastAsia="Calibri" w:hAnsi="Arial" w:cs="Arial"/>
          <w:sz w:val="18"/>
          <w:szCs w:val="18"/>
          <w:lang w:eastAsia="fr-FR"/>
        </w:rPr>
      </w:pPr>
      <w:r w:rsidRPr="00825128">
        <w:rPr>
          <w:rFonts w:ascii="Arial" w:eastAsia="Calibri" w:hAnsi="Arial" w:cs="Arial"/>
          <w:sz w:val="18"/>
          <w:szCs w:val="18"/>
          <w:lang w:eastAsia="fr-FR"/>
        </w:rPr>
        <w:t>Por tanto, la tutela resulta improcedente pues no puede ser empleada como mecanismo para decidir lo relacionado con la admisión de la acción popular. Para ese efecto, primero es necesario agotar la vía judicial ordinaria en la que se defina la competencia territorial para conocer de esos procesos.</w:t>
      </w:r>
    </w:p>
    <w:p w:rsidR="00825128" w:rsidRDefault="00825128"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12467" w:rsidRDefault="00A12467"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12467" w:rsidRDefault="00A12467"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bookmarkStart w:id="0" w:name="_GoBack"/>
      <w:bookmarkEnd w:id="0"/>
    </w:p>
    <w:p w:rsidR="001368C3" w:rsidRDefault="001368C3"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645D73">
        <w:rPr>
          <w:rFonts w:ascii="Verdana" w:hAnsi="Verdana"/>
          <w:b/>
          <w:sz w:val="24"/>
          <w:szCs w:val="24"/>
        </w:rPr>
        <w:t>TRIBUNAL SUPERIOR DEL DISTRITO JUDICIAL</w:t>
      </w:r>
    </w:p>
    <w:p w:rsidR="00B96272" w:rsidRPr="00B96272" w:rsidRDefault="00B96272"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4"/>
          <w:szCs w:val="24"/>
        </w:rPr>
      </w:pPr>
    </w:p>
    <w:p w:rsidR="001368C3" w:rsidRPr="00645D73" w:rsidRDefault="001368C3"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645D73">
        <w:rPr>
          <w:rFonts w:ascii="Verdana" w:hAnsi="Verdana"/>
          <w:b/>
          <w:sz w:val="24"/>
          <w:szCs w:val="24"/>
        </w:rPr>
        <w:t>SALA DE DECISIÓN CIVIL FAMILIA</w:t>
      </w:r>
    </w:p>
    <w:p w:rsidR="007D1AEA" w:rsidRPr="00B96272" w:rsidRDefault="007D1AEA"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6"/>
          <w:szCs w:val="26"/>
        </w:rPr>
      </w:pPr>
    </w:p>
    <w:p w:rsidR="00DF5A87" w:rsidRPr="00DF5A87" w:rsidRDefault="00DF5A87" w:rsidP="00DF5A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DF5A87">
        <w:rPr>
          <w:rFonts w:ascii="Verdana" w:hAnsi="Verdana"/>
          <w:sz w:val="24"/>
          <w:szCs w:val="24"/>
        </w:rPr>
        <w:tab/>
        <w:t>Magistrada Ponente: Claudia María Arcila Ríos</w:t>
      </w:r>
    </w:p>
    <w:p w:rsidR="00DF5A87" w:rsidRPr="00DF5A87" w:rsidRDefault="00DF5A87" w:rsidP="00DF5A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DF5A87">
        <w:rPr>
          <w:rFonts w:ascii="Verdana" w:hAnsi="Verdana"/>
          <w:sz w:val="24"/>
          <w:szCs w:val="24"/>
        </w:rPr>
        <w:tab/>
        <w:t>Pereira, junio doce (12) de dos mil dieciocho (2018)</w:t>
      </w:r>
    </w:p>
    <w:p w:rsidR="00DF5A87" w:rsidRDefault="00DF5A87" w:rsidP="00DF5A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DF5A87">
        <w:rPr>
          <w:rFonts w:ascii="Verdana" w:hAnsi="Verdana"/>
          <w:sz w:val="24"/>
          <w:szCs w:val="24"/>
        </w:rPr>
        <w:t xml:space="preserve">     </w:t>
      </w:r>
      <w:r w:rsidRPr="00DF5A87">
        <w:rPr>
          <w:rFonts w:ascii="Verdana" w:hAnsi="Verdana"/>
          <w:sz w:val="24"/>
          <w:szCs w:val="24"/>
        </w:rPr>
        <w:tab/>
        <w:t>Acta No. 203 del 12 de junio de 2018</w:t>
      </w:r>
    </w:p>
    <w:p w:rsidR="001368C3" w:rsidRDefault="00DF5A87" w:rsidP="00DF5A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Pr>
          <w:rFonts w:ascii="Verdana" w:hAnsi="Verdana"/>
          <w:sz w:val="24"/>
          <w:szCs w:val="24"/>
        </w:rPr>
        <w:tab/>
      </w:r>
      <w:r w:rsidR="001368C3" w:rsidRPr="00645D73">
        <w:rPr>
          <w:rFonts w:ascii="Verdana" w:hAnsi="Verdana"/>
          <w:sz w:val="24"/>
          <w:szCs w:val="24"/>
        </w:rPr>
        <w:t>Exped</w:t>
      </w:r>
      <w:r w:rsidR="005B37B8" w:rsidRPr="00645D73">
        <w:rPr>
          <w:rFonts w:ascii="Verdana" w:hAnsi="Verdana"/>
          <w:sz w:val="24"/>
          <w:szCs w:val="24"/>
        </w:rPr>
        <w:t>iente</w:t>
      </w:r>
      <w:r w:rsidR="00BA7895">
        <w:rPr>
          <w:rFonts w:ascii="Verdana" w:hAnsi="Verdana"/>
          <w:sz w:val="24"/>
          <w:szCs w:val="24"/>
        </w:rPr>
        <w:t>s</w:t>
      </w:r>
      <w:r w:rsidR="005B37B8" w:rsidRPr="00645D73">
        <w:rPr>
          <w:rFonts w:ascii="Verdana" w:hAnsi="Verdana"/>
          <w:sz w:val="24"/>
          <w:szCs w:val="24"/>
        </w:rPr>
        <w:t xml:space="preserve"> No</w:t>
      </w:r>
      <w:r w:rsidR="00BA7895">
        <w:rPr>
          <w:rFonts w:ascii="Verdana" w:hAnsi="Verdana"/>
          <w:sz w:val="24"/>
          <w:szCs w:val="24"/>
        </w:rPr>
        <w:t>s</w:t>
      </w:r>
      <w:r w:rsidR="00081E08" w:rsidRPr="00BA7895">
        <w:rPr>
          <w:rFonts w:ascii="Verdana" w:hAnsi="Verdana"/>
          <w:spacing w:val="-4"/>
          <w:sz w:val="24"/>
          <w:szCs w:val="24"/>
        </w:rPr>
        <w:t>.</w:t>
      </w:r>
      <w:r w:rsidR="0062509D" w:rsidRPr="00BA7895">
        <w:rPr>
          <w:rFonts w:ascii="Verdana" w:hAnsi="Verdana"/>
          <w:spacing w:val="-4"/>
          <w:sz w:val="24"/>
          <w:szCs w:val="24"/>
        </w:rPr>
        <w:t xml:space="preserve"> </w:t>
      </w:r>
      <w:r w:rsidR="00BA7895" w:rsidRPr="00BA7895">
        <w:rPr>
          <w:rFonts w:ascii="Verdana" w:hAnsi="Verdana"/>
          <w:spacing w:val="-4"/>
          <w:sz w:val="24"/>
          <w:szCs w:val="24"/>
        </w:rPr>
        <w:t xml:space="preserve"> </w:t>
      </w:r>
      <w:r w:rsidR="00C54403" w:rsidRPr="00645D73">
        <w:rPr>
          <w:rFonts w:ascii="Verdana" w:hAnsi="Verdana"/>
          <w:sz w:val="24"/>
          <w:szCs w:val="24"/>
        </w:rPr>
        <w:t>66001-22-</w:t>
      </w:r>
      <w:r w:rsidR="00DE134C" w:rsidRPr="00645D73">
        <w:rPr>
          <w:rFonts w:ascii="Verdana" w:hAnsi="Verdana"/>
          <w:sz w:val="24"/>
          <w:szCs w:val="24"/>
        </w:rPr>
        <w:t>1</w:t>
      </w:r>
      <w:r w:rsidR="00142B33" w:rsidRPr="00645D73">
        <w:rPr>
          <w:rFonts w:ascii="Verdana" w:hAnsi="Verdana"/>
          <w:sz w:val="24"/>
          <w:szCs w:val="24"/>
        </w:rPr>
        <w:t>3-000-2018</w:t>
      </w:r>
      <w:r w:rsidR="00B27F81" w:rsidRPr="00645D73">
        <w:rPr>
          <w:rFonts w:ascii="Verdana" w:hAnsi="Verdana"/>
          <w:sz w:val="24"/>
          <w:szCs w:val="24"/>
        </w:rPr>
        <w:t>-0</w:t>
      </w:r>
      <w:r w:rsidR="00BA7895">
        <w:rPr>
          <w:rFonts w:ascii="Verdana" w:hAnsi="Verdana"/>
          <w:sz w:val="24"/>
          <w:szCs w:val="24"/>
        </w:rPr>
        <w:t>0299</w:t>
      </w:r>
      <w:r w:rsidR="001368C3" w:rsidRPr="00645D73">
        <w:rPr>
          <w:rFonts w:ascii="Verdana" w:hAnsi="Verdana"/>
          <w:sz w:val="24"/>
          <w:szCs w:val="24"/>
        </w:rPr>
        <w:t>-00</w:t>
      </w:r>
    </w:p>
    <w:p w:rsidR="00BA7895" w:rsidRPr="00645D73" w:rsidRDefault="00BA7895" w:rsidP="00B962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F5A87">
        <w:rPr>
          <w:rFonts w:ascii="Verdana" w:hAnsi="Verdana"/>
          <w:sz w:val="24"/>
          <w:szCs w:val="24"/>
        </w:rPr>
        <w:t xml:space="preserve"> </w:t>
      </w:r>
      <w:r w:rsidRPr="00645D73">
        <w:rPr>
          <w:rFonts w:ascii="Verdana" w:hAnsi="Verdana"/>
          <w:sz w:val="24"/>
          <w:szCs w:val="24"/>
        </w:rPr>
        <w:t>66001-22-13-000-2018-0</w:t>
      </w:r>
      <w:r>
        <w:rPr>
          <w:rFonts w:ascii="Verdana" w:hAnsi="Verdana"/>
          <w:sz w:val="24"/>
          <w:szCs w:val="24"/>
        </w:rPr>
        <w:t>0301</w:t>
      </w:r>
      <w:r w:rsidRPr="00645D73">
        <w:rPr>
          <w:rFonts w:ascii="Verdana" w:hAnsi="Verdana"/>
          <w:sz w:val="24"/>
          <w:szCs w:val="24"/>
        </w:rPr>
        <w:t>-00</w:t>
      </w:r>
    </w:p>
    <w:p w:rsidR="00365527" w:rsidRPr="00B96272" w:rsidRDefault="00365527" w:rsidP="00EC4367">
      <w:pPr>
        <w:spacing w:line="360" w:lineRule="auto"/>
        <w:jc w:val="both"/>
        <w:rPr>
          <w:rFonts w:ascii="Verdana" w:hAnsi="Verdana"/>
          <w:sz w:val="26"/>
          <w:szCs w:val="26"/>
        </w:rPr>
      </w:pPr>
    </w:p>
    <w:p w:rsidR="0029724B" w:rsidRPr="00645D73" w:rsidRDefault="005B37B8" w:rsidP="00EC4367">
      <w:pPr>
        <w:spacing w:line="360" w:lineRule="auto"/>
        <w:jc w:val="both"/>
        <w:rPr>
          <w:rFonts w:ascii="Verdana" w:hAnsi="Verdana"/>
          <w:sz w:val="24"/>
          <w:szCs w:val="24"/>
        </w:rPr>
      </w:pPr>
      <w:r w:rsidRPr="00645D73">
        <w:rPr>
          <w:rFonts w:ascii="Verdana" w:hAnsi="Verdana"/>
          <w:sz w:val="24"/>
          <w:szCs w:val="24"/>
        </w:rPr>
        <w:t>Se decide</w:t>
      </w:r>
      <w:r w:rsidR="000A65B7">
        <w:rPr>
          <w:rFonts w:ascii="Verdana" w:hAnsi="Verdana"/>
          <w:sz w:val="24"/>
          <w:szCs w:val="24"/>
        </w:rPr>
        <w:t>n</w:t>
      </w:r>
      <w:r w:rsidRPr="00645D73">
        <w:rPr>
          <w:rFonts w:ascii="Verdana" w:hAnsi="Verdana"/>
          <w:sz w:val="24"/>
          <w:szCs w:val="24"/>
        </w:rPr>
        <w:t xml:space="preserve"> en primera instancia la</w:t>
      </w:r>
      <w:r w:rsidR="000A65B7">
        <w:rPr>
          <w:rFonts w:ascii="Verdana" w:hAnsi="Verdana"/>
          <w:sz w:val="24"/>
          <w:szCs w:val="24"/>
        </w:rPr>
        <w:t>s acciones</w:t>
      </w:r>
      <w:r w:rsidR="0029724B" w:rsidRPr="00645D73">
        <w:rPr>
          <w:rFonts w:ascii="Verdana" w:hAnsi="Verdana"/>
          <w:sz w:val="24"/>
          <w:szCs w:val="24"/>
        </w:rPr>
        <w:t xml:space="preserve"> de tut</w:t>
      </w:r>
      <w:r w:rsidRPr="00645D73">
        <w:rPr>
          <w:rFonts w:ascii="Verdana" w:hAnsi="Verdana"/>
          <w:sz w:val="24"/>
          <w:szCs w:val="24"/>
        </w:rPr>
        <w:t>ela de la referencia, promovida</w:t>
      </w:r>
      <w:r w:rsidR="000A65B7">
        <w:rPr>
          <w:rFonts w:ascii="Verdana" w:hAnsi="Verdana"/>
          <w:sz w:val="24"/>
          <w:szCs w:val="24"/>
        </w:rPr>
        <w:t>s</w:t>
      </w:r>
      <w:r w:rsidR="0029724B" w:rsidRPr="00645D73">
        <w:rPr>
          <w:rFonts w:ascii="Verdana" w:hAnsi="Verdana"/>
          <w:sz w:val="24"/>
          <w:szCs w:val="24"/>
        </w:rPr>
        <w:t xml:space="preserve"> por el señor Augusto Becerra contra </w:t>
      </w:r>
      <w:r w:rsidR="0029724B" w:rsidRPr="00645D73">
        <w:rPr>
          <w:rFonts w:ascii="Verdana" w:hAnsi="Verdana"/>
          <w:sz w:val="24"/>
          <w:szCs w:val="24"/>
          <w:lang w:val="es-ES"/>
        </w:rPr>
        <w:t xml:space="preserve">el Juzgado </w:t>
      </w:r>
      <w:r w:rsidR="00264872" w:rsidRPr="00645D73">
        <w:rPr>
          <w:rFonts w:ascii="Verdana" w:hAnsi="Verdana"/>
          <w:sz w:val="24"/>
          <w:szCs w:val="24"/>
          <w:lang w:val="es-ES"/>
        </w:rPr>
        <w:t>Tercero</w:t>
      </w:r>
      <w:r w:rsidR="004C6D3B" w:rsidRPr="00645D73">
        <w:rPr>
          <w:rFonts w:ascii="Verdana" w:hAnsi="Verdana"/>
          <w:sz w:val="24"/>
          <w:szCs w:val="24"/>
          <w:lang w:val="es-ES"/>
        </w:rPr>
        <w:t xml:space="preserve"> Civil</w:t>
      </w:r>
      <w:r w:rsidR="0062509D" w:rsidRPr="00645D73">
        <w:rPr>
          <w:rFonts w:ascii="Verdana" w:hAnsi="Verdana"/>
          <w:sz w:val="24"/>
          <w:szCs w:val="24"/>
          <w:lang w:val="es-ES"/>
        </w:rPr>
        <w:t xml:space="preserve"> </w:t>
      </w:r>
      <w:r w:rsidR="004C6D3B" w:rsidRPr="00645D73">
        <w:rPr>
          <w:rFonts w:ascii="Verdana" w:hAnsi="Verdana"/>
          <w:sz w:val="24"/>
          <w:szCs w:val="24"/>
          <w:lang w:val="es-ES"/>
        </w:rPr>
        <w:t>del Circuito local y el Procurador Judicial para Asuntos Civiles</w:t>
      </w:r>
      <w:r w:rsidRPr="00645D73">
        <w:rPr>
          <w:rFonts w:ascii="Verdana" w:hAnsi="Verdana"/>
          <w:sz w:val="24"/>
          <w:szCs w:val="24"/>
        </w:rPr>
        <w:t>, a la</w:t>
      </w:r>
      <w:r w:rsidR="00B96272">
        <w:rPr>
          <w:rFonts w:ascii="Verdana" w:hAnsi="Verdana"/>
          <w:sz w:val="24"/>
          <w:szCs w:val="24"/>
        </w:rPr>
        <w:t>s</w:t>
      </w:r>
      <w:r w:rsidR="0029724B" w:rsidRPr="00645D73">
        <w:rPr>
          <w:rFonts w:ascii="Verdana" w:hAnsi="Verdana"/>
          <w:sz w:val="24"/>
          <w:szCs w:val="24"/>
        </w:rPr>
        <w:t xml:space="preserve"> que fueron vinculados la Alcaldía de </w:t>
      </w:r>
      <w:r w:rsidR="004C6D3B" w:rsidRPr="00645D73">
        <w:rPr>
          <w:rFonts w:ascii="Verdana" w:hAnsi="Verdana"/>
          <w:sz w:val="24"/>
          <w:szCs w:val="24"/>
        </w:rPr>
        <w:t>Pereira</w:t>
      </w:r>
      <w:r w:rsidR="0029724B" w:rsidRPr="00645D73">
        <w:rPr>
          <w:rFonts w:ascii="Verdana" w:hAnsi="Verdana"/>
          <w:sz w:val="24"/>
          <w:szCs w:val="24"/>
        </w:rPr>
        <w:t xml:space="preserve">, el </w:t>
      </w:r>
      <w:r w:rsidR="00B67A80" w:rsidRPr="00645D73">
        <w:rPr>
          <w:rFonts w:ascii="Verdana" w:hAnsi="Verdana"/>
          <w:sz w:val="24"/>
          <w:szCs w:val="24"/>
        </w:rPr>
        <w:lastRenderedPageBreak/>
        <w:t>Ministerio Público</w:t>
      </w:r>
      <w:r w:rsidR="0029724B" w:rsidRPr="00645D73">
        <w:rPr>
          <w:rFonts w:ascii="Verdana" w:hAnsi="Verdana"/>
          <w:sz w:val="24"/>
          <w:szCs w:val="24"/>
        </w:rPr>
        <w:t xml:space="preserve"> </w:t>
      </w:r>
      <w:r w:rsidR="00B67A80" w:rsidRPr="00645D73">
        <w:rPr>
          <w:rFonts w:ascii="Verdana" w:hAnsi="Verdana"/>
          <w:sz w:val="24"/>
          <w:szCs w:val="24"/>
        </w:rPr>
        <w:t>y la</w:t>
      </w:r>
      <w:r w:rsidR="0029724B" w:rsidRPr="00645D73">
        <w:rPr>
          <w:rFonts w:ascii="Verdana" w:hAnsi="Verdana"/>
          <w:sz w:val="24"/>
          <w:szCs w:val="24"/>
        </w:rPr>
        <w:t xml:space="preserve"> Defensor</w:t>
      </w:r>
      <w:r w:rsidR="00B67A80" w:rsidRPr="00645D73">
        <w:rPr>
          <w:rFonts w:ascii="Verdana" w:hAnsi="Verdana"/>
          <w:sz w:val="24"/>
          <w:szCs w:val="24"/>
        </w:rPr>
        <w:t>ía</w:t>
      </w:r>
      <w:r w:rsidR="0029724B" w:rsidRPr="00645D73">
        <w:rPr>
          <w:rFonts w:ascii="Verdana" w:hAnsi="Verdana"/>
          <w:sz w:val="24"/>
          <w:szCs w:val="24"/>
        </w:rPr>
        <w:t xml:space="preserve"> del Pueblo, ambos de la Regional Risaralda.</w:t>
      </w:r>
    </w:p>
    <w:p w:rsidR="00E471D6" w:rsidRPr="00B96272" w:rsidRDefault="00E471D6" w:rsidP="00EC4367">
      <w:pPr>
        <w:spacing w:line="360" w:lineRule="auto"/>
        <w:jc w:val="both"/>
        <w:rPr>
          <w:rFonts w:ascii="Verdana" w:hAnsi="Verdana"/>
          <w:sz w:val="25"/>
          <w:szCs w:val="25"/>
        </w:rPr>
      </w:pPr>
    </w:p>
    <w:p w:rsidR="00E471D6" w:rsidRPr="00645D73" w:rsidRDefault="00E471D6" w:rsidP="00EC4367">
      <w:pPr>
        <w:spacing w:line="360" w:lineRule="auto"/>
        <w:jc w:val="both"/>
        <w:rPr>
          <w:rFonts w:ascii="Verdana" w:hAnsi="Verdana"/>
          <w:b/>
          <w:sz w:val="24"/>
          <w:szCs w:val="24"/>
        </w:rPr>
      </w:pPr>
      <w:r w:rsidRPr="00645D73">
        <w:rPr>
          <w:rFonts w:ascii="Verdana" w:hAnsi="Verdana"/>
          <w:b/>
          <w:sz w:val="24"/>
          <w:szCs w:val="24"/>
        </w:rPr>
        <w:t>A N T E C E D E N T E S</w:t>
      </w:r>
    </w:p>
    <w:p w:rsidR="00E471D6" w:rsidRPr="00B96272" w:rsidRDefault="00E471D6" w:rsidP="00EC4367">
      <w:pPr>
        <w:spacing w:line="360" w:lineRule="auto"/>
        <w:jc w:val="both"/>
        <w:rPr>
          <w:rFonts w:ascii="Verdana" w:hAnsi="Verdana"/>
          <w:sz w:val="25"/>
          <w:szCs w:val="25"/>
        </w:rPr>
      </w:pPr>
    </w:p>
    <w:p w:rsidR="005A7333" w:rsidRPr="00645D73" w:rsidRDefault="0061162F" w:rsidP="00EC4367">
      <w:pPr>
        <w:spacing w:line="360" w:lineRule="auto"/>
        <w:jc w:val="both"/>
        <w:rPr>
          <w:rFonts w:ascii="Verdana" w:hAnsi="Verdana"/>
          <w:sz w:val="24"/>
          <w:szCs w:val="24"/>
        </w:rPr>
      </w:pPr>
      <w:r w:rsidRPr="00645D73">
        <w:rPr>
          <w:rFonts w:ascii="Verdana" w:hAnsi="Verdana"/>
          <w:sz w:val="24"/>
          <w:szCs w:val="24"/>
        </w:rPr>
        <w:t>1.</w:t>
      </w:r>
      <w:r w:rsidR="00E471D6" w:rsidRPr="00645D73">
        <w:rPr>
          <w:rFonts w:ascii="Verdana" w:hAnsi="Verdana"/>
          <w:sz w:val="24"/>
          <w:szCs w:val="24"/>
        </w:rPr>
        <w:t xml:space="preserve"> Relató el actor </w:t>
      </w:r>
      <w:r w:rsidR="006F7CF6" w:rsidRPr="00645D73">
        <w:rPr>
          <w:rFonts w:ascii="Verdana" w:hAnsi="Verdana"/>
          <w:sz w:val="24"/>
          <w:szCs w:val="24"/>
        </w:rPr>
        <w:t>que e</w:t>
      </w:r>
      <w:r w:rsidR="00D42793" w:rsidRPr="00645D73">
        <w:rPr>
          <w:rFonts w:ascii="Verdana" w:hAnsi="Verdana"/>
          <w:sz w:val="24"/>
          <w:szCs w:val="24"/>
        </w:rPr>
        <w:t>n la</w:t>
      </w:r>
      <w:r w:rsidR="000A65B7">
        <w:rPr>
          <w:rFonts w:ascii="Verdana" w:hAnsi="Verdana"/>
          <w:sz w:val="24"/>
          <w:szCs w:val="24"/>
        </w:rPr>
        <w:t>s acciones</w:t>
      </w:r>
      <w:r w:rsidR="00D42793" w:rsidRPr="00645D73">
        <w:rPr>
          <w:rFonts w:ascii="Verdana" w:hAnsi="Verdana"/>
          <w:sz w:val="24"/>
          <w:szCs w:val="24"/>
        </w:rPr>
        <w:t xml:space="preserve"> popular</w:t>
      </w:r>
      <w:r w:rsidR="000A65B7">
        <w:rPr>
          <w:rFonts w:ascii="Verdana" w:hAnsi="Verdana"/>
          <w:sz w:val="24"/>
          <w:szCs w:val="24"/>
        </w:rPr>
        <w:t>es</w:t>
      </w:r>
      <w:r w:rsidR="007001D5" w:rsidRPr="00645D73">
        <w:rPr>
          <w:rFonts w:ascii="Verdana" w:hAnsi="Verdana"/>
          <w:sz w:val="24"/>
          <w:szCs w:val="24"/>
        </w:rPr>
        <w:t xml:space="preserve"> radi</w:t>
      </w:r>
      <w:r w:rsidR="00D42793" w:rsidRPr="00645D73">
        <w:rPr>
          <w:rFonts w:ascii="Verdana" w:hAnsi="Verdana"/>
          <w:sz w:val="24"/>
          <w:szCs w:val="24"/>
        </w:rPr>
        <w:t>cada</w:t>
      </w:r>
      <w:r w:rsidR="000A65B7">
        <w:rPr>
          <w:rFonts w:ascii="Verdana" w:hAnsi="Verdana"/>
          <w:sz w:val="24"/>
          <w:szCs w:val="24"/>
        </w:rPr>
        <w:t>s</w:t>
      </w:r>
      <w:r w:rsidR="00F90D4B" w:rsidRPr="00645D73">
        <w:rPr>
          <w:rFonts w:ascii="Verdana" w:hAnsi="Verdana"/>
          <w:sz w:val="24"/>
          <w:szCs w:val="24"/>
        </w:rPr>
        <w:t xml:space="preserve"> bajo </w:t>
      </w:r>
      <w:r w:rsidR="000A65B7">
        <w:rPr>
          <w:rFonts w:ascii="Verdana" w:hAnsi="Verdana"/>
          <w:sz w:val="24"/>
          <w:szCs w:val="24"/>
        </w:rPr>
        <w:t>los</w:t>
      </w:r>
      <w:r w:rsidR="00796911" w:rsidRPr="00645D73">
        <w:rPr>
          <w:rFonts w:ascii="Verdana" w:hAnsi="Verdana"/>
          <w:sz w:val="24"/>
          <w:szCs w:val="24"/>
        </w:rPr>
        <w:t xml:space="preserve"> número</w:t>
      </w:r>
      <w:r w:rsidR="000A65B7">
        <w:rPr>
          <w:rFonts w:ascii="Verdana" w:hAnsi="Verdana"/>
          <w:sz w:val="24"/>
          <w:szCs w:val="24"/>
        </w:rPr>
        <w:t>s “2018-108</w:t>
      </w:r>
      <w:r w:rsidR="00496211" w:rsidRPr="00645D73">
        <w:rPr>
          <w:rFonts w:ascii="Verdana" w:hAnsi="Verdana"/>
          <w:sz w:val="24"/>
          <w:szCs w:val="24"/>
        </w:rPr>
        <w:t>”</w:t>
      </w:r>
      <w:r w:rsidR="000A65B7">
        <w:rPr>
          <w:rFonts w:ascii="Verdana" w:hAnsi="Verdana"/>
          <w:sz w:val="24"/>
          <w:szCs w:val="24"/>
        </w:rPr>
        <w:t xml:space="preserve"> y “2018-106”</w:t>
      </w:r>
      <w:r w:rsidR="007001D5" w:rsidRPr="00645D73">
        <w:rPr>
          <w:rFonts w:ascii="Verdana" w:hAnsi="Verdana"/>
          <w:sz w:val="24"/>
          <w:szCs w:val="24"/>
        </w:rPr>
        <w:t>,</w:t>
      </w:r>
      <w:r w:rsidR="000A65B7">
        <w:rPr>
          <w:rFonts w:ascii="Verdana" w:hAnsi="Verdana"/>
          <w:sz w:val="24"/>
          <w:szCs w:val="24"/>
        </w:rPr>
        <w:t xml:space="preserve"> </w:t>
      </w:r>
      <w:r w:rsidR="00D42793" w:rsidRPr="00645D73">
        <w:rPr>
          <w:rFonts w:ascii="Verdana" w:hAnsi="Verdana"/>
          <w:sz w:val="24"/>
          <w:szCs w:val="24"/>
        </w:rPr>
        <w:t>que</w:t>
      </w:r>
      <w:r w:rsidR="00796911" w:rsidRPr="00645D73">
        <w:rPr>
          <w:rFonts w:ascii="Verdana" w:hAnsi="Verdana"/>
          <w:sz w:val="24"/>
          <w:szCs w:val="24"/>
        </w:rPr>
        <w:t xml:space="preserve"> formuló</w:t>
      </w:r>
      <w:r w:rsidR="00E33234" w:rsidRPr="00645D73">
        <w:rPr>
          <w:rFonts w:ascii="Verdana" w:hAnsi="Verdana"/>
          <w:sz w:val="24"/>
          <w:szCs w:val="24"/>
        </w:rPr>
        <w:t>, el juzgado accionado</w:t>
      </w:r>
      <w:r w:rsidR="00FD260F" w:rsidRPr="00645D73">
        <w:rPr>
          <w:rFonts w:ascii="Verdana" w:hAnsi="Verdana"/>
          <w:sz w:val="24"/>
          <w:szCs w:val="24"/>
        </w:rPr>
        <w:t xml:space="preserve"> “cree poder” declarase incompetente, a pesar de que no es parte y en desconocimiento </w:t>
      </w:r>
      <w:r w:rsidR="00C700D0" w:rsidRPr="00645D73">
        <w:rPr>
          <w:rFonts w:ascii="Verdana" w:hAnsi="Verdana"/>
          <w:sz w:val="24"/>
          <w:szCs w:val="24"/>
        </w:rPr>
        <w:t>de los conflictos de competencia resueltos por la Corte Suprema de Justicia</w:t>
      </w:r>
      <w:r w:rsidR="00A47946" w:rsidRPr="00645D73">
        <w:rPr>
          <w:rFonts w:ascii="Verdana" w:hAnsi="Verdana"/>
          <w:sz w:val="24"/>
          <w:szCs w:val="24"/>
        </w:rPr>
        <w:t>.</w:t>
      </w:r>
    </w:p>
    <w:p w:rsidR="00BA43FD" w:rsidRPr="00B96272" w:rsidRDefault="00BA43FD" w:rsidP="00EC4367">
      <w:pPr>
        <w:spacing w:line="360" w:lineRule="auto"/>
        <w:jc w:val="both"/>
        <w:rPr>
          <w:rFonts w:ascii="Verdana" w:hAnsi="Verdana"/>
          <w:sz w:val="25"/>
          <w:szCs w:val="25"/>
        </w:rPr>
      </w:pPr>
    </w:p>
    <w:p w:rsidR="0035340F" w:rsidRPr="00645D73" w:rsidRDefault="007417BC" w:rsidP="00EC4367">
      <w:pPr>
        <w:spacing w:line="360" w:lineRule="auto"/>
        <w:jc w:val="both"/>
        <w:rPr>
          <w:rFonts w:ascii="Verdana" w:hAnsi="Verdana"/>
          <w:sz w:val="24"/>
          <w:szCs w:val="24"/>
        </w:rPr>
      </w:pPr>
      <w:r w:rsidRPr="00645D73">
        <w:rPr>
          <w:rFonts w:ascii="Verdana" w:hAnsi="Verdana"/>
          <w:sz w:val="24"/>
          <w:szCs w:val="24"/>
        </w:rPr>
        <w:t xml:space="preserve">2. </w:t>
      </w:r>
      <w:r w:rsidR="00A47946" w:rsidRPr="00645D73">
        <w:rPr>
          <w:rFonts w:ascii="Verdana" w:hAnsi="Verdana"/>
          <w:sz w:val="24"/>
          <w:szCs w:val="24"/>
        </w:rPr>
        <w:t>Considera lesionado el</w:t>
      </w:r>
      <w:r w:rsidR="00A13707" w:rsidRPr="00645D73">
        <w:rPr>
          <w:rFonts w:ascii="Verdana" w:hAnsi="Verdana"/>
          <w:sz w:val="24"/>
          <w:szCs w:val="24"/>
        </w:rPr>
        <w:t xml:space="preserve"> derecho</w:t>
      </w:r>
      <w:r w:rsidR="00743213" w:rsidRPr="00645D73">
        <w:rPr>
          <w:rFonts w:ascii="Verdana" w:hAnsi="Verdana"/>
          <w:sz w:val="24"/>
          <w:szCs w:val="24"/>
        </w:rPr>
        <w:t xml:space="preserve"> a la igualdad</w:t>
      </w:r>
      <w:r w:rsidR="00A47946" w:rsidRPr="00645D73">
        <w:rPr>
          <w:rFonts w:ascii="Verdana" w:hAnsi="Verdana"/>
          <w:sz w:val="24"/>
          <w:szCs w:val="24"/>
        </w:rPr>
        <w:t xml:space="preserve"> y p</w:t>
      </w:r>
      <w:r w:rsidR="00151225" w:rsidRPr="00645D73">
        <w:rPr>
          <w:rFonts w:ascii="Verdana" w:hAnsi="Verdana"/>
          <w:sz w:val="24"/>
          <w:szCs w:val="24"/>
        </w:rPr>
        <w:t xml:space="preserve">ara su protección, solicita </w:t>
      </w:r>
      <w:r w:rsidR="00437050" w:rsidRPr="00645D73">
        <w:rPr>
          <w:rFonts w:ascii="Verdana" w:hAnsi="Verdana"/>
          <w:sz w:val="24"/>
          <w:szCs w:val="24"/>
        </w:rPr>
        <w:t>se ordene</w:t>
      </w:r>
      <w:r w:rsidR="006E4CB9" w:rsidRPr="00645D73">
        <w:rPr>
          <w:rFonts w:ascii="Verdana" w:hAnsi="Verdana"/>
          <w:sz w:val="24"/>
          <w:szCs w:val="24"/>
        </w:rPr>
        <w:t>: a)</w:t>
      </w:r>
      <w:r w:rsidR="00CC0B15" w:rsidRPr="00645D73">
        <w:rPr>
          <w:rFonts w:ascii="Verdana" w:hAnsi="Verdana"/>
          <w:sz w:val="24"/>
          <w:szCs w:val="24"/>
        </w:rPr>
        <w:t xml:space="preserve"> </w:t>
      </w:r>
      <w:r w:rsidR="008C390F" w:rsidRPr="00645D73">
        <w:rPr>
          <w:rFonts w:ascii="Verdana" w:hAnsi="Verdana"/>
          <w:sz w:val="24"/>
          <w:szCs w:val="24"/>
        </w:rPr>
        <w:t>al juzgado accionado</w:t>
      </w:r>
      <w:r w:rsidR="0063711B" w:rsidRPr="00645D73">
        <w:rPr>
          <w:rFonts w:ascii="Verdana" w:hAnsi="Verdana"/>
          <w:sz w:val="24"/>
          <w:szCs w:val="24"/>
        </w:rPr>
        <w:t xml:space="preserve"> </w:t>
      </w:r>
      <w:r w:rsidR="008C390F" w:rsidRPr="00645D73">
        <w:rPr>
          <w:rFonts w:ascii="Verdana" w:hAnsi="Verdana"/>
          <w:sz w:val="24"/>
          <w:szCs w:val="24"/>
        </w:rPr>
        <w:t xml:space="preserve">no dilatar </w:t>
      </w:r>
      <w:r w:rsidR="00C26349" w:rsidRPr="00645D73">
        <w:rPr>
          <w:rFonts w:ascii="Verdana" w:hAnsi="Verdana"/>
          <w:sz w:val="24"/>
          <w:szCs w:val="24"/>
        </w:rPr>
        <w:t>esa</w:t>
      </w:r>
      <w:r w:rsidR="00DC17C1">
        <w:rPr>
          <w:rFonts w:ascii="Verdana" w:hAnsi="Verdana"/>
          <w:sz w:val="24"/>
          <w:szCs w:val="24"/>
        </w:rPr>
        <w:t>s</w:t>
      </w:r>
      <w:r w:rsidR="00C26349" w:rsidRPr="00645D73">
        <w:rPr>
          <w:rFonts w:ascii="Verdana" w:hAnsi="Verdana"/>
          <w:sz w:val="24"/>
          <w:szCs w:val="24"/>
        </w:rPr>
        <w:t xml:space="preserve"> actuaci</w:t>
      </w:r>
      <w:r w:rsidR="00DC17C1">
        <w:rPr>
          <w:rFonts w:ascii="Verdana" w:hAnsi="Verdana"/>
          <w:sz w:val="24"/>
          <w:szCs w:val="24"/>
        </w:rPr>
        <w:t>ones</w:t>
      </w:r>
      <w:r w:rsidR="008C390F" w:rsidRPr="00645D73">
        <w:rPr>
          <w:rFonts w:ascii="Verdana" w:hAnsi="Verdana"/>
          <w:sz w:val="24"/>
          <w:szCs w:val="24"/>
        </w:rPr>
        <w:t xml:space="preserve">, aplicar el precedente de </w:t>
      </w:r>
      <w:r w:rsidR="00664C7C" w:rsidRPr="00645D73">
        <w:rPr>
          <w:rFonts w:ascii="Verdana" w:hAnsi="Verdana"/>
          <w:sz w:val="24"/>
          <w:szCs w:val="24"/>
        </w:rPr>
        <w:t>la Corte Suprema de Justicia</w:t>
      </w:r>
      <w:r w:rsidR="00C10626">
        <w:rPr>
          <w:rFonts w:ascii="Verdana" w:hAnsi="Verdana"/>
          <w:sz w:val="24"/>
          <w:szCs w:val="24"/>
        </w:rPr>
        <w:t xml:space="preserve">, aportar un listado </w:t>
      </w:r>
      <w:r w:rsidR="00E23115">
        <w:rPr>
          <w:rFonts w:ascii="Verdana" w:hAnsi="Verdana"/>
          <w:sz w:val="24"/>
          <w:szCs w:val="24"/>
        </w:rPr>
        <w:t>de todos los conflictos de competencia que ha suscitado desde el año 2015 e</w:t>
      </w:r>
      <w:r w:rsidR="00664C7C" w:rsidRPr="00645D73">
        <w:rPr>
          <w:rFonts w:ascii="Verdana" w:hAnsi="Verdana"/>
          <w:sz w:val="24"/>
          <w:szCs w:val="24"/>
        </w:rPr>
        <w:t xml:space="preserve"> </w:t>
      </w:r>
      <w:r w:rsidR="008C390F" w:rsidRPr="00645D73">
        <w:rPr>
          <w:rFonts w:ascii="Verdana" w:hAnsi="Verdana"/>
          <w:sz w:val="24"/>
          <w:szCs w:val="24"/>
        </w:rPr>
        <w:t>informar cuántas</w:t>
      </w:r>
      <w:r w:rsidR="00664C7C" w:rsidRPr="00645D73">
        <w:rPr>
          <w:rFonts w:ascii="Verdana" w:hAnsi="Verdana"/>
          <w:sz w:val="24"/>
          <w:szCs w:val="24"/>
        </w:rPr>
        <w:t xml:space="preserve"> acciones populares tramita</w:t>
      </w:r>
      <w:r w:rsidR="00086F0D" w:rsidRPr="00645D73">
        <w:rPr>
          <w:rFonts w:ascii="Verdana" w:hAnsi="Verdana"/>
          <w:sz w:val="24"/>
          <w:szCs w:val="24"/>
        </w:rPr>
        <w:t xml:space="preserve"> contra Bancolombia</w:t>
      </w:r>
      <w:r w:rsidR="00664C7C" w:rsidRPr="00645D73">
        <w:rPr>
          <w:rFonts w:ascii="Verdana" w:hAnsi="Verdana"/>
          <w:sz w:val="24"/>
          <w:szCs w:val="24"/>
        </w:rPr>
        <w:t xml:space="preserve">, por orden de esa Corporación, y </w:t>
      </w:r>
      <w:r w:rsidR="00E23115">
        <w:rPr>
          <w:rFonts w:ascii="Verdana" w:hAnsi="Verdana"/>
          <w:sz w:val="24"/>
          <w:szCs w:val="24"/>
        </w:rPr>
        <w:t>en qué norma se fundamenta para declarar su falta de competencia</w:t>
      </w:r>
      <w:r w:rsidR="00A03AAA" w:rsidRPr="00645D73">
        <w:rPr>
          <w:rFonts w:ascii="Verdana" w:hAnsi="Verdana"/>
          <w:sz w:val="24"/>
          <w:szCs w:val="24"/>
        </w:rPr>
        <w:t xml:space="preserve"> y</w:t>
      </w:r>
      <w:r w:rsidR="00113007" w:rsidRPr="00645D73">
        <w:rPr>
          <w:rFonts w:ascii="Verdana" w:hAnsi="Verdana"/>
          <w:sz w:val="24"/>
          <w:szCs w:val="24"/>
        </w:rPr>
        <w:t xml:space="preserve"> b)</w:t>
      </w:r>
      <w:r w:rsidR="00A03AAA" w:rsidRPr="00645D73">
        <w:rPr>
          <w:rFonts w:ascii="Verdana" w:hAnsi="Verdana"/>
          <w:sz w:val="24"/>
          <w:szCs w:val="24"/>
        </w:rPr>
        <w:t xml:space="preserve"> al Procurador </w:t>
      </w:r>
      <w:r w:rsidR="00AE50BC" w:rsidRPr="00645D73">
        <w:rPr>
          <w:rFonts w:ascii="Verdana" w:hAnsi="Verdana"/>
          <w:sz w:val="24"/>
          <w:szCs w:val="24"/>
        </w:rPr>
        <w:t xml:space="preserve">Judicial en Asuntos Civiles </w:t>
      </w:r>
      <w:r w:rsidR="00C26349" w:rsidRPr="00645D73">
        <w:rPr>
          <w:rFonts w:ascii="Verdana" w:hAnsi="Verdana"/>
          <w:sz w:val="24"/>
          <w:szCs w:val="24"/>
        </w:rPr>
        <w:t>pronunciarse</w:t>
      </w:r>
      <w:r w:rsidR="006E5B67" w:rsidRPr="00645D73">
        <w:rPr>
          <w:rFonts w:ascii="Verdana" w:hAnsi="Verdana"/>
          <w:sz w:val="24"/>
          <w:szCs w:val="24"/>
        </w:rPr>
        <w:t>.</w:t>
      </w:r>
    </w:p>
    <w:p w:rsidR="00181C17" w:rsidRPr="00645D73" w:rsidRDefault="00181C17" w:rsidP="00EC4367">
      <w:pPr>
        <w:spacing w:line="360" w:lineRule="auto"/>
        <w:jc w:val="both"/>
        <w:rPr>
          <w:rFonts w:ascii="Verdana" w:hAnsi="Verdana"/>
          <w:b/>
          <w:sz w:val="24"/>
          <w:szCs w:val="24"/>
        </w:rPr>
      </w:pPr>
      <w:r w:rsidRPr="00645D73">
        <w:rPr>
          <w:rFonts w:ascii="Verdana" w:hAnsi="Verdana"/>
          <w:b/>
          <w:sz w:val="24"/>
          <w:szCs w:val="24"/>
        </w:rPr>
        <w:t xml:space="preserve">ACTUACIÓN </w:t>
      </w:r>
      <w:r w:rsidR="00D12834" w:rsidRPr="00645D73">
        <w:rPr>
          <w:rFonts w:ascii="Verdana" w:hAnsi="Verdana"/>
          <w:b/>
          <w:sz w:val="24"/>
          <w:szCs w:val="24"/>
        </w:rPr>
        <w:t xml:space="preserve"> </w:t>
      </w:r>
      <w:r w:rsidRPr="00645D73">
        <w:rPr>
          <w:rFonts w:ascii="Verdana" w:hAnsi="Verdana"/>
          <w:b/>
          <w:sz w:val="24"/>
          <w:szCs w:val="24"/>
        </w:rPr>
        <w:t>PROCESAL</w:t>
      </w:r>
    </w:p>
    <w:p w:rsidR="00181C17" w:rsidRPr="0013419B" w:rsidRDefault="00181C17" w:rsidP="00EC4367">
      <w:pPr>
        <w:spacing w:line="360" w:lineRule="auto"/>
        <w:jc w:val="both"/>
        <w:rPr>
          <w:rFonts w:ascii="Verdana" w:hAnsi="Verdana"/>
          <w:sz w:val="23"/>
          <w:szCs w:val="23"/>
        </w:rPr>
      </w:pP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 xml:space="preserve">1. </w:t>
      </w:r>
      <w:r w:rsidR="00FE603B" w:rsidRPr="00645D73">
        <w:rPr>
          <w:rFonts w:ascii="Verdana" w:hAnsi="Verdana"/>
          <w:sz w:val="24"/>
          <w:szCs w:val="24"/>
        </w:rPr>
        <w:t xml:space="preserve">Mediante proveído del </w:t>
      </w:r>
      <w:r w:rsidR="000629C5" w:rsidRPr="00645D73">
        <w:rPr>
          <w:rFonts w:ascii="Verdana" w:hAnsi="Verdana"/>
          <w:sz w:val="24"/>
          <w:szCs w:val="24"/>
        </w:rPr>
        <w:t>pasado 2</w:t>
      </w:r>
      <w:r w:rsidR="00351A83" w:rsidRPr="00645D73">
        <w:rPr>
          <w:rFonts w:ascii="Verdana" w:hAnsi="Verdana"/>
          <w:sz w:val="24"/>
          <w:szCs w:val="24"/>
        </w:rPr>
        <w:t>8</w:t>
      </w:r>
      <w:r w:rsidR="001D4B77" w:rsidRPr="00645D73">
        <w:rPr>
          <w:rFonts w:ascii="Verdana" w:hAnsi="Verdana"/>
          <w:sz w:val="24"/>
          <w:szCs w:val="24"/>
        </w:rPr>
        <w:t xml:space="preserve"> de </w:t>
      </w:r>
      <w:r w:rsidR="000629C5" w:rsidRPr="00645D73">
        <w:rPr>
          <w:rFonts w:ascii="Verdana" w:hAnsi="Verdana"/>
          <w:sz w:val="24"/>
          <w:szCs w:val="24"/>
        </w:rPr>
        <w:t>mayo</w:t>
      </w:r>
      <w:r w:rsidR="000A5EE9">
        <w:rPr>
          <w:rFonts w:ascii="Verdana" w:hAnsi="Verdana"/>
          <w:sz w:val="24"/>
          <w:szCs w:val="24"/>
        </w:rPr>
        <w:t xml:space="preserve"> se admitieron en trámite acumulado</w:t>
      </w:r>
      <w:r w:rsidR="001D4B77" w:rsidRPr="00645D73">
        <w:rPr>
          <w:rFonts w:ascii="Verdana" w:hAnsi="Verdana"/>
          <w:sz w:val="24"/>
          <w:szCs w:val="24"/>
        </w:rPr>
        <w:t xml:space="preserve"> la</w:t>
      </w:r>
      <w:r w:rsidR="000A5EE9">
        <w:rPr>
          <w:rFonts w:ascii="Verdana" w:hAnsi="Verdana"/>
          <w:sz w:val="24"/>
          <w:szCs w:val="24"/>
        </w:rPr>
        <w:t>s acciones</w:t>
      </w:r>
      <w:r w:rsidRPr="00645D73">
        <w:rPr>
          <w:rFonts w:ascii="Verdana" w:hAnsi="Verdana"/>
          <w:sz w:val="24"/>
          <w:szCs w:val="24"/>
        </w:rPr>
        <w:t xml:space="preserve"> de tutela y se ordenó vincular a la Alcaldía de</w:t>
      </w:r>
      <w:r w:rsidR="000629C5" w:rsidRPr="00645D73">
        <w:rPr>
          <w:rFonts w:ascii="Verdana" w:hAnsi="Verdana"/>
          <w:sz w:val="24"/>
          <w:szCs w:val="24"/>
        </w:rPr>
        <w:t xml:space="preserve"> Pereira</w:t>
      </w:r>
      <w:r w:rsidRPr="00645D73">
        <w:rPr>
          <w:rFonts w:ascii="Verdana" w:hAnsi="Verdana"/>
          <w:sz w:val="24"/>
          <w:szCs w:val="24"/>
        </w:rPr>
        <w:t>, al Procurador y al Defensor del Pueblo, ambos de la Regional Risaralda. No se ordenó hacerlo respecto de la</w:t>
      </w:r>
      <w:r w:rsidR="000A5EE9">
        <w:rPr>
          <w:rFonts w:ascii="Verdana" w:hAnsi="Verdana"/>
          <w:sz w:val="24"/>
          <w:szCs w:val="24"/>
        </w:rPr>
        <w:t>s</w:t>
      </w:r>
      <w:r w:rsidR="00E17DAF" w:rsidRPr="00645D73">
        <w:rPr>
          <w:rFonts w:ascii="Verdana" w:hAnsi="Verdana"/>
          <w:sz w:val="24"/>
          <w:szCs w:val="24"/>
        </w:rPr>
        <w:t xml:space="preserve"> entidad</w:t>
      </w:r>
      <w:r w:rsidR="000A5EE9">
        <w:rPr>
          <w:rFonts w:ascii="Verdana" w:hAnsi="Verdana"/>
          <w:sz w:val="24"/>
          <w:szCs w:val="24"/>
        </w:rPr>
        <w:t>es</w:t>
      </w:r>
      <w:r w:rsidR="00E17DAF" w:rsidRPr="00645D73">
        <w:rPr>
          <w:rFonts w:ascii="Verdana" w:hAnsi="Verdana"/>
          <w:sz w:val="24"/>
          <w:szCs w:val="24"/>
        </w:rPr>
        <w:t xml:space="preserve"> accionada</w:t>
      </w:r>
      <w:r w:rsidR="000A5EE9">
        <w:rPr>
          <w:rFonts w:ascii="Verdana" w:hAnsi="Verdana"/>
          <w:sz w:val="24"/>
          <w:szCs w:val="24"/>
        </w:rPr>
        <w:t>s</w:t>
      </w:r>
      <w:r w:rsidRPr="00645D73">
        <w:rPr>
          <w:rFonts w:ascii="Verdana" w:hAnsi="Verdana"/>
          <w:sz w:val="24"/>
          <w:szCs w:val="24"/>
        </w:rPr>
        <w:t xml:space="preserve"> en </w:t>
      </w:r>
      <w:r w:rsidR="000A5EE9">
        <w:rPr>
          <w:rFonts w:ascii="Verdana" w:hAnsi="Verdana"/>
          <w:sz w:val="24"/>
          <w:szCs w:val="24"/>
        </w:rPr>
        <w:t>los</w:t>
      </w:r>
      <w:r w:rsidR="00E17DAF" w:rsidRPr="00645D73">
        <w:rPr>
          <w:rFonts w:ascii="Verdana" w:hAnsi="Verdana"/>
          <w:sz w:val="24"/>
          <w:szCs w:val="24"/>
        </w:rPr>
        <w:t xml:space="preserve"> proceso</w:t>
      </w:r>
      <w:r w:rsidR="000A5EE9">
        <w:rPr>
          <w:rFonts w:ascii="Verdana" w:hAnsi="Verdana"/>
          <w:sz w:val="24"/>
          <w:szCs w:val="24"/>
        </w:rPr>
        <w:t>s</w:t>
      </w:r>
      <w:r w:rsidRPr="00645D73">
        <w:rPr>
          <w:rFonts w:ascii="Verdana" w:hAnsi="Verdana"/>
          <w:sz w:val="24"/>
          <w:szCs w:val="24"/>
        </w:rPr>
        <w:t xml:space="preserve"> en </w:t>
      </w:r>
      <w:r w:rsidR="000A5EE9">
        <w:rPr>
          <w:rFonts w:ascii="Verdana" w:hAnsi="Verdana"/>
          <w:sz w:val="24"/>
          <w:szCs w:val="24"/>
        </w:rPr>
        <w:t>los</w:t>
      </w:r>
      <w:r w:rsidRPr="00645D73">
        <w:rPr>
          <w:rFonts w:ascii="Verdana" w:hAnsi="Verdana"/>
          <w:sz w:val="24"/>
          <w:szCs w:val="24"/>
        </w:rPr>
        <w:t xml:space="preserve"> que encuentra el actor vulnerados sus derechos, porque </w:t>
      </w:r>
      <w:r w:rsidR="00E17DAF" w:rsidRPr="00645D73">
        <w:rPr>
          <w:rFonts w:ascii="Verdana" w:hAnsi="Verdana"/>
          <w:sz w:val="24"/>
          <w:szCs w:val="24"/>
        </w:rPr>
        <w:t>no ha</w:t>
      </w:r>
      <w:r w:rsidR="000A5EE9">
        <w:rPr>
          <w:rFonts w:ascii="Verdana" w:hAnsi="Verdana"/>
          <w:sz w:val="24"/>
          <w:szCs w:val="24"/>
        </w:rPr>
        <w:t>n</w:t>
      </w:r>
      <w:r w:rsidR="00E17DAF" w:rsidRPr="00645D73">
        <w:rPr>
          <w:rFonts w:ascii="Verdana" w:hAnsi="Verdana"/>
          <w:sz w:val="24"/>
          <w:szCs w:val="24"/>
        </w:rPr>
        <w:t xml:space="preserve"> concurrido a esa</w:t>
      </w:r>
      <w:r w:rsidR="000A5EE9">
        <w:rPr>
          <w:rFonts w:ascii="Verdana" w:hAnsi="Verdana"/>
          <w:sz w:val="24"/>
          <w:szCs w:val="24"/>
        </w:rPr>
        <w:t>s</w:t>
      </w:r>
      <w:r w:rsidR="00E17DAF" w:rsidRPr="00645D73">
        <w:rPr>
          <w:rFonts w:ascii="Verdana" w:hAnsi="Verdana"/>
          <w:sz w:val="24"/>
          <w:szCs w:val="24"/>
        </w:rPr>
        <w:t xml:space="preserve"> </w:t>
      </w:r>
      <w:r w:rsidR="00165808" w:rsidRPr="00645D73">
        <w:rPr>
          <w:rFonts w:ascii="Verdana" w:hAnsi="Verdana"/>
          <w:sz w:val="24"/>
          <w:szCs w:val="24"/>
        </w:rPr>
        <w:t>actuacion</w:t>
      </w:r>
      <w:r w:rsidR="00165808">
        <w:rPr>
          <w:rFonts w:ascii="Verdana" w:hAnsi="Verdana"/>
          <w:sz w:val="24"/>
          <w:szCs w:val="24"/>
        </w:rPr>
        <w:t>es</w:t>
      </w:r>
      <w:r w:rsidRPr="00645D73">
        <w:rPr>
          <w:rFonts w:ascii="Verdana" w:hAnsi="Verdana"/>
          <w:sz w:val="24"/>
          <w:szCs w:val="24"/>
        </w:rPr>
        <w:t>.</w:t>
      </w:r>
    </w:p>
    <w:p w:rsidR="00181C17" w:rsidRPr="0013419B" w:rsidRDefault="00181C17" w:rsidP="00EC4367">
      <w:pPr>
        <w:spacing w:line="360" w:lineRule="auto"/>
        <w:jc w:val="both"/>
        <w:rPr>
          <w:rFonts w:ascii="Verdana" w:hAnsi="Verdana"/>
          <w:sz w:val="23"/>
          <w:szCs w:val="23"/>
        </w:rPr>
      </w:pPr>
      <w:r w:rsidRPr="0013419B">
        <w:rPr>
          <w:rFonts w:ascii="Verdana" w:hAnsi="Verdana"/>
          <w:sz w:val="23"/>
          <w:szCs w:val="23"/>
        </w:rPr>
        <w:t xml:space="preserve"> </w:t>
      </w:r>
    </w:p>
    <w:p w:rsidR="00181C17" w:rsidRPr="00645D73" w:rsidRDefault="00181C17" w:rsidP="00EC4367">
      <w:pPr>
        <w:spacing w:line="360" w:lineRule="auto"/>
        <w:jc w:val="both"/>
        <w:rPr>
          <w:rFonts w:ascii="Verdana" w:hAnsi="Verdana"/>
          <w:sz w:val="24"/>
          <w:szCs w:val="24"/>
          <w:lang w:val="es-ES"/>
        </w:rPr>
      </w:pPr>
      <w:r w:rsidRPr="00645D73">
        <w:rPr>
          <w:rFonts w:ascii="Verdana" w:hAnsi="Verdana"/>
          <w:sz w:val="24"/>
          <w:szCs w:val="24"/>
          <w:lang w:val="es-ES"/>
        </w:rPr>
        <w:t>2. En el curso de esta instancia, se produjeron los siguientes pronunciamientos:</w:t>
      </w:r>
    </w:p>
    <w:p w:rsidR="00181C17" w:rsidRPr="0013419B" w:rsidRDefault="00181C17" w:rsidP="00EC4367">
      <w:pPr>
        <w:spacing w:line="360" w:lineRule="auto"/>
        <w:jc w:val="both"/>
        <w:rPr>
          <w:rFonts w:ascii="Verdana" w:hAnsi="Verdana"/>
          <w:sz w:val="23"/>
          <w:szCs w:val="23"/>
          <w:lang w:val="es-ES"/>
        </w:rPr>
      </w:pPr>
    </w:p>
    <w:p w:rsidR="00A75FDC" w:rsidRPr="00645D73" w:rsidRDefault="004C2FBB" w:rsidP="00EC4367">
      <w:pPr>
        <w:spacing w:line="360" w:lineRule="auto"/>
        <w:jc w:val="both"/>
        <w:rPr>
          <w:rFonts w:ascii="Verdana" w:hAnsi="Verdana"/>
          <w:sz w:val="24"/>
          <w:szCs w:val="24"/>
          <w:lang w:val="es-ES"/>
        </w:rPr>
      </w:pPr>
      <w:r w:rsidRPr="00645D73">
        <w:rPr>
          <w:rFonts w:ascii="Verdana" w:hAnsi="Verdana"/>
          <w:sz w:val="24"/>
          <w:szCs w:val="24"/>
          <w:lang w:val="es-ES"/>
        </w:rPr>
        <w:t xml:space="preserve">2.1 </w:t>
      </w:r>
      <w:r w:rsidR="00A75FDC" w:rsidRPr="00645D73">
        <w:rPr>
          <w:rFonts w:ascii="Verdana" w:hAnsi="Verdana"/>
          <w:sz w:val="24"/>
          <w:szCs w:val="24"/>
          <w:lang w:val="es-ES"/>
        </w:rPr>
        <w:t xml:space="preserve">El Procurador Regional de Risaralda señaló que a esa Agencia del Ministerio Público se han comunicado los autos que admiten las respectivas acciones populares y como consecuencia de ello han </w:t>
      </w:r>
      <w:r w:rsidR="00A75FDC" w:rsidRPr="00645D73">
        <w:rPr>
          <w:rFonts w:ascii="Verdana" w:hAnsi="Verdana"/>
          <w:sz w:val="24"/>
          <w:szCs w:val="24"/>
          <w:lang w:val="es-ES"/>
        </w:rPr>
        <w:lastRenderedPageBreak/>
        <w:t>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A75FDC" w:rsidRPr="0013419B" w:rsidRDefault="00A75FDC" w:rsidP="00EC4367">
      <w:pPr>
        <w:spacing w:line="360" w:lineRule="auto"/>
        <w:jc w:val="both"/>
        <w:rPr>
          <w:rFonts w:ascii="Verdana" w:hAnsi="Verdana"/>
          <w:sz w:val="23"/>
          <w:szCs w:val="23"/>
          <w:lang w:val="es-ES"/>
        </w:rPr>
      </w:pPr>
    </w:p>
    <w:p w:rsidR="000B5F85" w:rsidRPr="00645D73" w:rsidRDefault="007A35DC" w:rsidP="00EC4367">
      <w:pPr>
        <w:spacing w:line="360" w:lineRule="auto"/>
        <w:jc w:val="both"/>
        <w:rPr>
          <w:rFonts w:ascii="Verdana" w:hAnsi="Verdana"/>
          <w:sz w:val="24"/>
          <w:szCs w:val="24"/>
          <w:lang w:val="es-ES"/>
        </w:rPr>
      </w:pPr>
      <w:r w:rsidRPr="00645D73">
        <w:rPr>
          <w:rFonts w:ascii="Verdana" w:hAnsi="Verdana"/>
          <w:sz w:val="24"/>
          <w:szCs w:val="24"/>
          <w:lang w:val="es-ES"/>
        </w:rPr>
        <w:t>2.2 El Alcalde del Municipio de Pereira, por medio de apoderada, alegó que es ajeno a la actuación desplegada en el Juzgado accionado y propuso como excepción la de falta de legitimación en la causa por pasiva.</w:t>
      </w:r>
    </w:p>
    <w:p w:rsidR="004C2FBB" w:rsidRPr="0013419B" w:rsidRDefault="004C2FBB" w:rsidP="00EC4367">
      <w:pPr>
        <w:spacing w:line="360" w:lineRule="auto"/>
        <w:jc w:val="both"/>
        <w:rPr>
          <w:rFonts w:ascii="Verdana" w:hAnsi="Verdana"/>
          <w:sz w:val="23"/>
          <w:szCs w:val="23"/>
        </w:rPr>
      </w:pPr>
    </w:p>
    <w:p w:rsidR="00181C17" w:rsidRPr="00645D73" w:rsidRDefault="007A35DC" w:rsidP="00EC4367">
      <w:pPr>
        <w:spacing w:line="360" w:lineRule="auto"/>
        <w:jc w:val="both"/>
        <w:rPr>
          <w:rFonts w:ascii="Verdana" w:hAnsi="Verdana"/>
          <w:sz w:val="24"/>
          <w:szCs w:val="24"/>
        </w:rPr>
      </w:pPr>
      <w:r w:rsidRPr="00645D73">
        <w:rPr>
          <w:rFonts w:ascii="Verdana" w:hAnsi="Verdana"/>
          <w:sz w:val="24"/>
          <w:szCs w:val="24"/>
        </w:rPr>
        <w:t>2.3</w:t>
      </w:r>
      <w:r w:rsidR="00181C17" w:rsidRPr="00645D73">
        <w:rPr>
          <w:rFonts w:ascii="Verdana" w:hAnsi="Verdana"/>
          <w:sz w:val="24"/>
          <w:szCs w:val="24"/>
        </w:rPr>
        <w:t xml:space="preserve"> </w:t>
      </w:r>
      <w:r w:rsidR="005366F5" w:rsidRPr="00645D73">
        <w:rPr>
          <w:rFonts w:ascii="Verdana" w:hAnsi="Verdana"/>
          <w:sz w:val="24"/>
          <w:szCs w:val="24"/>
        </w:rPr>
        <w:t>Los accionados</w:t>
      </w:r>
      <w:r w:rsidR="000B5F85" w:rsidRPr="00645D73">
        <w:rPr>
          <w:rFonts w:ascii="Verdana" w:hAnsi="Verdana"/>
          <w:sz w:val="24"/>
          <w:szCs w:val="24"/>
        </w:rPr>
        <w:t xml:space="preserve"> </w:t>
      </w:r>
      <w:r w:rsidR="004C2FBB" w:rsidRPr="00645D73">
        <w:rPr>
          <w:rFonts w:ascii="Verdana" w:hAnsi="Verdana"/>
          <w:sz w:val="24"/>
          <w:szCs w:val="24"/>
        </w:rPr>
        <w:t xml:space="preserve">y </w:t>
      </w:r>
      <w:r w:rsidR="000B5F85" w:rsidRPr="00645D73">
        <w:rPr>
          <w:rFonts w:ascii="Verdana" w:hAnsi="Verdana"/>
          <w:sz w:val="24"/>
          <w:szCs w:val="24"/>
        </w:rPr>
        <w:t>la Defensoría del Pueblo</w:t>
      </w:r>
      <w:r w:rsidR="00181C17" w:rsidRPr="00645D73">
        <w:rPr>
          <w:rFonts w:ascii="Verdana" w:hAnsi="Verdana"/>
          <w:sz w:val="24"/>
          <w:szCs w:val="24"/>
        </w:rPr>
        <w:t xml:space="preserve"> guardaron silencio.</w:t>
      </w:r>
    </w:p>
    <w:p w:rsidR="004C2FBB" w:rsidRPr="0013419B" w:rsidRDefault="004C2FBB" w:rsidP="00EC4367">
      <w:pPr>
        <w:spacing w:line="360" w:lineRule="auto"/>
        <w:jc w:val="both"/>
        <w:rPr>
          <w:rFonts w:ascii="Verdana" w:hAnsi="Verdana"/>
          <w:b/>
          <w:sz w:val="23"/>
          <w:szCs w:val="23"/>
        </w:rPr>
      </w:pPr>
    </w:p>
    <w:p w:rsidR="00181C17" w:rsidRPr="00645D73" w:rsidRDefault="00181C17" w:rsidP="00EC4367">
      <w:pPr>
        <w:spacing w:line="360" w:lineRule="auto"/>
        <w:jc w:val="both"/>
        <w:rPr>
          <w:rFonts w:ascii="Verdana" w:hAnsi="Verdana"/>
          <w:b/>
          <w:sz w:val="24"/>
          <w:szCs w:val="24"/>
        </w:rPr>
      </w:pPr>
      <w:r w:rsidRPr="00645D73">
        <w:rPr>
          <w:rFonts w:ascii="Verdana" w:hAnsi="Verdana"/>
          <w:b/>
          <w:sz w:val="24"/>
          <w:szCs w:val="24"/>
        </w:rPr>
        <w:t xml:space="preserve">C O N S I D E R A C I O N E S </w:t>
      </w:r>
    </w:p>
    <w:p w:rsidR="00181C17" w:rsidRPr="0013419B" w:rsidRDefault="00181C17" w:rsidP="00EC4367">
      <w:pPr>
        <w:spacing w:line="360" w:lineRule="auto"/>
        <w:jc w:val="both"/>
        <w:rPr>
          <w:rFonts w:ascii="Verdana" w:hAnsi="Verdana"/>
          <w:sz w:val="23"/>
          <w:szCs w:val="23"/>
        </w:rPr>
      </w:pPr>
    </w:p>
    <w:p w:rsidR="0013419B" w:rsidRDefault="00181C17" w:rsidP="00EC4367">
      <w:pPr>
        <w:spacing w:line="360" w:lineRule="auto"/>
        <w:jc w:val="both"/>
        <w:rPr>
          <w:rFonts w:ascii="Verdana" w:hAnsi="Verdana"/>
          <w:sz w:val="24"/>
          <w:szCs w:val="24"/>
        </w:rPr>
      </w:pPr>
      <w:r w:rsidRPr="00645D73">
        <w:rPr>
          <w:rFonts w:ascii="Verdana" w:hAnsi="Verdana"/>
          <w:sz w:val="24"/>
          <w:szCs w:val="24"/>
        </w:rPr>
        <w:t xml:space="preserve">1. La acción de tutela, consagrada en el artículo 86 de la Constitución </w:t>
      </w: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Nacional, otorga a toda persona la facultad para reclamar ante</w:t>
      </w:r>
      <w:r w:rsidR="00B40D82" w:rsidRPr="00645D73">
        <w:rPr>
          <w:rFonts w:ascii="Verdana" w:hAnsi="Verdana"/>
          <w:sz w:val="24"/>
          <w:szCs w:val="24"/>
        </w:rPr>
        <w:t xml:space="preserve"> </w:t>
      </w:r>
      <w:r w:rsidRPr="00645D73">
        <w:rPr>
          <w:rFonts w:ascii="Verdana" w:hAnsi="Verdana"/>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645D73" w:rsidRDefault="00181C17"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1332A" w:rsidRPr="00645D73" w:rsidRDefault="00F1332A"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45D73">
        <w:rPr>
          <w:rFonts w:ascii="Verdana" w:hAnsi="Verdana"/>
          <w:sz w:val="24"/>
          <w:szCs w:val="24"/>
        </w:rPr>
        <w:t>2. El problema jurídico que debe resolver la Sala, es determinar si procede la acción de tutela contra la</w:t>
      </w:r>
      <w:r w:rsidR="000F7E0B">
        <w:rPr>
          <w:rFonts w:ascii="Verdana" w:hAnsi="Verdana"/>
          <w:sz w:val="24"/>
          <w:szCs w:val="24"/>
        </w:rPr>
        <w:t>s decisiones</w:t>
      </w:r>
      <w:r w:rsidRPr="00645D73">
        <w:rPr>
          <w:rFonts w:ascii="Verdana" w:hAnsi="Verdana"/>
          <w:sz w:val="24"/>
          <w:szCs w:val="24"/>
        </w:rPr>
        <w:t xml:space="preserve"> por medio de</w:t>
      </w:r>
      <w:r w:rsidR="00EF4CEB" w:rsidRPr="00645D73">
        <w:rPr>
          <w:rFonts w:ascii="Verdana" w:hAnsi="Verdana"/>
          <w:sz w:val="24"/>
          <w:szCs w:val="24"/>
        </w:rPr>
        <w:t xml:space="preserve"> </w:t>
      </w:r>
      <w:r w:rsidR="000B4CD6" w:rsidRPr="00645D73">
        <w:rPr>
          <w:rFonts w:ascii="Verdana" w:hAnsi="Verdana"/>
          <w:sz w:val="24"/>
          <w:szCs w:val="24"/>
        </w:rPr>
        <w:t>la</w:t>
      </w:r>
      <w:r w:rsidR="000F7E0B">
        <w:rPr>
          <w:rFonts w:ascii="Verdana" w:hAnsi="Verdana"/>
          <w:sz w:val="24"/>
          <w:szCs w:val="24"/>
        </w:rPr>
        <w:t>s</w:t>
      </w:r>
      <w:r w:rsidR="000B4CD6" w:rsidRPr="00645D73">
        <w:rPr>
          <w:rFonts w:ascii="Verdana" w:hAnsi="Verdana"/>
          <w:sz w:val="24"/>
          <w:szCs w:val="24"/>
        </w:rPr>
        <w:t xml:space="preserve"> cual</w:t>
      </w:r>
      <w:r w:rsidR="000F7E0B">
        <w:rPr>
          <w:rFonts w:ascii="Verdana" w:hAnsi="Verdana"/>
          <w:sz w:val="24"/>
          <w:szCs w:val="24"/>
        </w:rPr>
        <w:t>es</w:t>
      </w:r>
      <w:r w:rsidRPr="00645D73">
        <w:rPr>
          <w:rFonts w:ascii="Verdana" w:hAnsi="Verdana"/>
          <w:sz w:val="24"/>
          <w:szCs w:val="24"/>
        </w:rPr>
        <w:t xml:space="preserve"> </w:t>
      </w:r>
      <w:r w:rsidR="000B4CD6" w:rsidRPr="00645D73">
        <w:rPr>
          <w:rFonts w:ascii="Verdana" w:hAnsi="Verdana"/>
          <w:sz w:val="24"/>
          <w:szCs w:val="24"/>
        </w:rPr>
        <w:t>el juzgado accionado rechazó la</w:t>
      </w:r>
      <w:r w:rsidR="000F7E0B">
        <w:rPr>
          <w:rFonts w:ascii="Verdana" w:hAnsi="Verdana"/>
          <w:sz w:val="24"/>
          <w:szCs w:val="24"/>
        </w:rPr>
        <w:t xml:space="preserve">s </w:t>
      </w:r>
      <w:r w:rsidR="0013419B">
        <w:rPr>
          <w:rFonts w:ascii="Verdana" w:hAnsi="Verdana"/>
          <w:sz w:val="24"/>
          <w:szCs w:val="24"/>
        </w:rPr>
        <w:t>demandas</w:t>
      </w:r>
      <w:r w:rsidR="000B4CD6" w:rsidRPr="00645D73">
        <w:rPr>
          <w:rFonts w:ascii="Verdana" w:hAnsi="Verdana"/>
          <w:sz w:val="24"/>
          <w:szCs w:val="24"/>
        </w:rPr>
        <w:t xml:space="preserve"> popular</w:t>
      </w:r>
      <w:r w:rsidR="000F7E0B">
        <w:rPr>
          <w:rFonts w:ascii="Verdana" w:hAnsi="Verdana"/>
          <w:sz w:val="24"/>
          <w:szCs w:val="24"/>
        </w:rPr>
        <w:t>es</w:t>
      </w:r>
      <w:r w:rsidR="000B4CD6" w:rsidRPr="00645D73">
        <w:rPr>
          <w:rFonts w:ascii="Verdana" w:hAnsi="Verdana"/>
          <w:sz w:val="24"/>
          <w:szCs w:val="24"/>
        </w:rPr>
        <w:t xml:space="preserve"> promovida</w:t>
      </w:r>
      <w:r w:rsidR="000F7E0B">
        <w:rPr>
          <w:rFonts w:ascii="Verdana" w:hAnsi="Verdana"/>
          <w:sz w:val="24"/>
          <w:szCs w:val="24"/>
        </w:rPr>
        <w:t>s</w:t>
      </w:r>
      <w:r w:rsidRPr="00645D73">
        <w:rPr>
          <w:rFonts w:ascii="Verdana" w:hAnsi="Verdana"/>
          <w:sz w:val="24"/>
          <w:szCs w:val="24"/>
        </w:rPr>
        <w:t xml:space="preserve"> por el actor. De serlo se establecerá si en esa actuación se incurrió en la lesión de derechos fundamentales invocada.</w:t>
      </w:r>
    </w:p>
    <w:p w:rsidR="00181C17" w:rsidRPr="00645D73" w:rsidRDefault="00181C17"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81C17" w:rsidRPr="00645D73" w:rsidRDefault="00181C17" w:rsidP="00EC43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45D73">
        <w:rPr>
          <w:rFonts w:ascii="Verdana" w:hAnsi="Verdana"/>
          <w:sz w:val="24"/>
          <w:szCs w:val="24"/>
        </w:rPr>
        <w:lastRenderedPageBreak/>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645D73">
        <w:rPr>
          <w:rFonts w:ascii="Verdana" w:hAnsi="Verdana"/>
          <w:sz w:val="24"/>
          <w:szCs w:val="24"/>
        </w:rPr>
        <w:t>a</w:t>
      </w:r>
      <w:r w:rsidR="00EC4367" w:rsidRPr="00645D73">
        <w:rPr>
          <w:rFonts w:ascii="Verdana" w:hAnsi="Verdana"/>
          <w:sz w:val="24"/>
          <w:szCs w:val="24"/>
        </w:rPr>
        <w:t xml:space="preserve"> </w:t>
      </w:r>
      <w:r w:rsidRPr="00645D73">
        <w:rPr>
          <w:rFonts w:ascii="Verdana" w:hAnsi="Verdana"/>
          <w:sz w:val="24"/>
          <w:szCs w:val="24"/>
        </w:rPr>
        <w:t xml:space="preserve">esa clase de decisiones. </w:t>
      </w:r>
    </w:p>
    <w:p w:rsidR="00181C17" w:rsidRPr="00645D73" w:rsidRDefault="00181C17" w:rsidP="00EC4367">
      <w:pPr>
        <w:tabs>
          <w:tab w:val="left" w:pos="-720"/>
          <w:tab w:val="left" w:pos="-567"/>
          <w:tab w:val="left" w:pos="8222"/>
          <w:tab w:val="left" w:pos="8364"/>
        </w:tabs>
        <w:spacing w:line="360" w:lineRule="auto"/>
        <w:jc w:val="both"/>
        <w:rPr>
          <w:rFonts w:ascii="Verdana" w:hAnsi="Verdana"/>
          <w:sz w:val="24"/>
          <w:szCs w:val="24"/>
        </w:rPr>
      </w:pPr>
    </w:p>
    <w:p w:rsidR="00181C17" w:rsidRPr="00645D73" w:rsidRDefault="00181C17" w:rsidP="00EC4367">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645D73">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645D73">
        <w:rPr>
          <w:rStyle w:val="apple-converted-space"/>
          <w:rFonts w:ascii="Verdana" w:hAnsi="Verdana"/>
          <w:sz w:val="24"/>
          <w:szCs w:val="24"/>
          <w:shd w:val="clear" w:color="auto" w:fill="FFFFFF"/>
        </w:rPr>
        <w:t> “</w:t>
      </w:r>
      <w:r w:rsidRPr="00645D73">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645D73">
        <w:rPr>
          <w:rStyle w:val="apple-converted-space"/>
          <w:rFonts w:ascii="Verdana" w:hAnsi="Verdana"/>
          <w:sz w:val="24"/>
          <w:szCs w:val="24"/>
          <w:shd w:val="clear" w:color="auto" w:fill="FFFFFF"/>
        </w:rPr>
        <w:t>”</w:t>
      </w:r>
      <w:r w:rsidRPr="00645D73">
        <w:rPr>
          <w:rStyle w:val="Refdenotaalpie"/>
          <w:rFonts w:ascii="Verdana" w:hAnsi="Verdana"/>
          <w:sz w:val="24"/>
          <w:szCs w:val="24"/>
          <w:shd w:val="clear" w:color="auto" w:fill="FFFFFF"/>
        </w:rPr>
        <w:footnoteReference w:id="1"/>
      </w:r>
      <w:r w:rsidRPr="00645D73">
        <w:rPr>
          <w:rFonts w:ascii="Verdana" w:hAnsi="Verdana"/>
          <w:sz w:val="24"/>
          <w:szCs w:val="24"/>
        </w:rPr>
        <w:t>.</w:t>
      </w:r>
    </w:p>
    <w:p w:rsidR="00181C17" w:rsidRPr="00645D73" w:rsidRDefault="00181C17" w:rsidP="00EC4367">
      <w:pPr>
        <w:tabs>
          <w:tab w:val="left" w:pos="-720"/>
          <w:tab w:val="left" w:pos="-567"/>
          <w:tab w:val="left" w:pos="8222"/>
          <w:tab w:val="left" w:pos="8364"/>
        </w:tabs>
        <w:spacing w:line="360" w:lineRule="auto"/>
        <w:jc w:val="both"/>
        <w:rPr>
          <w:rFonts w:ascii="Verdana" w:hAnsi="Verdana"/>
          <w:i/>
          <w:sz w:val="24"/>
          <w:szCs w:val="24"/>
        </w:rPr>
      </w:pPr>
    </w:p>
    <w:p w:rsidR="00181C17" w:rsidRPr="00645D73" w:rsidRDefault="00181C17" w:rsidP="00EC4367">
      <w:pPr>
        <w:tabs>
          <w:tab w:val="left" w:pos="-720"/>
          <w:tab w:val="left" w:pos="-567"/>
          <w:tab w:val="left" w:pos="8222"/>
          <w:tab w:val="left" w:pos="8364"/>
        </w:tabs>
        <w:spacing w:line="360" w:lineRule="auto"/>
        <w:jc w:val="both"/>
        <w:rPr>
          <w:rFonts w:ascii="Verdana" w:hAnsi="Verdana"/>
          <w:i/>
          <w:sz w:val="24"/>
          <w:szCs w:val="24"/>
        </w:rPr>
      </w:pPr>
      <w:r w:rsidRPr="00645D73">
        <w:rPr>
          <w:rFonts w:ascii="Verdana" w:hAnsi="Verdana"/>
          <w:sz w:val="24"/>
          <w:szCs w:val="24"/>
          <w:lang w:val="es-ES"/>
        </w:rPr>
        <w:t>Superado ese primer análisis, la Corte ha identificado como causales específicas de procedencia de la acción, las siguientes</w:t>
      </w:r>
      <w:r w:rsidRPr="00645D73">
        <w:rPr>
          <w:rFonts w:ascii="Verdana" w:hAnsi="Verdana"/>
          <w:i/>
          <w:sz w:val="24"/>
          <w:szCs w:val="24"/>
          <w:lang w:val="es-ES"/>
        </w:rPr>
        <w:t>: “</w:t>
      </w:r>
      <w:r w:rsidRPr="00645D73">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w:t>
      </w:r>
      <w:r w:rsidRPr="00645D73">
        <w:rPr>
          <w:rFonts w:ascii="Verdana" w:hAnsi="Verdana"/>
          <w:i/>
          <w:sz w:val="24"/>
          <w:szCs w:val="24"/>
        </w:rPr>
        <w:lastRenderedPageBreak/>
        <w:t>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645D73">
        <w:rPr>
          <w:rFonts w:ascii="Verdana" w:hAnsi="Verdana"/>
          <w:i/>
          <w:sz w:val="24"/>
          <w:szCs w:val="24"/>
          <w:vertAlign w:val="superscript"/>
        </w:rPr>
        <w:footnoteReference w:id="2"/>
      </w:r>
      <w:r w:rsidRPr="00645D73">
        <w:rPr>
          <w:rFonts w:ascii="Verdana" w:hAnsi="Verdana"/>
          <w:i/>
          <w:sz w:val="24"/>
          <w:szCs w:val="24"/>
        </w:rPr>
        <w:t xml:space="preserve">. </w:t>
      </w:r>
    </w:p>
    <w:p w:rsidR="000F7E0B" w:rsidRDefault="000F7E0B" w:rsidP="00EC4367">
      <w:pPr>
        <w:spacing w:line="360" w:lineRule="auto"/>
        <w:jc w:val="both"/>
        <w:rPr>
          <w:rFonts w:ascii="Verdana" w:hAnsi="Verdana"/>
          <w:sz w:val="24"/>
          <w:szCs w:val="24"/>
        </w:rPr>
      </w:pP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 xml:space="preserve">4. Las pruebas documentales allegadas en el proceso y que obran en este cuaderno, acreditan que el Juzgado </w:t>
      </w:r>
      <w:r w:rsidR="004147C6" w:rsidRPr="00645D73">
        <w:rPr>
          <w:rFonts w:ascii="Verdana" w:hAnsi="Verdana"/>
          <w:sz w:val="24"/>
          <w:szCs w:val="24"/>
          <w:lang w:val="es-CO"/>
        </w:rPr>
        <w:t>Tercero</w:t>
      </w:r>
      <w:r w:rsidR="0003510F" w:rsidRPr="00645D73">
        <w:rPr>
          <w:rFonts w:ascii="Verdana" w:hAnsi="Verdana"/>
          <w:sz w:val="24"/>
          <w:szCs w:val="24"/>
          <w:lang w:val="es-CO"/>
        </w:rPr>
        <w:t xml:space="preserve"> Civil</w:t>
      </w:r>
      <w:r w:rsidRPr="00645D73">
        <w:rPr>
          <w:rFonts w:ascii="Verdana" w:hAnsi="Verdana"/>
          <w:sz w:val="24"/>
          <w:szCs w:val="24"/>
          <w:lang w:val="es-CO"/>
        </w:rPr>
        <w:t xml:space="preserve"> del Circuito de </w:t>
      </w:r>
      <w:r w:rsidR="0003510F" w:rsidRPr="00645D73">
        <w:rPr>
          <w:rFonts w:ascii="Verdana" w:hAnsi="Verdana"/>
          <w:sz w:val="24"/>
          <w:szCs w:val="24"/>
          <w:lang w:val="es-CO"/>
        </w:rPr>
        <w:t>Pereira</w:t>
      </w:r>
      <w:r w:rsidRPr="00645D73">
        <w:rPr>
          <w:rFonts w:ascii="Verdana" w:hAnsi="Verdana"/>
          <w:sz w:val="24"/>
          <w:szCs w:val="24"/>
          <w:lang w:val="es-CO"/>
        </w:rPr>
        <w:t>, por</w:t>
      </w:r>
      <w:r w:rsidR="00F63663" w:rsidRPr="00645D73">
        <w:rPr>
          <w:rFonts w:ascii="Verdana" w:hAnsi="Verdana"/>
          <w:sz w:val="24"/>
          <w:szCs w:val="24"/>
        </w:rPr>
        <w:t xml:space="preserve"> auto del 24</w:t>
      </w:r>
      <w:r w:rsidRPr="00645D73">
        <w:rPr>
          <w:rFonts w:ascii="Verdana" w:hAnsi="Verdana"/>
          <w:sz w:val="24"/>
          <w:szCs w:val="24"/>
        </w:rPr>
        <w:t xml:space="preserve"> de</w:t>
      </w:r>
      <w:r w:rsidR="004147C6" w:rsidRPr="00645D73">
        <w:rPr>
          <w:rFonts w:ascii="Verdana" w:hAnsi="Verdana"/>
          <w:sz w:val="24"/>
          <w:szCs w:val="24"/>
        </w:rPr>
        <w:t xml:space="preserve"> mayo último</w:t>
      </w:r>
      <w:r w:rsidRPr="00645D73">
        <w:rPr>
          <w:rFonts w:ascii="Verdana" w:hAnsi="Verdana"/>
          <w:sz w:val="24"/>
          <w:szCs w:val="24"/>
        </w:rPr>
        <w:t>, decidió rechazar, por falta</w:t>
      </w:r>
      <w:r w:rsidR="009F0468" w:rsidRPr="00645D73">
        <w:rPr>
          <w:rFonts w:ascii="Verdana" w:hAnsi="Verdana"/>
          <w:sz w:val="24"/>
          <w:szCs w:val="24"/>
        </w:rPr>
        <w:t xml:space="preserve"> de competencia, la</w:t>
      </w:r>
      <w:r w:rsidR="0086602A">
        <w:rPr>
          <w:rFonts w:ascii="Verdana" w:hAnsi="Verdana"/>
          <w:sz w:val="24"/>
          <w:szCs w:val="24"/>
        </w:rPr>
        <w:t>s acciones</w:t>
      </w:r>
      <w:r w:rsidR="009F0468" w:rsidRPr="00645D73">
        <w:rPr>
          <w:rFonts w:ascii="Verdana" w:hAnsi="Verdana"/>
          <w:sz w:val="24"/>
          <w:szCs w:val="24"/>
        </w:rPr>
        <w:t xml:space="preserve"> popular</w:t>
      </w:r>
      <w:r w:rsidR="0086602A">
        <w:rPr>
          <w:rFonts w:ascii="Verdana" w:hAnsi="Verdana"/>
          <w:sz w:val="24"/>
          <w:szCs w:val="24"/>
        </w:rPr>
        <w:t>es</w:t>
      </w:r>
      <w:r w:rsidR="009F0468" w:rsidRPr="00645D73">
        <w:rPr>
          <w:rFonts w:ascii="Verdana" w:hAnsi="Verdana"/>
          <w:sz w:val="24"/>
          <w:szCs w:val="24"/>
        </w:rPr>
        <w:t xml:space="preserve"> </w:t>
      </w:r>
      <w:r w:rsidR="004147C6" w:rsidRPr="00645D73">
        <w:rPr>
          <w:rFonts w:ascii="Verdana" w:hAnsi="Verdana"/>
          <w:sz w:val="24"/>
          <w:szCs w:val="24"/>
        </w:rPr>
        <w:t>radicada</w:t>
      </w:r>
      <w:r w:rsidR="0086602A">
        <w:rPr>
          <w:rFonts w:ascii="Verdana" w:hAnsi="Verdana"/>
          <w:sz w:val="24"/>
          <w:szCs w:val="24"/>
        </w:rPr>
        <w:t>s con los</w:t>
      </w:r>
      <w:r w:rsidR="004147C6" w:rsidRPr="00645D73">
        <w:rPr>
          <w:rFonts w:ascii="Verdana" w:hAnsi="Verdana"/>
          <w:sz w:val="24"/>
          <w:szCs w:val="24"/>
        </w:rPr>
        <w:t xml:space="preserve"> número</w:t>
      </w:r>
      <w:r w:rsidR="0086602A">
        <w:rPr>
          <w:rFonts w:ascii="Verdana" w:hAnsi="Verdana"/>
          <w:sz w:val="24"/>
          <w:szCs w:val="24"/>
        </w:rPr>
        <w:t>s 2018-00108</w:t>
      </w:r>
      <w:r w:rsidRPr="00645D73">
        <w:rPr>
          <w:rStyle w:val="Refdenotaalpie"/>
          <w:rFonts w:ascii="Verdana" w:hAnsi="Verdana"/>
          <w:sz w:val="24"/>
          <w:szCs w:val="24"/>
        </w:rPr>
        <w:footnoteReference w:id="3"/>
      </w:r>
      <w:r w:rsidR="0086602A">
        <w:rPr>
          <w:rFonts w:ascii="Verdana" w:hAnsi="Verdana"/>
          <w:sz w:val="24"/>
          <w:szCs w:val="24"/>
        </w:rPr>
        <w:t xml:space="preserve"> y 2018-00106</w:t>
      </w:r>
      <w:r w:rsidR="0086602A" w:rsidRPr="00645D73">
        <w:rPr>
          <w:rStyle w:val="Refdenotaalpie"/>
          <w:rFonts w:ascii="Verdana" w:hAnsi="Verdana"/>
          <w:sz w:val="24"/>
          <w:szCs w:val="24"/>
        </w:rPr>
        <w:footnoteReference w:id="4"/>
      </w:r>
      <w:r w:rsidR="009F0468" w:rsidRPr="00645D73">
        <w:rPr>
          <w:rFonts w:ascii="Verdana" w:hAnsi="Verdana"/>
          <w:sz w:val="24"/>
          <w:szCs w:val="24"/>
        </w:rPr>
        <w:t>, instaurada</w:t>
      </w:r>
      <w:r w:rsidR="00222053">
        <w:rPr>
          <w:rFonts w:ascii="Verdana" w:hAnsi="Verdana"/>
          <w:sz w:val="24"/>
          <w:szCs w:val="24"/>
        </w:rPr>
        <w:t>s</w:t>
      </w:r>
      <w:r w:rsidRPr="00645D73">
        <w:rPr>
          <w:rFonts w:ascii="Verdana" w:hAnsi="Verdana"/>
          <w:sz w:val="24"/>
          <w:szCs w:val="24"/>
        </w:rPr>
        <w:t xml:space="preserve"> por el actor, y ordenó su remisión al reparto de los Juece</w:t>
      </w:r>
      <w:r w:rsidR="004147C6" w:rsidRPr="00645D73">
        <w:rPr>
          <w:rFonts w:ascii="Verdana" w:hAnsi="Verdana"/>
          <w:sz w:val="24"/>
          <w:szCs w:val="24"/>
        </w:rPr>
        <w:t>s Civiles del Circuito de Medellín</w:t>
      </w:r>
      <w:r w:rsidRPr="00645D73">
        <w:rPr>
          <w:rFonts w:ascii="Verdana" w:hAnsi="Verdana"/>
          <w:sz w:val="24"/>
          <w:szCs w:val="24"/>
        </w:rPr>
        <w:t>.</w:t>
      </w:r>
    </w:p>
    <w:p w:rsidR="00181C17" w:rsidRPr="00645D73" w:rsidRDefault="00181C17" w:rsidP="00EC4367">
      <w:pPr>
        <w:spacing w:line="360" w:lineRule="auto"/>
        <w:jc w:val="both"/>
        <w:rPr>
          <w:rFonts w:ascii="Verdana" w:hAnsi="Verdana"/>
          <w:sz w:val="24"/>
          <w:szCs w:val="24"/>
        </w:rPr>
      </w:pP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lastRenderedPageBreak/>
        <w:t>5. Surge de lo anterior, que en este caso concreto no se satisfacen todos los presupuestos de procedencia de la acción de tutela a que se refiere la primera jurisprudencia transcrita, concretamente el segundo.</w:t>
      </w:r>
    </w:p>
    <w:p w:rsidR="00181C17" w:rsidRPr="00645D73" w:rsidRDefault="00181C17" w:rsidP="00EC4367">
      <w:pPr>
        <w:spacing w:line="360" w:lineRule="auto"/>
        <w:jc w:val="both"/>
        <w:rPr>
          <w:rFonts w:ascii="Verdana" w:hAnsi="Verdana"/>
          <w:sz w:val="24"/>
          <w:szCs w:val="24"/>
        </w:rPr>
      </w:pPr>
    </w:p>
    <w:p w:rsidR="00181C17" w:rsidRPr="00645D73" w:rsidRDefault="00181C17" w:rsidP="00EC4367">
      <w:pPr>
        <w:spacing w:line="360" w:lineRule="auto"/>
        <w:jc w:val="both"/>
        <w:rPr>
          <w:rFonts w:ascii="Verdana" w:hAnsi="Verdana"/>
          <w:i/>
          <w:sz w:val="24"/>
          <w:szCs w:val="24"/>
        </w:rPr>
      </w:pPr>
      <w:r w:rsidRPr="00645D73">
        <w:rPr>
          <w:rFonts w:ascii="Verdana" w:hAnsi="Verdana"/>
          <w:sz w:val="24"/>
          <w:szCs w:val="24"/>
        </w:rPr>
        <w:t>En efecto, si los Juzgados Civiles del Circuito d</w:t>
      </w:r>
      <w:r w:rsidR="00F74C84" w:rsidRPr="00645D73">
        <w:rPr>
          <w:rFonts w:ascii="Verdana" w:hAnsi="Verdana"/>
          <w:sz w:val="24"/>
          <w:szCs w:val="24"/>
        </w:rPr>
        <w:t xml:space="preserve">e </w:t>
      </w:r>
      <w:r w:rsidR="00306AE3" w:rsidRPr="00645D73">
        <w:rPr>
          <w:rFonts w:ascii="Verdana" w:hAnsi="Verdana"/>
          <w:sz w:val="24"/>
          <w:szCs w:val="24"/>
        </w:rPr>
        <w:t>Medellín</w:t>
      </w:r>
      <w:r w:rsidR="00F74C84" w:rsidRPr="00645D73">
        <w:rPr>
          <w:rFonts w:ascii="Verdana" w:hAnsi="Verdana"/>
          <w:sz w:val="24"/>
          <w:szCs w:val="24"/>
        </w:rPr>
        <w:t>, a los que corresponda</w:t>
      </w:r>
      <w:r w:rsidR="00222053">
        <w:rPr>
          <w:rFonts w:ascii="Verdana" w:hAnsi="Verdana"/>
          <w:sz w:val="24"/>
          <w:szCs w:val="24"/>
        </w:rPr>
        <w:t>n</w:t>
      </w:r>
      <w:r w:rsidR="00F74C84" w:rsidRPr="00645D73">
        <w:rPr>
          <w:rFonts w:ascii="Verdana" w:hAnsi="Verdana"/>
          <w:sz w:val="24"/>
          <w:szCs w:val="24"/>
          <w:lang w:val="es-CO"/>
        </w:rPr>
        <w:t xml:space="preserve"> la</w:t>
      </w:r>
      <w:r w:rsidR="00222053">
        <w:rPr>
          <w:rFonts w:ascii="Verdana" w:hAnsi="Verdana"/>
          <w:sz w:val="24"/>
          <w:szCs w:val="24"/>
          <w:lang w:val="es-CO"/>
        </w:rPr>
        <w:t>s acciones</w:t>
      </w:r>
      <w:r w:rsidR="00F74C84" w:rsidRPr="00645D73">
        <w:rPr>
          <w:rFonts w:ascii="Verdana" w:hAnsi="Verdana"/>
          <w:sz w:val="24"/>
          <w:szCs w:val="24"/>
          <w:lang w:val="es-CO"/>
        </w:rPr>
        <w:t xml:space="preserve"> popular</w:t>
      </w:r>
      <w:r w:rsidR="00222053">
        <w:rPr>
          <w:rFonts w:ascii="Verdana" w:hAnsi="Verdana"/>
          <w:sz w:val="24"/>
          <w:szCs w:val="24"/>
          <w:lang w:val="es-CO"/>
        </w:rPr>
        <w:t>es</w:t>
      </w:r>
      <w:r w:rsidR="00F74C84" w:rsidRPr="00645D73">
        <w:rPr>
          <w:rFonts w:ascii="Verdana" w:hAnsi="Verdana"/>
          <w:sz w:val="24"/>
          <w:szCs w:val="24"/>
          <w:lang w:val="es-CO"/>
        </w:rPr>
        <w:t xml:space="preserve"> remitida</w:t>
      </w:r>
      <w:r w:rsidR="00222053">
        <w:rPr>
          <w:rFonts w:ascii="Verdana" w:hAnsi="Verdana"/>
          <w:sz w:val="24"/>
          <w:szCs w:val="24"/>
          <w:lang w:val="es-CO"/>
        </w:rPr>
        <w:t>s</w:t>
      </w:r>
      <w:r w:rsidRPr="00645D73">
        <w:rPr>
          <w:rFonts w:ascii="Verdana" w:hAnsi="Verdana"/>
          <w:sz w:val="24"/>
          <w:szCs w:val="24"/>
          <w:lang w:val="es-CO"/>
        </w:rPr>
        <w:t xml:space="preserve">, </w:t>
      </w:r>
      <w:r w:rsidRPr="00645D73">
        <w:rPr>
          <w:rFonts w:ascii="Verdana" w:hAnsi="Verdana"/>
          <w:sz w:val="24"/>
          <w:szCs w:val="24"/>
        </w:rPr>
        <w:t>no</w:t>
      </w:r>
      <w:r w:rsidRPr="00645D73">
        <w:rPr>
          <w:rFonts w:ascii="Verdana" w:hAnsi="Verdana"/>
          <w:sz w:val="24"/>
          <w:szCs w:val="24"/>
          <w:lang w:val="es-CO"/>
        </w:rPr>
        <w:t xml:space="preserve"> han adoptado aún alguna </w:t>
      </w:r>
      <w:r w:rsidRPr="00645D73">
        <w:rPr>
          <w:rFonts w:ascii="Verdana" w:hAnsi="Verdana"/>
          <w:sz w:val="24"/>
          <w:szCs w:val="24"/>
        </w:rPr>
        <w:t>determinación,</w:t>
      </w:r>
      <w:r w:rsidRPr="00645D73">
        <w:rPr>
          <w:rFonts w:ascii="Verdana" w:hAnsi="Verdana"/>
          <w:sz w:val="24"/>
          <w:szCs w:val="24"/>
          <w:lang w:val="es-CO"/>
        </w:rPr>
        <w:t xml:space="preserve"> el amparo constitucional solicitado se tornaría prematuro, pues toda</w:t>
      </w:r>
      <w:r w:rsidRPr="00645D73">
        <w:rPr>
          <w:rFonts w:ascii="Verdana" w:hAnsi="Verdana"/>
          <w:sz w:val="24"/>
          <w:szCs w:val="24"/>
        </w:rPr>
        <w:t xml:space="preserve">vía estaría </w:t>
      </w:r>
      <w:r w:rsidRPr="00645D73">
        <w:rPr>
          <w:rFonts w:ascii="Verdana" w:hAnsi="Verdana"/>
          <w:sz w:val="24"/>
          <w:szCs w:val="24"/>
          <w:lang w:val="es-CO"/>
        </w:rPr>
        <w:t xml:space="preserve">por </w:t>
      </w:r>
      <w:r w:rsidRPr="00645D73">
        <w:rPr>
          <w:rFonts w:ascii="Verdana" w:hAnsi="Verdana"/>
          <w:sz w:val="24"/>
          <w:szCs w:val="24"/>
        </w:rPr>
        <w:t>definirse lo relativo a la competencia,</w:t>
      </w:r>
      <w:r w:rsidRPr="00645D73">
        <w:rPr>
          <w:rFonts w:ascii="Verdana" w:hAnsi="Verdana"/>
          <w:sz w:val="24"/>
          <w:szCs w:val="24"/>
          <w:lang w:val="es-CO"/>
        </w:rPr>
        <w:t xml:space="preserve"> en razón a que </w:t>
      </w:r>
      <w:r w:rsidRPr="00645D73">
        <w:rPr>
          <w:rFonts w:ascii="Verdana" w:hAnsi="Verdana"/>
          <w:sz w:val="24"/>
          <w:szCs w:val="24"/>
        </w:rPr>
        <w:t xml:space="preserve">al recibir </w:t>
      </w:r>
      <w:r w:rsidR="00222053">
        <w:rPr>
          <w:rFonts w:ascii="Verdana" w:hAnsi="Verdana"/>
          <w:sz w:val="24"/>
          <w:szCs w:val="24"/>
          <w:lang w:val="es-CO"/>
        </w:rPr>
        <w:t>los</w:t>
      </w:r>
      <w:r w:rsidRPr="00645D73">
        <w:rPr>
          <w:rFonts w:ascii="Verdana" w:hAnsi="Verdana"/>
          <w:sz w:val="24"/>
          <w:szCs w:val="24"/>
          <w:lang w:val="es-CO"/>
        </w:rPr>
        <w:t xml:space="preserve"> expediente</w:t>
      </w:r>
      <w:r w:rsidR="00222053">
        <w:rPr>
          <w:rFonts w:ascii="Verdana" w:hAnsi="Verdana"/>
          <w:sz w:val="24"/>
          <w:szCs w:val="24"/>
          <w:lang w:val="es-CO"/>
        </w:rPr>
        <w:t>s</w:t>
      </w:r>
      <w:r w:rsidRPr="00645D73">
        <w:rPr>
          <w:rFonts w:ascii="Verdana" w:hAnsi="Verdana"/>
          <w:sz w:val="24"/>
          <w:szCs w:val="24"/>
        </w:rPr>
        <w:t xml:space="preserve">, </w:t>
      </w:r>
      <w:r w:rsidRPr="00645D73">
        <w:rPr>
          <w:rFonts w:ascii="Verdana" w:hAnsi="Verdana"/>
          <w:sz w:val="24"/>
          <w:szCs w:val="24"/>
          <w:lang w:val="es-CO"/>
        </w:rPr>
        <w:t xml:space="preserve">tendrían </w:t>
      </w:r>
      <w:r w:rsidRPr="00645D73">
        <w:rPr>
          <w:rFonts w:ascii="Verdana" w:hAnsi="Verdana"/>
          <w:sz w:val="24"/>
          <w:szCs w:val="24"/>
        </w:rPr>
        <w:t>la opción de asumirla</w:t>
      </w:r>
      <w:r w:rsidR="00222053">
        <w:rPr>
          <w:rFonts w:ascii="Verdana" w:hAnsi="Verdana"/>
          <w:sz w:val="24"/>
          <w:szCs w:val="24"/>
        </w:rPr>
        <w:t>s</w:t>
      </w:r>
      <w:r w:rsidRPr="00645D73">
        <w:rPr>
          <w:rFonts w:ascii="Verdana" w:hAnsi="Verdana"/>
          <w:sz w:val="24"/>
          <w:szCs w:val="24"/>
        </w:rPr>
        <w:t xml:space="preserve"> o, en caso contrario, generar </w:t>
      </w:r>
      <w:r w:rsidRPr="00645D73">
        <w:rPr>
          <w:rFonts w:ascii="Verdana" w:hAnsi="Verdana"/>
          <w:sz w:val="24"/>
          <w:szCs w:val="24"/>
          <w:lang w:val="es-CO"/>
        </w:rPr>
        <w:t>el</w:t>
      </w:r>
      <w:r w:rsidRPr="00645D73">
        <w:rPr>
          <w:rFonts w:ascii="Verdana" w:hAnsi="Verdana"/>
          <w:sz w:val="24"/>
          <w:szCs w:val="24"/>
        </w:rPr>
        <w:t xml:space="preserve"> conflicto correspondiente, que dirimiría la Sala de Casación Civil de la Corte Suprema de Justicia</w:t>
      </w:r>
      <w:r w:rsidRPr="00645D73">
        <w:rPr>
          <w:rFonts w:ascii="Verdana" w:hAnsi="Verdana"/>
          <w:sz w:val="24"/>
          <w:szCs w:val="24"/>
          <w:lang w:val="es-CO"/>
        </w:rPr>
        <w:t xml:space="preserve"> de acuerdo con el </w:t>
      </w:r>
      <w:r w:rsidRPr="00645D73">
        <w:rPr>
          <w:rFonts w:ascii="Verdana" w:hAnsi="Verdana"/>
          <w:sz w:val="24"/>
          <w:szCs w:val="24"/>
        </w:rPr>
        <w:t xml:space="preserve">artículo 139 del Código General del Proceso que dice en lo pertinente: </w:t>
      </w:r>
      <w:r w:rsidRPr="00645D73">
        <w:rPr>
          <w:rFonts w:ascii="Verdana" w:hAnsi="Verdana"/>
          <w:i/>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645D73">
        <w:rPr>
          <w:rFonts w:ascii="Verdana" w:hAnsi="Verdana"/>
          <w:sz w:val="24"/>
          <w:szCs w:val="24"/>
          <w:lang w:val="es-CO"/>
        </w:rPr>
        <w:t>.</w:t>
      </w: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4C7EB8" w:rsidRDefault="00181C17" w:rsidP="00EC4367">
      <w:pPr>
        <w:spacing w:line="360" w:lineRule="auto"/>
        <w:jc w:val="both"/>
        <w:rPr>
          <w:rFonts w:ascii="Verdana" w:hAnsi="Verdana"/>
          <w:sz w:val="26"/>
          <w:szCs w:val="26"/>
        </w:rPr>
      </w:pP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Por tanto, la tutela resulta improcedente pues no puede ser empleada como mecanismo para decidir lo relacionad</w:t>
      </w:r>
      <w:r w:rsidR="00DC7DBE" w:rsidRPr="00645D73">
        <w:rPr>
          <w:rFonts w:ascii="Verdana" w:hAnsi="Verdana"/>
          <w:sz w:val="24"/>
          <w:szCs w:val="24"/>
        </w:rPr>
        <w:t xml:space="preserve">o con la admisión de la </w:t>
      </w:r>
      <w:r w:rsidR="00DC7DBE" w:rsidRPr="00645D73">
        <w:rPr>
          <w:rFonts w:ascii="Verdana" w:hAnsi="Verdana"/>
          <w:sz w:val="24"/>
          <w:szCs w:val="24"/>
        </w:rPr>
        <w:lastRenderedPageBreak/>
        <w:t>acción popular</w:t>
      </w:r>
      <w:r w:rsidRPr="00645D73">
        <w:rPr>
          <w:rFonts w:ascii="Verdana" w:hAnsi="Verdana"/>
          <w:sz w:val="24"/>
          <w:szCs w:val="24"/>
        </w:rPr>
        <w:t>. Para ese efecto, primero es necesario agotar la vía judicial ordinaria en la que se defina la competencia territorial para conocer de esos procesos. En consecuencia, en la forma indicada se decidirá la cuestión.</w:t>
      </w:r>
    </w:p>
    <w:p w:rsidR="00181C17" w:rsidRPr="004C7EB8" w:rsidRDefault="00181C17" w:rsidP="00EC4367">
      <w:pPr>
        <w:spacing w:line="360" w:lineRule="auto"/>
        <w:jc w:val="both"/>
        <w:rPr>
          <w:rFonts w:ascii="Verdana" w:hAnsi="Verdana"/>
          <w:sz w:val="26"/>
          <w:szCs w:val="26"/>
        </w:rPr>
      </w:pP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 xml:space="preserve">6. </w:t>
      </w:r>
      <w:r w:rsidR="000B35BE" w:rsidRPr="00645D73">
        <w:rPr>
          <w:rFonts w:ascii="Verdana" w:hAnsi="Verdana"/>
          <w:sz w:val="24"/>
          <w:szCs w:val="24"/>
        </w:rPr>
        <w:t>Improcedentes también resultan</w:t>
      </w:r>
      <w:r w:rsidRPr="00645D73">
        <w:rPr>
          <w:rFonts w:ascii="Verdana" w:hAnsi="Verdana"/>
          <w:sz w:val="24"/>
          <w:szCs w:val="24"/>
        </w:rPr>
        <w:t xml:space="preserve"> la</w:t>
      </w:r>
      <w:r w:rsidR="00EA2691" w:rsidRPr="00645D73">
        <w:rPr>
          <w:rFonts w:ascii="Verdana" w:hAnsi="Verdana"/>
          <w:sz w:val="24"/>
          <w:szCs w:val="24"/>
        </w:rPr>
        <w:t>s</w:t>
      </w:r>
      <w:r w:rsidR="006659F2" w:rsidRPr="00645D73">
        <w:rPr>
          <w:rFonts w:ascii="Verdana" w:hAnsi="Verdana"/>
          <w:sz w:val="24"/>
          <w:szCs w:val="24"/>
        </w:rPr>
        <w:t xml:space="preserve"> solicitudes tendiente</w:t>
      </w:r>
      <w:r w:rsidR="00A91367" w:rsidRPr="00645D73">
        <w:rPr>
          <w:rFonts w:ascii="Verdana" w:hAnsi="Verdana"/>
          <w:sz w:val="24"/>
          <w:szCs w:val="24"/>
        </w:rPr>
        <w:t>s</w:t>
      </w:r>
      <w:r w:rsidR="006659F2" w:rsidRPr="00645D73">
        <w:rPr>
          <w:rFonts w:ascii="Verdana" w:hAnsi="Verdana"/>
          <w:sz w:val="24"/>
          <w:szCs w:val="24"/>
        </w:rPr>
        <w:t xml:space="preserve"> a ordenar: a) </w:t>
      </w:r>
      <w:r w:rsidR="00E71911" w:rsidRPr="00E71911">
        <w:rPr>
          <w:rFonts w:ascii="Verdana" w:hAnsi="Verdana"/>
          <w:sz w:val="24"/>
          <w:szCs w:val="24"/>
        </w:rPr>
        <w:t>al juzgado accionado no dilatar</w:t>
      </w:r>
      <w:r w:rsidR="00165808">
        <w:rPr>
          <w:rFonts w:ascii="Verdana" w:hAnsi="Verdana"/>
          <w:sz w:val="24"/>
          <w:szCs w:val="24"/>
        </w:rPr>
        <w:t xml:space="preserve"> los procesos</w:t>
      </w:r>
      <w:r w:rsidR="00E71911" w:rsidRPr="00E71911">
        <w:rPr>
          <w:rFonts w:ascii="Verdana" w:hAnsi="Verdana"/>
          <w:sz w:val="24"/>
          <w:szCs w:val="24"/>
        </w:rPr>
        <w:t xml:space="preserve">, aplicar el precedente de la Corte Suprema de Justicia, aportar un listado de los conflictos de competencia que ha </w:t>
      </w:r>
      <w:r w:rsidR="00165808">
        <w:rPr>
          <w:rFonts w:ascii="Verdana" w:hAnsi="Verdana"/>
          <w:sz w:val="24"/>
          <w:szCs w:val="24"/>
        </w:rPr>
        <w:t>generado</w:t>
      </w:r>
      <w:r w:rsidR="00E71911" w:rsidRPr="00E71911">
        <w:rPr>
          <w:rFonts w:ascii="Verdana" w:hAnsi="Verdana"/>
          <w:sz w:val="24"/>
          <w:szCs w:val="24"/>
        </w:rPr>
        <w:t xml:space="preserve"> desde el año 2015 e informar cuántas acciones populares tramita contra Bancolombia, por orden de esa Corporación, y en qué norma se fundamenta para declarar su falta de competencia</w:t>
      </w:r>
      <w:r w:rsidR="00306AE3" w:rsidRPr="00645D73">
        <w:rPr>
          <w:rFonts w:ascii="Verdana" w:hAnsi="Verdana"/>
          <w:sz w:val="24"/>
          <w:szCs w:val="24"/>
        </w:rPr>
        <w:t xml:space="preserve"> y b) al Procurador Judicial en Asuntos Civiles pronunciarse</w:t>
      </w:r>
      <w:r w:rsidRPr="00645D73">
        <w:rPr>
          <w:rFonts w:ascii="Verdana" w:hAnsi="Verdana"/>
          <w:sz w:val="24"/>
          <w:szCs w:val="24"/>
        </w:rPr>
        <w:t>, ya que la acción de amparo está concebida para proteger derechos fundamentales concretos y no para elevar esa clase de solicitudes.</w:t>
      </w:r>
    </w:p>
    <w:p w:rsidR="00395DF4" w:rsidRPr="004C7EB8" w:rsidRDefault="00181C17" w:rsidP="00EC4367">
      <w:pPr>
        <w:spacing w:line="360" w:lineRule="auto"/>
        <w:jc w:val="both"/>
        <w:rPr>
          <w:rFonts w:ascii="Verdana" w:hAnsi="Verdana"/>
          <w:sz w:val="26"/>
          <w:szCs w:val="26"/>
        </w:rPr>
      </w:pPr>
      <w:r w:rsidRPr="004C7EB8">
        <w:rPr>
          <w:rFonts w:ascii="Verdana" w:hAnsi="Verdana"/>
          <w:sz w:val="26"/>
          <w:szCs w:val="26"/>
        </w:rPr>
        <w:t xml:space="preserve"> </w:t>
      </w:r>
    </w:p>
    <w:p w:rsidR="00181C17" w:rsidRPr="00645D73" w:rsidRDefault="00181C17" w:rsidP="00EC4367">
      <w:pPr>
        <w:spacing w:line="360" w:lineRule="auto"/>
        <w:jc w:val="both"/>
        <w:rPr>
          <w:rFonts w:ascii="Verdana" w:hAnsi="Verdana"/>
          <w:sz w:val="24"/>
          <w:szCs w:val="24"/>
        </w:rPr>
      </w:pPr>
      <w:r w:rsidRPr="00645D73">
        <w:rPr>
          <w:rFonts w:ascii="Verdana" w:hAnsi="Verdana"/>
          <w:sz w:val="24"/>
          <w:szCs w:val="24"/>
        </w:rPr>
        <w:t>En mérito de lo expuesto, la Sala Civil Familia del Tribunal Superior de Pereira, Risaralda, administrando justicia en nombre de la República y por autoridad de la ley,</w:t>
      </w:r>
    </w:p>
    <w:p w:rsidR="00181C17" w:rsidRPr="00645D73" w:rsidRDefault="00181C17" w:rsidP="00EC4367">
      <w:pPr>
        <w:spacing w:line="360" w:lineRule="auto"/>
        <w:ind w:right="51"/>
        <w:jc w:val="both"/>
        <w:rPr>
          <w:rFonts w:ascii="Verdana" w:hAnsi="Verdana"/>
          <w:b/>
          <w:sz w:val="24"/>
          <w:szCs w:val="24"/>
        </w:rPr>
      </w:pPr>
      <w:r w:rsidRPr="00645D73">
        <w:rPr>
          <w:rFonts w:ascii="Verdana" w:hAnsi="Verdana"/>
          <w:b/>
          <w:sz w:val="24"/>
          <w:szCs w:val="24"/>
        </w:rPr>
        <w:t>R E S U E L V E :</w:t>
      </w:r>
    </w:p>
    <w:p w:rsidR="00181C17" w:rsidRPr="00645D73" w:rsidRDefault="00181C17" w:rsidP="00EC4367">
      <w:pPr>
        <w:spacing w:line="360" w:lineRule="auto"/>
        <w:jc w:val="both"/>
        <w:rPr>
          <w:rFonts w:ascii="Verdana" w:hAnsi="Verdana"/>
          <w:sz w:val="24"/>
          <w:szCs w:val="24"/>
        </w:rPr>
      </w:pPr>
    </w:p>
    <w:p w:rsidR="00165808" w:rsidRPr="00645D73" w:rsidRDefault="00181C17" w:rsidP="00165808">
      <w:pPr>
        <w:spacing w:line="360" w:lineRule="auto"/>
        <w:jc w:val="both"/>
        <w:rPr>
          <w:rFonts w:ascii="Verdana" w:hAnsi="Verdana"/>
          <w:sz w:val="24"/>
          <w:szCs w:val="24"/>
        </w:rPr>
      </w:pPr>
      <w:r w:rsidRPr="00645D73">
        <w:rPr>
          <w:rFonts w:ascii="Verdana" w:hAnsi="Verdana"/>
          <w:b/>
          <w:sz w:val="24"/>
          <w:szCs w:val="24"/>
        </w:rPr>
        <w:t>PRIMERO.</w:t>
      </w:r>
      <w:r w:rsidR="008747CC" w:rsidRPr="00645D73">
        <w:rPr>
          <w:rFonts w:ascii="Verdana" w:hAnsi="Verdana"/>
          <w:sz w:val="24"/>
          <w:szCs w:val="24"/>
        </w:rPr>
        <w:t xml:space="preserve"> Se declara</w:t>
      </w:r>
      <w:r w:rsidR="00165808">
        <w:rPr>
          <w:rFonts w:ascii="Verdana" w:hAnsi="Verdana"/>
          <w:sz w:val="24"/>
          <w:szCs w:val="24"/>
        </w:rPr>
        <w:t>n</w:t>
      </w:r>
      <w:r w:rsidR="008747CC" w:rsidRPr="00645D73">
        <w:rPr>
          <w:rFonts w:ascii="Verdana" w:hAnsi="Verdana"/>
          <w:sz w:val="24"/>
          <w:szCs w:val="24"/>
        </w:rPr>
        <w:t xml:space="preserve"> improcedente</w:t>
      </w:r>
      <w:r w:rsidR="00165808">
        <w:rPr>
          <w:rFonts w:ascii="Verdana" w:hAnsi="Verdana"/>
          <w:sz w:val="24"/>
          <w:szCs w:val="24"/>
        </w:rPr>
        <w:t>s</w:t>
      </w:r>
      <w:r w:rsidR="008747CC" w:rsidRPr="00645D73">
        <w:rPr>
          <w:rFonts w:ascii="Verdana" w:hAnsi="Verdana"/>
          <w:sz w:val="24"/>
          <w:szCs w:val="24"/>
        </w:rPr>
        <w:t xml:space="preserve"> la</w:t>
      </w:r>
      <w:r w:rsidR="00165808">
        <w:rPr>
          <w:rFonts w:ascii="Verdana" w:hAnsi="Verdana"/>
          <w:sz w:val="24"/>
          <w:szCs w:val="24"/>
        </w:rPr>
        <w:t>s acciones</w:t>
      </w:r>
      <w:r w:rsidR="008747CC" w:rsidRPr="00645D73">
        <w:rPr>
          <w:rFonts w:ascii="Verdana" w:hAnsi="Verdana"/>
          <w:sz w:val="24"/>
          <w:szCs w:val="24"/>
        </w:rPr>
        <w:t xml:space="preserve"> de tutela promovida</w:t>
      </w:r>
      <w:r w:rsidR="00165808">
        <w:rPr>
          <w:rFonts w:ascii="Verdana" w:hAnsi="Verdana"/>
          <w:sz w:val="24"/>
          <w:szCs w:val="24"/>
        </w:rPr>
        <w:t>s</w:t>
      </w:r>
      <w:r w:rsidR="00E03196" w:rsidRPr="00645D73">
        <w:rPr>
          <w:rFonts w:ascii="Verdana" w:hAnsi="Verdana"/>
          <w:sz w:val="24"/>
          <w:szCs w:val="24"/>
        </w:rPr>
        <w:t xml:space="preserve"> por el señor</w:t>
      </w:r>
      <w:r w:rsidRPr="00645D73">
        <w:rPr>
          <w:rFonts w:ascii="Verdana" w:hAnsi="Verdana"/>
          <w:sz w:val="24"/>
          <w:szCs w:val="24"/>
        </w:rPr>
        <w:t xml:space="preserve"> </w:t>
      </w:r>
      <w:r w:rsidR="00165808" w:rsidRPr="00645D73">
        <w:rPr>
          <w:rFonts w:ascii="Verdana" w:hAnsi="Verdana"/>
          <w:sz w:val="24"/>
          <w:szCs w:val="24"/>
        </w:rPr>
        <w:t xml:space="preserve">Augusto Becerra contra </w:t>
      </w:r>
      <w:r w:rsidR="00165808" w:rsidRPr="00645D73">
        <w:rPr>
          <w:rFonts w:ascii="Verdana" w:hAnsi="Verdana"/>
          <w:sz w:val="24"/>
          <w:szCs w:val="24"/>
          <w:lang w:val="es-ES"/>
        </w:rPr>
        <w:t>el Juzgado Tercero Civil del Circuito local y el Procurador Judicial para Asuntos Civiles</w:t>
      </w:r>
      <w:r w:rsidR="00165808" w:rsidRPr="00645D73">
        <w:rPr>
          <w:rFonts w:ascii="Verdana" w:hAnsi="Verdana"/>
          <w:sz w:val="24"/>
          <w:szCs w:val="24"/>
        </w:rPr>
        <w:t>, a la que fueron vinculados la Alcaldía de Pereira, el Ministerio Público y la Defensoría del Pueblo, ambos de la Regional Risaralda.</w:t>
      </w:r>
    </w:p>
    <w:p w:rsidR="00165808" w:rsidRPr="00645D73" w:rsidRDefault="00165808" w:rsidP="00EC4367">
      <w:pPr>
        <w:spacing w:line="360" w:lineRule="auto"/>
        <w:jc w:val="both"/>
        <w:rPr>
          <w:rFonts w:ascii="Verdana" w:hAnsi="Verdana"/>
          <w:sz w:val="24"/>
          <w:szCs w:val="24"/>
        </w:rPr>
      </w:pPr>
    </w:p>
    <w:p w:rsidR="0024395C" w:rsidRPr="00645D73" w:rsidRDefault="0024395C" w:rsidP="00EC4367">
      <w:pPr>
        <w:spacing w:line="360" w:lineRule="auto"/>
        <w:ind w:right="51"/>
        <w:jc w:val="both"/>
        <w:rPr>
          <w:rFonts w:ascii="Verdana" w:hAnsi="Verdana"/>
          <w:sz w:val="24"/>
          <w:szCs w:val="24"/>
        </w:rPr>
      </w:pPr>
      <w:r w:rsidRPr="00645D73">
        <w:rPr>
          <w:rFonts w:ascii="Verdana" w:hAnsi="Verdana"/>
          <w:b/>
          <w:sz w:val="24"/>
          <w:szCs w:val="24"/>
        </w:rPr>
        <w:t>SEGUNDO.</w:t>
      </w:r>
      <w:r w:rsidRPr="00645D73">
        <w:rPr>
          <w:rFonts w:ascii="Verdana" w:hAnsi="Verdana"/>
          <w:sz w:val="24"/>
          <w:szCs w:val="24"/>
        </w:rPr>
        <w:t xml:space="preserve"> </w:t>
      </w:r>
      <w:r w:rsidR="00811682" w:rsidRPr="00645D73">
        <w:rPr>
          <w:rFonts w:ascii="Verdana" w:hAnsi="Verdana"/>
          <w:sz w:val="24"/>
          <w:szCs w:val="24"/>
        </w:rPr>
        <w:t>Notificar esta decisión a las partes conforme lo previene el artículo 30 del Decreto 2591 de 1991.</w:t>
      </w:r>
    </w:p>
    <w:p w:rsidR="00811682" w:rsidRPr="00645D73" w:rsidRDefault="00811682" w:rsidP="00EC4367">
      <w:pPr>
        <w:pStyle w:val="CUERPOTEXTO"/>
        <w:tabs>
          <w:tab w:val="clear" w:pos="510"/>
        </w:tabs>
        <w:spacing w:before="0" w:after="0" w:line="360" w:lineRule="auto"/>
        <w:ind w:firstLine="0"/>
        <w:rPr>
          <w:rFonts w:ascii="Verdana" w:hAnsi="Verdana"/>
          <w:sz w:val="24"/>
          <w:szCs w:val="24"/>
        </w:rPr>
      </w:pPr>
    </w:p>
    <w:p w:rsidR="0024395C" w:rsidRPr="00645D73" w:rsidRDefault="0024395C" w:rsidP="00EC4367">
      <w:pPr>
        <w:pStyle w:val="CUERPOTEXTO"/>
        <w:tabs>
          <w:tab w:val="clear" w:pos="510"/>
        </w:tabs>
        <w:spacing w:before="0" w:after="0" w:line="360" w:lineRule="auto"/>
        <w:ind w:firstLine="0"/>
        <w:rPr>
          <w:rFonts w:ascii="Verdana" w:hAnsi="Verdana"/>
          <w:sz w:val="24"/>
          <w:szCs w:val="24"/>
        </w:rPr>
      </w:pPr>
      <w:r w:rsidRPr="00645D73">
        <w:rPr>
          <w:rFonts w:ascii="Verdana" w:hAnsi="Verdana"/>
          <w:b/>
          <w:sz w:val="24"/>
          <w:szCs w:val="24"/>
        </w:rPr>
        <w:t>TERCERO.</w:t>
      </w:r>
      <w:r w:rsidRPr="00645D73">
        <w:rPr>
          <w:rFonts w:ascii="Verdana" w:hAnsi="Verdana"/>
          <w:sz w:val="24"/>
          <w:szCs w:val="24"/>
        </w:rPr>
        <w:t xml:space="preserve"> </w:t>
      </w:r>
      <w:r w:rsidR="00811682" w:rsidRPr="00645D73">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645D73" w:rsidRDefault="0024395C" w:rsidP="00EC4367">
      <w:pPr>
        <w:spacing w:line="360" w:lineRule="auto"/>
        <w:jc w:val="both"/>
        <w:rPr>
          <w:rFonts w:ascii="Verdana" w:hAnsi="Verdana"/>
          <w:sz w:val="24"/>
          <w:szCs w:val="24"/>
        </w:rPr>
      </w:pPr>
    </w:p>
    <w:p w:rsidR="0024395C" w:rsidRPr="00645D73" w:rsidRDefault="0024395C" w:rsidP="00EC4367">
      <w:pPr>
        <w:spacing w:line="360" w:lineRule="auto"/>
        <w:jc w:val="both"/>
        <w:rPr>
          <w:rFonts w:ascii="Verdana" w:hAnsi="Verdana"/>
          <w:sz w:val="24"/>
          <w:szCs w:val="24"/>
        </w:rPr>
      </w:pPr>
      <w:r w:rsidRPr="00645D73">
        <w:rPr>
          <w:rFonts w:ascii="Verdana" w:hAnsi="Verdana"/>
          <w:sz w:val="24"/>
          <w:szCs w:val="24"/>
        </w:rPr>
        <w:t xml:space="preserve">Notifíquese y cúmplase, </w:t>
      </w:r>
    </w:p>
    <w:p w:rsidR="0024395C" w:rsidRPr="00645D73" w:rsidRDefault="0024395C" w:rsidP="00EC4367">
      <w:pPr>
        <w:spacing w:line="360" w:lineRule="auto"/>
        <w:jc w:val="both"/>
        <w:rPr>
          <w:rFonts w:ascii="Verdana" w:hAnsi="Verdana"/>
          <w:sz w:val="24"/>
          <w:szCs w:val="24"/>
        </w:rPr>
      </w:pPr>
    </w:p>
    <w:p w:rsidR="0024395C" w:rsidRPr="00645D73" w:rsidRDefault="0024395C" w:rsidP="00EC4367">
      <w:pPr>
        <w:spacing w:line="360" w:lineRule="auto"/>
        <w:jc w:val="both"/>
        <w:rPr>
          <w:rFonts w:ascii="Verdana" w:hAnsi="Verdana"/>
          <w:sz w:val="24"/>
          <w:szCs w:val="24"/>
        </w:rPr>
      </w:pPr>
      <w:r w:rsidRPr="00645D73">
        <w:rPr>
          <w:rFonts w:ascii="Verdana" w:hAnsi="Verdana"/>
          <w:sz w:val="24"/>
          <w:szCs w:val="24"/>
        </w:rPr>
        <w:t>Los Magistrados,</w:t>
      </w:r>
    </w:p>
    <w:p w:rsidR="0024395C" w:rsidRPr="00645D73" w:rsidRDefault="0024395C" w:rsidP="004C7EB8">
      <w:pPr>
        <w:jc w:val="both"/>
        <w:rPr>
          <w:rFonts w:ascii="Verdana" w:hAnsi="Verdana"/>
          <w:sz w:val="24"/>
          <w:szCs w:val="24"/>
        </w:rPr>
      </w:pPr>
    </w:p>
    <w:p w:rsidR="0024395C" w:rsidRPr="00645D73" w:rsidRDefault="0024395C" w:rsidP="004C7EB8">
      <w:pPr>
        <w:jc w:val="both"/>
        <w:rPr>
          <w:rFonts w:ascii="Verdana" w:hAnsi="Verdana"/>
          <w:sz w:val="24"/>
          <w:szCs w:val="24"/>
        </w:rPr>
      </w:pPr>
    </w:p>
    <w:p w:rsidR="00AE77F8" w:rsidRPr="00645D73" w:rsidRDefault="00AE77F8"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B40D82" w:rsidRPr="004C7EB8" w:rsidRDefault="00B40D82"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84"/>
          <w:szCs w:val="84"/>
        </w:rPr>
      </w:pPr>
    </w:p>
    <w:p w:rsidR="0024395C" w:rsidRPr="00645D73" w:rsidRDefault="00AA4B5C"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645D73">
        <w:rPr>
          <w:rFonts w:ascii="Verdana" w:hAnsi="Verdana"/>
          <w:b/>
          <w:sz w:val="24"/>
          <w:szCs w:val="24"/>
        </w:rPr>
        <w:t xml:space="preserve">                  </w:t>
      </w:r>
      <w:r w:rsidR="0024395C" w:rsidRPr="00645D73">
        <w:rPr>
          <w:rFonts w:ascii="Verdana" w:hAnsi="Verdana"/>
          <w:b/>
          <w:sz w:val="24"/>
          <w:szCs w:val="24"/>
        </w:rPr>
        <w:t>CLAUDIA MARÍA ARCILA RÍOS</w:t>
      </w:r>
    </w:p>
    <w:p w:rsidR="0024395C" w:rsidRPr="00645D73" w:rsidRDefault="0024395C"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24395C" w:rsidRPr="00645D73" w:rsidRDefault="0024395C"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8132B4" w:rsidRPr="00645D73" w:rsidRDefault="008132B4"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B40D82" w:rsidRPr="004C7EB8" w:rsidRDefault="00B40D82"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4"/>
          <w:szCs w:val="84"/>
        </w:rPr>
      </w:pPr>
    </w:p>
    <w:p w:rsidR="0024395C" w:rsidRDefault="00D830B6" w:rsidP="004C7EB8">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645D73">
        <w:rPr>
          <w:rFonts w:ascii="Verdana" w:hAnsi="Verdana"/>
          <w:b/>
          <w:sz w:val="24"/>
          <w:szCs w:val="24"/>
        </w:rPr>
        <w:t xml:space="preserve">                  </w:t>
      </w:r>
      <w:r w:rsidR="0024395C" w:rsidRPr="00645D73">
        <w:rPr>
          <w:rFonts w:ascii="Verdana" w:hAnsi="Verdana"/>
          <w:b/>
          <w:sz w:val="24"/>
          <w:szCs w:val="24"/>
        </w:rPr>
        <w:t>DUBERNEY GRISALES HERRERA</w:t>
      </w:r>
    </w:p>
    <w:p w:rsidR="00DF5A87" w:rsidRPr="00645D73" w:rsidRDefault="00DF5A87" w:rsidP="004C7EB8">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t>(Con aclaración de voto)</w:t>
      </w:r>
    </w:p>
    <w:p w:rsidR="0034383F" w:rsidRPr="00645D73" w:rsidRDefault="00BB5D8F" w:rsidP="004C7EB8">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645D73">
        <w:rPr>
          <w:rFonts w:ascii="Verdana" w:hAnsi="Verdana"/>
          <w:b/>
          <w:sz w:val="24"/>
          <w:szCs w:val="24"/>
        </w:rPr>
        <w:tab/>
      </w:r>
    </w:p>
    <w:p w:rsidR="00181622" w:rsidRPr="00645D73" w:rsidRDefault="00181622"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8132B4" w:rsidRPr="00645D73" w:rsidRDefault="008132B4"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B40D82" w:rsidRPr="004C7EB8" w:rsidRDefault="00B40D82" w:rsidP="004C7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4"/>
          <w:szCs w:val="84"/>
        </w:rPr>
      </w:pPr>
    </w:p>
    <w:p w:rsidR="003C2FDC" w:rsidRDefault="00D830B6" w:rsidP="004C7EB8">
      <w:pPr>
        <w:overflowPunct/>
        <w:autoSpaceDE/>
        <w:autoSpaceDN/>
        <w:adjustRightInd/>
        <w:jc w:val="both"/>
        <w:rPr>
          <w:rFonts w:ascii="Verdana" w:hAnsi="Verdana"/>
          <w:b/>
          <w:sz w:val="24"/>
          <w:szCs w:val="24"/>
          <w:lang w:val="es-ES"/>
        </w:rPr>
      </w:pPr>
      <w:r w:rsidRPr="00645D73">
        <w:rPr>
          <w:rFonts w:ascii="Verdana" w:hAnsi="Verdana"/>
          <w:b/>
          <w:sz w:val="24"/>
          <w:szCs w:val="24"/>
        </w:rPr>
        <w:tab/>
      </w:r>
      <w:r w:rsidRPr="00645D73">
        <w:rPr>
          <w:rFonts w:ascii="Verdana" w:hAnsi="Verdana"/>
          <w:b/>
          <w:sz w:val="24"/>
          <w:szCs w:val="24"/>
        </w:rPr>
        <w:tab/>
      </w:r>
      <w:r w:rsidR="0024395C" w:rsidRPr="00645D73">
        <w:rPr>
          <w:rFonts w:ascii="Verdana" w:hAnsi="Verdana"/>
          <w:b/>
          <w:sz w:val="24"/>
          <w:szCs w:val="24"/>
        </w:rPr>
        <w:t>EDDER JIMMY SÁNCHEZ CALAMBÁS</w:t>
      </w:r>
      <w:r w:rsidR="0024395C" w:rsidRPr="00645D73">
        <w:rPr>
          <w:rFonts w:ascii="Verdana" w:hAnsi="Verdana"/>
          <w:b/>
          <w:sz w:val="24"/>
          <w:szCs w:val="24"/>
          <w:lang w:val="es-ES"/>
        </w:rPr>
        <w:t xml:space="preserve"> </w:t>
      </w:r>
    </w:p>
    <w:p w:rsidR="00645D73" w:rsidRDefault="00645D73" w:rsidP="00EC4367">
      <w:pPr>
        <w:overflowPunct/>
        <w:autoSpaceDE/>
        <w:autoSpaceDN/>
        <w:adjustRightInd/>
        <w:spacing w:line="360" w:lineRule="auto"/>
        <w:jc w:val="both"/>
        <w:rPr>
          <w:rFonts w:ascii="Verdana" w:hAnsi="Verdana"/>
          <w:b/>
          <w:sz w:val="24"/>
          <w:szCs w:val="24"/>
          <w:lang w:val="es-ES"/>
        </w:rPr>
      </w:pPr>
    </w:p>
    <w:sectPr w:rsidR="00645D73" w:rsidSect="00EC4367">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75" w:rsidRDefault="00EA2475">
      <w:r>
        <w:separator/>
      </w:r>
    </w:p>
  </w:endnote>
  <w:endnote w:type="continuationSeparator" w:id="0">
    <w:p w:rsidR="00EA2475" w:rsidRDefault="00EA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A12467">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75" w:rsidRDefault="00EA2475">
      <w:r>
        <w:separator/>
      </w:r>
    </w:p>
  </w:footnote>
  <w:footnote w:type="continuationSeparator" w:id="0">
    <w:p w:rsidR="00EA2475" w:rsidRDefault="00EA2475">
      <w:r>
        <w:continuationSeparator/>
      </w:r>
    </w:p>
  </w:footnote>
  <w:footnote w:id="1">
    <w:p w:rsidR="008350BE" w:rsidRPr="008350BE" w:rsidRDefault="008350BE" w:rsidP="008350BE">
      <w:pPr>
        <w:pStyle w:val="Textonotapie"/>
        <w:spacing w:line="276" w:lineRule="auto"/>
        <w:jc w:val="both"/>
        <w:rPr>
          <w:rFonts w:ascii="Verdana" w:hAnsi="Verdana"/>
          <w:sz w:val="6"/>
          <w:szCs w:val="16"/>
        </w:rPr>
      </w:pPr>
    </w:p>
    <w:p w:rsidR="00D272C0" w:rsidRDefault="00181C17" w:rsidP="008350BE">
      <w:pPr>
        <w:pStyle w:val="Textonotapie"/>
        <w:spacing w:line="276" w:lineRule="auto"/>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Pr="00DE2501">
        <w:rPr>
          <w:rFonts w:ascii="Verdana" w:hAnsi="Verdana"/>
          <w:sz w:val="16"/>
          <w:szCs w:val="16"/>
          <w:lang w:val="es-CO"/>
        </w:rPr>
        <w:t>Sentencia T-307 de 2015</w:t>
      </w:r>
    </w:p>
    <w:p w:rsidR="008350BE" w:rsidRPr="008350BE" w:rsidRDefault="008350BE" w:rsidP="008350BE">
      <w:pPr>
        <w:pStyle w:val="Textonotapie"/>
        <w:spacing w:line="276" w:lineRule="auto"/>
        <w:jc w:val="both"/>
        <w:rPr>
          <w:rFonts w:ascii="Verdana" w:hAnsi="Verdana"/>
          <w:sz w:val="2"/>
          <w:szCs w:val="16"/>
          <w:lang w:val="es-CO"/>
        </w:rPr>
      </w:pPr>
    </w:p>
  </w:footnote>
  <w:footnote w:id="2">
    <w:p w:rsidR="008350BE" w:rsidRPr="00525D32" w:rsidRDefault="008350BE" w:rsidP="008350BE">
      <w:pPr>
        <w:pStyle w:val="Textonotapie"/>
        <w:spacing w:line="276" w:lineRule="auto"/>
        <w:jc w:val="both"/>
        <w:rPr>
          <w:rFonts w:ascii="Verdana" w:hAnsi="Verdana"/>
          <w:sz w:val="6"/>
          <w:szCs w:val="16"/>
          <w:lang w:val="es-MX"/>
        </w:rPr>
      </w:pPr>
    </w:p>
    <w:p w:rsidR="00181C17" w:rsidRPr="00DE2501" w:rsidRDefault="00181C17" w:rsidP="008350BE">
      <w:pPr>
        <w:pStyle w:val="Textonotapie"/>
        <w:spacing w:line="276" w:lineRule="auto"/>
        <w:jc w:val="both"/>
        <w:rPr>
          <w:rFonts w:ascii="Verdana" w:hAnsi="Verdana"/>
          <w:sz w:val="16"/>
          <w:szCs w:val="16"/>
          <w:lang w:val="es-MX"/>
        </w:rPr>
      </w:pPr>
      <w:r w:rsidRPr="00DE2501">
        <w:rPr>
          <w:rStyle w:val="Smbolodenotaalpie"/>
          <w:rFonts w:ascii="Verdana" w:hAnsi="Verdana"/>
          <w:sz w:val="16"/>
          <w:szCs w:val="16"/>
        </w:rPr>
        <w:footnoteRef/>
      </w:r>
      <w:r w:rsidRPr="00DE2501">
        <w:rPr>
          <w:rFonts w:ascii="Verdana" w:hAnsi="Verdana"/>
          <w:sz w:val="16"/>
          <w:szCs w:val="16"/>
          <w:lang w:val="es-MX"/>
        </w:rPr>
        <w:t xml:space="preserve"> </w:t>
      </w:r>
      <w:r w:rsidRPr="00DE2501">
        <w:rPr>
          <w:rFonts w:ascii="Verdana" w:hAnsi="Verdana"/>
          <w:spacing w:val="-6"/>
          <w:sz w:val="16"/>
          <w:szCs w:val="16"/>
          <w:lang w:val="es-CO"/>
        </w:rPr>
        <w:t>Sentencia SU-241 de 2015</w:t>
      </w:r>
    </w:p>
  </w:footnote>
  <w:footnote w:id="3">
    <w:p w:rsidR="00181C17" w:rsidRPr="00DE2501" w:rsidRDefault="00181C17" w:rsidP="008350BE">
      <w:pPr>
        <w:pStyle w:val="Textonotapie"/>
        <w:spacing w:line="276" w:lineRule="auto"/>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0086602A">
        <w:rPr>
          <w:rFonts w:ascii="Verdana" w:hAnsi="Verdana"/>
          <w:sz w:val="16"/>
          <w:szCs w:val="16"/>
          <w:lang w:val="es-CO"/>
        </w:rPr>
        <w:t>Folio 10</w:t>
      </w:r>
    </w:p>
  </w:footnote>
  <w:footnote w:id="4">
    <w:p w:rsidR="0086602A" w:rsidRDefault="0086602A" w:rsidP="008350BE">
      <w:pPr>
        <w:pStyle w:val="Textonotapie"/>
        <w:spacing w:line="276" w:lineRule="auto"/>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00222053">
        <w:rPr>
          <w:rFonts w:ascii="Verdana" w:hAnsi="Verdana"/>
          <w:sz w:val="16"/>
          <w:szCs w:val="16"/>
          <w:lang w:val="es-CO"/>
        </w:rPr>
        <w:t>Folio 13</w:t>
      </w:r>
    </w:p>
    <w:p w:rsidR="008350BE" w:rsidRPr="00525D32" w:rsidRDefault="008350BE" w:rsidP="008350BE">
      <w:pPr>
        <w:pStyle w:val="Textonotapie"/>
        <w:spacing w:line="276" w:lineRule="auto"/>
        <w:jc w:val="both"/>
        <w:rPr>
          <w:rFonts w:ascii="Verdana" w:hAnsi="Verdana"/>
          <w:sz w:val="2"/>
          <w:szCs w:val="16"/>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E0B"/>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B59"/>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5255"/>
    <w:rsid w:val="003054A9"/>
    <w:rsid w:val="0030627B"/>
    <w:rsid w:val="003065B2"/>
    <w:rsid w:val="00306AE3"/>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825"/>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28"/>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733"/>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467"/>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0BC"/>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A05"/>
    <w:rsid w:val="00B65DD3"/>
    <w:rsid w:val="00B66A6A"/>
    <w:rsid w:val="00B66C0F"/>
    <w:rsid w:val="00B67A80"/>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A87"/>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475"/>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0809309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53629272">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5D96-9405-459F-B149-9B5B8F22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2018-06-12T21:02:00Z</cp:lastPrinted>
  <dcterms:created xsi:type="dcterms:W3CDTF">2018-06-08T13:14:00Z</dcterms:created>
  <dcterms:modified xsi:type="dcterms:W3CDTF">2018-07-17T18:17:00Z</dcterms:modified>
</cp:coreProperties>
</file>