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1E2" w:rsidRPr="00400CCC" w:rsidRDefault="002411E2" w:rsidP="002411E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r w:rsidRPr="00400CC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ascii="Calibri" w:eastAsia="Calibri" w:hAnsi="Calibri" w:cs="Calibri"/>
          <w:color w:val="222222"/>
          <w:sz w:val="18"/>
          <w:szCs w:val="18"/>
          <w:lang w:val="es-CO" w:eastAsia="fr-FR"/>
        </w:rPr>
        <w:t> </w:t>
      </w:r>
    </w:p>
    <w:p w:rsidR="00181D67" w:rsidRPr="00402979" w:rsidRDefault="00181D67" w:rsidP="00181D67">
      <w:pPr>
        <w:spacing w:line="360" w:lineRule="auto"/>
        <w:jc w:val="both"/>
        <w:rPr>
          <w:rFonts w:ascii="Arial Narrow" w:hAnsi="Arial Narrow" w:cs="Arial"/>
          <w:b/>
          <w:bCs/>
          <w:i/>
          <w:iCs/>
          <w:sz w:val="36"/>
          <w:szCs w:val="36"/>
          <w:u w:val="single"/>
        </w:rPr>
      </w:pPr>
      <w:bookmarkStart w:id="0" w:name="_GoBack"/>
      <w:bookmarkEnd w:id="0"/>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AD7619">
        <w:rPr>
          <w:rFonts w:ascii="Arial Narrow" w:hAnsi="Arial Narrow" w:cs="Arial"/>
          <w:i/>
          <w:sz w:val="20"/>
        </w:rPr>
        <w:t>jueves</w:t>
      </w:r>
      <w:r w:rsidR="00241CF7">
        <w:rPr>
          <w:rFonts w:ascii="Arial Narrow" w:hAnsi="Arial Narrow" w:cs="Arial"/>
          <w:i/>
          <w:sz w:val="20"/>
        </w:rPr>
        <w:t xml:space="preserve"> </w:t>
      </w:r>
      <w:r w:rsidR="00DE389D">
        <w:rPr>
          <w:rFonts w:ascii="Arial Narrow" w:hAnsi="Arial Narrow" w:cs="Arial"/>
          <w:i/>
          <w:sz w:val="20"/>
        </w:rPr>
        <w:t>1</w:t>
      </w:r>
      <w:r w:rsidR="00BD5F4F">
        <w:rPr>
          <w:rFonts w:ascii="Arial Narrow" w:hAnsi="Arial Narrow" w:cs="Arial"/>
          <w:i/>
          <w:sz w:val="20"/>
        </w:rPr>
        <w:t>8</w:t>
      </w:r>
      <w:r w:rsidR="00FF75A4">
        <w:rPr>
          <w:rFonts w:ascii="Arial Narrow" w:hAnsi="Arial Narrow" w:cs="Arial"/>
          <w:i/>
          <w:sz w:val="20"/>
        </w:rPr>
        <w:t xml:space="preserve"> de </w:t>
      </w:r>
      <w:r w:rsidR="00BD5F4F">
        <w:rPr>
          <w:rFonts w:ascii="Arial Narrow" w:hAnsi="Arial Narrow" w:cs="Arial"/>
          <w:i/>
          <w:sz w:val="20"/>
        </w:rPr>
        <w:t>enero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61517B">
        <w:rPr>
          <w:rFonts w:ascii="Arial Narrow" w:hAnsi="Arial Narrow" w:cs="Arial"/>
          <w:i/>
          <w:sz w:val="20"/>
        </w:rPr>
        <w:t>7</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BD5F4F">
        <w:rPr>
          <w:rFonts w:ascii="Arial Narrow" w:hAnsi="Arial Narrow" w:cs="Arial"/>
          <w:bCs/>
          <w:i/>
          <w:sz w:val="20"/>
        </w:rPr>
        <w:t>5</w:t>
      </w:r>
      <w:r>
        <w:rPr>
          <w:rFonts w:ascii="Arial Narrow" w:hAnsi="Arial Narrow" w:cs="Arial"/>
          <w:bCs/>
          <w:i/>
          <w:sz w:val="20"/>
        </w:rPr>
        <w:t>-201</w:t>
      </w:r>
      <w:r w:rsidR="00BD5F4F">
        <w:rPr>
          <w:rFonts w:ascii="Arial Narrow" w:hAnsi="Arial Narrow" w:cs="Arial"/>
          <w:bCs/>
          <w:i/>
          <w:sz w:val="20"/>
        </w:rPr>
        <w:t>6</w:t>
      </w:r>
      <w:r>
        <w:rPr>
          <w:rFonts w:ascii="Arial Narrow" w:hAnsi="Arial Narrow" w:cs="Arial"/>
          <w:bCs/>
          <w:i/>
          <w:sz w:val="20"/>
        </w:rPr>
        <w:t>-00</w:t>
      </w:r>
      <w:r w:rsidR="00BD5F4F">
        <w:rPr>
          <w:rFonts w:ascii="Arial Narrow" w:hAnsi="Arial Narrow" w:cs="Arial"/>
          <w:bCs/>
          <w:i/>
          <w:sz w:val="20"/>
        </w:rPr>
        <w:t>201</w:t>
      </w:r>
      <w:r>
        <w:rPr>
          <w:rFonts w:ascii="Arial Narrow" w:hAnsi="Arial Narrow" w:cs="Arial"/>
          <w:bCs/>
          <w:i/>
          <w:sz w:val="20"/>
        </w:rPr>
        <w:t>-01</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BD5F4F">
        <w:rPr>
          <w:rFonts w:ascii="Arial Narrow" w:hAnsi="Arial Narrow" w:cs="Arial"/>
          <w:i/>
          <w:iCs/>
          <w:sz w:val="20"/>
        </w:rPr>
        <w:t>Julia Rosa Valencia Rendón</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proofErr w:type="spellStart"/>
      <w:r w:rsidR="004D60B5">
        <w:rPr>
          <w:rFonts w:ascii="Arial Narrow" w:hAnsi="Arial Narrow" w:cs="Arial"/>
          <w:bCs/>
          <w:i/>
          <w:sz w:val="20"/>
        </w:rPr>
        <w:t>Colpensiones</w:t>
      </w:r>
      <w:proofErr w:type="spellEnd"/>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5478FE">
        <w:rPr>
          <w:rFonts w:ascii="Arial Narrow" w:hAnsi="Arial Narrow" w:cs="Arial"/>
          <w:i/>
          <w:sz w:val="20"/>
        </w:rPr>
        <w:t>Quinto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Default="00181D67" w:rsidP="00181D67">
      <w:pPr>
        <w:jc w:val="both"/>
        <w:rPr>
          <w:rFonts w:ascii="Arial Narrow" w:hAnsi="Arial Narrow" w:cs="Arial"/>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25793E" w:rsidRPr="00C5292A" w:rsidRDefault="0025793E" w:rsidP="00181D67">
      <w:pPr>
        <w:jc w:val="both"/>
        <w:rPr>
          <w:rFonts w:ascii="Arial Narrow" w:hAnsi="Arial Narrow" w:cs="Arial"/>
          <w:b/>
          <w:i/>
          <w:iCs/>
          <w:sz w:val="20"/>
        </w:rPr>
      </w:pPr>
    </w:p>
    <w:p w:rsidR="0057299F" w:rsidRDefault="00181D67" w:rsidP="00362F86">
      <w:pPr>
        <w:autoSpaceDE w:val="0"/>
        <w:autoSpaceDN w:val="0"/>
        <w:adjustRightInd w:val="0"/>
        <w:ind w:left="2127" w:hanging="2127"/>
        <w:jc w:val="both"/>
        <w:rPr>
          <w:rFonts w:ascii="Arial Narrow" w:hAnsi="Arial Narrow" w:cs="Tahoma"/>
          <w:bCs/>
          <w:i/>
          <w:sz w:val="20"/>
          <w:szCs w:val="18"/>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25793E">
        <w:rPr>
          <w:rFonts w:ascii="Arial Narrow" w:hAnsi="Arial Narrow" w:cs="Tahoma"/>
          <w:b/>
          <w:bCs/>
          <w:i/>
          <w:sz w:val="20"/>
          <w:szCs w:val="18"/>
        </w:rPr>
        <w:t>PENSIÓN DE SOBREVIVIENTES. SE RECONOCIÓ EL 100% AL MENOR HIJO / CONDICIÓN MÁS BENEFICIOSA- CÓNYUGE NO ACREDITÓ CONVIVENCIA / SE CONFIRMA -</w:t>
      </w:r>
      <w:r w:rsidR="009851C9">
        <w:rPr>
          <w:rFonts w:ascii="Arial Narrow" w:hAnsi="Arial Narrow" w:cs="Tahoma"/>
          <w:b/>
          <w:bCs/>
          <w:i/>
          <w:sz w:val="20"/>
          <w:szCs w:val="18"/>
        </w:rPr>
        <w:t xml:space="preserve"> </w:t>
      </w:r>
      <w:r w:rsidR="009851C9" w:rsidRPr="009851C9">
        <w:rPr>
          <w:rFonts w:ascii="Arial Narrow" w:hAnsi="Arial Narrow" w:cs="Tahoma"/>
          <w:bCs/>
          <w:i/>
          <w:sz w:val="20"/>
          <w:szCs w:val="18"/>
        </w:rPr>
        <w:t>No obstante lo anterior, el asunto bien puede analizarse bajo la egida del principio de la condición más beneficiosa, en virtud del cual es posible que, si bajo una normatividad anterior, el afiliado logró cumplir las condiciones de cotización allí exigidas, es posible que su derecho se rija por esa norma anterior, así el riesgo se consolide en vigencia de otra norma posterior. Este principio constitucional, derivado del canon 53 superior, implica la ultra actividad de la norma, pues autoriza a que una norma derogada, regule un caso posterior a su vigencia.</w:t>
      </w:r>
    </w:p>
    <w:p w:rsidR="0025793E" w:rsidRPr="0025793E" w:rsidRDefault="0025793E" w:rsidP="00362F86">
      <w:pPr>
        <w:autoSpaceDE w:val="0"/>
        <w:autoSpaceDN w:val="0"/>
        <w:adjustRightInd w:val="0"/>
        <w:ind w:left="2127" w:hanging="2127"/>
        <w:jc w:val="both"/>
        <w:rPr>
          <w:rFonts w:ascii="Arial Narrow" w:hAnsi="Arial Narrow" w:cs="Tahoma"/>
          <w:bCs/>
          <w:sz w:val="20"/>
          <w:szCs w:val="18"/>
        </w:rPr>
      </w:pPr>
    </w:p>
    <w:p w:rsidR="0025793E" w:rsidRPr="0025793E" w:rsidRDefault="0025793E" w:rsidP="0025793E">
      <w:pPr>
        <w:autoSpaceDE w:val="0"/>
        <w:autoSpaceDN w:val="0"/>
        <w:adjustRightInd w:val="0"/>
        <w:ind w:left="2127" w:hanging="2127"/>
        <w:jc w:val="both"/>
        <w:rPr>
          <w:rFonts w:ascii="Arial Narrow" w:hAnsi="Arial Narrow" w:cs="Tahoma"/>
          <w:bCs/>
          <w:sz w:val="20"/>
          <w:szCs w:val="18"/>
        </w:rPr>
      </w:pPr>
      <w:r w:rsidRPr="0025793E">
        <w:rPr>
          <w:rFonts w:ascii="Arial Narrow" w:hAnsi="Arial Narrow" w:cs="Tahoma"/>
          <w:bCs/>
          <w:sz w:val="20"/>
          <w:szCs w:val="18"/>
        </w:rPr>
        <w:t>Respecto al primero de los problemas planteados, debe decirse que por regla general, la pensión de sobrevivientes se rige por la legislación vigente al momento del causante. Por ello, en este caso, la prestación, en principio, debería regirse por la Ley 100 de 1993, modificada por la Ley 797 de 2003, que exige, en caso del deceso de un afiliado, que cuente con un total de 50 semanas en los tres años anteriores al deceso lapso en el cual el afiliado Montoya, conforme a la historia laboral aportada por la entidad demandada –</w:t>
      </w:r>
      <w:proofErr w:type="spellStart"/>
      <w:r w:rsidRPr="0025793E">
        <w:rPr>
          <w:rFonts w:ascii="Arial Narrow" w:hAnsi="Arial Narrow" w:cs="Tahoma"/>
          <w:bCs/>
          <w:sz w:val="20"/>
          <w:szCs w:val="18"/>
        </w:rPr>
        <w:t>fls</w:t>
      </w:r>
      <w:proofErr w:type="spellEnd"/>
      <w:r w:rsidRPr="0025793E">
        <w:rPr>
          <w:rFonts w:ascii="Arial Narrow" w:hAnsi="Arial Narrow" w:cs="Tahoma"/>
          <w:bCs/>
          <w:sz w:val="20"/>
          <w:szCs w:val="18"/>
        </w:rPr>
        <w:t xml:space="preserve">. 100 y </w:t>
      </w:r>
      <w:proofErr w:type="spellStart"/>
      <w:r w:rsidRPr="0025793E">
        <w:rPr>
          <w:rFonts w:ascii="Arial Narrow" w:hAnsi="Arial Narrow" w:cs="Tahoma"/>
          <w:bCs/>
          <w:sz w:val="20"/>
          <w:szCs w:val="18"/>
        </w:rPr>
        <w:t>ss</w:t>
      </w:r>
      <w:proofErr w:type="spellEnd"/>
      <w:r w:rsidRPr="0025793E">
        <w:rPr>
          <w:rFonts w:ascii="Arial Narrow" w:hAnsi="Arial Narrow" w:cs="Tahoma"/>
          <w:bCs/>
          <w:sz w:val="20"/>
          <w:szCs w:val="18"/>
        </w:rPr>
        <w:t>-  apenas cotizó 1.58 semanas, suma claramente inferior a la exigida.</w:t>
      </w:r>
    </w:p>
    <w:p w:rsidR="0025793E" w:rsidRPr="0025793E" w:rsidRDefault="0025793E" w:rsidP="0025793E">
      <w:pPr>
        <w:autoSpaceDE w:val="0"/>
        <w:autoSpaceDN w:val="0"/>
        <w:adjustRightInd w:val="0"/>
        <w:ind w:left="2127" w:hanging="2127"/>
        <w:jc w:val="both"/>
        <w:rPr>
          <w:rFonts w:ascii="Arial Narrow" w:hAnsi="Arial Narrow" w:cs="Tahoma"/>
          <w:bCs/>
          <w:sz w:val="20"/>
          <w:szCs w:val="18"/>
        </w:rPr>
      </w:pPr>
    </w:p>
    <w:p w:rsidR="0025793E" w:rsidRPr="0025793E" w:rsidRDefault="0025793E" w:rsidP="0025793E">
      <w:pPr>
        <w:autoSpaceDE w:val="0"/>
        <w:autoSpaceDN w:val="0"/>
        <w:adjustRightInd w:val="0"/>
        <w:ind w:left="2127" w:hanging="2127"/>
        <w:jc w:val="both"/>
        <w:rPr>
          <w:rFonts w:ascii="Arial Narrow" w:hAnsi="Arial Narrow" w:cs="Tahoma"/>
          <w:bCs/>
          <w:sz w:val="20"/>
          <w:szCs w:val="18"/>
        </w:rPr>
      </w:pPr>
      <w:r w:rsidRPr="0025793E">
        <w:rPr>
          <w:rFonts w:ascii="Arial Narrow" w:hAnsi="Arial Narrow" w:cs="Tahoma"/>
          <w:bCs/>
          <w:sz w:val="20"/>
          <w:szCs w:val="18"/>
        </w:rPr>
        <w:t>No obstante lo anterior, el asunto bien puede analizarse bajo la egida del principio de la condición más beneficiosa, en virtud del cual es posible que, si bajo una normatividad anterior, el afiliado logró cumplir las condiciones de cotización allí exigidas, es posible que su derecho se rija por esa norma anterior, así el riesgo se consolide en vigencia de otra norma posterior. Este principio constitucional, derivado del canon 53 superior, implica la ultra actividad de la norma, pues autoriza a que una norma derogada, regule un caso posterior a su vigencia.</w:t>
      </w:r>
    </w:p>
    <w:p w:rsidR="0025793E" w:rsidRPr="0025793E" w:rsidRDefault="0025793E" w:rsidP="0025793E">
      <w:pPr>
        <w:autoSpaceDE w:val="0"/>
        <w:autoSpaceDN w:val="0"/>
        <w:adjustRightInd w:val="0"/>
        <w:ind w:left="2127" w:hanging="2127"/>
        <w:jc w:val="both"/>
        <w:rPr>
          <w:rFonts w:ascii="Arial Narrow" w:hAnsi="Arial Narrow" w:cs="Tahoma"/>
          <w:bCs/>
          <w:sz w:val="20"/>
          <w:szCs w:val="18"/>
        </w:rPr>
      </w:pPr>
    </w:p>
    <w:p w:rsidR="0025793E" w:rsidRPr="0025793E" w:rsidRDefault="0025793E" w:rsidP="0025793E">
      <w:pPr>
        <w:autoSpaceDE w:val="0"/>
        <w:autoSpaceDN w:val="0"/>
        <w:adjustRightInd w:val="0"/>
        <w:ind w:left="2127" w:hanging="2127"/>
        <w:jc w:val="both"/>
        <w:rPr>
          <w:rFonts w:ascii="Arial Narrow" w:hAnsi="Arial Narrow" w:cs="Tahoma"/>
          <w:bCs/>
          <w:sz w:val="20"/>
          <w:szCs w:val="18"/>
        </w:rPr>
      </w:pPr>
      <w:r w:rsidRPr="0025793E">
        <w:rPr>
          <w:rFonts w:ascii="Arial Narrow" w:hAnsi="Arial Narrow" w:cs="Tahoma"/>
          <w:bCs/>
          <w:sz w:val="20"/>
          <w:szCs w:val="18"/>
        </w:rPr>
        <w:t>Y es de abordarse bajo esta perspectiva, en la medida en que para la mayoría de esta Sala, resulta posible acudir al Acuerdo 049 de 1990 aprobado por el Decreto 758 del mismo año, por la vía de la condición más beneficiosa, pese a que el riesgo se materializó en vigencia de la Ley 797 de 2003. Tal conclusión, se ha afincado esencialmente en la permanente línea jurisprudencial de la Corte Constitucional, recientemente reiterada y unificada en la sentencia SU-442 de 2016</w:t>
      </w:r>
    </w:p>
    <w:p w:rsidR="0025793E" w:rsidRDefault="0025793E" w:rsidP="00362F86">
      <w:pPr>
        <w:autoSpaceDE w:val="0"/>
        <w:autoSpaceDN w:val="0"/>
        <w:adjustRightInd w:val="0"/>
        <w:ind w:left="2127" w:hanging="2127"/>
        <w:jc w:val="both"/>
        <w:rPr>
          <w:rFonts w:ascii="Arial Narrow" w:hAnsi="Arial Narrow" w:cs="Tahoma"/>
          <w:bCs/>
          <w:sz w:val="20"/>
          <w:szCs w:val="18"/>
        </w:rPr>
      </w:pPr>
      <w:r>
        <w:rPr>
          <w:rFonts w:ascii="Arial Narrow" w:hAnsi="Arial Narrow" w:cs="Tahoma"/>
          <w:bCs/>
          <w:sz w:val="20"/>
          <w:szCs w:val="18"/>
        </w:rPr>
        <w:t>(…)</w:t>
      </w:r>
    </w:p>
    <w:p w:rsidR="0025793E" w:rsidRPr="0025793E" w:rsidRDefault="0025793E" w:rsidP="0025793E">
      <w:pPr>
        <w:autoSpaceDE w:val="0"/>
        <w:autoSpaceDN w:val="0"/>
        <w:adjustRightInd w:val="0"/>
        <w:ind w:left="2127" w:hanging="2127"/>
        <w:jc w:val="both"/>
        <w:rPr>
          <w:rFonts w:ascii="Arial Narrow" w:hAnsi="Arial Narrow" w:cs="Tahoma"/>
          <w:bCs/>
          <w:sz w:val="20"/>
          <w:szCs w:val="18"/>
          <w:lang w:val="es-ES"/>
        </w:rPr>
      </w:pPr>
      <w:r w:rsidRPr="0025793E">
        <w:rPr>
          <w:rFonts w:ascii="Arial Narrow" w:hAnsi="Arial Narrow" w:cs="Tahoma"/>
          <w:bCs/>
          <w:sz w:val="20"/>
          <w:szCs w:val="18"/>
          <w:lang w:val="es-ES"/>
        </w:rPr>
        <w:t xml:space="preserve">Por eso, la labor que debe desplegar quien alegue tener la vocación a la pensión por sobrevivencia, no es otra que la de demostrar de manera clara que convivió, en los términos antes anotados, con el afiliado o pensionado, de manera ininterrumpida, por el lapso mínimo de cinco años.  Y como la norma exige convivencia, no importa si se dio en el marco de una relación matrimonial o de hecho, pues ambas tienen igual tratamiento por la ley, pudiendo incluso darse la convivencia una parte, en el marco de una unión de hecho y otra por vínculos jurídicos o viceversa.  Ello, obviamente, sin perjuicio de la convivencia separada por razones justificadas, caso que ha sido ampliamente analizado por la Corte Suprema de Justicia en su Sala de Casación Laboral.  </w:t>
      </w:r>
    </w:p>
    <w:p w:rsidR="0025793E" w:rsidRPr="0025793E" w:rsidRDefault="0025793E" w:rsidP="0025793E">
      <w:pPr>
        <w:autoSpaceDE w:val="0"/>
        <w:autoSpaceDN w:val="0"/>
        <w:adjustRightInd w:val="0"/>
        <w:ind w:left="2127" w:hanging="2127"/>
        <w:jc w:val="both"/>
        <w:rPr>
          <w:rFonts w:ascii="Arial Narrow" w:hAnsi="Arial Narrow" w:cs="Tahoma"/>
          <w:bCs/>
          <w:sz w:val="20"/>
          <w:szCs w:val="18"/>
        </w:rPr>
      </w:pPr>
      <w:r w:rsidRPr="0025793E">
        <w:rPr>
          <w:rFonts w:ascii="Arial Narrow" w:hAnsi="Arial Narrow" w:cs="Tahoma"/>
          <w:bCs/>
          <w:sz w:val="20"/>
          <w:szCs w:val="18"/>
        </w:rPr>
        <w:t xml:space="preserve">      </w:t>
      </w:r>
    </w:p>
    <w:p w:rsidR="0025793E" w:rsidRPr="0025793E" w:rsidRDefault="0025793E" w:rsidP="0025793E">
      <w:pPr>
        <w:autoSpaceDE w:val="0"/>
        <w:autoSpaceDN w:val="0"/>
        <w:adjustRightInd w:val="0"/>
        <w:ind w:left="2127" w:hanging="2127"/>
        <w:jc w:val="both"/>
        <w:rPr>
          <w:rFonts w:ascii="Arial Narrow" w:hAnsi="Arial Narrow" w:cs="Tahoma"/>
          <w:bCs/>
          <w:sz w:val="20"/>
          <w:szCs w:val="18"/>
        </w:rPr>
      </w:pPr>
      <w:r w:rsidRPr="0025793E">
        <w:rPr>
          <w:rFonts w:ascii="Arial Narrow" w:hAnsi="Arial Narrow" w:cs="Tahoma"/>
          <w:bCs/>
          <w:sz w:val="20"/>
          <w:szCs w:val="18"/>
        </w:rPr>
        <w:t>Pues bien, dígase que la demandante no acreditó tal calidad, pues no se ocupó de traer ningún medio de convicción al proceso, para poder inferir que convivió con el fallecido en los 5 años anteriores al deceso. La sola acreditación del vínculo marital, no acredita que al momento del deceso del afiliado estuvieren haciendo vida marital o que a pesar de haberse separado de hecho, siguieron unidos por nexos de solidaridad y ayuda, carga que es precisamente la que le incumbía a la interesada. Además, tal como lo dijo la a quo, tal condición no fue reconocida por la entidad demanda, pues en los actos administrativos emitidos ante las solicitudes de la demandante,  no reconoció esa condición.</w:t>
      </w:r>
    </w:p>
    <w:p w:rsidR="0025793E" w:rsidRPr="0025793E" w:rsidRDefault="0025793E" w:rsidP="00362F86">
      <w:pPr>
        <w:autoSpaceDE w:val="0"/>
        <w:autoSpaceDN w:val="0"/>
        <w:adjustRightInd w:val="0"/>
        <w:ind w:left="2127" w:hanging="2127"/>
        <w:jc w:val="both"/>
        <w:rPr>
          <w:rFonts w:ascii="Arial Narrow" w:hAnsi="Arial Narrow" w:cs="Tahoma"/>
          <w:bCs/>
          <w:sz w:val="20"/>
          <w:szCs w:val="18"/>
        </w:rPr>
      </w:pPr>
    </w:p>
    <w:p w:rsidR="0025793E" w:rsidRPr="0025793E" w:rsidRDefault="0025793E" w:rsidP="00362F86">
      <w:pPr>
        <w:autoSpaceDE w:val="0"/>
        <w:autoSpaceDN w:val="0"/>
        <w:adjustRightInd w:val="0"/>
        <w:ind w:left="2127" w:hanging="2127"/>
        <w:jc w:val="both"/>
        <w:rPr>
          <w:rFonts w:ascii="Arial Narrow" w:hAnsi="Arial Narrow" w:cs="Tahoma"/>
          <w:bCs/>
          <w:sz w:val="20"/>
          <w:szCs w:val="18"/>
        </w:rPr>
      </w:pPr>
    </w:p>
    <w:p w:rsidR="00181D67" w:rsidRPr="009851C9" w:rsidRDefault="00181D67" w:rsidP="00C01FFD">
      <w:pPr>
        <w:pStyle w:val="Sinespaciado"/>
        <w:ind w:left="2127"/>
      </w:pPr>
      <w:r w:rsidRPr="009851C9">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lastRenderedPageBreak/>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A20DD9" w:rsidRDefault="00241CF7" w:rsidP="00F52C50">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w:t>
      </w:r>
      <w:r w:rsidR="00A20DD9">
        <w:rPr>
          <w:rFonts w:ascii="Arial Narrow" w:eastAsia="Calibri" w:hAnsi="Arial Narrow" w:cs="Arial"/>
          <w:sz w:val="28"/>
          <w:szCs w:val="28"/>
          <w:lang w:val="es-CO" w:eastAsia="en-US"/>
        </w:rPr>
        <w:t xml:space="preserve">hoy </w:t>
      </w:r>
      <w:r w:rsidR="00FF0A61">
        <w:rPr>
          <w:rFonts w:ascii="Arial Narrow" w:eastAsia="Calibri" w:hAnsi="Arial Narrow" w:cs="Arial"/>
          <w:sz w:val="28"/>
          <w:szCs w:val="28"/>
          <w:lang w:val="es-CO" w:eastAsia="en-US"/>
        </w:rPr>
        <w:t>dieciocho</w:t>
      </w:r>
      <w:r w:rsidR="00F52C50">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61517B">
        <w:rPr>
          <w:rFonts w:ascii="Arial Narrow" w:eastAsia="Calibri" w:hAnsi="Arial Narrow" w:cs="Arial"/>
          <w:sz w:val="28"/>
          <w:szCs w:val="28"/>
          <w:lang w:val="es-CO" w:eastAsia="en-US"/>
        </w:rPr>
        <w:t>1</w:t>
      </w:r>
      <w:r w:rsidR="00FF0A61">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 xml:space="preserve">) </w:t>
      </w:r>
      <w:r w:rsidR="00A20DD9">
        <w:rPr>
          <w:rFonts w:ascii="Arial Narrow" w:eastAsia="Calibri" w:hAnsi="Arial Narrow" w:cs="Arial"/>
          <w:sz w:val="28"/>
          <w:szCs w:val="28"/>
          <w:lang w:val="es-CO" w:eastAsia="en-US"/>
        </w:rPr>
        <w:t xml:space="preserve">de </w:t>
      </w:r>
      <w:r w:rsidR="00FF0A61">
        <w:rPr>
          <w:rFonts w:ascii="Arial Narrow" w:eastAsia="Calibri" w:hAnsi="Arial Narrow" w:cs="Arial"/>
          <w:sz w:val="28"/>
          <w:szCs w:val="28"/>
          <w:lang w:val="es-CO" w:eastAsia="en-US"/>
        </w:rPr>
        <w:t>enero</w:t>
      </w:r>
      <w:r w:rsidR="00A20DD9">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 xml:space="preserve">de dos mil </w:t>
      </w:r>
      <w:r w:rsidR="009C6364">
        <w:rPr>
          <w:rFonts w:ascii="Arial Narrow" w:eastAsia="Calibri" w:hAnsi="Arial Narrow" w:cs="Arial"/>
          <w:sz w:val="28"/>
          <w:szCs w:val="28"/>
          <w:lang w:val="es-CO" w:eastAsia="en-US"/>
        </w:rPr>
        <w:t>dieci</w:t>
      </w:r>
      <w:r w:rsidR="00FF0A61">
        <w:rPr>
          <w:rFonts w:ascii="Arial Narrow" w:eastAsia="Calibri" w:hAnsi="Arial Narrow" w:cs="Arial"/>
          <w:sz w:val="28"/>
          <w:szCs w:val="28"/>
          <w:lang w:val="es-CO" w:eastAsia="en-US"/>
        </w:rPr>
        <w:t>ocho</w:t>
      </w:r>
      <w:r w:rsidR="00181D67" w:rsidRPr="00D30FA7">
        <w:rPr>
          <w:rFonts w:ascii="Arial Narrow" w:eastAsia="Calibri" w:hAnsi="Arial Narrow" w:cs="Arial"/>
          <w:sz w:val="28"/>
          <w:szCs w:val="28"/>
          <w:lang w:val="es-CO" w:eastAsia="en-US"/>
        </w:rPr>
        <w:t xml:space="preserve"> (201</w:t>
      </w:r>
      <w:r w:rsidR="00FF0A61">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4D60B5">
        <w:rPr>
          <w:rFonts w:ascii="Arial Narrow" w:eastAsia="Calibri" w:hAnsi="Arial Narrow" w:cs="Arial"/>
          <w:sz w:val="28"/>
          <w:szCs w:val="28"/>
          <w:lang w:val="es-CO" w:eastAsia="en-US"/>
        </w:rPr>
        <w:t>siete</w:t>
      </w:r>
      <w:r w:rsidR="00F52C50">
        <w:rPr>
          <w:rFonts w:ascii="Arial Narrow" w:eastAsia="Calibri" w:hAnsi="Arial Narrow" w:cs="Arial"/>
          <w:sz w:val="28"/>
          <w:szCs w:val="28"/>
          <w:lang w:val="es-CO" w:eastAsia="en-US"/>
        </w:rPr>
        <w:t xml:space="preserve"> y treinta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4D60B5">
        <w:rPr>
          <w:rFonts w:ascii="Arial Narrow" w:eastAsia="Calibri" w:hAnsi="Arial Narrow" w:cs="Arial"/>
          <w:sz w:val="28"/>
          <w:szCs w:val="28"/>
          <w:lang w:val="es-CO" w:eastAsia="en-US"/>
        </w:rPr>
        <w:t>07</w:t>
      </w:r>
      <w:r w:rsidR="00181D67" w:rsidRPr="00D30FA7">
        <w:rPr>
          <w:rFonts w:ascii="Arial Narrow" w:eastAsia="Calibri" w:hAnsi="Arial Narrow" w:cs="Arial"/>
          <w:sz w:val="28"/>
          <w:szCs w:val="28"/>
          <w:lang w:val="es-CO" w:eastAsia="en-US"/>
        </w:rPr>
        <w:t>:</w:t>
      </w:r>
      <w:r w:rsidR="00F52C50">
        <w:rPr>
          <w:rFonts w:ascii="Arial Narrow" w:eastAsia="Calibri" w:hAnsi="Arial Narrow" w:cs="Arial"/>
          <w:sz w:val="28"/>
          <w:szCs w:val="28"/>
          <w:lang w:val="es-CO" w:eastAsia="en-US"/>
        </w:rPr>
        <w:t>3</w:t>
      </w:r>
      <w:r w:rsidR="00A915C0">
        <w:rPr>
          <w:rFonts w:ascii="Arial Narrow" w:eastAsia="Calibri" w:hAnsi="Arial Narrow" w:cs="Arial"/>
          <w:sz w:val="28"/>
          <w:szCs w:val="28"/>
          <w:lang w:val="es-CO" w:eastAsia="en-US"/>
        </w:rPr>
        <w:t>0</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6F3E23">
        <w:rPr>
          <w:rFonts w:ascii="Arial Narrow" w:hAnsi="Arial Narrow" w:cs="Tahoma"/>
          <w:bCs/>
          <w:color w:val="000000"/>
          <w:sz w:val="28"/>
          <w:szCs w:val="28"/>
          <w:lang w:eastAsia="es-CO"/>
        </w:rPr>
        <w:t xml:space="preserve">Tercera </w:t>
      </w:r>
      <w:r w:rsidR="0057299F">
        <w:rPr>
          <w:rFonts w:ascii="Arial Narrow" w:hAnsi="Arial Narrow" w:cs="Tahoma"/>
          <w:bCs/>
          <w:color w:val="000000"/>
          <w:sz w:val="28"/>
          <w:szCs w:val="28"/>
          <w:lang w:eastAsia="es-CO"/>
        </w:rPr>
        <w:t xml:space="preserve">de Decisión </w:t>
      </w:r>
      <w:r w:rsidR="0057299F" w:rsidRPr="0057299F">
        <w:rPr>
          <w:rFonts w:ascii="Arial Narrow" w:hAnsi="Arial Narrow" w:cs="Tahoma"/>
          <w:bCs/>
          <w:color w:val="000000"/>
          <w:sz w:val="28"/>
          <w:szCs w:val="28"/>
          <w:lang w:eastAsia="es-CO"/>
        </w:rPr>
        <w:t xml:space="preserve">Laboral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w:t>
      </w:r>
      <w:r w:rsidR="009C6364">
        <w:rPr>
          <w:rFonts w:ascii="Arial Narrow" w:hAnsi="Arial Narrow" w:cs="Tahoma"/>
          <w:bCs/>
          <w:color w:val="000000"/>
          <w:sz w:val="28"/>
          <w:szCs w:val="28"/>
          <w:lang w:eastAsia="es-CO"/>
        </w:rPr>
        <w:t xml:space="preserve">el </w:t>
      </w:r>
      <w:r w:rsidR="004D60B5">
        <w:rPr>
          <w:rFonts w:ascii="Arial Narrow" w:hAnsi="Arial Narrow" w:cs="Tahoma"/>
          <w:bCs/>
          <w:color w:val="000000"/>
          <w:sz w:val="28"/>
          <w:szCs w:val="28"/>
          <w:lang w:eastAsia="es-CO"/>
        </w:rPr>
        <w:t>grado jurisdiccional de consulta de</w:t>
      </w:r>
      <w:r w:rsidR="00DE389D">
        <w:rPr>
          <w:rFonts w:ascii="Arial Narrow" w:hAnsi="Arial Narrow" w:cs="Tahoma"/>
          <w:bCs/>
          <w:color w:val="000000"/>
          <w:sz w:val="28"/>
          <w:szCs w:val="28"/>
          <w:lang w:eastAsia="es-CO"/>
        </w:rPr>
        <w:t xml:space="preserve"> </w:t>
      </w:r>
      <w:r w:rsidR="009C6364">
        <w:rPr>
          <w:rFonts w:ascii="Arial Narrow" w:hAnsi="Arial Narrow" w:cs="Tahoma"/>
          <w:bCs/>
          <w:color w:val="000000"/>
          <w:sz w:val="28"/>
          <w:szCs w:val="28"/>
          <w:lang w:eastAsia="es-CO"/>
        </w:rPr>
        <w:t xml:space="preserve">la sentencia dictada el </w:t>
      </w:r>
      <w:r w:rsidR="00FF0A61">
        <w:rPr>
          <w:rFonts w:ascii="Arial Narrow" w:hAnsi="Arial Narrow" w:cs="Tahoma"/>
          <w:bCs/>
          <w:color w:val="000000"/>
          <w:sz w:val="28"/>
          <w:szCs w:val="28"/>
          <w:lang w:eastAsia="es-CO"/>
        </w:rPr>
        <w:t>09</w:t>
      </w:r>
      <w:r w:rsidR="009C6364">
        <w:rPr>
          <w:rFonts w:ascii="Arial Narrow" w:hAnsi="Arial Narrow" w:cs="Tahoma"/>
          <w:bCs/>
          <w:color w:val="000000"/>
          <w:sz w:val="28"/>
          <w:szCs w:val="28"/>
          <w:lang w:eastAsia="es-CO"/>
        </w:rPr>
        <w:t xml:space="preserve"> de </w:t>
      </w:r>
      <w:r w:rsidR="00FF0A61">
        <w:rPr>
          <w:rFonts w:ascii="Arial Narrow" w:hAnsi="Arial Narrow" w:cs="Tahoma"/>
          <w:bCs/>
          <w:color w:val="000000"/>
          <w:sz w:val="28"/>
          <w:szCs w:val="28"/>
          <w:lang w:eastAsia="es-CO"/>
        </w:rPr>
        <w:t>marzo</w:t>
      </w:r>
      <w:r w:rsidR="009C6364">
        <w:rPr>
          <w:rFonts w:ascii="Arial Narrow" w:hAnsi="Arial Narrow" w:cs="Tahoma"/>
          <w:bCs/>
          <w:color w:val="000000"/>
          <w:sz w:val="28"/>
          <w:szCs w:val="28"/>
          <w:lang w:eastAsia="es-CO"/>
        </w:rPr>
        <w:t xml:space="preserve"> de 201</w:t>
      </w:r>
      <w:r w:rsidR="004D60B5">
        <w:rPr>
          <w:rFonts w:ascii="Arial Narrow" w:hAnsi="Arial Narrow" w:cs="Tahoma"/>
          <w:bCs/>
          <w:color w:val="000000"/>
          <w:sz w:val="28"/>
          <w:szCs w:val="28"/>
          <w:lang w:eastAsia="es-CO"/>
        </w:rPr>
        <w:t>7</w:t>
      </w:r>
      <w:r w:rsidR="009C6364">
        <w:rPr>
          <w:rFonts w:ascii="Arial Narrow" w:hAnsi="Arial Narrow" w:cs="Tahoma"/>
          <w:bCs/>
          <w:color w:val="000000"/>
          <w:sz w:val="28"/>
          <w:szCs w:val="28"/>
          <w:lang w:eastAsia="es-CO"/>
        </w:rPr>
        <w:t xml:space="preserve"> por el Juzgado </w:t>
      </w:r>
      <w:r w:rsidR="00FF0A61">
        <w:rPr>
          <w:rFonts w:ascii="Arial Narrow" w:hAnsi="Arial Narrow" w:cs="Tahoma"/>
          <w:bCs/>
          <w:color w:val="000000"/>
          <w:sz w:val="28"/>
          <w:szCs w:val="28"/>
          <w:lang w:eastAsia="es-CO"/>
        </w:rPr>
        <w:t>Quinto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A20DD9">
        <w:rPr>
          <w:rFonts w:ascii="Arial Narrow" w:hAnsi="Arial Narrow" w:cs="Tahoma"/>
          <w:bCs/>
          <w:color w:val="000000"/>
          <w:sz w:val="28"/>
          <w:szCs w:val="28"/>
          <w:lang w:eastAsia="es-CO"/>
        </w:rPr>
        <w:t xml:space="preserve">promueve </w:t>
      </w:r>
      <w:r w:rsidR="00FF0A61">
        <w:rPr>
          <w:rFonts w:ascii="Arial Narrow" w:hAnsi="Arial Narrow" w:cs="Tahoma"/>
          <w:b/>
          <w:bCs/>
          <w:i/>
          <w:color w:val="000000"/>
          <w:sz w:val="28"/>
          <w:szCs w:val="28"/>
          <w:lang w:eastAsia="es-CO"/>
        </w:rPr>
        <w:t xml:space="preserve">Julia Rosa Valencia Rendón </w:t>
      </w:r>
      <w:r w:rsidR="00FF0A61">
        <w:rPr>
          <w:rFonts w:ascii="Arial Narrow" w:hAnsi="Arial Narrow" w:cs="Tahoma"/>
          <w:bCs/>
          <w:color w:val="000000"/>
          <w:sz w:val="28"/>
          <w:szCs w:val="28"/>
          <w:lang w:eastAsia="es-CO"/>
        </w:rPr>
        <w:t xml:space="preserve">en su propio nombre y en representación de su hijo menor </w:t>
      </w:r>
      <w:r w:rsidR="00FF0A61">
        <w:rPr>
          <w:rFonts w:ascii="Arial Narrow" w:hAnsi="Arial Narrow" w:cs="Tahoma"/>
          <w:b/>
          <w:bCs/>
          <w:i/>
          <w:color w:val="000000"/>
          <w:sz w:val="28"/>
          <w:szCs w:val="28"/>
          <w:lang w:eastAsia="es-CO"/>
        </w:rPr>
        <w:t xml:space="preserve">Santiago Montoya Valencia </w:t>
      </w:r>
      <w:r w:rsidR="009C6364">
        <w:rPr>
          <w:rFonts w:ascii="Arial Narrow" w:hAnsi="Arial Narrow" w:cs="Tahoma"/>
          <w:bCs/>
          <w:color w:val="000000"/>
          <w:sz w:val="28"/>
          <w:szCs w:val="28"/>
          <w:lang w:eastAsia="es-CO"/>
        </w:rPr>
        <w:t xml:space="preserve">contra la </w:t>
      </w:r>
      <w:r w:rsidR="004D60B5">
        <w:rPr>
          <w:rFonts w:ascii="Arial Narrow" w:hAnsi="Arial Narrow" w:cs="Tahoma"/>
          <w:b/>
          <w:bCs/>
          <w:i/>
          <w:color w:val="000000"/>
          <w:sz w:val="28"/>
          <w:szCs w:val="28"/>
          <w:lang w:eastAsia="es-CO"/>
        </w:rPr>
        <w:t>Administradora Colombiana de Pensiones –</w:t>
      </w:r>
      <w:proofErr w:type="spellStart"/>
      <w:r w:rsidR="004D60B5">
        <w:rPr>
          <w:rFonts w:ascii="Arial Narrow" w:hAnsi="Arial Narrow" w:cs="Tahoma"/>
          <w:b/>
          <w:bCs/>
          <w:i/>
          <w:color w:val="000000"/>
          <w:sz w:val="28"/>
          <w:szCs w:val="28"/>
          <w:lang w:eastAsia="es-CO"/>
        </w:rPr>
        <w:t>Colpensiones</w:t>
      </w:r>
      <w:proofErr w:type="spellEnd"/>
      <w:r w:rsidR="004D60B5">
        <w:rPr>
          <w:rFonts w:ascii="Arial Narrow" w:hAnsi="Arial Narrow" w:cs="Tahoma"/>
          <w:b/>
          <w:bCs/>
          <w:i/>
          <w:color w:val="000000"/>
          <w:sz w:val="28"/>
          <w:szCs w:val="28"/>
          <w:lang w:eastAsia="es-CO"/>
        </w:rPr>
        <w:t>.</w:t>
      </w:r>
    </w:p>
    <w:p w:rsidR="00181D67" w:rsidRPr="00D30FA7" w:rsidRDefault="00A20DD9" w:rsidP="00181D67">
      <w:pPr>
        <w:spacing w:line="360" w:lineRule="auto"/>
        <w:ind w:firstLine="851"/>
        <w:jc w:val="both"/>
        <w:rPr>
          <w:rFonts w:ascii="Arial Narrow" w:hAnsi="Arial Narrow" w:cs="Arial"/>
          <w:bCs/>
          <w:iCs/>
          <w:sz w:val="28"/>
          <w:szCs w:val="28"/>
        </w:rPr>
      </w:pPr>
      <w:r w:rsidRPr="00D30FA7">
        <w:rPr>
          <w:rFonts w:ascii="Arial Narrow" w:hAnsi="Arial Narrow" w:cs="Arial"/>
          <w:bCs/>
          <w:iCs/>
          <w:sz w:val="28"/>
          <w:szCs w:val="28"/>
        </w:rPr>
        <w:t xml:space="preserve"> </w:t>
      </w: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1476E6" w:rsidRDefault="00181D67" w:rsidP="00181D67">
      <w:pPr>
        <w:shd w:val="clear" w:color="auto" w:fill="FFFFFF"/>
        <w:spacing w:line="360" w:lineRule="auto"/>
        <w:ind w:firstLine="851"/>
        <w:jc w:val="both"/>
        <w:rPr>
          <w:rFonts w:ascii="Arial Narrow" w:hAnsi="Arial Narrow" w:cs="Tahoma"/>
          <w:sz w:val="28"/>
          <w:szCs w:val="28"/>
          <w:lang w:val="es-CO"/>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A20DD9">
        <w:rPr>
          <w:rFonts w:ascii="Arial Narrow" w:hAnsi="Arial Narrow" w:cs="Tahoma"/>
          <w:sz w:val="28"/>
          <w:szCs w:val="28"/>
        </w:rPr>
        <w:t xml:space="preserve"> </w:t>
      </w:r>
      <w:r w:rsidR="00FF0A61">
        <w:rPr>
          <w:rFonts w:ascii="Arial Narrow" w:hAnsi="Arial Narrow" w:cs="Tahoma"/>
          <w:sz w:val="28"/>
          <w:szCs w:val="28"/>
        </w:rPr>
        <w:t xml:space="preserve">se persigue en la demanda que se declare que el señor Luis </w:t>
      </w:r>
      <w:proofErr w:type="spellStart"/>
      <w:r w:rsidR="00FF0A61">
        <w:rPr>
          <w:rFonts w:ascii="Arial Narrow" w:hAnsi="Arial Narrow" w:cs="Tahoma"/>
          <w:sz w:val="28"/>
          <w:szCs w:val="28"/>
        </w:rPr>
        <w:t>Aldemar</w:t>
      </w:r>
      <w:proofErr w:type="spellEnd"/>
      <w:r w:rsidR="00FF0A61">
        <w:rPr>
          <w:rFonts w:ascii="Arial Narrow" w:hAnsi="Arial Narrow" w:cs="Tahoma"/>
          <w:sz w:val="28"/>
          <w:szCs w:val="28"/>
        </w:rPr>
        <w:t xml:space="preserve"> Montoya dejó causado el derecho a pensión de sobrevivientes, en aplicación del principio de la condición más beneficiosa, que se declare a la señora Valencia Rendón como beneficiaria de la</w:t>
      </w:r>
      <w:r w:rsidR="00FF0A61">
        <w:rPr>
          <w:rFonts w:ascii="Arial Narrow" w:hAnsi="Arial Narrow" w:cs="Tahoma"/>
          <w:sz w:val="28"/>
          <w:szCs w:val="28"/>
          <w:lang w:val="es-CO"/>
        </w:rPr>
        <w:t xml:space="preserve"> prestación en calidad de cónyuge y al menor Montoya Valencia, en calidad de hijo. En consecuencia, pide que se condene a la entidad d</w:t>
      </w:r>
      <w:r w:rsidR="001476E6">
        <w:rPr>
          <w:rFonts w:ascii="Arial Narrow" w:hAnsi="Arial Narrow" w:cs="Tahoma"/>
          <w:sz w:val="28"/>
          <w:szCs w:val="28"/>
          <w:lang w:val="es-CO"/>
        </w:rPr>
        <w:t>emandada a reconocer y pagar la</w:t>
      </w:r>
      <w:r w:rsidR="00FF0A61">
        <w:rPr>
          <w:rFonts w:ascii="Arial Narrow" w:hAnsi="Arial Narrow" w:cs="Tahoma"/>
          <w:sz w:val="28"/>
          <w:szCs w:val="28"/>
          <w:lang w:val="es-CO"/>
        </w:rPr>
        <w:t xml:space="preserve"> prestación desde la fecha de deceso del afiliado, con la debida indexación y las costas del proceso</w:t>
      </w:r>
      <w:r w:rsidR="001476E6">
        <w:rPr>
          <w:rFonts w:ascii="Arial Narrow" w:hAnsi="Arial Narrow" w:cs="Tahoma"/>
          <w:sz w:val="28"/>
          <w:szCs w:val="28"/>
          <w:lang w:val="es-CO"/>
        </w:rPr>
        <w:t>.</w:t>
      </w:r>
    </w:p>
    <w:p w:rsidR="001476E6" w:rsidRDefault="001476E6" w:rsidP="00181D67">
      <w:pPr>
        <w:shd w:val="clear" w:color="auto" w:fill="FFFFFF"/>
        <w:spacing w:line="360" w:lineRule="auto"/>
        <w:ind w:firstLine="851"/>
        <w:jc w:val="both"/>
        <w:rPr>
          <w:rFonts w:ascii="Arial Narrow" w:hAnsi="Arial Narrow" w:cs="Tahoma"/>
          <w:sz w:val="28"/>
          <w:szCs w:val="28"/>
          <w:lang w:val="es-CO"/>
        </w:rPr>
      </w:pPr>
    </w:p>
    <w:p w:rsidR="00FE042F" w:rsidRDefault="001476E6" w:rsidP="00181D67">
      <w:pPr>
        <w:shd w:val="clear" w:color="auto" w:fill="FFFFFF"/>
        <w:spacing w:line="360" w:lineRule="auto"/>
        <w:ind w:firstLine="851"/>
        <w:jc w:val="both"/>
        <w:rPr>
          <w:rFonts w:ascii="Arial Narrow" w:hAnsi="Arial Narrow" w:cs="Tahoma"/>
          <w:sz w:val="28"/>
          <w:szCs w:val="28"/>
          <w:lang w:val="es-CO"/>
        </w:rPr>
      </w:pPr>
      <w:r>
        <w:rPr>
          <w:rFonts w:ascii="Arial Narrow" w:hAnsi="Arial Narrow" w:cs="Tahoma"/>
          <w:sz w:val="28"/>
          <w:szCs w:val="28"/>
          <w:lang w:val="es-CO"/>
        </w:rPr>
        <w:t xml:space="preserve">Como sustento fáctico de las suplicas referidas, se relata que el señor Luis </w:t>
      </w:r>
      <w:proofErr w:type="spellStart"/>
      <w:r>
        <w:rPr>
          <w:rFonts w:ascii="Arial Narrow" w:hAnsi="Arial Narrow" w:cs="Tahoma"/>
          <w:sz w:val="28"/>
          <w:szCs w:val="28"/>
          <w:lang w:val="es-CO"/>
        </w:rPr>
        <w:t>Aldemar</w:t>
      </w:r>
      <w:proofErr w:type="spellEnd"/>
      <w:r>
        <w:rPr>
          <w:rFonts w:ascii="Arial Narrow" w:hAnsi="Arial Narrow" w:cs="Tahoma"/>
          <w:sz w:val="28"/>
          <w:szCs w:val="28"/>
          <w:lang w:val="es-CO"/>
        </w:rPr>
        <w:t xml:space="preserve"> Montoya falleció el 17 de diciembre de 2011, que para esta época no estaba cotizando al sistema de seguridad social, que la demandante en nombre propio y el de su hijo menor se presentó a reclamar la prestación pensional, que la entidad negó el derecho, porque el afiliado apenas contaba con 3 semanas en los 3 años anteriores a su deceso</w:t>
      </w:r>
      <w:r w:rsidR="002A1CB5">
        <w:rPr>
          <w:rFonts w:ascii="Arial Narrow" w:hAnsi="Arial Narrow" w:cs="Tahoma"/>
          <w:sz w:val="28"/>
          <w:szCs w:val="28"/>
          <w:lang w:val="es-CO"/>
        </w:rPr>
        <w:t xml:space="preserve">, que en septiembre de 2014 se elevó petición pidiendo un nuevo estudio y que se tuvieran en cuenta otras semanas que no aparecían en la historia laboral, que </w:t>
      </w:r>
      <w:r w:rsidR="002A1CB5">
        <w:rPr>
          <w:rFonts w:ascii="Arial Narrow" w:hAnsi="Arial Narrow" w:cs="Tahoma"/>
          <w:sz w:val="28"/>
          <w:szCs w:val="28"/>
          <w:lang w:val="es-CO"/>
        </w:rPr>
        <w:lastRenderedPageBreak/>
        <w:t xml:space="preserve">la entidad reconoció que el demandante en vida su vida laboral cotizó 837 semana, pero apenas 3,72 corresponden a los tres años anteriores al deceso, por lo que nuevamente negó la prestación, que posteriormente se solicitó la revocatoria directa de </w:t>
      </w:r>
      <w:r w:rsidR="00FE042F">
        <w:rPr>
          <w:rFonts w:ascii="Arial Narrow" w:hAnsi="Arial Narrow" w:cs="Tahoma"/>
          <w:sz w:val="28"/>
          <w:szCs w:val="28"/>
          <w:lang w:val="es-CO"/>
        </w:rPr>
        <w:t>tal pronunciamiento, que la entidad negó la misma, indicando la improcedencia de aplicar el Acuerdo 049 de 1990, que al 01 de abril de 1994 contaba con un total de 480,42 semanas.</w:t>
      </w:r>
    </w:p>
    <w:p w:rsidR="00FE042F" w:rsidRDefault="00FE042F" w:rsidP="00181D67">
      <w:pPr>
        <w:shd w:val="clear" w:color="auto" w:fill="FFFFFF"/>
        <w:spacing w:line="360" w:lineRule="auto"/>
        <w:ind w:firstLine="851"/>
        <w:jc w:val="both"/>
        <w:rPr>
          <w:rFonts w:ascii="Arial Narrow" w:hAnsi="Arial Narrow" w:cs="Tahoma"/>
          <w:sz w:val="28"/>
          <w:szCs w:val="28"/>
          <w:lang w:val="es-CO"/>
        </w:rPr>
      </w:pPr>
    </w:p>
    <w:p w:rsidR="00E75F30" w:rsidRDefault="00FE042F" w:rsidP="00181D67">
      <w:pPr>
        <w:shd w:val="clear" w:color="auto" w:fill="FFFFFF"/>
        <w:spacing w:line="360" w:lineRule="auto"/>
        <w:ind w:firstLine="851"/>
        <w:jc w:val="both"/>
        <w:rPr>
          <w:rFonts w:ascii="Arial Narrow" w:hAnsi="Arial Narrow" w:cs="Tahoma"/>
          <w:sz w:val="28"/>
          <w:szCs w:val="28"/>
          <w:lang w:val="es-CO"/>
        </w:rPr>
      </w:pPr>
      <w:r>
        <w:rPr>
          <w:rFonts w:ascii="Arial Narrow" w:hAnsi="Arial Narrow" w:cs="Tahoma"/>
          <w:sz w:val="28"/>
          <w:szCs w:val="28"/>
          <w:lang w:val="es-CO"/>
        </w:rPr>
        <w:t>Admitida la demanda, se dio traslado de la misma a la entidad demandada, la cual allegó respuesta por intermedio de procuradora judicial, la que se pronunció respecto a los hechos de la demanda aceptando la fecha de fallecimiento, la no calidad de activo del afiliado fallecido, la reclamación de la actora en su propio nombre y en representación de su hijo menor, la negativa de la entidad, la segunda reclamación, la nueva negativa, la solicitud de revocatoria directa, la negativa de la entidad y los argumentos allí expuestos</w:t>
      </w:r>
      <w:r w:rsidR="00E75F30">
        <w:rPr>
          <w:rFonts w:ascii="Arial Narrow" w:hAnsi="Arial Narrow" w:cs="Tahoma"/>
          <w:sz w:val="28"/>
          <w:szCs w:val="28"/>
          <w:lang w:val="es-CO"/>
        </w:rPr>
        <w:t xml:space="preserve">. Frente a los restantes indican que no le constan. </w:t>
      </w:r>
      <w:r w:rsidR="003040E8">
        <w:rPr>
          <w:rFonts w:ascii="Arial Narrow" w:hAnsi="Arial Narrow" w:cs="Tahoma"/>
          <w:sz w:val="28"/>
          <w:szCs w:val="28"/>
          <w:lang w:val="es-CO"/>
        </w:rPr>
        <w:t>Se opuso a las pretensiones de la demanda y excepcionó de fondo “Inexistencia de la obligación”, “Prescripción”, “Improcedencia de los intereses de mora” y “Buena fe”.</w:t>
      </w:r>
    </w:p>
    <w:p w:rsidR="00BC5283" w:rsidRDefault="00BC5283" w:rsidP="00181D67">
      <w:pPr>
        <w:shd w:val="clear" w:color="auto" w:fill="FFFFFF"/>
        <w:spacing w:line="360" w:lineRule="auto"/>
        <w:ind w:firstLine="851"/>
        <w:jc w:val="both"/>
        <w:rPr>
          <w:rFonts w:ascii="Arial Narrow" w:hAnsi="Arial Narrow" w:cs="Tahoma"/>
          <w:sz w:val="28"/>
          <w:szCs w:val="28"/>
        </w:rPr>
      </w:pPr>
    </w:p>
    <w:p w:rsidR="00FC7058" w:rsidRDefault="00FA4AD1"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SENTENCIA </w:t>
      </w:r>
    </w:p>
    <w:p w:rsidR="00FC7058" w:rsidRDefault="00FC7058" w:rsidP="00181D67">
      <w:pPr>
        <w:shd w:val="clear" w:color="auto" w:fill="FFFFFF"/>
        <w:spacing w:line="360" w:lineRule="auto"/>
        <w:ind w:firstLine="851"/>
        <w:jc w:val="both"/>
        <w:rPr>
          <w:rFonts w:ascii="Arial Narrow" w:hAnsi="Arial Narrow" w:cs="Tahoma"/>
          <w:b/>
          <w:i/>
          <w:sz w:val="28"/>
          <w:szCs w:val="28"/>
        </w:rPr>
      </w:pPr>
    </w:p>
    <w:p w:rsidR="006E2143" w:rsidRDefault="00FC7058" w:rsidP="0010743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Agotados los ritos procesales, la señora Jueza profirió sentencia en la </w:t>
      </w:r>
      <w:r w:rsidR="001E4C2E">
        <w:rPr>
          <w:rFonts w:ascii="Arial Narrow" w:hAnsi="Arial Narrow" w:cs="Tahoma"/>
          <w:sz w:val="28"/>
          <w:szCs w:val="28"/>
        </w:rPr>
        <w:t>que accedió a las pretensiones de la demanda</w:t>
      </w:r>
      <w:r w:rsidR="003040E8">
        <w:rPr>
          <w:rFonts w:ascii="Arial Narrow" w:hAnsi="Arial Narrow" w:cs="Tahoma"/>
          <w:sz w:val="28"/>
          <w:szCs w:val="28"/>
        </w:rPr>
        <w:t xml:space="preserve"> a favor del meno</w:t>
      </w:r>
      <w:r w:rsidR="005A63C8">
        <w:rPr>
          <w:rFonts w:ascii="Arial Narrow" w:hAnsi="Arial Narrow" w:cs="Tahoma"/>
          <w:sz w:val="28"/>
          <w:szCs w:val="28"/>
        </w:rPr>
        <w:t>r</w:t>
      </w:r>
      <w:r w:rsidR="003040E8">
        <w:rPr>
          <w:rFonts w:ascii="Arial Narrow" w:hAnsi="Arial Narrow" w:cs="Tahoma"/>
          <w:sz w:val="28"/>
          <w:szCs w:val="28"/>
        </w:rPr>
        <w:t xml:space="preserve"> Montoya Valencia. En primera medida, entró a analizar la posibilidad de aplicar, por condición más beneficiosa</w:t>
      </w:r>
      <w:r w:rsidR="002C71FF">
        <w:rPr>
          <w:rFonts w:ascii="Arial Narrow" w:hAnsi="Arial Narrow" w:cs="Tahoma"/>
          <w:sz w:val="28"/>
          <w:szCs w:val="28"/>
        </w:rPr>
        <w:t xml:space="preserve">, el Acuerdo 049 de 1990, atendiendo que el deceso del afiliado se dio en vigencia de la Ley 797 de 2003, encontrando </w:t>
      </w:r>
      <w:r w:rsidR="00147501">
        <w:rPr>
          <w:rFonts w:ascii="Arial Narrow" w:hAnsi="Arial Narrow" w:cs="Tahoma"/>
          <w:sz w:val="28"/>
          <w:szCs w:val="28"/>
        </w:rPr>
        <w:t xml:space="preserve">que sí es posible tal aplicación, conforme a la jurisprudencia y en aplicación de la </w:t>
      </w:r>
      <w:proofErr w:type="spellStart"/>
      <w:r w:rsidR="00147501">
        <w:rPr>
          <w:rFonts w:ascii="Arial Narrow" w:hAnsi="Arial Narrow" w:cs="Tahoma"/>
          <w:sz w:val="28"/>
          <w:szCs w:val="28"/>
        </w:rPr>
        <w:t>principialistica</w:t>
      </w:r>
      <w:proofErr w:type="spellEnd"/>
      <w:r w:rsidR="00147501">
        <w:rPr>
          <w:rFonts w:ascii="Arial Narrow" w:hAnsi="Arial Narrow" w:cs="Tahoma"/>
          <w:sz w:val="28"/>
          <w:szCs w:val="28"/>
        </w:rPr>
        <w:t xml:space="preserve"> propia del sistema de seguridad social. Posteriormente, entró a analizar</w:t>
      </w:r>
      <w:r w:rsidR="00CD2CE3">
        <w:rPr>
          <w:rFonts w:ascii="Arial Narrow" w:hAnsi="Arial Narrow" w:cs="Tahoma"/>
          <w:sz w:val="28"/>
          <w:szCs w:val="28"/>
        </w:rPr>
        <w:t xml:space="preserve"> la calidad de beneficiarios encontrando que está plenamente acreditada la condición de hijo menor del afiliado que ostenta Santiago Montoya Valencia</w:t>
      </w:r>
      <w:r w:rsidR="006E2143">
        <w:rPr>
          <w:rFonts w:ascii="Arial Narrow" w:hAnsi="Arial Narrow" w:cs="Tahoma"/>
          <w:sz w:val="28"/>
          <w:szCs w:val="28"/>
        </w:rPr>
        <w:t xml:space="preserve">. En cuanto a la demandante Valencia Rendón, encuentra que ella tenía el deber de demostrar convivencia en, al menos los 5 años anteriores al deceso del señor </w:t>
      </w:r>
      <w:proofErr w:type="spellStart"/>
      <w:r w:rsidR="006E2143">
        <w:rPr>
          <w:rFonts w:ascii="Arial Narrow" w:hAnsi="Arial Narrow" w:cs="Tahoma"/>
          <w:sz w:val="28"/>
          <w:szCs w:val="28"/>
        </w:rPr>
        <w:t>Aldemar</w:t>
      </w:r>
      <w:proofErr w:type="spellEnd"/>
      <w:r w:rsidR="006E2143">
        <w:rPr>
          <w:rFonts w:ascii="Arial Narrow" w:hAnsi="Arial Narrow" w:cs="Tahoma"/>
          <w:sz w:val="28"/>
          <w:szCs w:val="28"/>
        </w:rPr>
        <w:t xml:space="preserve">, lo que no hizo pues no trajo ninguna prueba al respecto, más que el registro civil  de matrimonio, el cual evidencia la existencia del vínculo legal, más no la convivencia y tal condición no fue reconocida por la entidad. </w:t>
      </w:r>
    </w:p>
    <w:p w:rsidR="006E2143" w:rsidRDefault="006E2143" w:rsidP="0010743C">
      <w:pPr>
        <w:shd w:val="clear" w:color="auto" w:fill="FFFFFF"/>
        <w:spacing w:line="360" w:lineRule="auto"/>
        <w:ind w:firstLine="851"/>
        <w:jc w:val="both"/>
        <w:rPr>
          <w:rFonts w:ascii="Arial Narrow" w:hAnsi="Arial Narrow" w:cs="Tahoma"/>
          <w:sz w:val="28"/>
          <w:szCs w:val="28"/>
        </w:rPr>
      </w:pPr>
    </w:p>
    <w:p w:rsidR="006E2143" w:rsidRDefault="006E2143" w:rsidP="0010743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Por tal motivo reconoció el 100% de la prestación al menor y dispuso el pago del retroactivo pensional, a razón de 13 mesadas anuales, en cuantía del salario mínimo y debidamente indexado.</w:t>
      </w:r>
    </w:p>
    <w:p w:rsidR="00CE0D58" w:rsidRDefault="00CE0D58" w:rsidP="0010743C">
      <w:pPr>
        <w:shd w:val="clear" w:color="auto" w:fill="FFFFFF"/>
        <w:spacing w:line="360" w:lineRule="auto"/>
        <w:ind w:firstLine="851"/>
        <w:jc w:val="both"/>
        <w:rPr>
          <w:rFonts w:ascii="Arial Narrow" w:hAnsi="Arial Narrow" w:cs="Tahoma"/>
          <w:sz w:val="28"/>
          <w:szCs w:val="28"/>
        </w:rPr>
      </w:pPr>
    </w:p>
    <w:p w:rsidR="00CE0D58" w:rsidRDefault="00CE0D58" w:rsidP="0010743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La decisión no fue apelada, por lo que al ser adversa a los intereses de la demandada, en la que es garante el Estado</w:t>
      </w:r>
      <w:r w:rsidR="006E2143">
        <w:rPr>
          <w:rFonts w:ascii="Arial Narrow" w:hAnsi="Arial Narrow" w:cs="Tahoma"/>
          <w:sz w:val="28"/>
          <w:szCs w:val="28"/>
        </w:rPr>
        <w:t xml:space="preserve"> y totalmente desfavorable a la </w:t>
      </w:r>
      <w:proofErr w:type="spellStart"/>
      <w:r w:rsidR="006E2143">
        <w:rPr>
          <w:rFonts w:ascii="Arial Narrow" w:hAnsi="Arial Narrow" w:cs="Tahoma"/>
          <w:sz w:val="28"/>
          <w:szCs w:val="28"/>
        </w:rPr>
        <w:t>codemandante</w:t>
      </w:r>
      <w:proofErr w:type="spellEnd"/>
      <w:r>
        <w:rPr>
          <w:rFonts w:ascii="Arial Narrow" w:hAnsi="Arial Narrow" w:cs="Tahoma"/>
          <w:sz w:val="28"/>
          <w:szCs w:val="28"/>
        </w:rPr>
        <w:t>, se dispuso el grado de consulta.</w:t>
      </w:r>
    </w:p>
    <w:p w:rsidR="009311B5" w:rsidRDefault="009311B5" w:rsidP="00181D67">
      <w:pPr>
        <w:shd w:val="clear" w:color="auto" w:fill="FFFFFF"/>
        <w:spacing w:line="360" w:lineRule="auto"/>
        <w:ind w:firstLine="851"/>
        <w:jc w:val="both"/>
        <w:rPr>
          <w:rFonts w:ascii="Arial Narrow" w:hAnsi="Arial Narrow" w:cs="Tahoma"/>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FA13B4" w:rsidRDefault="00CE0D5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Corresponde a la Sala analizar, en primer lugar, si el señor </w:t>
      </w:r>
      <w:r w:rsidR="00FA13B4">
        <w:rPr>
          <w:rFonts w:ascii="Arial Narrow" w:hAnsi="Arial Narrow" w:cs="Tahoma"/>
          <w:color w:val="000000"/>
          <w:sz w:val="28"/>
          <w:szCs w:val="28"/>
          <w:lang w:eastAsia="es-CO"/>
        </w:rPr>
        <w:t xml:space="preserve">Luís </w:t>
      </w:r>
      <w:proofErr w:type="spellStart"/>
      <w:r w:rsidR="00FA13B4">
        <w:rPr>
          <w:rFonts w:ascii="Arial Narrow" w:hAnsi="Arial Narrow" w:cs="Tahoma"/>
          <w:color w:val="000000"/>
          <w:sz w:val="28"/>
          <w:szCs w:val="28"/>
          <w:lang w:eastAsia="es-CO"/>
        </w:rPr>
        <w:t>Aldemar</w:t>
      </w:r>
      <w:proofErr w:type="spellEnd"/>
      <w:r w:rsidR="00FA13B4">
        <w:rPr>
          <w:rFonts w:ascii="Arial Narrow" w:hAnsi="Arial Narrow" w:cs="Tahoma"/>
          <w:color w:val="000000"/>
          <w:sz w:val="28"/>
          <w:szCs w:val="28"/>
          <w:lang w:eastAsia="es-CO"/>
        </w:rPr>
        <w:t xml:space="preserve"> Montoya </w:t>
      </w:r>
      <w:r>
        <w:rPr>
          <w:rFonts w:ascii="Arial Narrow" w:hAnsi="Arial Narrow" w:cs="Tahoma"/>
          <w:color w:val="000000"/>
          <w:sz w:val="28"/>
          <w:szCs w:val="28"/>
          <w:lang w:eastAsia="es-CO"/>
        </w:rPr>
        <w:t xml:space="preserve"> dejó causado el derecho pensional y, como segundo punto, si l</w:t>
      </w:r>
      <w:r w:rsidR="00FA13B4">
        <w:rPr>
          <w:rFonts w:ascii="Arial Narrow" w:hAnsi="Arial Narrow" w:cs="Tahoma"/>
          <w:color w:val="000000"/>
          <w:sz w:val="28"/>
          <w:szCs w:val="28"/>
          <w:lang w:eastAsia="es-CO"/>
        </w:rPr>
        <w:t>os demandantes cumplen las condiciones para ser tenidos como beneficiarios de la prestación pensional.</w:t>
      </w:r>
    </w:p>
    <w:p w:rsidR="00CE0D58" w:rsidRDefault="00CE0D5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FA13B4" w:rsidRDefault="00E402C5" w:rsidP="00E402C5">
      <w:pPr>
        <w:spacing w:line="360" w:lineRule="auto"/>
        <w:ind w:firstLine="708"/>
        <w:jc w:val="both"/>
        <w:rPr>
          <w:rFonts w:ascii="Arial Narrow" w:hAnsi="Arial Narrow" w:cs="Arial"/>
          <w:sz w:val="28"/>
          <w:szCs w:val="28"/>
        </w:rPr>
      </w:pPr>
      <w:r>
        <w:rPr>
          <w:rFonts w:ascii="Arial Narrow" w:hAnsi="Arial Narrow" w:cs="Arial"/>
          <w:sz w:val="28"/>
          <w:szCs w:val="28"/>
        </w:rPr>
        <w:t xml:space="preserve">Respecto al primero de los </w:t>
      </w:r>
      <w:r w:rsidR="005A63C8">
        <w:rPr>
          <w:rFonts w:ascii="Arial Narrow" w:hAnsi="Arial Narrow" w:cs="Arial"/>
          <w:sz w:val="28"/>
          <w:szCs w:val="28"/>
        </w:rPr>
        <w:t>problemas</w:t>
      </w:r>
      <w:r>
        <w:rPr>
          <w:rFonts w:ascii="Arial Narrow" w:hAnsi="Arial Narrow" w:cs="Arial"/>
          <w:sz w:val="28"/>
          <w:szCs w:val="28"/>
        </w:rPr>
        <w:t xml:space="preserve"> planteados</w:t>
      </w:r>
      <w:r w:rsidR="00166C3D">
        <w:rPr>
          <w:rFonts w:ascii="Arial Narrow" w:hAnsi="Arial Narrow" w:cs="Arial"/>
          <w:sz w:val="28"/>
          <w:szCs w:val="28"/>
        </w:rPr>
        <w:t>, debe decirse que por regla general, la pensión de sobrevivientes</w:t>
      </w:r>
      <w:r w:rsidR="00760C07">
        <w:rPr>
          <w:rFonts w:ascii="Arial Narrow" w:hAnsi="Arial Narrow" w:cs="Arial"/>
          <w:sz w:val="28"/>
          <w:szCs w:val="28"/>
        </w:rPr>
        <w:t xml:space="preserve"> se rige por la legislación </w:t>
      </w:r>
      <w:r w:rsidR="006126AB">
        <w:rPr>
          <w:rFonts w:ascii="Arial Narrow" w:hAnsi="Arial Narrow" w:cs="Arial"/>
          <w:sz w:val="28"/>
          <w:szCs w:val="28"/>
        </w:rPr>
        <w:t>vigente al momento del causante. Por ello, en este caso, la prestación, en principio, debería regirse por la Ley 100 de 1993,</w:t>
      </w:r>
      <w:r w:rsidR="00FA13B4">
        <w:rPr>
          <w:rFonts w:ascii="Arial Narrow" w:hAnsi="Arial Narrow" w:cs="Arial"/>
          <w:sz w:val="28"/>
          <w:szCs w:val="28"/>
        </w:rPr>
        <w:t xml:space="preserve"> modificada por la Ley 797 de 2003</w:t>
      </w:r>
      <w:r w:rsidR="006126AB">
        <w:rPr>
          <w:rFonts w:ascii="Arial Narrow" w:hAnsi="Arial Narrow" w:cs="Arial"/>
          <w:sz w:val="28"/>
          <w:szCs w:val="28"/>
        </w:rPr>
        <w:t>, que exig</w:t>
      </w:r>
      <w:r w:rsidR="00FA13B4">
        <w:rPr>
          <w:rFonts w:ascii="Arial Narrow" w:hAnsi="Arial Narrow" w:cs="Arial"/>
          <w:sz w:val="28"/>
          <w:szCs w:val="28"/>
        </w:rPr>
        <w:t>e</w:t>
      </w:r>
      <w:r w:rsidR="006126AB">
        <w:rPr>
          <w:rFonts w:ascii="Arial Narrow" w:hAnsi="Arial Narrow" w:cs="Arial"/>
          <w:sz w:val="28"/>
          <w:szCs w:val="28"/>
        </w:rPr>
        <w:t xml:space="preserve">, en caso del deceso de un </w:t>
      </w:r>
      <w:r w:rsidR="006126AB">
        <w:rPr>
          <w:rFonts w:ascii="Arial Narrow" w:hAnsi="Arial Narrow" w:cs="Arial"/>
          <w:sz w:val="28"/>
          <w:szCs w:val="28"/>
        </w:rPr>
        <w:lastRenderedPageBreak/>
        <w:t xml:space="preserve">afiliado, que </w:t>
      </w:r>
      <w:r w:rsidR="00FA13B4">
        <w:rPr>
          <w:rFonts w:ascii="Arial Narrow" w:hAnsi="Arial Narrow" w:cs="Arial"/>
          <w:sz w:val="28"/>
          <w:szCs w:val="28"/>
        </w:rPr>
        <w:t>cuente con un total de 50 semanas en los tres años anteriores al deceso lapso en el cual el afiliado Montoya, conforme a la historia laboral aportada por la entidad demandada –</w:t>
      </w:r>
      <w:proofErr w:type="spellStart"/>
      <w:r w:rsidR="00FA13B4">
        <w:rPr>
          <w:rFonts w:ascii="Arial Narrow" w:hAnsi="Arial Narrow" w:cs="Arial"/>
          <w:sz w:val="28"/>
          <w:szCs w:val="28"/>
        </w:rPr>
        <w:t>fls</w:t>
      </w:r>
      <w:proofErr w:type="spellEnd"/>
      <w:r w:rsidR="00FA13B4">
        <w:rPr>
          <w:rFonts w:ascii="Arial Narrow" w:hAnsi="Arial Narrow" w:cs="Arial"/>
          <w:sz w:val="28"/>
          <w:szCs w:val="28"/>
        </w:rPr>
        <w:t xml:space="preserve">. 100 y </w:t>
      </w:r>
      <w:proofErr w:type="spellStart"/>
      <w:r w:rsidR="00FA13B4">
        <w:rPr>
          <w:rFonts w:ascii="Arial Narrow" w:hAnsi="Arial Narrow" w:cs="Arial"/>
          <w:sz w:val="28"/>
          <w:szCs w:val="28"/>
        </w:rPr>
        <w:t>ss</w:t>
      </w:r>
      <w:proofErr w:type="spellEnd"/>
      <w:r w:rsidR="00FA13B4">
        <w:rPr>
          <w:rFonts w:ascii="Arial Narrow" w:hAnsi="Arial Narrow" w:cs="Arial"/>
          <w:sz w:val="28"/>
          <w:szCs w:val="28"/>
        </w:rPr>
        <w:t>-  apenas cotizó 1.58 semanas, suma claramente inferior a la exigida.</w:t>
      </w:r>
    </w:p>
    <w:p w:rsidR="00834A07" w:rsidRDefault="00834A07" w:rsidP="00E402C5">
      <w:pPr>
        <w:spacing w:line="360" w:lineRule="auto"/>
        <w:ind w:firstLine="708"/>
        <w:jc w:val="both"/>
        <w:rPr>
          <w:rFonts w:ascii="Arial Narrow" w:hAnsi="Arial Narrow" w:cs="Arial"/>
          <w:sz w:val="28"/>
          <w:szCs w:val="28"/>
        </w:rPr>
      </w:pPr>
    </w:p>
    <w:p w:rsidR="00E402C5" w:rsidRDefault="00834A07" w:rsidP="00E402C5">
      <w:pPr>
        <w:spacing w:line="360" w:lineRule="auto"/>
        <w:ind w:firstLine="708"/>
        <w:jc w:val="both"/>
        <w:rPr>
          <w:rFonts w:ascii="Arial Narrow" w:hAnsi="Arial Narrow" w:cs="Arial"/>
          <w:sz w:val="28"/>
          <w:szCs w:val="28"/>
        </w:rPr>
      </w:pPr>
      <w:r>
        <w:rPr>
          <w:rFonts w:ascii="Arial Narrow" w:hAnsi="Arial Narrow" w:cs="Arial"/>
          <w:sz w:val="28"/>
          <w:szCs w:val="28"/>
        </w:rPr>
        <w:t>No obstante lo anterior, el asunto bien puede analizarse bajo la egida del principio de la condición más beneficiosa</w:t>
      </w:r>
      <w:r w:rsidR="004C1A92">
        <w:rPr>
          <w:rFonts w:ascii="Arial Narrow" w:hAnsi="Arial Narrow" w:cs="Arial"/>
          <w:sz w:val="28"/>
          <w:szCs w:val="28"/>
        </w:rPr>
        <w:t>, en virtud del cual es posible que, si bajo una normatividad anterior</w:t>
      </w:r>
      <w:r w:rsidR="000F7806">
        <w:rPr>
          <w:rFonts w:ascii="Arial Narrow" w:hAnsi="Arial Narrow" w:cs="Arial"/>
          <w:sz w:val="28"/>
          <w:szCs w:val="28"/>
        </w:rPr>
        <w:t>, el afiliado logró cumplir las condiciones de cotización allí exigidas</w:t>
      </w:r>
      <w:r w:rsidR="007F1B7E">
        <w:rPr>
          <w:rFonts w:ascii="Arial Narrow" w:hAnsi="Arial Narrow" w:cs="Arial"/>
          <w:sz w:val="28"/>
          <w:szCs w:val="28"/>
        </w:rPr>
        <w:t xml:space="preserve">, es posible que su derecho se rija por esa norma anterior, así el riesgo se consolide en vigencia de otra norma posterior. </w:t>
      </w:r>
      <w:r w:rsidR="00E402C5">
        <w:rPr>
          <w:rFonts w:ascii="Arial Narrow" w:hAnsi="Arial Narrow" w:cs="Arial"/>
          <w:sz w:val="28"/>
          <w:szCs w:val="28"/>
        </w:rPr>
        <w:t>Este principio constitucional, derivado del canon 53 superior, implica la ultra actividad de la norma, pues autoriza a que una norma derogada, regule un caso posterior a su vigencia.</w:t>
      </w:r>
    </w:p>
    <w:p w:rsidR="006B2B89" w:rsidRDefault="006B2B89" w:rsidP="006B2B89">
      <w:pPr>
        <w:spacing w:line="360" w:lineRule="auto"/>
        <w:ind w:firstLine="708"/>
        <w:jc w:val="both"/>
        <w:rPr>
          <w:rFonts w:ascii="Arial Narrow" w:hAnsi="Arial Narrow"/>
          <w:sz w:val="28"/>
          <w:szCs w:val="28"/>
        </w:rPr>
      </w:pPr>
    </w:p>
    <w:p w:rsidR="006B2B89" w:rsidRPr="00D61A41" w:rsidRDefault="006B2B89" w:rsidP="006B2B89">
      <w:pPr>
        <w:spacing w:line="360" w:lineRule="auto"/>
        <w:ind w:firstLine="708"/>
        <w:jc w:val="both"/>
        <w:rPr>
          <w:rFonts w:ascii="Arial Narrow" w:hAnsi="Arial Narrow" w:cs="Tahoma"/>
          <w:sz w:val="28"/>
          <w:szCs w:val="28"/>
        </w:rPr>
      </w:pPr>
      <w:r>
        <w:rPr>
          <w:rFonts w:ascii="Arial Narrow" w:hAnsi="Arial Narrow"/>
          <w:sz w:val="28"/>
          <w:szCs w:val="28"/>
        </w:rPr>
        <w:t xml:space="preserve">Y es de abordarse bajo esta perspectiva, en la medida en que para la mayoría de esta Sala, resulta posible acudir al Acuerdo 049 de 1990 aprobado por el Decreto 758 del mismo año, por la vía de la condición más beneficiosa, pese a que el riesgo se materializó en vigencia de la Ley 797 de 2003. Tal conclusión, se ha afincado esencialmente en la permanente línea jurisprudencial de la Corte Constitucional, recientemente reiterada y unificada en la </w:t>
      </w:r>
      <w:r w:rsidRPr="00D61A41">
        <w:rPr>
          <w:rFonts w:ascii="Arial Narrow" w:hAnsi="Arial Narrow" w:cs="Tahoma"/>
          <w:sz w:val="28"/>
          <w:szCs w:val="28"/>
        </w:rPr>
        <w:t>sentencia SU-442</w:t>
      </w:r>
      <w:r>
        <w:rPr>
          <w:rFonts w:ascii="Arial Narrow" w:hAnsi="Arial Narrow" w:cs="Tahoma"/>
          <w:sz w:val="28"/>
          <w:szCs w:val="28"/>
        </w:rPr>
        <w:t xml:space="preserve"> de 2016</w:t>
      </w:r>
      <w:r w:rsidRPr="00D61A41">
        <w:rPr>
          <w:rFonts w:ascii="Arial Narrow" w:hAnsi="Arial Narrow" w:cs="Tahoma"/>
          <w:sz w:val="28"/>
          <w:szCs w:val="28"/>
        </w:rPr>
        <w:t xml:space="preserve"> dijo:</w:t>
      </w:r>
    </w:p>
    <w:p w:rsidR="006B2B89" w:rsidRPr="00D61A41" w:rsidRDefault="006B2B89" w:rsidP="006B2B89">
      <w:pPr>
        <w:pStyle w:val="Sinespaciado"/>
      </w:pPr>
    </w:p>
    <w:p w:rsidR="006B2B89" w:rsidRDefault="006B2B89" w:rsidP="006B2B89">
      <w:pPr>
        <w:pStyle w:val="Textoindependiente31"/>
        <w:ind w:firstLine="851"/>
        <w:rPr>
          <w:rFonts w:ascii="Arial Narrow" w:hAnsi="Arial Narrow" w:cs="Tahoma"/>
          <w:szCs w:val="28"/>
        </w:rPr>
      </w:pPr>
      <w:r w:rsidRPr="00D61A41">
        <w:rPr>
          <w:rFonts w:ascii="Arial Narrow" w:hAnsi="Arial Narrow" w:cs="Tahoma"/>
          <w:szCs w:val="28"/>
        </w:rPr>
        <w:t>“</w:t>
      </w:r>
      <w:r w:rsidRPr="00D61A41">
        <w:rPr>
          <w:rFonts w:ascii="Arial Narrow" w:hAnsi="Arial Narrow" w:cs="Tahoma"/>
          <w:i/>
          <w:szCs w:val="28"/>
        </w:rPr>
        <w:t>en virtud de la condición más beneficiosa, las expectativas legítimamente contraídas antes de entrar en vigencia el sistema general de pensiones de la Ley 100 de 1993 constituyen barreras, que limitan la competencia del legislador para agravar los requisitos ya cumplidos mediante reformas desprovistas de regímenes de transición. Este límite, de raigambre constitucional, es entonces oponible a la reforma introducida por la Ley 100 de 1993, en su versión original, e incluso por la Ley 860 de 2003</w:t>
      </w:r>
      <w:r w:rsidRPr="00D61A41">
        <w:rPr>
          <w:rFonts w:ascii="Arial Narrow" w:hAnsi="Arial Narrow" w:cs="Tahoma"/>
          <w:szCs w:val="28"/>
        </w:rPr>
        <w:t>”.</w:t>
      </w:r>
    </w:p>
    <w:p w:rsidR="009851C9" w:rsidRPr="00D61A41" w:rsidRDefault="009851C9" w:rsidP="006B2B89">
      <w:pPr>
        <w:pStyle w:val="Textoindependiente31"/>
        <w:ind w:firstLine="851"/>
        <w:rPr>
          <w:rFonts w:ascii="Arial Narrow" w:hAnsi="Arial Narrow" w:cs="Tahoma"/>
          <w:szCs w:val="28"/>
        </w:rPr>
      </w:pPr>
    </w:p>
    <w:p w:rsidR="006B2B89" w:rsidRPr="00D61A41" w:rsidRDefault="006B2B89" w:rsidP="006B2B89">
      <w:pPr>
        <w:pStyle w:val="Textoindependiente31"/>
        <w:ind w:firstLine="708"/>
        <w:rPr>
          <w:rFonts w:ascii="Arial Narrow" w:hAnsi="Arial Narrow" w:cs="Tahoma"/>
          <w:szCs w:val="28"/>
        </w:rPr>
      </w:pPr>
      <w:r w:rsidRPr="00D61A41">
        <w:rPr>
          <w:rFonts w:ascii="Arial Narrow" w:hAnsi="Arial Narrow" w:cs="Tahoma"/>
          <w:szCs w:val="28"/>
        </w:rPr>
        <w:t>En segundo lugar, resulta significativo el planteamiento del alto Tribunal Constitucional, en orden a que no sea estrictamente necesaria, en ejercicio de la condición más beneficiosa, la aplicación de la norma sucesivamente anterior, sobre el fundamento de que este principio se basa en la certeza y no en la duda.</w:t>
      </w:r>
    </w:p>
    <w:p w:rsidR="006B2B89" w:rsidRPr="00D61A41" w:rsidRDefault="006B2B89" w:rsidP="006B2B89">
      <w:pPr>
        <w:pStyle w:val="Sinespaciado"/>
      </w:pPr>
    </w:p>
    <w:p w:rsidR="006B2B89" w:rsidRDefault="006B2B89" w:rsidP="006B2B89">
      <w:pPr>
        <w:pStyle w:val="Textoindependiente31"/>
        <w:ind w:firstLine="851"/>
        <w:rPr>
          <w:rFonts w:ascii="Arial Narrow" w:hAnsi="Arial Narrow" w:cs="Tahoma"/>
          <w:szCs w:val="28"/>
        </w:rPr>
      </w:pPr>
      <w:r w:rsidRPr="00D61A41">
        <w:rPr>
          <w:rFonts w:ascii="Arial Narrow" w:hAnsi="Arial Narrow" w:cs="Tahoma"/>
          <w:szCs w:val="28"/>
        </w:rPr>
        <w:lastRenderedPageBreak/>
        <w:t xml:space="preserve">Así lo expuso </w:t>
      </w:r>
      <w:r>
        <w:rPr>
          <w:rFonts w:ascii="Arial Narrow" w:hAnsi="Arial Narrow" w:cs="Tahoma"/>
          <w:szCs w:val="28"/>
        </w:rPr>
        <w:t>la citada Corporación en el fallo que se viene citando</w:t>
      </w:r>
      <w:r w:rsidRPr="00D61A41">
        <w:rPr>
          <w:rFonts w:ascii="Arial Narrow" w:hAnsi="Arial Narrow" w:cs="Tahoma"/>
          <w:szCs w:val="28"/>
        </w:rPr>
        <w:t xml:space="preserve">, tras exponer que como órgano de cierre  en materia constitucional tiene competencia para unificar la interpretación correspondiente (CP. 241), prosigue que a diferencia de los principios de favorabilidad e </w:t>
      </w:r>
      <w:proofErr w:type="spellStart"/>
      <w:r w:rsidRPr="00D61A41">
        <w:rPr>
          <w:rFonts w:ascii="Arial Narrow" w:hAnsi="Arial Narrow" w:cs="Tahoma"/>
          <w:szCs w:val="28"/>
        </w:rPr>
        <w:t>indubio</w:t>
      </w:r>
      <w:proofErr w:type="spellEnd"/>
      <w:r w:rsidRPr="00D61A41">
        <w:rPr>
          <w:rFonts w:ascii="Arial Narrow" w:hAnsi="Arial Narrow" w:cs="Tahoma"/>
          <w:szCs w:val="28"/>
        </w:rPr>
        <w:t xml:space="preserve"> pro operario, “</w:t>
      </w:r>
      <w:r w:rsidRPr="00D61A41">
        <w:rPr>
          <w:rFonts w:ascii="Arial Narrow" w:hAnsi="Arial Narrow" w:cs="Tahoma"/>
          <w:i/>
          <w:szCs w:val="28"/>
        </w:rPr>
        <w:t>la condición más beneficiosa se desarrolla sobre la base de la certeza, pues el operador jurídico sabe cuál es la norma vigente y cuál, por ende, debería aplicar. Lo que sucede es que, al comprobar que dicha actuación tendría unos efectos desproporcionadamente injustos en un caso particular, acude a una excepción resolviendo la situación con una norma derogada</w:t>
      </w:r>
      <w:r w:rsidRPr="00D61A41">
        <w:rPr>
          <w:rFonts w:ascii="Arial Narrow" w:hAnsi="Arial Narrow" w:cs="Tahoma"/>
          <w:szCs w:val="28"/>
        </w:rPr>
        <w:t>”.</w:t>
      </w:r>
    </w:p>
    <w:p w:rsidR="006B2B89" w:rsidRDefault="006B2B89" w:rsidP="006B2B89">
      <w:pPr>
        <w:pStyle w:val="Textoindependiente32"/>
        <w:ind w:firstLine="708"/>
        <w:rPr>
          <w:rFonts w:ascii="Arial Narrow" w:hAnsi="Arial Narrow"/>
          <w:sz w:val="28"/>
          <w:szCs w:val="28"/>
        </w:rPr>
      </w:pPr>
    </w:p>
    <w:p w:rsidR="006B2B89" w:rsidRDefault="006B2B89" w:rsidP="006B2B89">
      <w:pPr>
        <w:pStyle w:val="Textoindependiente32"/>
        <w:ind w:firstLine="708"/>
        <w:rPr>
          <w:rFonts w:ascii="Arial Narrow" w:hAnsi="Arial Narrow" w:cs="Tahoma"/>
          <w:sz w:val="28"/>
          <w:szCs w:val="28"/>
        </w:rPr>
      </w:pPr>
      <w:r>
        <w:rPr>
          <w:rFonts w:ascii="Arial Narrow" w:hAnsi="Arial Narrow"/>
          <w:sz w:val="28"/>
          <w:szCs w:val="28"/>
        </w:rPr>
        <w:t>Conforme al material jurisprudencial glosado, se decanta</w:t>
      </w:r>
      <w:r w:rsidRPr="00510D5E">
        <w:rPr>
          <w:rFonts w:ascii="Arial Narrow" w:hAnsi="Arial Narrow" w:cs="Tahoma"/>
          <w:sz w:val="28"/>
          <w:szCs w:val="28"/>
        </w:rPr>
        <w:t xml:space="preserve"> </w:t>
      </w:r>
      <w:r w:rsidRPr="005C6252">
        <w:rPr>
          <w:rFonts w:ascii="Arial Narrow" w:hAnsi="Arial Narrow" w:cs="Tahoma"/>
          <w:sz w:val="28"/>
          <w:szCs w:val="28"/>
        </w:rPr>
        <w:t>que más allá de acudir al concepto que en sí mismo encierra el principio de la condición más beneficiosa, a propósito de los cambios legislativos entorno a las pensiones de invalidez y sobrevivencia, a</w:t>
      </w:r>
      <w:r>
        <w:rPr>
          <w:rFonts w:ascii="Arial Narrow" w:hAnsi="Arial Narrow" w:cs="Tahoma"/>
          <w:sz w:val="28"/>
          <w:szCs w:val="28"/>
        </w:rPr>
        <w:t xml:space="preserve"> lo que también se remite es a los principios de favorabilidad, proporcionalidad, equidad, igualdad, buena fe y </w:t>
      </w:r>
      <w:r w:rsidRPr="005C6252">
        <w:rPr>
          <w:rFonts w:ascii="Arial Narrow" w:hAnsi="Arial Narrow" w:cs="Tahoma"/>
          <w:sz w:val="28"/>
          <w:szCs w:val="28"/>
        </w:rPr>
        <w:t xml:space="preserve">confianza legítima,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 de 150 o 300 con anterioridad </w:t>
      </w:r>
    </w:p>
    <w:p w:rsidR="006B2B89" w:rsidRPr="005C6252" w:rsidRDefault="006B2B89" w:rsidP="006B2B89">
      <w:pPr>
        <w:pStyle w:val="Textoindependiente31"/>
        <w:rPr>
          <w:rFonts w:ascii="Arial Narrow" w:hAnsi="Arial Narrow" w:cs="Tahoma"/>
          <w:szCs w:val="28"/>
        </w:rPr>
      </w:pPr>
      <w:r w:rsidRPr="005C6252">
        <w:rPr>
          <w:rFonts w:ascii="Arial Narrow" w:hAnsi="Arial Narrow" w:cs="Tahoma"/>
          <w:szCs w:val="28"/>
        </w:rPr>
        <w:t>a la Ley 100, quedarían por fuera de la protección legal.</w:t>
      </w:r>
    </w:p>
    <w:p w:rsidR="006B2B89" w:rsidRPr="008A1700" w:rsidRDefault="006B2B89" w:rsidP="006B2B89">
      <w:pPr>
        <w:pStyle w:val="Sinespaciado"/>
      </w:pPr>
    </w:p>
    <w:p w:rsidR="006B2B89" w:rsidRDefault="006B2B89" w:rsidP="006B2B89">
      <w:pPr>
        <w:pStyle w:val="Textoindependiente31"/>
        <w:ind w:firstLine="709"/>
        <w:rPr>
          <w:rFonts w:ascii="Arial Narrow" w:hAnsi="Arial Narrow" w:cs="Tahoma"/>
          <w:szCs w:val="28"/>
        </w:rPr>
      </w:pPr>
      <w:r>
        <w:rPr>
          <w:rFonts w:ascii="Arial Narrow" w:hAnsi="Arial Narrow" w:cs="Tahoma"/>
          <w:szCs w:val="28"/>
        </w:rPr>
        <w:t xml:space="preserve">Por ello, es evidente que sí es posible aplicar el Acuerdo 049 de 1990 para determinar si el señor Montoya dejó causado el derecho pensional para sus causahabientes. Tal análisis, apoyado en la historia laboral visible a folio 100, evidentemente permite colegir que antes del 01 de abril de 1994 contaba con 479.42 semanas, cifra claramente superior a las 300 semanas que exigía el canon 6º, en concordancia con el 25, del Acuerdo 049 de 1990, por lo que en vigencia de la aludida normatividad, el señor Luis </w:t>
      </w:r>
      <w:proofErr w:type="spellStart"/>
      <w:r>
        <w:rPr>
          <w:rFonts w:ascii="Arial Narrow" w:hAnsi="Arial Narrow" w:cs="Tahoma"/>
          <w:szCs w:val="28"/>
        </w:rPr>
        <w:t>Aldemar</w:t>
      </w:r>
      <w:proofErr w:type="spellEnd"/>
      <w:r>
        <w:rPr>
          <w:rFonts w:ascii="Arial Narrow" w:hAnsi="Arial Narrow" w:cs="Tahoma"/>
          <w:szCs w:val="28"/>
        </w:rPr>
        <w:t xml:space="preserve"> Montoya  dejó causado el derecho pensional de sobrevivientes.</w:t>
      </w:r>
    </w:p>
    <w:p w:rsidR="006B2B89" w:rsidRDefault="006B2B89" w:rsidP="00E402C5">
      <w:pPr>
        <w:spacing w:line="360" w:lineRule="auto"/>
        <w:ind w:firstLine="708"/>
        <w:jc w:val="both"/>
        <w:rPr>
          <w:rFonts w:ascii="Arial Narrow" w:hAnsi="Arial Narrow" w:cs="Arial"/>
          <w:sz w:val="28"/>
          <w:szCs w:val="28"/>
        </w:rPr>
      </w:pPr>
      <w:r>
        <w:rPr>
          <w:rFonts w:ascii="Arial Narrow" w:hAnsi="Arial Narrow" w:cs="Arial"/>
          <w:sz w:val="28"/>
          <w:szCs w:val="28"/>
        </w:rPr>
        <w:t>Resuelto el primero de los cuestionamientos, se adentrará la Sala a resolver el segundo de los puntos de debate, esto es, la calidad de beneficiarios de los demandantes.</w:t>
      </w:r>
    </w:p>
    <w:p w:rsidR="006B2B89" w:rsidRDefault="006B2B89" w:rsidP="00E402C5">
      <w:pPr>
        <w:spacing w:line="360" w:lineRule="auto"/>
        <w:ind w:firstLine="708"/>
        <w:jc w:val="both"/>
        <w:rPr>
          <w:rFonts w:ascii="Arial Narrow" w:hAnsi="Arial Narrow" w:cs="Arial"/>
          <w:sz w:val="28"/>
          <w:szCs w:val="28"/>
        </w:rPr>
      </w:pPr>
    </w:p>
    <w:p w:rsidR="00912B09" w:rsidRDefault="006B2B89" w:rsidP="00E402C5">
      <w:pPr>
        <w:spacing w:line="360" w:lineRule="auto"/>
        <w:ind w:firstLine="708"/>
        <w:jc w:val="both"/>
        <w:rPr>
          <w:rFonts w:ascii="Arial Narrow" w:hAnsi="Arial Narrow" w:cs="Arial"/>
          <w:sz w:val="28"/>
          <w:szCs w:val="28"/>
        </w:rPr>
      </w:pPr>
      <w:r>
        <w:rPr>
          <w:rFonts w:ascii="Arial Narrow" w:hAnsi="Arial Narrow" w:cs="Arial"/>
          <w:sz w:val="28"/>
          <w:szCs w:val="28"/>
        </w:rPr>
        <w:lastRenderedPageBreak/>
        <w:t>Frente al menor Santiago Montoya Valencia, se tiene que a la demanda se adosó copia de</w:t>
      </w:r>
      <w:r w:rsidR="00912B09">
        <w:rPr>
          <w:rFonts w:ascii="Arial Narrow" w:hAnsi="Arial Narrow" w:cs="Arial"/>
          <w:sz w:val="28"/>
          <w:szCs w:val="28"/>
        </w:rPr>
        <w:t xml:space="preserve"> su registro civil de nacimiento –</w:t>
      </w:r>
      <w:proofErr w:type="spellStart"/>
      <w:r w:rsidR="00912B09">
        <w:rPr>
          <w:rFonts w:ascii="Arial Narrow" w:hAnsi="Arial Narrow" w:cs="Arial"/>
          <w:sz w:val="28"/>
          <w:szCs w:val="28"/>
        </w:rPr>
        <w:t>fl</w:t>
      </w:r>
      <w:proofErr w:type="spellEnd"/>
      <w:r w:rsidR="00912B09">
        <w:rPr>
          <w:rFonts w:ascii="Arial Narrow" w:hAnsi="Arial Narrow" w:cs="Arial"/>
          <w:sz w:val="28"/>
          <w:szCs w:val="28"/>
        </w:rPr>
        <w:t>. 11- en el cual consta que este nació el 13 agosto de 2003 y efectivamente que es hijo del afiliado fallecido, además, se evidencia que es menor de edad, razón por la cual, claramente tiene las condiciones legales para ser beneficiario de la prestación pensional.</w:t>
      </w:r>
    </w:p>
    <w:p w:rsidR="00912B09" w:rsidRDefault="00912B09" w:rsidP="00912B09">
      <w:pPr>
        <w:spacing w:line="360" w:lineRule="auto"/>
        <w:ind w:firstLine="851"/>
        <w:jc w:val="both"/>
        <w:rPr>
          <w:rFonts w:ascii="Arial Narrow" w:hAnsi="Arial Narrow" w:cs="Arial"/>
          <w:sz w:val="28"/>
          <w:szCs w:val="28"/>
          <w:lang w:val="es-ES"/>
        </w:rPr>
      </w:pPr>
    </w:p>
    <w:p w:rsidR="00912B09" w:rsidRDefault="00912B09" w:rsidP="00912B09">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Respecto a la calidad de beneficiaria que alega la señora Julia Rosa Valencia Rendón, es necesario estudiarlo a la luz del artículo 47 de la Ley 100 de 1993, el cual fue modificado por la regla 13 de la Ley 797 de 2003.</w:t>
      </w:r>
    </w:p>
    <w:p w:rsidR="00912B09" w:rsidRDefault="00912B09" w:rsidP="00912B09">
      <w:pPr>
        <w:spacing w:line="360" w:lineRule="auto"/>
        <w:ind w:firstLine="851"/>
        <w:jc w:val="both"/>
        <w:rPr>
          <w:rFonts w:ascii="Arial Narrow" w:hAnsi="Arial Narrow" w:cs="Arial"/>
          <w:sz w:val="28"/>
          <w:szCs w:val="28"/>
          <w:lang w:val="es-ES"/>
        </w:rPr>
      </w:pPr>
    </w:p>
    <w:p w:rsidR="00912B09" w:rsidRDefault="00912B09" w:rsidP="00912B09">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Los literales a y b de dicha norma regulan la vocación de beneficiario que tiene el cónyuge o el compañero permanente, la cual está supeditada a que se evidencie que hubo una convivencia de –mínimo- cinco años que antecedieron al deceso del afiliado o del pensionado.</w:t>
      </w:r>
    </w:p>
    <w:p w:rsidR="00912B09" w:rsidRDefault="00912B09" w:rsidP="00912B09">
      <w:pPr>
        <w:spacing w:line="360" w:lineRule="auto"/>
        <w:ind w:firstLine="851"/>
        <w:jc w:val="both"/>
        <w:rPr>
          <w:rFonts w:ascii="Arial Narrow" w:hAnsi="Arial Narrow" w:cs="Arial"/>
          <w:sz w:val="28"/>
          <w:szCs w:val="28"/>
          <w:lang w:val="es-ES"/>
        </w:rPr>
      </w:pPr>
    </w:p>
    <w:p w:rsidR="00912B09" w:rsidRDefault="00912B09" w:rsidP="00912B09">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Contempló el legislador varias hipótesis fácticas que se pueden dar, ajustadas a la realidad social y que regulan casos de convivencia simultanea o de la existencia de varios beneficiarios de la prestación: (i) cuando existan dos o más compañeros permanentes con vocación de beneficiarios, la pensión se repartirá entre ellos, a prorrata del tiempo de convivencia (inc. 2 </w:t>
      </w:r>
      <w:proofErr w:type="spellStart"/>
      <w:r>
        <w:rPr>
          <w:rFonts w:ascii="Arial Narrow" w:hAnsi="Arial Narrow" w:cs="Arial"/>
          <w:sz w:val="28"/>
          <w:szCs w:val="28"/>
          <w:lang w:val="es-ES"/>
        </w:rPr>
        <w:t>lit.</w:t>
      </w:r>
      <w:proofErr w:type="spellEnd"/>
      <w:r>
        <w:rPr>
          <w:rFonts w:ascii="Arial Narrow" w:hAnsi="Arial Narrow" w:cs="Arial"/>
          <w:sz w:val="28"/>
          <w:szCs w:val="28"/>
          <w:lang w:val="es-ES"/>
        </w:rPr>
        <w:t xml:space="preserve"> b); (ii) cuando exista convivencia simultánea de un cónyuge y un compañero permanente, según el texto legal, la pensión se otorgaría al cónyuge, sin embargo, tal consecuencia jurídica fue revisada por la Corte Constitucional en sentencia C-1035 de 2008, encontrándose que no puede excluirse al compañero permanente que acredite haber tenido convivencia con el causante en el mismo tiempo, razón por la cual la consecuencia es que se divida la pensión en proporción al tiempo convivido; (iii) se contempla la posibilidad de que no exista convivencia simultánea, que el vínculo marital siga vigente, pero se haya roto de hecho la convivencia y, además, exista una convivencia del afiliado o pensionado con otro compañero permanente, caso en el cual le corresponderá a éste una parte de la pensión en proporción al tiempo de convivencia y el resto le corresponderá al cónyuge, siempre que </w:t>
      </w:r>
      <w:r w:rsidRPr="00A92F58">
        <w:rPr>
          <w:rFonts w:ascii="Arial Narrow" w:hAnsi="Arial Narrow" w:cs="Arial"/>
          <w:i/>
          <w:sz w:val="28"/>
          <w:szCs w:val="28"/>
          <w:lang w:val="es-ES"/>
        </w:rPr>
        <w:t xml:space="preserve">“ante la falta de convivencia al momento de la muerte, el solicitante demuestre que se hace acreedor a la protección, en cuanto, tras la separación de hecho, efectivamente </w:t>
      </w:r>
      <w:r w:rsidRPr="00A92F58">
        <w:rPr>
          <w:rFonts w:ascii="Arial Narrow" w:hAnsi="Arial Narrow" w:cs="Arial"/>
          <w:i/>
          <w:sz w:val="28"/>
          <w:szCs w:val="28"/>
          <w:lang w:val="es-ES"/>
        </w:rPr>
        <w:lastRenderedPageBreak/>
        <w:t>siguió haciendo parte de la familia del pensionado o afiliado fallecido,  y, por esta razón, su partida definitiva le ha generado esa carencia económica, moral o afectiva, que es la que busca atender la seguridad social y que justifica su intervención”.</w:t>
      </w:r>
      <w:r>
        <w:rPr>
          <w:rFonts w:ascii="Arial Narrow" w:hAnsi="Arial Narrow" w:cs="Arial"/>
          <w:sz w:val="28"/>
          <w:szCs w:val="28"/>
          <w:lang w:val="es-ES"/>
        </w:rPr>
        <w:t xml:space="preserve"> (Sentencia </w:t>
      </w:r>
      <w:proofErr w:type="spellStart"/>
      <w:r>
        <w:rPr>
          <w:rFonts w:ascii="Arial Narrow" w:hAnsi="Arial Narrow" w:cs="Arial"/>
          <w:sz w:val="28"/>
          <w:szCs w:val="28"/>
          <w:lang w:val="es-ES"/>
        </w:rPr>
        <w:t>SL</w:t>
      </w:r>
      <w:proofErr w:type="spellEnd"/>
      <w:r>
        <w:rPr>
          <w:rFonts w:ascii="Arial Narrow" w:hAnsi="Arial Narrow" w:cs="Arial"/>
          <w:sz w:val="28"/>
          <w:szCs w:val="28"/>
          <w:lang w:val="es-ES"/>
        </w:rPr>
        <w:t xml:space="preserve"> 16949). </w:t>
      </w:r>
    </w:p>
    <w:p w:rsidR="00912B09" w:rsidRDefault="00912B09" w:rsidP="00912B09">
      <w:pPr>
        <w:spacing w:line="360" w:lineRule="auto"/>
        <w:ind w:firstLine="851"/>
        <w:jc w:val="both"/>
        <w:rPr>
          <w:rFonts w:ascii="Arial Narrow" w:hAnsi="Arial Narrow" w:cs="Arial"/>
          <w:sz w:val="28"/>
          <w:szCs w:val="28"/>
          <w:lang w:val="es-ES"/>
        </w:rPr>
      </w:pPr>
    </w:p>
    <w:p w:rsidR="00912B09" w:rsidRDefault="00912B09" w:rsidP="00912B09">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De todas estas hipótesis, lo que se extracta es que la pensión de sobrevivientes, premia de manera destacada la convivencia con el causante, entendiéndose ésta como la voluntad o el ánimo de la pareja de permanecer juntos, de ayudarse mutuamente, de compartir sus vidas y de conformar una familia o, en caso de separación de facto, permanezca el ánimo de colaboración y ayuda entre los cónyuges.  No puede llamarse convivencia –únicamente- a aquella ayuda material o económica que por cualquier circunstancia una persona brinda a otra, pues el concepto de vida en pareja trasciende lo meramente económico y engloba conceptos afectivos, espirituales, morales y físicos, que ineludiblemente permitan colegir que dos personas hacen o hicieron una vida en común.</w:t>
      </w:r>
    </w:p>
    <w:p w:rsidR="00912B09" w:rsidRDefault="00912B09" w:rsidP="00912B09">
      <w:pPr>
        <w:spacing w:line="360" w:lineRule="auto"/>
        <w:ind w:firstLine="851"/>
        <w:jc w:val="both"/>
        <w:rPr>
          <w:rFonts w:ascii="Arial Narrow" w:hAnsi="Arial Narrow" w:cs="Arial"/>
          <w:sz w:val="28"/>
          <w:szCs w:val="28"/>
          <w:lang w:val="es-ES"/>
        </w:rPr>
      </w:pPr>
    </w:p>
    <w:p w:rsidR="00912B09" w:rsidRDefault="00912B09" w:rsidP="00912B09">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Por eso, la labor que debe desplegar quien alegue tener la vocación a la pensión por sobrevivencia, no es otra que la de demostrar de manera clara que convivió, en los términos antes anotados, con el afiliado o pensionado, de manera ininterrumpida, por el lapso mínimo de cinco años.  Y como la norma exige convivencia, no importa si se dio en el marco de una relación matrimonial o de hecho, pues ambas tienen igual tratamiento por la ley, pudiendo incluso darse la convivencia una parte, en el marco de una unión de hecho y otra por vínculos jurídicos o viceversa.  Ello, obviamente, sin perjuicio de la convivencia separada por razones justificadas, caso que ha sido ampliamente analizado por la Corte Suprema de Justicia en su Sala de Casación Laboral.  </w:t>
      </w:r>
    </w:p>
    <w:p w:rsidR="00E402C5" w:rsidRDefault="00912B09" w:rsidP="00E402C5">
      <w:pPr>
        <w:spacing w:line="360" w:lineRule="auto"/>
        <w:ind w:firstLine="708"/>
        <w:jc w:val="both"/>
        <w:rPr>
          <w:rFonts w:ascii="Arial Narrow" w:hAnsi="Arial Narrow" w:cs="Arial"/>
          <w:sz w:val="28"/>
          <w:szCs w:val="28"/>
        </w:rPr>
      </w:pPr>
      <w:r>
        <w:rPr>
          <w:rFonts w:ascii="Arial Narrow" w:hAnsi="Arial Narrow" w:cs="Arial"/>
          <w:sz w:val="28"/>
          <w:szCs w:val="28"/>
        </w:rPr>
        <w:t xml:space="preserve">   </w:t>
      </w:r>
      <w:r w:rsidR="006B2B89">
        <w:rPr>
          <w:rFonts w:ascii="Arial Narrow" w:hAnsi="Arial Narrow" w:cs="Arial"/>
          <w:sz w:val="28"/>
          <w:szCs w:val="28"/>
        </w:rPr>
        <w:t xml:space="preserve">   </w:t>
      </w:r>
    </w:p>
    <w:p w:rsidR="00353DF3" w:rsidRDefault="00912B09" w:rsidP="00E402C5">
      <w:pPr>
        <w:spacing w:line="360" w:lineRule="auto"/>
        <w:ind w:firstLine="708"/>
        <w:jc w:val="both"/>
        <w:rPr>
          <w:rFonts w:ascii="Arial Narrow" w:hAnsi="Arial Narrow" w:cs="Arial"/>
          <w:sz w:val="28"/>
          <w:szCs w:val="28"/>
        </w:rPr>
      </w:pPr>
      <w:r>
        <w:rPr>
          <w:rFonts w:ascii="Arial Narrow" w:hAnsi="Arial Narrow" w:cs="Arial"/>
          <w:sz w:val="28"/>
          <w:szCs w:val="28"/>
        </w:rPr>
        <w:t>Pues bien, dígase que la demandante no acreditó tal calidad, pues no se ocupó de traer ningún medio de convicción al proceso, para poder inferir</w:t>
      </w:r>
      <w:r w:rsidR="00353DF3">
        <w:rPr>
          <w:rFonts w:ascii="Arial Narrow" w:hAnsi="Arial Narrow" w:cs="Arial"/>
          <w:sz w:val="28"/>
          <w:szCs w:val="28"/>
        </w:rPr>
        <w:t xml:space="preserve"> que convivió con el fallecido en los 5 años anteriores al deceso. La sola acreditación del vínculo marital, no acredita que al momento del deceso del afiliado estuvieren haciendo vida marital o que a pesar de haberse separado de hecho, siguieron unidos por nexos de solidaridad y </w:t>
      </w:r>
      <w:r w:rsidR="00353DF3">
        <w:rPr>
          <w:rFonts w:ascii="Arial Narrow" w:hAnsi="Arial Narrow" w:cs="Arial"/>
          <w:sz w:val="28"/>
          <w:szCs w:val="28"/>
        </w:rPr>
        <w:lastRenderedPageBreak/>
        <w:t>ayuda, carga que es precisamente la que le incumbía a la interesada. Además, tal como lo dijo la a quo, tal condición no fue reconocida por la entidad demanda, pues en los actos administrativos emitidos ante las solicitudes de la demandante,  no reconoció esa condición.</w:t>
      </w:r>
    </w:p>
    <w:p w:rsidR="00353DF3" w:rsidRDefault="00353DF3" w:rsidP="00E402C5">
      <w:pPr>
        <w:spacing w:line="360" w:lineRule="auto"/>
        <w:ind w:firstLine="708"/>
        <w:jc w:val="both"/>
        <w:rPr>
          <w:rFonts w:ascii="Arial Narrow" w:hAnsi="Arial Narrow" w:cs="Arial"/>
          <w:sz w:val="28"/>
          <w:szCs w:val="28"/>
        </w:rPr>
      </w:pPr>
    </w:p>
    <w:p w:rsidR="00353DF3" w:rsidRDefault="00353DF3" w:rsidP="00E402C5">
      <w:pPr>
        <w:spacing w:line="360" w:lineRule="auto"/>
        <w:ind w:firstLine="708"/>
        <w:jc w:val="both"/>
        <w:rPr>
          <w:rFonts w:ascii="Arial Narrow" w:hAnsi="Arial Narrow" w:cs="Arial"/>
          <w:sz w:val="28"/>
          <w:szCs w:val="28"/>
        </w:rPr>
      </w:pPr>
      <w:r>
        <w:rPr>
          <w:rFonts w:ascii="Arial Narrow" w:hAnsi="Arial Narrow" w:cs="Arial"/>
          <w:sz w:val="28"/>
          <w:szCs w:val="28"/>
        </w:rPr>
        <w:t>Así las cosas, claramente falló la demandante en la acreditación de su condición de beneficiaria, tal como lo dedujo la falladora de primer grado.</w:t>
      </w:r>
    </w:p>
    <w:p w:rsidR="00353DF3" w:rsidRDefault="00353DF3" w:rsidP="00E402C5">
      <w:pPr>
        <w:spacing w:line="360" w:lineRule="auto"/>
        <w:ind w:firstLine="708"/>
        <w:jc w:val="both"/>
        <w:rPr>
          <w:rFonts w:ascii="Arial Narrow" w:hAnsi="Arial Narrow" w:cs="Arial"/>
          <w:sz w:val="28"/>
          <w:szCs w:val="28"/>
        </w:rPr>
      </w:pPr>
    </w:p>
    <w:p w:rsidR="00353DF3" w:rsidRDefault="00353DF3" w:rsidP="00E402C5">
      <w:pPr>
        <w:spacing w:line="360" w:lineRule="auto"/>
        <w:ind w:firstLine="708"/>
        <w:jc w:val="both"/>
        <w:rPr>
          <w:rFonts w:ascii="Arial Narrow" w:hAnsi="Arial Narrow" w:cs="Arial"/>
          <w:sz w:val="28"/>
          <w:szCs w:val="28"/>
        </w:rPr>
      </w:pPr>
      <w:r>
        <w:rPr>
          <w:rFonts w:ascii="Arial Narrow" w:hAnsi="Arial Narrow" w:cs="Arial"/>
          <w:sz w:val="28"/>
          <w:szCs w:val="28"/>
        </w:rPr>
        <w:t>Finalmente, se analizará el tema del disfrute pensional, atendiendo el sustento legal de reconocimiento de la prestación.</w:t>
      </w:r>
    </w:p>
    <w:p w:rsidR="00353DF3" w:rsidRDefault="00353DF3" w:rsidP="00E402C5">
      <w:pPr>
        <w:spacing w:line="360" w:lineRule="auto"/>
        <w:ind w:firstLine="708"/>
        <w:jc w:val="both"/>
        <w:rPr>
          <w:rFonts w:ascii="Arial Narrow" w:hAnsi="Arial Narrow" w:cs="Arial"/>
          <w:sz w:val="28"/>
          <w:szCs w:val="28"/>
        </w:rPr>
      </w:pPr>
    </w:p>
    <w:p w:rsidR="00353DF3" w:rsidRDefault="00353DF3" w:rsidP="00353DF3">
      <w:pPr>
        <w:pStyle w:val="Textoindependiente31"/>
        <w:ind w:firstLine="851"/>
        <w:rPr>
          <w:rFonts w:ascii="Arial Narrow" w:hAnsi="Arial Narrow" w:cs="Tahoma"/>
          <w:szCs w:val="28"/>
        </w:rPr>
      </w:pPr>
      <w:r>
        <w:rPr>
          <w:rFonts w:ascii="Arial Narrow" w:hAnsi="Arial Narrow" w:cs="Arial"/>
          <w:szCs w:val="28"/>
          <w:lang w:val="es-ES"/>
        </w:rPr>
        <w:t>Pues bien, se tiene que esta Sala ha pregonado en su mayoría, que en casos como el presente e</w:t>
      </w:r>
      <w:r>
        <w:rPr>
          <w:rFonts w:ascii="Arial Narrow" w:hAnsi="Arial Narrow" w:cs="Tahoma"/>
          <w:szCs w:val="28"/>
        </w:rPr>
        <w:t>l reconocimiento se debe hacer a partir de la ejecutoria de este proveído, tal cual se ha pregonado por el máximo órgano de la especialidad laboral cuando “en materia de definición de derechos pensionales ha cumplido una función trascendental al interpretar la normativa a la luz de los principios y objetivos que informan la Seguridad Social, y que en muchos casos no corresponde con el texto literal del precepto que las administradoras en su momento, al definir las prestaciones reclamadas, debieron aplicar por ser las que en principio regulaban la controversia” (</w:t>
      </w:r>
      <w:proofErr w:type="spellStart"/>
      <w:r>
        <w:rPr>
          <w:rFonts w:ascii="Arial Narrow" w:hAnsi="Arial Narrow" w:cs="Tahoma"/>
          <w:szCs w:val="28"/>
        </w:rPr>
        <w:t>Sent</w:t>
      </w:r>
      <w:proofErr w:type="spellEnd"/>
      <w:r>
        <w:rPr>
          <w:rFonts w:ascii="Arial Narrow" w:hAnsi="Arial Narrow" w:cs="Tahoma"/>
          <w:szCs w:val="28"/>
        </w:rPr>
        <w:t>. 02 de octubre de 2013. Rad. 44.454 Cas. Laboral).</w:t>
      </w:r>
    </w:p>
    <w:p w:rsidR="00353DF3" w:rsidRDefault="00353DF3" w:rsidP="00353DF3">
      <w:pPr>
        <w:pStyle w:val="Textoindependiente31"/>
        <w:ind w:firstLine="851"/>
        <w:rPr>
          <w:rFonts w:ascii="Arial Narrow" w:hAnsi="Arial Narrow" w:cs="Tahoma"/>
          <w:szCs w:val="28"/>
        </w:rPr>
      </w:pPr>
    </w:p>
    <w:p w:rsidR="00353DF3" w:rsidRDefault="00353DF3" w:rsidP="00353DF3">
      <w:pPr>
        <w:pStyle w:val="Textoindependiente31"/>
        <w:ind w:firstLine="851"/>
        <w:rPr>
          <w:rFonts w:ascii="Arial Narrow" w:hAnsi="Arial Narrow" w:cs="Tahoma"/>
          <w:szCs w:val="28"/>
        </w:rPr>
      </w:pPr>
      <w:r>
        <w:rPr>
          <w:rFonts w:ascii="Arial Narrow" w:hAnsi="Arial Narrow" w:cs="Tahoma"/>
          <w:szCs w:val="28"/>
        </w:rPr>
        <w:t xml:space="preserve">Y si bien tal argumentación se aduce para colegir que no resulta razonable imponer el pago de intereses porque la conducta de la entidad de seguridad social siempre estuvo guiada por el respeto de una normativa que de manera plausible estimaban regia el derecho en controversia, considera esta Sala que tal argumento se ajusta perfectamente al tema del retroactivo pensional, puesto que al reconocerse la prestación por vía constitucional favorable, se está en frente de un evento en que las actuaciones de las administradoras de pensiones, al no reconocer o pagar las prestaciones periódicas a su cargo, encuentran plena justificación bien porque tengan respaldo normativo, ora porque su postura provenga de la aplicación minuciosa de la ley, sin los alcances o efectos que en un momento dado puedan darle los jueces en la función que le es propia de interpretar las normas sociales y ajustarlas a los postulados </w:t>
      </w:r>
      <w:r>
        <w:rPr>
          <w:rFonts w:ascii="Arial Narrow" w:hAnsi="Arial Narrow" w:cs="Tahoma"/>
          <w:szCs w:val="28"/>
        </w:rPr>
        <w:lastRenderedPageBreak/>
        <w:t>y objetivos fundamentales de la seguridad social, y que a las entidades que la gestionan no les compete y les es imposible predecir.</w:t>
      </w:r>
    </w:p>
    <w:p w:rsidR="00353DF3" w:rsidRDefault="00353DF3" w:rsidP="00353DF3">
      <w:pPr>
        <w:pStyle w:val="Textoindependiente31"/>
        <w:ind w:firstLine="851"/>
        <w:rPr>
          <w:rFonts w:ascii="Arial Narrow" w:hAnsi="Arial Narrow" w:cs="Tahoma"/>
          <w:szCs w:val="28"/>
        </w:rPr>
      </w:pPr>
    </w:p>
    <w:p w:rsidR="009851C9" w:rsidRDefault="00353DF3" w:rsidP="009851C9">
      <w:pPr>
        <w:pStyle w:val="Textoindependiente31"/>
        <w:ind w:firstLine="851"/>
        <w:rPr>
          <w:rFonts w:ascii="Arial Narrow" w:hAnsi="Arial Narrow" w:cs="Tahoma"/>
          <w:szCs w:val="28"/>
        </w:rPr>
      </w:pPr>
      <w:r>
        <w:rPr>
          <w:rFonts w:ascii="Arial Narrow" w:hAnsi="Arial Narrow" w:cs="Tahoma"/>
          <w:szCs w:val="28"/>
        </w:rPr>
        <w:t xml:space="preserve">Así las cosas, se deberán revocar </w:t>
      </w:r>
      <w:r w:rsidR="009851C9">
        <w:rPr>
          <w:rFonts w:ascii="Arial Narrow" w:hAnsi="Arial Narrow" w:cs="Tahoma"/>
          <w:szCs w:val="28"/>
        </w:rPr>
        <w:t xml:space="preserve">los ordinales cuarto y quinto de la providencia consultada, para en su lugar decir que la prestación se reconoce a partir de la ejecutoria de esta sentencia. Atendiendo la modificación de las condenas impuestas y el origen de la prestación, estima esta Sala que tampoco hay lugar a condenar en costas, por lo que se revocará el ordinal 6º de la sentencia. </w:t>
      </w:r>
    </w:p>
    <w:p w:rsidR="00362F86" w:rsidRDefault="00353DF3" w:rsidP="009851C9">
      <w:pPr>
        <w:spacing w:line="360" w:lineRule="auto"/>
        <w:ind w:firstLine="708"/>
        <w:jc w:val="both"/>
        <w:rPr>
          <w:rFonts w:ascii="Arial Narrow" w:hAnsi="Arial Narrow" w:cs="Arial"/>
          <w:sz w:val="28"/>
          <w:szCs w:val="28"/>
          <w:lang w:val="es-ES"/>
        </w:rPr>
      </w:pPr>
      <w:r>
        <w:rPr>
          <w:rFonts w:ascii="Arial Narrow" w:hAnsi="Arial Narrow" w:cs="Arial"/>
          <w:sz w:val="28"/>
          <w:szCs w:val="28"/>
        </w:rPr>
        <w:t xml:space="preserve">  </w:t>
      </w:r>
    </w:p>
    <w:p w:rsidR="00362F86" w:rsidRDefault="006904DE" w:rsidP="00D309A3">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Sin costas por conocerse del asunto en grado jurisdiccional de consulta.</w:t>
      </w:r>
    </w:p>
    <w:p w:rsidR="00181D67" w:rsidRPr="009851C9" w:rsidRDefault="00181D67" w:rsidP="00F46F6F">
      <w:pPr>
        <w:pStyle w:val="Sinespaciado"/>
        <w:rPr>
          <w:lang w:val="es-CO"/>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9851C9" w:rsidRDefault="008213FA" w:rsidP="00152252">
      <w:pPr>
        <w:pStyle w:val="Textoindependiente31"/>
        <w:ind w:firstLine="708"/>
        <w:rPr>
          <w:rFonts w:ascii="Arial Narrow" w:hAnsi="Arial Narrow" w:cs="Arial"/>
          <w:szCs w:val="28"/>
        </w:rPr>
      </w:pPr>
      <w:r>
        <w:rPr>
          <w:rFonts w:ascii="Arial Narrow" w:hAnsi="Arial Narrow" w:cs="Arial"/>
          <w:b/>
          <w:i/>
          <w:spacing w:val="-2"/>
          <w:szCs w:val="28"/>
        </w:rPr>
        <w:t xml:space="preserve">1. </w:t>
      </w:r>
      <w:r w:rsidR="009851C9">
        <w:rPr>
          <w:rFonts w:ascii="Arial Narrow" w:hAnsi="Arial Narrow" w:cs="Arial"/>
          <w:b/>
          <w:i/>
          <w:spacing w:val="-2"/>
          <w:szCs w:val="28"/>
        </w:rPr>
        <w:t xml:space="preserve">Revocar los ordinales 4º, 5º y 6º </w:t>
      </w:r>
      <w:r w:rsidR="009851C9">
        <w:rPr>
          <w:rFonts w:ascii="Arial Narrow" w:hAnsi="Arial Narrow" w:cs="Arial"/>
          <w:spacing w:val="-2"/>
          <w:szCs w:val="28"/>
        </w:rPr>
        <w:t>de</w:t>
      </w:r>
      <w:r w:rsidR="000A13F4">
        <w:rPr>
          <w:rFonts w:ascii="Arial Narrow" w:hAnsi="Arial Narrow" w:cs="Arial"/>
          <w:b/>
          <w:i/>
          <w:spacing w:val="-2"/>
          <w:szCs w:val="28"/>
        </w:rPr>
        <w:t xml:space="preserve"> </w:t>
      </w:r>
      <w:r w:rsidR="007E480D" w:rsidRPr="00E80808">
        <w:rPr>
          <w:rFonts w:ascii="Arial Narrow" w:hAnsi="Arial Narrow" w:cs="Arial"/>
          <w:szCs w:val="28"/>
        </w:rPr>
        <w:t xml:space="preserve">la sentencia proferida el </w:t>
      </w:r>
      <w:r w:rsidR="009851C9">
        <w:rPr>
          <w:rFonts w:ascii="Arial Narrow" w:hAnsi="Arial Narrow" w:cs="Arial"/>
          <w:szCs w:val="28"/>
        </w:rPr>
        <w:t>09</w:t>
      </w:r>
      <w:r w:rsidR="007E480D" w:rsidRPr="00E80808">
        <w:rPr>
          <w:rFonts w:ascii="Arial Narrow" w:hAnsi="Arial Narrow" w:cs="Arial"/>
          <w:szCs w:val="28"/>
        </w:rPr>
        <w:t xml:space="preserve"> de </w:t>
      </w:r>
      <w:r w:rsidR="009851C9">
        <w:rPr>
          <w:rFonts w:ascii="Arial Narrow" w:hAnsi="Arial Narrow" w:cs="Arial"/>
          <w:szCs w:val="28"/>
        </w:rPr>
        <w:t>marzo</w:t>
      </w:r>
      <w:r w:rsidR="007E480D" w:rsidRPr="00E80808">
        <w:rPr>
          <w:rFonts w:ascii="Arial Narrow" w:hAnsi="Arial Narrow" w:cs="Arial"/>
          <w:szCs w:val="28"/>
        </w:rPr>
        <w:t xml:space="preserve"> de 201</w:t>
      </w:r>
      <w:r w:rsidR="006904DE">
        <w:rPr>
          <w:rFonts w:ascii="Arial Narrow" w:hAnsi="Arial Narrow" w:cs="Arial"/>
          <w:szCs w:val="28"/>
        </w:rPr>
        <w:t>7</w:t>
      </w:r>
      <w:r w:rsidR="007E480D" w:rsidRPr="00E80808">
        <w:rPr>
          <w:rFonts w:ascii="Arial Narrow" w:hAnsi="Arial Narrow" w:cs="Arial"/>
          <w:szCs w:val="28"/>
        </w:rPr>
        <w:t xml:space="preserve"> por el Juzgado </w:t>
      </w:r>
      <w:r w:rsidR="009851C9">
        <w:rPr>
          <w:rFonts w:ascii="Arial Narrow" w:hAnsi="Arial Narrow" w:cs="Arial"/>
          <w:szCs w:val="28"/>
        </w:rPr>
        <w:t>Quinto</w:t>
      </w:r>
      <w:r w:rsidR="009A6DEB">
        <w:rPr>
          <w:rFonts w:ascii="Arial Narrow" w:hAnsi="Arial Narrow" w:cs="Arial"/>
          <w:szCs w:val="28"/>
        </w:rPr>
        <w:t xml:space="preserve"> </w:t>
      </w:r>
      <w:r w:rsidR="007E480D" w:rsidRPr="00E80808">
        <w:rPr>
          <w:rFonts w:ascii="Arial Narrow" w:hAnsi="Arial Narrow" w:cs="Arial"/>
          <w:szCs w:val="28"/>
        </w:rPr>
        <w:t>Laboral del Circuito de Pereira, dentro del proceso ordinario laboral de</w:t>
      </w:r>
      <w:r w:rsidR="0039648B">
        <w:rPr>
          <w:rFonts w:ascii="Arial Narrow" w:hAnsi="Arial Narrow" w:cs="Arial"/>
          <w:szCs w:val="28"/>
        </w:rPr>
        <w:t xml:space="preserve"> la referencia</w:t>
      </w:r>
      <w:r w:rsidR="006904DE">
        <w:rPr>
          <w:rFonts w:ascii="Arial Narrow" w:hAnsi="Arial Narrow" w:cs="Arial"/>
          <w:szCs w:val="28"/>
        </w:rPr>
        <w:t xml:space="preserve">, </w:t>
      </w:r>
      <w:r w:rsidR="009851C9">
        <w:rPr>
          <w:rFonts w:ascii="Arial Narrow" w:hAnsi="Arial Narrow" w:cs="Arial"/>
          <w:szCs w:val="28"/>
        </w:rPr>
        <w:t xml:space="preserve">y en su lugar fijar el disfrute de la pensión de sobrevivientes a favor de Santiago Montoya Valencia a partir de la ejecutoria de esta providencia y se absuelve a </w:t>
      </w:r>
      <w:proofErr w:type="spellStart"/>
      <w:r w:rsidR="009851C9">
        <w:rPr>
          <w:rFonts w:ascii="Arial Narrow" w:hAnsi="Arial Narrow" w:cs="Arial"/>
          <w:szCs w:val="28"/>
        </w:rPr>
        <w:t>Colpensiones</w:t>
      </w:r>
      <w:proofErr w:type="spellEnd"/>
      <w:r w:rsidR="009851C9">
        <w:rPr>
          <w:rFonts w:ascii="Arial Narrow" w:hAnsi="Arial Narrow" w:cs="Arial"/>
          <w:szCs w:val="28"/>
        </w:rPr>
        <w:t xml:space="preserve"> de las costas procesales de primer grado.</w:t>
      </w:r>
    </w:p>
    <w:p w:rsidR="009851C9" w:rsidRDefault="009851C9" w:rsidP="00152252">
      <w:pPr>
        <w:pStyle w:val="Textoindependiente31"/>
        <w:ind w:firstLine="708"/>
        <w:rPr>
          <w:rFonts w:ascii="Arial Narrow" w:hAnsi="Arial Narrow" w:cs="Arial"/>
          <w:szCs w:val="28"/>
        </w:rPr>
      </w:pPr>
    </w:p>
    <w:p w:rsidR="009851C9" w:rsidRDefault="009851C9" w:rsidP="00152252">
      <w:pPr>
        <w:pStyle w:val="Textoindependiente31"/>
        <w:ind w:firstLine="708"/>
        <w:rPr>
          <w:rFonts w:ascii="Arial Narrow" w:hAnsi="Arial Narrow" w:cs="Arial"/>
          <w:szCs w:val="28"/>
        </w:rPr>
      </w:pPr>
      <w:r w:rsidRPr="009851C9">
        <w:rPr>
          <w:rFonts w:ascii="Arial Narrow" w:hAnsi="Arial Narrow" w:cs="Arial"/>
          <w:b/>
          <w:szCs w:val="28"/>
        </w:rPr>
        <w:t>2.</w:t>
      </w:r>
      <w:r>
        <w:rPr>
          <w:rFonts w:ascii="Arial Narrow" w:hAnsi="Arial Narrow" w:cs="Arial"/>
          <w:szCs w:val="28"/>
        </w:rPr>
        <w:t xml:space="preserve"> </w:t>
      </w:r>
      <w:r w:rsidRPr="009851C9">
        <w:rPr>
          <w:rFonts w:ascii="Arial Narrow" w:hAnsi="Arial Narrow" w:cs="Arial"/>
          <w:b/>
          <w:szCs w:val="28"/>
        </w:rPr>
        <w:t>Confirmar</w:t>
      </w:r>
      <w:r>
        <w:rPr>
          <w:rFonts w:ascii="Arial Narrow" w:hAnsi="Arial Narrow" w:cs="Arial"/>
          <w:szCs w:val="28"/>
        </w:rPr>
        <w:t xml:space="preserve"> la sentencia en todo lo demás.</w:t>
      </w:r>
    </w:p>
    <w:p w:rsidR="008213FA" w:rsidRDefault="008213FA" w:rsidP="007E480D">
      <w:pPr>
        <w:pStyle w:val="Textoindependiente31"/>
        <w:ind w:firstLine="708"/>
        <w:rPr>
          <w:rFonts w:ascii="Arial Narrow" w:hAnsi="Arial Narrow" w:cs="Arial"/>
          <w:bCs/>
          <w:szCs w:val="28"/>
        </w:rPr>
      </w:pPr>
    </w:p>
    <w:p w:rsidR="006904DE" w:rsidRPr="006904DE" w:rsidRDefault="009851C9" w:rsidP="007E480D">
      <w:pPr>
        <w:pStyle w:val="Textoindependiente31"/>
        <w:ind w:firstLine="708"/>
        <w:rPr>
          <w:rFonts w:ascii="Arial Narrow" w:hAnsi="Arial Narrow" w:cs="Arial"/>
          <w:b/>
          <w:bCs/>
          <w:szCs w:val="28"/>
        </w:rPr>
      </w:pPr>
      <w:r>
        <w:rPr>
          <w:rFonts w:ascii="Arial Narrow" w:hAnsi="Arial Narrow" w:cs="Arial"/>
          <w:b/>
          <w:bCs/>
          <w:i/>
          <w:szCs w:val="28"/>
        </w:rPr>
        <w:t>3</w:t>
      </w:r>
      <w:r w:rsidR="0039648B">
        <w:rPr>
          <w:rFonts w:ascii="Arial Narrow" w:hAnsi="Arial Narrow" w:cs="Arial"/>
          <w:b/>
          <w:bCs/>
          <w:i/>
          <w:szCs w:val="28"/>
        </w:rPr>
        <w:t xml:space="preserve">. </w:t>
      </w:r>
      <w:r w:rsidR="006904DE" w:rsidRPr="006904DE">
        <w:rPr>
          <w:rFonts w:ascii="Arial Narrow" w:hAnsi="Arial Narrow" w:cs="Arial"/>
          <w:b/>
          <w:bCs/>
          <w:szCs w:val="28"/>
        </w:rPr>
        <w:t xml:space="preserve">Sin costas </w:t>
      </w:r>
      <w:r w:rsidR="006904DE" w:rsidRPr="006904DE">
        <w:rPr>
          <w:rFonts w:ascii="Arial Narrow" w:hAnsi="Arial Narrow" w:cs="Arial"/>
          <w:bCs/>
          <w:szCs w:val="28"/>
        </w:rPr>
        <w:t>en esta instancia</w:t>
      </w:r>
      <w:r w:rsidR="006904DE" w:rsidRPr="006904DE">
        <w:rPr>
          <w:rFonts w:ascii="Arial Narrow" w:hAnsi="Arial Narrow" w:cs="Arial"/>
          <w:b/>
          <w:bCs/>
          <w:szCs w:val="28"/>
        </w:rPr>
        <w:t>.</w:t>
      </w:r>
    </w:p>
    <w:p w:rsidR="000A13F4" w:rsidRDefault="000A13F4" w:rsidP="007E480D">
      <w:pPr>
        <w:pStyle w:val="Textoindependiente31"/>
        <w:ind w:firstLine="708"/>
        <w:rPr>
          <w:rFonts w:ascii="Arial Narrow" w:hAnsi="Arial Narrow" w:cs="Arial"/>
          <w:bCs/>
          <w:i/>
          <w:szCs w:val="28"/>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7E480D" w:rsidRPr="00E80808" w:rsidRDefault="007E480D" w:rsidP="007170BC">
      <w:pPr>
        <w:pStyle w:val="Sinespaciado"/>
        <w:rPr>
          <w:lang w:val="es-ES"/>
        </w:rPr>
      </w:pPr>
    </w:p>
    <w:p w:rsidR="0039648B" w:rsidRDefault="0039648B" w:rsidP="007E480D">
      <w:pPr>
        <w:ind w:firstLine="900"/>
        <w:jc w:val="center"/>
        <w:rPr>
          <w:rFonts w:ascii="Arial Narrow" w:hAnsi="Arial Narrow" w:cs="Microsoft Sans Serif"/>
          <w:b/>
          <w:bCs/>
          <w:iCs/>
          <w:sz w:val="28"/>
          <w:szCs w:val="28"/>
          <w:lang w:val="es-ES"/>
        </w:rPr>
      </w:pPr>
    </w:p>
    <w:p w:rsidR="0039648B" w:rsidRDefault="0039648B"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39648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 xml:space="preserve"> </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 xml:space="preserve">ANA LUCIA CAICEDO </w:t>
      </w:r>
      <w:proofErr w:type="spellStart"/>
      <w:r w:rsidR="00664F7B">
        <w:rPr>
          <w:rFonts w:ascii="Arial Narrow" w:hAnsi="Arial Narrow" w:cs="Microsoft Sans Serif"/>
          <w:b/>
          <w:bCs/>
          <w:iCs/>
          <w:sz w:val="28"/>
          <w:szCs w:val="28"/>
          <w:lang w:val="es-ES"/>
        </w:rPr>
        <w:t>CALDERON</w:t>
      </w:r>
      <w:proofErr w:type="spellEnd"/>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39648B">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p>
    <w:p w:rsidR="00897A5F" w:rsidRDefault="00897A5F" w:rsidP="007E4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897A5F" w:rsidRPr="00E80808" w:rsidRDefault="00897A5F" w:rsidP="00897A5F">
      <w:pPr>
        <w:pStyle w:val="Sinespaciado"/>
        <w:rPr>
          <w:lang w:val="es-ES"/>
        </w:rPr>
      </w:pPr>
    </w:p>
    <w:p w:rsidR="007E480D" w:rsidRDefault="007E480D" w:rsidP="00F46F6F">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F46F6F" w:rsidRDefault="00F46F6F" w:rsidP="00F46F6F">
      <w:pPr>
        <w:pStyle w:val="Sinespaciado"/>
        <w:rPr>
          <w:lang w:val="es-ES"/>
        </w:rPr>
      </w:pPr>
    </w:p>
    <w:p w:rsidR="007E480D" w:rsidRPr="00E80808" w:rsidRDefault="0039648B" w:rsidP="007E480D">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812E4D">
        <w:rPr>
          <w:rFonts w:ascii="Arial Narrow" w:hAnsi="Arial Narrow" w:cs="Microsoft Sans Serif"/>
          <w:iCs/>
          <w:sz w:val="28"/>
          <w:szCs w:val="28"/>
          <w:lang w:val="es-ES"/>
        </w:rPr>
        <w:t>o</w:t>
      </w:r>
    </w:p>
    <w:p w:rsidR="00517F92" w:rsidRDefault="00517F92" w:rsidP="00E80808">
      <w:pPr>
        <w:ind w:firstLine="900"/>
        <w:rPr>
          <w:rFonts w:ascii="Arial Narrow" w:hAnsi="Arial Narrow" w:cs="Microsoft Sans Serif"/>
          <w:iCs/>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sectPr w:rsidR="00517F92"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046" w:rsidRDefault="003E0046" w:rsidP="00181D67">
      <w:r>
        <w:separator/>
      </w:r>
    </w:p>
  </w:endnote>
  <w:endnote w:type="continuationSeparator" w:id="0">
    <w:p w:rsidR="003E0046" w:rsidRDefault="003E0046"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5A" w:rsidRDefault="0048275A"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275A" w:rsidRDefault="0048275A"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5A" w:rsidRDefault="0048275A"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411E2">
      <w:rPr>
        <w:rStyle w:val="Nmerodepgina"/>
        <w:noProof/>
      </w:rPr>
      <w:t>11</w:t>
    </w:r>
    <w:r>
      <w:rPr>
        <w:rStyle w:val="Nmerodepgina"/>
      </w:rPr>
      <w:fldChar w:fldCharType="end"/>
    </w:r>
  </w:p>
  <w:p w:rsidR="0048275A" w:rsidRDefault="0048275A"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046" w:rsidRDefault="003E0046" w:rsidP="00181D67">
      <w:r>
        <w:separator/>
      </w:r>
    </w:p>
  </w:footnote>
  <w:footnote w:type="continuationSeparator" w:id="0">
    <w:p w:rsidR="003E0046" w:rsidRDefault="003E0046"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5A" w:rsidRDefault="0048275A"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BD5F4F">
      <w:rPr>
        <w:rFonts w:ascii="Arial" w:hAnsi="Arial" w:cs="Arial"/>
        <w:bCs/>
        <w:i/>
        <w:sz w:val="16"/>
        <w:szCs w:val="16"/>
      </w:rPr>
      <w:t>5</w:t>
    </w:r>
    <w:r>
      <w:rPr>
        <w:rFonts w:ascii="Arial" w:hAnsi="Arial" w:cs="Arial"/>
        <w:bCs/>
        <w:i/>
        <w:sz w:val="16"/>
        <w:szCs w:val="16"/>
      </w:rPr>
      <w:t>-201</w:t>
    </w:r>
    <w:r w:rsidR="00BD5F4F">
      <w:rPr>
        <w:rFonts w:ascii="Arial" w:hAnsi="Arial" w:cs="Arial"/>
        <w:bCs/>
        <w:i/>
        <w:sz w:val="16"/>
        <w:szCs w:val="16"/>
      </w:rPr>
      <w:t>6</w:t>
    </w:r>
    <w:r>
      <w:rPr>
        <w:rFonts w:ascii="Arial" w:hAnsi="Arial" w:cs="Arial"/>
        <w:bCs/>
        <w:i/>
        <w:sz w:val="16"/>
        <w:szCs w:val="16"/>
      </w:rPr>
      <w:t>-00</w:t>
    </w:r>
    <w:r w:rsidR="00BD5F4F">
      <w:rPr>
        <w:rFonts w:ascii="Arial" w:hAnsi="Arial" w:cs="Arial"/>
        <w:bCs/>
        <w:i/>
        <w:sz w:val="16"/>
        <w:szCs w:val="16"/>
      </w:rPr>
      <w:t>201</w:t>
    </w:r>
    <w:r>
      <w:rPr>
        <w:rFonts w:ascii="Arial" w:hAnsi="Arial" w:cs="Arial"/>
        <w:bCs/>
        <w:i/>
        <w:sz w:val="16"/>
        <w:szCs w:val="16"/>
      </w:rPr>
      <w:t xml:space="preserve">-01 </w:t>
    </w:r>
  </w:p>
  <w:p w:rsidR="0048275A" w:rsidRDefault="00BD5F4F" w:rsidP="00FB2365">
    <w:pPr>
      <w:jc w:val="both"/>
      <w:rPr>
        <w:rFonts w:ascii="Arial" w:hAnsi="Arial" w:cs="Arial"/>
        <w:bCs/>
        <w:i/>
        <w:sz w:val="16"/>
        <w:szCs w:val="16"/>
      </w:rPr>
    </w:pPr>
    <w:r>
      <w:rPr>
        <w:rFonts w:ascii="Arial" w:hAnsi="Arial" w:cs="Arial"/>
        <w:bCs/>
        <w:i/>
        <w:sz w:val="16"/>
        <w:szCs w:val="16"/>
      </w:rPr>
      <w:t>Julia Rosa Valencia Rendón</w:t>
    </w:r>
    <w:r w:rsidR="0048275A">
      <w:rPr>
        <w:rFonts w:ascii="Arial" w:hAnsi="Arial" w:cs="Arial"/>
        <w:bCs/>
        <w:i/>
        <w:sz w:val="16"/>
        <w:szCs w:val="16"/>
      </w:rPr>
      <w:t xml:space="preserve"> vs </w:t>
    </w:r>
    <w:proofErr w:type="spellStart"/>
    <w:r w:rsidR="0048275A">
      <w:rPr>
        <w:rFonts w:ascii="Arial" w:hAnsi="Arial" w:cs="Arial"/>
        <w:bCs/>
        <w:i/>
        <w:sz w:val="16"/>
        <w:szCs w:val="16"/>
      </w:rPr>
      <w:t>Colpensiones</w:t>
    </w:r>
    <w:proofErr w:type="spellEnd"/>
    <w:r w:rsidR="0048275A">
      <w:rPr>
        <w:rFonts w:ascii="Arial" w:hAnsi="Arial" w:cs="Arial"/>
        <w:bCs/>
        <w:i/>
        <w:sz w:val="16"/>
        <w:szCs w:val="16"/>
      </w:rPr>
      <w:t>.</w:t>
    </w:r>
  </w:p>
  <w:p w:rsidR="0048275A" w:rsidRDefault="004827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20E33"/>
    <w:rsid w:val="0002380F"/>
    <w:rsid w:val="0003620B"/>
    <w:rsid w:val="00036CF3"/>
    <w:rsid w:val="0004269F"/>
    <w:rsid w:val="00057514"/>
    <w:rsid w:val="0006495E"/>
    <w:rsid w:val="00064DF8"/>
    <w:rsid w:val="000667FF"/>
    <w:rsid w:val="000700E7"/>
    <w:rsid w:val="00071203"/>
    <w:rsid w:val="000745A2"/>
    <w:rsid w:val="00074981"/>
    <w:rsid w:val="0008294C"/>
    <w:rsid w:val="00082EF5"/>
    <w:rsid w:val="00083ED6"/>
    <w:rsid w:val="000A13F4"/>
    <w:rsid w:val="000A26AC"/>
    <w:rsid w:val="000B2E37"/>
    <w:rsid w:val="000B5AFB"/>
    <w:rsid w:val="000B6979"/>
    <w:rsid w:val="000C0A92"/>
    <w:rsid w:val="000C6187"/>
    <w:rsid w:val="000C63F3"/>
    <w:rsid w:val="000D6F62"/>
    <w:rsid w:val="000E1BFD"/>
    <w:rsid w:val="000E3687"/>
    <w:rsid w:val="000E6C80"/>
    <w:rsid w:val="000E7F42"/>
    <w:rsid w:val="000F3E39"/>
    <w:rsid w:val="000F4644"/>
    <w:rsid w:val="000F604F"/>
    <w:rsid w:val="000F7806"/>
    <w:rsid w:val="0010743C"/>
    <w:rsid w:val="00111B77"/>
    <w:rsid w:val="00113DFF"/>
    <w:rsid w:val="00114E6E"/>
    <w:rsid w:val="00122B74"/>
    <w:rsid w:val="0013363D"/>
    <w:rsid w:val="001342E2"/>
    <w:rsid w:val="00143700"/>
    <w:rsid w:val="00147501"/>
    <w:rsid w:val="001476E6"/>
    <w:rsid w:val="001519C9"/>
    <w:rsid w:val="00151FAB"/>
    <w:rsid w:val="00152252"/>
    <w:rsid w:val="0015539E"/>
    <w:rsid w:val="0015632C"/>
    <w:rsid w:val="00156587"/>
    <w:rsid w:val="00160D05"/>
    <w:rsid w:val="0016407C"/>
    <w:rsid w:val="00166C3D"/>
    <w:rsid w:val="00170637"/>
    <w:rsid w:val="00172834"/>
    <w:rsid w:val="00180051"/>
    <w:rsid w:val="00180C77"/>
    <w:rsid w:val="001818C1"/>
    <w:rsid w:val="00181D67"/>
    <w:rsid w:val="00181DBB"/>
    <w:rsid w:val="00185F4E"/>
    <w:rsid w:val="00194459"/>
    <w:rsid w:val="00194763"/>
    <w:rsid w:val="00197A7F"/>
    <w:rsid w:val="001A1F95"/>
    <w:rsid w:val="001A41C0"/>
    <w:rsid w:val="001A6C06"/>
    <w:rsid w:val="001A714B"/>
    <w:rsid w:val="001B0456"/>
    <w:rsid w:val="001C1A3A"/>
    <w:rsid w:val="001C7D78"/>
    <w:rsid w:val="001D2ABA"/>
    <w:rsid w:val="001E4C2E"/>
    <w:rsid w:val="001E602F"/>
    <w:rsid w:val="001F4AAA"/>
    <w:rsid w:val="001F70B4"/>
    <w:rsid w:val="0020066B"/>
    <w:rsid w:val="00200D02"/>
    <w:rsid w:val="0020183E"/>
    <w:rsid w:val="00204F66"/>
    <w:rsid w:val="00214F11"/>
    <w:rsid w:val="00217C8B"/>
    <w:rsid w:val="0023419A"/>
    <w:rsid w:val="002411E2"/>
    <w:rsid w:val="00241CF7"/>
    <w:rsid w:val="00242152"/>
    <w:rsid w:val="00243D53"/>
    <w:rsid w:val="00245208"/>
    <w:rsid w:val="0025169D"/>
    <w:rsid w:val="0025793E"/>
    <w:rsid w:val="002666DD"/>
    <w:rsid w:val="00266B50"/>
    <w:rsid w:val="00270BAE"/>
    <w:rsid w:val="0027283A"/>
    <w:rsid w:val="002811AB"/>
    <w:rsid w:val="002817B2"/>
    <w:rsid w:val="00281AC7"/>
    <w:rsid w:val="00281AF3"/>
    <w:rsid w:val="00282824"/>
    <w:rsid w:val="0028369F"/>
    <w:rsid w:val="002851A2"/>
    <w:rsid w:val="00287849"/>
    <w:rsid w:val="002929F0"/>
    <w:rsid w:val="002971B9"/>
    <w:rsid w:val="002A1875"/>
    <w:rsid w:val="002A1CB5"/>
    <w:rsid w:val="002B11F5"/>
    <w:rsid w:val="002B2F11"/>
    <w:rsid w:val="002B4B0A"/>
    <w:rsid w:val="002B5701"/>
    <w:rsid w:val="002B5A38"/>
    <w:rsid w:val="002C3B7B"/>
    <w:rsid w:val="002C62E6"/>
    <w:rsid w:val="002C70E2"/>
    <w:rsid w:val="002C71FF"/>
    <w:rsid w:val="002C76A9"/>
    <w:rsid w:val="002C7ACC"/>
    <w:rsid w:val="002D1602"/>
    <w:rsid w:val="002D633D"/>
    <w:rsid w:val="002E19D4"/>
    <w:rsid w:val="002E1ABE"/>
    <w:rsid w:val="002F21EF"/>
    <w:rsid w:val="002F5507"/>
    <w:rsid w:val="003040E8"/>
    <w:rsid w:val="00310A39"/>
    <w:rsid w:val="0031390A"/>
    <w:rsid w:val="003152EE"/>
    <w:rsid w:val="00330E76"/>
    <w:rsid w:val="00331A84"/>
    <w:rsid w:val="00333762"/>
    <w:rsid w:val="00336F17"/>
    <w:rsid w:val="003400C8"/>
    <w:rsid w:val="0034123D"/>
    <w:rsid w:val="00342568"/>
    <w:rsid w:val="003448FE"/>
    <w:rsid w:val="00346FC0"/>
    <w:rsid w:val="00351220"/>
    <w:rsid w:val="00353032"/>
    <w:rsid w:val="00353DF3"/>
    <w:rsid w:val="00355D5D"/>
    <w:rsid w:val="00360979"/>
    <w:rsid w:val="00362F86"/>
    <w:rsid w:val="00365ECD"/>
    <w:rsid w:val="003660A2"/>
    <w:rsid w:val="00383E87"/>
    <w:rsid w:val="00384FB1"/>
    <w:rsid w:val="00392CBC"/>
    <w:rsid w:val="0039648B"/>
    <w:rsid w:val="003B30B8"/>
    <w:rsid w:val="003B35A1"/>
    <w:rsid w:val="003D2568"/>
    <w:rsid w:val="003D2F2C"/>
    <w:rsid w:val="003E0046"/>
    <w:rsid w:val="003E228D"/>
    <w:rsid w:val="003F13E1"/>
    <w:rsid w:val="003F4D93"/>
    <w:rsid w:val="0040108B"/>
    <w:rsid w:val="004021D5"/>
    <w:rsid w:val="00404B12"/>
    <w:rsid w:val="0040689D"/>
    <w:rsid w:val="00410250"/>
    <w:rsid w:val="00412E8C"/>
    <w:rsid w:val="00414CD0"/>
    <w:rsid w:val="0041771A"/>
    <w:rsid w:val="00421AF7"/>
    <w:rsid w:val="004450B1"/>
    <w:rsid w:val="00446A9B"/>
    <w:rsid w:val="004550E2"/>
    <w:rsid w:val="004636F5"/>
    <w:rsid w:val="00465CFD"/>
    <w:rsid w:val="004760B0"/>
    <w:rsid w:val="00476F91"/>
    <w:rsid w:val="0048275A"/>
    <w:rsid w:val="00483406"/>
    <w:rsid w:val="0049276B"/>
    <w:rsid w:val="004A18E6"/>
    <w:rsid w:val="004A359A"/>
    <w:rsid w:val="004A7539"/>
    <w:rsid w:val="004B3006"/>
    <w:rsid w:val="004B38EA"/>
    <w:rsid w:val="004B4A5C"/>
    <w:rsid w:val="004B6F6B"/>
    <w:rsid w:val="004B7AFD"/>
    <w:rsid w:val="004C1A92"/>
    <w:rsid w:val="004C37BF"/>
    <w:rsid w:val="004D01C5"/>
    <w:rsid w:val="004D1CFD"/>
    <w:rsid w:val="004D5EFB"/>
    <w:rsid w:val="004D60B5"/>
    <w:rsid w:val="004D7BE8"/>
    <w:rsid w:val="004E0BE5"/>
    <w:rsid w:val="004E33E6"/>
    <w:rsid w:val="004E464D"/>
    <w:rsid w:val="004F3CC2"/>
    <w:rsid w:val="004F6356"/>
    <w:rsid w:val="005010B3"/>
    <w:rsid w:val="0050148E"/>
    <w:rsid w:val="00502503"/>
    <w:rsid w:val="00503569"/>
    <w:rsid w:val="00503737"/>
    <w:rsid w:val="00504363"/>
    <w:rsid w:val="0050557A"/>
    <w:rsid w:val="00505F81"/>
    <w:rsid w:val="00506F32"/>
    <w:rsid w:val="00512EBD"/>
    <w:rsid w:val="00515BDC"/>
    <w:rsid w:val="005165E3"/>
    <w:rsid w:val="00517F92"/>
    <w:rsid w:val="00533A74"/>
    <w:rsid w:val="005417FF"/>
    <w:rsid w:val="005446D5"/>
    <w:rsid w:val="005478FE"/>
    <w:rsid w:val="00550CEE"/>
    <w:rsid w:val="00560715"/>
    <w:rsid w:val="00561DB0"/>
    <w:rsid w:val="00563496"/>
    <w:rsid w:val="00565A96"/>
    <w:rsid w:val="00565DD2"/>
    <w:rsid w:val="0057078F"/>
    <w:rsid w:val="0057299F"/>
    <w:rsid w:val="005757BB"/>
    <w:rsid w:val="00576F82"/>
    <w:rsid w:val="00580741"/>
    <w:rsid w:val="00584AF2"/>
    <w:rsid w:val="00584B30"/>
    <w:rsid w:val="0059122D"/>
    <w:rsid w:val="00592739"/>
    <w:rsid w:val="00593841"/>
    <w:rsid w:val="00594E60"/>
    <w:rsid w:val="005A5A57"/>
    <w:rsid w:val="005A63C8"/>
    <w:rsid w:val="005A737E"/>
    <w:rsid w:val="005B1568"/>
    <w:rsid w:val="005B51C7"/>
    <w:rsid w:val="005F0E20"/>
    <w:rsid w:val="005F20DB"/>
    <w:rsid w:val="005F38F1"/>
    <w:rsid w:val="005F5E82"/>
    <w:rsid w:val="00600B88"/>
    <w:rsid w:val="006017DA"/>
    <w:rsid w:val="00604842"/>
    <w:rsid w:val="00604A9C"/>
    <w:rsid w:val="00605ED8"/>
    <w:rsid w:val="006126AB"/>
    <w:rsid w:val="006135E9"/>
    <w:rsid w:val="0061517B"/>
    <w:rsid w:val="006155EE"/>
    <w:rsid w:val="00615CCC"/>
    <w:rsid w:val="00616442"/>
    <w:rsid w:val="006338AC"/>
    <w:rsid w:val="0064464E"/>
    <w:rsid w:val="00646D84"/>
    <w:rsid w:val="006514AF"/>
    <w:rsid w:val="0065406E"/>
    <w:rsid w:val="00656EF4"/>
    <w:rsid w:val="0066072E"/>
    <w:rsid w:val="00664F7B"/>
    <w:rsid w:val="00666BED"/>
    <w:rsid w:val="006723A0"/>
    <w:rsid w:val="00683754"/>
    <w:rsid w:val="0068688B"/>
    <w:rsid w:val="00687346"/>
    <w:rsid w:val="006904DE"/>
    <w:rsid w:val="00691501"/>
    <w:rsid w:val="006948C3"/>
    <w:rsid w:val="006976E9"/>
    <w:rsid w:val="00697D7B"/>
    <w:rsid w:val="006A73C8"/>
    <w:rsid w:val="006B1E90"/>
    <w:rsid w:val="006B2B89"/>
    <w:rsid w:val="006B4716"/>
    <w:rsid w:val="006C408E"/>
    <w:rsid w:val="006D765D"/>
    <w:rsid w:val="006E1DE4"/>
    <w:rsid w:val="006E2143"/>
    <w:rsid w:val="006E3C7C"/>
    <w:rsid w:val="006E55C7"/>
    <w:rsid w:val="006E56E0"/>
    <w:rsid w:val="006F2FF3"/>
    <w:rsid w:val="006F3382"/>
    <w:rsid w:val="006F3E23"/>
    <w:rsid w:val="006F3F16"/>
    <w:rsid w:val="0070151B"/>
    <w:rsid w:val="00712B22"/>
    <w:rsid w:val="007170BC"/>
    <w:rsid w:val="00726095"/>
    <w:rsid w:val="007264E4"/>
    <w:rsid w:val="00740103"/>
    <w:rsid w:val="00740681"/>
    <w:rsid w:val="0074280E"/>
    <w:rsid w:val="00745F82"/>
    <w:rsid w:val="007464A2"/>
    <w:rsid w:val="00753CCD"/>
    <w:rsid w:val="007549F2"/>
    <w:rsid w:val="00754F2C"/>
    <w:rsid w:val="00755D0D"/>
    <w:rsid w:val="00755E24"/>
    <w:rsid w:val="0075767F"/>
    <w:rsid w:val="00760C07"/>
    <w:rsid w:val="00760C60"/>
    <w:rsid w:val="0076225A"/>
    <w:rsid w:val="00764F77"/>
    <w:rsid w:val="0076566F"/>
    <w:rsid w:val="00766970"/>
    <w:rsid w:val="00767361"/>
    <w:rsid w:val="00770EAC"/>
    <w:rsid w:val="007710DB"/>
    <w:rsid w:val="007718F2"/>
    <w:rsid w:val="00775706"/>
    <w:rsid w:val="00776280"/>
    <w:rsid w:val="00777CEF"/>
    <w:rsid w:val="00777F6B"/>
    <w:rsid w:val="00786BDC"/>
    <w:rsid w:val="007907FA"/>
    <w:rsid w:val="00791B68"/>
    <w:rsid w:val="0079233D"/>
    <w:rsid w:val="00794E2B"/>
    <w:rsid w:val="0079779A"/>
    <w:rsid w:val="007A3A90"/>
    <w:rsid w:val="007A53D5"/>
    <w:rsid w:val="007A7725"/>
    <w:rsid w:val="007B247C"/>
    <w:rsid w:val="007B2E5C"/>
    <w:rsid w:val="007B5499"/>
    <w:rsid w:val="007B7A48"/>
    <w:rsid w:val="007C04E6"/>
    <w:rsid w:val="007C4350"/>
    <w:rsid w:val="007C50CF"/>
    <w:rsid w:val="007D08BF"/>
    <w:rsid w:val="007D1B26"/>
    <w:rsid w:val="007D7D00"/>
    <w:rsid w:val="007E480D"/>
    <w:rsid w:val="007E50D8"/>
    <w:rsid w:val="007F1B7E"/>
    <w:rsid w:val="007F6D13"/>
    <w:rsid w:val="007F7E6B"/>
    <w:rsid w:val="008126CF"/>
    <w:rsid w:val="00812E4D"/>
    <w:rsid w:val="00817E5D"/>
    <w:rsid w:val="008213FA"/>
    <w:rsid w:val="00822FD6"/>
    <w:rsid w:val="008255FA"/>
    <w:rsid w:val="00825B27"/>
    <w:rsid w:val="008277D9"/>
    <w:rsid w:val="00830CD3"/>
    <w:rsid w:val="0083360F"/>
    <w:rsid w:val="00833890"/>
    <w:rsid w:val="00834A07"/>
    <w:rsid w:val="00834C2F"/>
    <w:rsid w:val="00845D8E"/>
    <w:rsid w:val="00846867"/>
    <w:rsid w:val="008477EC"/>
    <w:rsid w:val="008530AE"/>
    <w:rsid w:val="00854651"/>
    <w:rsid w:val="008571B9"/>
    <w:rsid w:val="008605F1"/>
    <w:rsid w:val="00862C38"/>
    <w:rsid w:val="00881C94"/>
    <w:rsid w:val="008827DF"/>
    <w:rsid w:val="00884093"/>
    <w:rsid w:val="008846C9"/>
    <w:rsid w:val="0088711A"/>
    <w:rsid w:val="008906B4"/>
    <w:rsid w:val="00893D25"/>
    <w:rsid w:val="00894F1F"/>
    <w:rsid w:val="00897A5F"/>
    <w:rsid w:val="008B3C7D"/>
    <w:rsid w:val="008B3F94"/>
    <w:rsid w:val="008B6210"/>
    <w:rsid w:val="008B77F8"/>
    <w:rsid w:val="008D0F22"/>
    <w:rsid w:val="008D69AF"/>
    <w:rsid w:val="008E2AA3"/>
    <w:rsid w:val="008E5817"/>
    <w:rsid w:val="008F003B"/>
    <w:rsid w:val="008F70A9"/>
    <w:rsid w:val="0090515D"/>
    <w:rsid w:val="00907A5F"/>
    <w:rsid w:val="00912B09"/>
    <w:rsid w:val="00916703"/>
    <w:rsid w:val="00923D33"/>
    <w:rsid w:val="00925430"/>
    <w:rsid w:val="009311B5"/>
    <w:rsid w:val="0093458F"/>
    <w:rsid w:val="00941BBD"/>
    <w:rsid w:val="009424D7"/>
    <w:rsid w:val="00943F58"/>
    <w:rsid w:val="00946A91"/>
    <w:rsid w:val="00952E49"/>
    <w:rsid w:val="009610C4"/>
    <w:rsid w:val="00964EEC"/>
    <w:rsid w:val="00970478"/>
    <w:rsid w:val="0097769E"/>
    <w:rsid w:val="00980B0C"/>
    <w:rsid w:val="00982E09"/>
    <w:rsid w:val="00983B97"/>
    <w:rsid w:val="009851C9"/>
    <w:rsid w:val="00985D6A"/>
    <w:rsid w:val="009873D3"/>
    <w:rsid w:val="009A2908"/>
    <w:rsid w:val="009A40BE"/>
    <w:rsid w:val="009A6DEB"/>
    <w:rsid w:val="009B25F5"/>
    <w:rsid w:val="009B36A6"/>
    <w:rsid w:val="009B38AE"/>
    <w:rsid w:val="009B52E7"/>
    <w:rsid w:val="009C06AF"/>
    <w:rsid w:val="009C4F42"/>
    <w:rsid w:val="009C6364"/>
    <w:rsid w:val="009D16AB"/>
    <w:rsid w:val="009E1591"/>
    <w:rsid w:val="009F29A4"/>
    <w:rsid w:val="009F2B8B"/>
    <w:rsid w:val="00A00606"/>
    <w:rsid w:val="00A20DD9"/>
    <w:rsid w:val="00A23CFA"/>
    <w:rsid w:val="00A31A93"/>
    <w:rsid w:val="00A32022"/>
    <w:rsid w:val="00A41CF2"/>
    <w:rsid w:val="00A45535"/>
    <w:rsid w:val="00A46AF9"/>
    <w:rsid w:val="00A5161A"/>
    <w:rsid w:val="00A53C0F"/>
    <w:rsid w:val="00A570D1"/>
    <w:rsid w:val="00A57C44"/>
    <w:rsid w:val="00A57F25"/>
    <w:rsid w:val="00A57FE3"/>
    <w:rsid w:val="00A6294A"/>
    <w:rsid w:val="00A649B9"/>
    <w:rsid w:val="00A65B0D"/>
    <w:rsid w:val="00A7415F"/>
    <w:rsid w:val="00A74F39"/>
    <w:rsid w:val="00A812A2"/>
    <w:rsid w:val="00A82EA8"/>
    <w:rsid w:val="00A841E7"/>
    <w:rsid w:val="00A84814"/>
    <w:rsid w:val="00A868E3"/>
    <w:rsid w:val="00A915C0"/>
    <w:rsid w:val="00A92C53"/>
    <w:rsid w:val="00A9346E"/>
    <w:rsid w:val="00A96B84"/>
    <w:rsid w:val="00AA2144"/>
    <w:rsid w:val="00AA3388"/>
    <w:rsid w:val="00AA51D6"/>
    <w:rsid w:val="00AB4D39"/>
    <w:rsid w:val="00AC0389"/>
    <w:rsid w:val="00AC1055"/>
    <w:rsid w:val="00AC55D8"/>
    <w:rsid w:val="00AC5B3F"/>
    <w:rsid w:val="00AC5DB9"/>
    <w:rsid w:val="00AC7AC9"/>
    <w:rsid w:val="00AC7EB6"/>
    <w:rsid w:val="00AD0587"/>
    <w:rsid w:val="00AD2DDE"/>
    <w:rsid w:val="00AD5314"/>
    <w:rsid w:val="00AD7619"/>
    <w:rsid w:val="00AF0D26"/>
    <w:rsid w:val="00AF1D5C"/>
    <w:rsid w:val="00B0615A"/>
    <w:rsid w:val="00B173CC"/>
    <w:rsid w:val="00B20A28"/>
    <w:rsid w:val="00B251A0"/>
    <w:rsid w:val="00B265E5"/>
    <w:rsid w:val="00B26FD9"/>
    <w:rsid w:val="00B34731"/>
    <w:rsid w:val="00B358BC"/>
    <w:rsid w:val="00B40085"/>
    <w:rsid w:val="00B41679"/>
    <w:rsid w:val="00B4285D"/>
    <w:rsid w:val="00B43C20"/>
    <w:rsid w:val="00B55476"/>
    <w:rsid w:val="00B55738"/>
    <w:rsid w:val="00B56E76"/>
    <w:rsid w:val="00B5766E"/>
    <w:rsid w:val="00B64EBA"/>
    <w:rsid w:val="00B664E4"/>
    <w:rsid w:val="00B674E4"/>
    <w:rsid w:val="00B675BD"/>
    <w:rsid w:val="00B76BAB"/>
    <w:rsid w:val="00B81692"/>
    <w:rsid w:val="00B87CC3"/>
    <w:rsid w:val="00B902C2"/>
    <w:rsid w:val="00BB1A7E"/>
    <w:rsid w:val="00BC5283"/>
    <w:rsid w:val="00BC6A9B"/>
    <w:rsid w:val="00BD418C"/>
    <w:rsid w:val="00BD5518"/>
    <w:rsid w:val="00BD5F4F"/>
    <w:rsid w:val="00BE062D"/>
    <w:rsid w:val="00BE0F84"/>
    <w:rsid w:val="00BE3E90"/>
    <w:rsid w:val="00BE7CCC"/>
    <w:rsid w:val="00BF7955"/>
    <w:rsid w:val="00C00BF3"/>
    <w:rsid w:val="00C01FFD"/>
    <w:rsid w:val="00C11813"/>
    <w:rsid w:val="00C12862"/>
    <w:rsid w:val="00C1629B"/>
    <w:rsid w:val="00C23D0F"/>
    <w:rsid w:val="00C305BF"/>
    <w:rsid w:val="00C34BB9"/>
    <w:rsid w:val="00C43685"/>
    <w:rsid w:val="00C43DA4"/>
    <w:rsid w:val="00C449F0"/>
    <w:rsid w:val="00C52F1F"/>
    <w:rsid w:val="00C560DC"/>
    <w:rsid w:val="00C623C0"/>
    <w:rsid w:val="00C635A1"/>
    <w:rsid w:val="00C659E7"/>
    <w:rsid w:val="00C7406F"/>
    <w:rsid w:val="00C741F1"/>
    <w:rsid w:val="00C802C2"/>
    <w:rsid w:val="00C87C62"/>
    <w:rsid w:val="00C9735B"/>
    <w:rsid w:val="00CA0C22"/>
    <w:rsid w:val="00CA31D9"/>
    <w:rsid w:val="00CA39C8"/>
    <w:rsid w:val="00CA4895"/>
    <w:rsid w:val="00CA7F07"/>
    <w:rsid w:val="00CB5453"/>
    <w:rsid w:val="00CC6443"/>
    <w:rsid w:val="00CC758D"/>
    <w:rsid w:val="00CD1313"/>
    <w:rsid w:val="00CD2CE3"/>
    <w:rsid w:val="00CE0D58"/>
    <w:rsid w:val="00CE1262"/>
    <w:rsid w:val="00CE24FA"/>
    <w:rsid w:val="00CE379C"/>
    <w:rsid w:val="00CE528D"/>
    <w:rsid w:val="00CF18F5"/>
    <w:rsid w:val="00CF24D4"/>
    <w:rsid w:val="00CF4513"/>
    <w:rsid w:val="00CF478D"/>
    <w:rsid w:val="00CF576A"/>
    <w:rsid w:val="00CF615B"/>
    <w:rsid w:val="00D03885"/>
    <w:rsid w:val="00D11394"/>
    <w:rsid w:val="00D11B62"/>
    <w:rsid w:val="00D13B6E"/>
    <w:rsid w:val="00D175D1"/>
    <w:rsid w:val="00D247B8"/>
    <w:rsid w:val="00D279D2"/>
    <w:rsid w:val="00D306E2"/>
    <w:rsid w:val="00D309A3"/>
    <w:rsid w:val="00D30FA7"/>
    <w:rsid w:val="00D314F4"/>
    <w:rsid w:val="00D340F4"/>
    <w:rsid w:val="00D370F0"/>
    <w:rsid w:val="00D51D08"/>
    <w:rsid w:val="00D534D9"/>
    <w:rsid w:val="00D55051"/>
    <w:rsid w:val="00D553F8"/>
    <w:rsid w:val="00D566B5"/>
    <w:rsid w:val="00D57FE6"/>
    <w:rsid w:val="00D60D54"/>
    <w:rsid w:val="00D62DDB"/>
    <w:rsid w:val="00D6414C"/>
    <w:rsid w:val="00D663AD"/>
    <w:rsid w:val="00D7125F"/>
    <w:rsid w:val="00D747A6"/>
    <w:rsid w:val="00D75C19"/>
    <w:rsid w:val="00D838E4"/>
    <w:rsid w:val="00D907A0"/>
    <w:rsid w:val="00D9182E"/>
    <w:rsid w:val="00D918F4"/>
    <w:rsid w:val="00D92924"/>
    <w:rsid w:val="00D95679"/>
    <w:rsid w:val="00DA0CBD"/>
    <w:rsid w:val="00DA1556"/>
    <w:rsid w:val="00DA5010"/>
    <w:rsid w:val="00DB0F6F"/>
    <w:rsid w:val="00DC19C5"/>
    <w:rsid w:val="00DC26F7"/>
    <w:rsid w:val="00DC30A2"/>
    <w:rsid w:val="00DC64EC"/>
    <w:rsid w:val="00DD3DB0"/>
    <w:rsid w:val="00DD4B02"/>
    <w:rsid w:val="00DE389D"/>
    <w:rsid w:val="00DE46FF"/>
    <w:rsid w:val="00DE5426"/>
    <w:rsid w:val="00DE76E9"/>
    <w:rsid w:val="00DE7DD0"/>
    <w:rsid w:val="00DF0DA6"/>
    <w:rsid w:val="00DF30A5"/>
    <w:rsid w:val="00DF4DE9"/>
    <w:rsid w:val="00DF7689"/>
    <w:rsid w:val="00E022B4"/>
    <w:rsid w:val="00E02E8B"/>
    <w:rsid w:val="00E12365"/>
    <w:rsid w:val="00E1246C"/>
    <w:rsid w:val="00E14AFD"/>
    <w:rsid w:val="00E20CC8"/>
    <w:rsid w:val="00E21619"/>
    <w:rsid w:val="00E27B52"/>
    <w:rsid w:val="00E3042E"/>
    <w:rsid w:val="00E33FE9"/>
    <w:rsid w:val="00E36436"/>
    <w:rsid w:val="00E402C5"/>
    <w:rsid w:val="00E41767"/>
    <w:rsid w:val="00E51AD2"/>
    <w:rsid w:val="00E533DE"/>
    <w:rsid w:val="00E54271"/>
    <w:rsid w:val="00E5576B"/>
    <w:rsid w:val="00E56F77"/>
    <w:rsid w:val="00E63FBF"/>
    <w:rsid w:val="00E65CC6"/>
    <w:rsid w:val="00E71FF3"/>
    <w:rsid w:val="00E72B17"/>
    <w:rsid w:val="00E73259"/>
    <w:rsid w:val="00E74AAB"/>
    <w:rsid w:val="00E75F30"/>
    <w:rsid w:val="00E77C77"/>
    <w:rsid w:val="00E80808"/>
    <w:rsid w:val="00E80C98"/>
    <w:rsid w:val="00E85A1D"/>
    <w:rsid w:val="00E90FC3"/>
    <w:rsid w:val="00EA18B9"/>
    <w:rsid w:val="00EA2380"/>
    <w:rsid w:val="00EA2C52"/>
    <w:rsid w:val="00EB7DB4"/>
    <w:rsid w:val="00EC3FD6"/>
    <w:rsid w:val="00EC6E17"/>
    <w:rsid w:val="00EE6ED3"/>
    <w:rsid w:val="00EF1CD4"/>
    <w:rsid w:val="00EF5B4C"/>
    <w:rsid w:val="00EF6970"/>
    <w:rsid w:val="00F01D45"/>
    <w:rsid w:val="00F154F1"/>
    <w:rsid w:val="00F2423F"/>
    <w:rsid w:val="00F32387"/>
    <w:rsid w:val="00F32A90"/>
    <w:rsid w:val="00F34085"/>
    <w:rsid w:val="00F35E28"/>
    <w:rsid w:val="00F3750E"/>
    <w:rsid w:val="00F37961"/>
    <w:rsid w:val="00F41C51"/>
    <w:rsid w:val="00F42835"/>
    <w:rsid w:val="00F438BF"/>
    <w:rsid w:val="00F449F7"/>
    <w:rsid w:val="00F44E84"/>
    <w:rsid w:val="00F455AE"/>
    <w:rsid w:val="00F46F6F"/>
    <w:rsid w:val="00F50D17"/>
    <w:rsid w:val="00F52C50"/>
    <w:rsid w:val="00F54648"/>
    <w:rsid w:val="00F54D0A"/>
    <w:rsid w:val="00F60732"/>
    <w:rsid w:val="00F63B6C"/>
    <w:rsid w:val="00F6451D"/>
    <w:rsid w:val="00F65645"/>
    <w:rsid w:val="00F662FC"/>
    <w:rsid w:val="00F66E8C"/>
    <w:rsid w:val="00F702BE"/>
    <w:rsid w:val="00F779A6"/>
    <w:rsid w:val="00F81430"/>
    <w:rsid w:val="00F838A0"/>
    <w:rsid w:val="00F84F53"/>
    <w:rsid w:val="00F856EC"/>
    <w:rsid w:val="00F91602"/>
    <w:rsid w:val="00F93BAD"/>
    <w:rsid w:val="00F941C5"/>
    <w:rsid w:val="00FA13B4"/>
    <w:rsid w:val="00FA1DEE"/>
    <w:rsid w:val="00FA4AD1"/>
    <w:rsid w:val="00FA4DBF"/>
    <w:rsid w:val="00FA7D73"/>
    <w:rsid w:val="00FB2365"/>
    <w:rsid w:val="00FB30EE"/>
    <w:rsid w:val="00FB5F62"/>
    <w:rsid w:val="00FC47A5"/>
    <w:rsid w:val="00FC4FFA"/>
    <w:rsid w:val="00FC5530"/>
    <w:rsid w:val="00FC59F1"/>
    <w:rsid w:val="00FC7058"/>
    <w:rsid w:val="00FD0591"/>
    <w:rsid w:val="00FE042F"/>
    <w:rsid w:val="00FE3188"/>
    <w:rsid w:val="00FE79BD"/>
    <w:rsid w:val="00FF0A61"/>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customStyle="1" w:styleId="Textoindependiente32">
    <w:name w:val="Texto independiente 32"/>
    <w:basedOn w:val="Normal"/>
    <w:rsid w:val="006B2B89"/>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7CA31-BE55-42A9-AA2B-92B69989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11</Pages>
  <Words>3546</Words>
  <Characters>19505</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12</cp:revision>
  <cp:lastPrinted>2018-01-11T18:44:00Z</cp:lastPrinted>
  <dcterms:created xsi:type="dcterms:W3CDTF">2017-12-15T14:09:00Z</dcterms:created>
  <dcterms:modified xsi:type="dcterms:W3CDTF">2018-02-23T16:15:00Z</dcterms:modified>
</cp:coreProperties>
</file>