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8E5" w:rsidRPr="00400CCC" w:rsidRDefault="002A38E5" w:rsidP="002A38E5">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24"/>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2A38E5" w:rsidRDefault="002A38E5" w:rsidP="002A38E5">
      <w:pPr>
        <w:pStyle w:val="a"/>
        <w:jc w:val="both"/>
        <w:rPr>
          <w:rFonts w:ascii="Arial" w:hAnsi="Arial" w:cs="Arial"/>
          <w:b w:val="0"/>
        </w:rPr>
      </w:pPr>
    </w:p>
    <w:p w:rsidR="00D60D82" w:rsidRPr="009C283B" w:rsidRDefault="00D60D82" w:rsidP="00D60D82">
      <w:pPr>
        <w:spacing w:line="360" w:lineRule="auto"/>
        <w:jc w:val="center"/>
        <w:rPr>
          <w:rFonts w:ascii="Arial Narrow" w:hAnsi="Arial Narrow" w:cs="Arial"/>
          <w:b/>
          <w:sz w:val="29"/>
          <w:szCs w:val="29"/>
        </w:rPr>
      </w:pPr>
      <w:r w:rsidRPr="009C283B">
        <w:rPr>
          <w:rFonts w:ascii="Arial Narrow" w:hAnsi="Arial Narrow" w:cs="Arial"/>
          <w:b/>
          <w:sz w:val="29"/>
          <w:szCs w:val="29"/>
        </w:rPr>
        <w:t>REPÚBLICA DE COLOMBIA</w:t>
      </w:r>
    </w:p>
    <w:p w:rsidR="00D60D82" w:rsidRPr="009C283B" w:rsidRDefault="00D60D82" w:rsidP="00D60D82">
      <w:pPr>
        <w:tabs>
          <w:tab w:val="left" w:pos="3060"/>
        </w:tabs>
        <w:spacing w:line="360" w:lineRule="auto"/>
        <w:jc w:val="center"/>
        <w:rPr>
          <w:rFonts w:ascii="Arial Narrow" w:hAnsi="Arial Narrow" w:cs="Arial"/>
          <w:b/>
          <w:sz w:val="29"/>
          <w:szCs w:val="29"/>
        </w:rPr>
      </w:pPr>
      <w:r>
        <w:rPr>
          <w:rFonts w:ascii="Arial Narrow" w:hAnsi="Arial Narrow" w:cs="Arial"/>
          <w:b/>
          <w:noProof/>
          <w:sz w:val="29"/>
          <w:szCs w:val="29"/>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9C283B">
        <w:rPr>
          <w:rFonts w:ascii="Arial Narrow" w:hAnsi="Arial Narrow" w:cs="Arial"/>
          <w:b/>
          <w:color w:val="000000"/>
          <w:sz w:val="29"/>
          <w:szCs w:val="29"/>
        </w:rPr>
        <w:br w:type="textWrapping" w:clear="all"/>
      </w:r>
      <w:r w:rsidRPr="009C283B">
        <w:rPr>
          <w:rFonts w:ascii="Arial Narrow" w:hAnsi="Arial Narrow" w:cs="Arial"/>
          <w:b/>
          <w:sz w:val="29"/>
          <w:szCs w:val="29"/>
        </w:rPr>
        <w:t>TRIBUNAL SUPERIOR DE DISTRITO JUDICIAL DE PEREIRA</w:t>
      </w:r>
    </w:p>
    <w:p w:rsidR="00D60D82" w:rsidRPr="009C283B" w:rsidRDefault="00D60D82" w:rsidP="00D60D82">
      <w:pPr>
        <w:keepNext/>
        <w:spacing w:line="360" w:lineRule="auto"/>
        <w:jc w:val="center"/>
        <w:outlineLvl w:val="0"/>
        <w:rPr>
          <w:rFonts w:ascii="Arial Narrow" w:hAnsi="Arial Narrow" w:cs="Arial"/>
          <w:b/>
          <w:bCs/>
          <w:kern w:val="32"/>
          <w:sz w:val="29"/>
          <w:szCs w:val="29"/>
        </w:rPr>
      </w:pPr>
      <w:r w:rsidRPr="009C283B">
        <w:rPr>
          <w:rFonts w:ascii="Arial Narrow" w:hAnsi="Arial Narrow" w:cs="Arial"/>
          <w:b/>
          <w:bCs/>
          <w:kern w:val="32"/>
          <w:sz w:val="29"/>
          <w:szCs w:val="29"/>
        </w:rPr>
        <w:t>SALA</w:t>
      </w:r>
      <w:r w:rsidR="005517A4">
        <w:rPr>
          <w:rFonts w:ascii="Arial Narrow" w:hAnsi="Arial Narrow" w:cs="Arial"/>
          <w:b/>
          <w:bCs/>
          <w:kern w:val="32"/>
          <w:sz w:val="29"/>
          <w:szCs w:val="29"/>
        </w:rPr>
        <w:t xml:space="preserve"> TERCERA</w:t>
      </w:r>
      <w:r w:rsidRPr="009C283B">
        <w:rPr>
          <w:rFonts w:ascii="Arial Narrow" w:hAnsi="Arial Narrow" w:cs="Arial"/>
          <w:b/>
          <w:bCs/>
          <w:kern w:val="32"/>
          <w:sz w:val="29"/>
          <w:szCs w:val="29"/>
        </w:rPr>
        <w:t xml:space="preserve"> DE DECISIÓN LABORAL</w:t>
      </w:r>
    </w:p>
    <w:p w:rsidR="00D60D82" w:rsidRPr="009C283B" w:rsidRDefault="00D60D82" w:rsidP="00D60D82">
      <w:pPr>
        <w:jc w:val="both"/>
        <w:rPr>
          <w:rFonts w:ascii="Arial Narrow" w:hAnsi="Arial Narrow" w:cs="Arial"/>
          <w:b/>
          <w:bCs/>
          <w:i/>
          <w:iCs/>
          <w:sz w:val="29"/>
          <w:szCs w:val="29"/>
          <w:u w:val="single"/>
        </w:rPr>
      </w:pPr>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Providencia</w:t>
      </w:r>
      <w:r w:rsidRPr="00181429">
        <w:rPr>
          <w:rFonts w:ascii="Arial Narrow" w:hAnsi="Arial Narrow" w:cs="Arial"/>
          <w:i/>
          <w:sz w:val="18"/>
          <w:szCs w:val="18"/>
        </w:rPr>
        <w:t>:</w:t>
      </w:r>
      <w:r w:rsidRPr="00181429">
        <w:rPr>
          <w:rFonts w:ascii="Arial Narrow" w:hAnsi="Arial Narrow" w:cs="Arial"/>
          <w:b/>
          <w:i/>
          <w:sz w:val="18"/>
          <w:szCs w:val="18"/>
        </w:rPr>
        <w:t xml:space="preserve"> </w:t>
      </w:r>
      <w:r w:rsidRPr="00181429">
        <w:rPr>
          <w:rFonts w:ascii="Arial Narrow" w:hAnsi="Arial Narrow" w:cs="Arial"/>
          <w:i/>
          <w:sz w:val="18"/>
          <w:szCs w:val="18"/>
        </w:rPr>
        <w:tab/>
      </w:r>
      <w:r w:rsidRPr="00181429">
        <w:rPr>
          <w:rFonts w:ascii="Arial Narrow" w:hAnsi="Arial Narrow" w:cs="Arial"/>
          <w:i/>
          <w:sz w:val="18"/>
          <w:szCs w:val="18"/>
        </w:rPr>
        <w:tab/>
      </w:r>
      <w:r w:rsidR="006F5AF5">
        <w:rPr>
          <w:rFonts w:ascii="Arial Narrow" w:hAnsi="Arial Narrow" w:cs="Arial"/>
          <w:i/>
          <w:sz w:val="18"/>
          <w:szCs w:val="18"/>
        </w:rPr>
        <w:t>Resuelve recurso de súplica</w:t>
      </w:r>
    </w:p>
    <w:p w:rsidR="00D60D82" w:rsidRPr="00181429" w:rsidRDefault="00D60D82" w:rsidP="00D60D82">
      <w:pPr>
        <w:jc w:val="both"/>
        <w:rPr>
          <w:rFonts w:ascii="Arial Narrow" w:hAnsi="Arial Narrow" w:cs="Arial"/>
          <w:bCs/>
          <w:i/>
          <w:iCs/>
          <w:sz w:val="18"/>
          <w:szCs w:val="18"/>
        </w:rPr>
      </w:pPr>
      <w:r w:rsidRPr="00181429">
        <w:rPr>
          <w:rFonts w:ascii="Arial Narrow" w:hAnsi="Arial Narrow" w:cs="Arial"/>
          <w:b/>
          <w:bCs/>
          <w:i/>
          <w:sz w:val="18"/>
          <w:szCs w:val="18"/>
        </w:rPr>
        <w:t>Radicación No</w:t>
      </w:r>
      <w:r w:rsidRPr="00181429">
        <w:rPr>
          <w:rFonts w:ascii="Arial Narrow" w:hAnsi="Arial Narrow" w:cs="Arial"/>
          <w:bCs/>
          <w:i/>
          <w:sz w:val="18"/>
          <w:szCs w:val="18"/>
        </w:rPr>
        <w:t>:</w:t>
      </w:r>
      <w:r w:rsidRPr="00181429">
        <w:rPr>
          <w:rFonts w:ascii="Arial Narrow" w:hAnsi="Arial Narrow" w:cs="Arial"/>
          <w:b/>
          <w:bCs/>
          <w:i/>
          <w:sz w:val="18"/>
          <w:szCs w:val="18"/>
        </w:rPr>
        <w:t xml:space="preserve"> </w:t>
      </w:r>
      <w:r w:rsidRPr="00181429">
        <w:rPr>
          <w:rFonts w:ascii="Arial Narrow" w:hAnsi="Arial Narrow" w:cs="Arial"/>
          <w:b/>
          <w:bCs/>
          <w:i/>
          <w:sz w:val="18"/>
          <w:szCs w:val="18"/>
        </w:rPr>
        <w:tab/>
        <w:t xml:space="preserve">                  </w:t>
      </w:r>
      <w:r w:rsidRPr="00181429">
        <w:rPr>
          <w:rFonts w:ascii="Arial Narrow" w:hAnsi="Arial Narrow" w:cs="Arial"/>
          <w:bCs/>
          <w:i/>
          <w:sz w:val="18"/>
          <w:szCs w:val="18"/>
        </w:rPr>
        <w:t>66001-31-05-00</w:t>
      </w:r>
      <w:r w:rsidR="006F5AF5">
        <w:rPr>
          <w:rFonts w:ascii="Arial Narrow" w:hAnsi="Arial Narrow" w:cs="Arial"/>
          <w:bCs/>
          <w:i/>
          <w:sz w:val="18"/>
          <w:szCs w:val="18"/>
        </w:rPr>
        <w:t>4</w:t>
      </w:r>
      <w:r>
        <w:rPr>
          <w:rFonts w:ascii="Arial Narrow" w:hAnsi="Arial Narrow" w:cs="Arial"/>
          <w:bCs/>
          <w:i/>
          <w:sz w:val="18"/>
          <w:szCs w:val="18"/>
        </w:rPr>
        <w:t>-201</w:t>
      </w:r>
      <w:r w:rsidR="006F5AF5">
        <w:rPr>
          <w:rFonts w:ascii="Arial Narrow" w:hAnsi="Arial Narrow" w:cs="Arial"/>
          <w:bCs/>
          <w:i/>
          <w:sz w:val="18"/>
          <w:szCs w:val="18"/>
        </w:rPr>
        <w:t>4</w:t>
      </w:r>
      <w:r>
        <w:rPr>
          <w:rFonts w:ascii="Arial Narrow" w:hAnsi="Arial Narrow" w:cs="Arial"/>
          <w:bCs/>
          <w:i/>
          <w:sz w:val="18"/>
          <w:szCs w:val="18"/>
        </w:rPr>
        <w:t>-00</w:t>
      </w:r>
      <w:r w:rsidR="006F5AF5">
        <w:rPr>
          <w:rFonts w:ascii="Arial Narrow" w:hAnsi="Arial Narrow" w:cs="Arial"/>
          <w:bCs/>
          <w:i/>
          <w:sz w:val="18"/>
          <w:szCs w:val="18"/>
        </w:rPr>
        <w:t>665</w:t>
      </w:r>
      <w:r>
        <w:rPr>
          <w:rFonts w:ascii="Arial Narrow" w:hAnsi="Arial Narrow" w:cs="Arial"/>
          <w:bCs/>
          <w:i/>
          <w:sz w:val="18"/>
          <w:szCs w:val="18"/>
        </w:rPr>
        <w:t>-0</w:t>
      </w:r>
      <w:r w:rsidR="006F5AF5">
        <w:rPr>
          <w:rFonts w:ascii="Arial Narrow" w:hAnsi="Arial Narrow" w:cs="Arial"/>
          <w:bCs/>
          <w:i/>
          <w:sz w:val="18"/>
          <w:szCs w:val="18"/>
        </w:rPr>
        <w:t>2</w:t>
      </w:r>
    </w:p>
    <w:p w:rsidR="00D60D82" w:rsidRPr="00181429" w:rsidRDefault="00D60D82" w:rsidP="00D60D82">
      <w:pPr>
        <w:jc w:val="both"/>
        <w:rPr>
          <w:rFonts w:ascii="Arial Narrow" w:hAnsi="Arial Narrow" w:cs="Arial"/>
          <w:i/>
          <w:iCs/>
          <w:sz w:val="18"/>
          <w:szCs w:val="18"/>
        </w:rPr>
      </w:pPr>
      <w:r w:rsidRPr="00181429">
        <w:rPr>
          <w:rFonts w:ascii="Arial Narrow" w:hAnsi="Arial Narrow" w:cs="Arial"/>
          <w:b/>
          <w:bCs/>
          <w:i/>
          <w:iCs/>
          <w:sz w:val="18"/>
          <w:szCs w:val="18"/>
        </w:rPr>
        <w:t>Proceso</w:t>
      </w:r>
      <w:r w:rsidRPr="00181429">
        <w:rPr>
          <w:rFonts w:ascii="Arial Narrow" w:hAnsi="Arial Narrow" w:cs="Arial"/>
          <w:bCs/>
          <w:i/>
          <w:iCs/>
          <w:sz w:val="18"/>
          <w:szCs w:val="18"/>
        </w:rPr>
        <w:t>:</w:t>
      </w:r>
      <w:r w:rsidRPr="00181429">
        <w:rPr>
          <w:rFonts w:ascii="Arial Narrow" w:hAnsi="Arial Narrow" w:cs="Arial"/>
          <w:i/>
          <w:iCs/>
          <w:sz w:val="18"/>
          <w:szCs w:val="18"/>
        </w:rPr>
        <w:t xml:space="preserve"> </w:t>
      </w:r>
      <w:r w:rsidRPr="00181429">
        <w:rPr>
          <w:rFonts w:ascii="Arial Narrow" w:hAnsi="Arial Narrow" w:cs="Arial"/>
          <w:b/>
          <w:i/>
          <w:iCs/>
          <w:sz w:val="18"/>
          <w:szCs w:val="18"/>
        </w:rPr>
        <w:tab/>
      </w:r>
      <w:r w:rsidRPr="00181429">
        <w:rPr>
          <w:rFonts w:ascii="Arial Narrow" w:hAnsi="Arial Narrow" w:cs="Arial"/>
          <w:i/>
          <w:iCs/>
          <w:sz w:val="18"/>
          <w:szCs w:val="18"/>
        </w:rPr>
        <w:tab/>
        <w:t xml:space="preserve">   </w:t>
      </w:r>
      <w:r>
        <w:rPr>
          <w:rFonts w:ascii="Arial Narrow" w:hAnsi="Arial Narrow" w:cs="Arial"/>
          <w:i/>
          <w:iCs/>
          <w:sz w:val="18"/>
          <w:szCs w:val="18"/>
        </w:rPr>
        <w:tab/>
      </w:r>
      <w:r w:rsidR="00932165">
        <w:rPr>
          <w:rFonts w:ascii="Arial Narrow" w:hAnsi="Arial Narrow" w:cs="Arial"/>
          <w:i/>
          <w:iCs/>
          <w:sz w:val="18"/>
          <w:szCs w:val="18"/>
        </w:rPr>
        <w:t xml:space="preserve"> Ejecutivo</w:t>
      </w:r>
      <w:r w:rsidRPr="00181429">
        <w:rPr>
          <w:rFonts w:ascii="Arial Narrow" w:hAnsi="Arial Narrow" w:cs="Arial"/>
          <w:i/>
          <w:iCs/>
          <w:sz w:val="18"/>
          <w:szCs w:val="18"/>
        </w:rPr>
        <w:t xml:space="preserve"> Laboral</w:t>
      </w:r>
    </w:p>
    <w:p w:rsidR="00D60D82" w:rsidRPr="00181429" w:rsidRDefault="00D60D82" w:rsidP="00D60D82">
      <w:pPr>
        <w:jc w:val="both"/>
        <w:rPr>
          <w:rFonts w:ascii="Arial Narrow" w:hAnsi="Arial Narrow" w:cs="Arial"/>
          <w:bCs/>
          <w:i/>
          <w:sz w:val="18"/>
          <w:szCs w:val="18"/>
        </w:rPr>
      </w:pPr>
      <w:r w:rsidRPr="00181429">
        <w:rPr>
          <w:rFonts w:ascii="Arial Narrow" w:hAnsi="Arial Narrow" w:cs="Arial"/>
          <w:b/>
          <w:i/>
          <w:iCs/>
          <w:sz w:val="18"/>
          <w:szCs w:val="18"/>
        </w:rPr>
        <w:t>Demandante</w:t>
      </w:r>
      <w:r w:rsidRPr="00181429">
        <w:rPr>
          <w:rFonts w:ascii="Arial Narrow" w:hAnsi="Arial Narrow" w:cs="Arial"/>
          <w:i/>
          <w:iCs/>
          <w:sz w:val="18"/>
          <w:szCs w:val="18"/>
        </w:rPr>
        <w:t>:</w:t>
      </w:r>
      <w:r w:rsidRPr="00181429">
        <w:rPr>
          <w:rFonts w:ascii="Arial Narrow" w:hAnsi="Arial Narrow" w:cs="Arial"/>
          <w:i/>
          <w:iCs/>
          <w:sz w:val="18"/>
          <w:szCs w:val="18"/>
        </w:rPr>
        <w:tab/>
      </w:r>
      <w:r w:rsidRPr="00181429">
        <w:rPr>
          <w:rFonts w:ascii="Arial Narrow" w:hAnsi="Arial Narrow" w:cs="Arial"/>
          <w:i/>
          <w:iCs/>
          <w:sz w:val="18"/>
          <w:szCs w:val="18"/>
        </w:rPr>
        <w:tab/>
        <w:t xml:space="preserve"> </w:t>
      </w:r>
      <w:r w:rsidR="006F5AF5">
        <w:rPr>
          <w:rFonts w:ascii="Arial Narrow" w:hAnsi="Arial Narrow" w:cs="Arial"/>
          <w:i/>
          <w:iCs/>
          <w:sz w:val="18"/>
          <w:szCs w:val="18"/>
        </w:rPr>
        <w:t>Cooperativa La Rosa</w:t>
      </w:r>
    </w:p>
    <w:p w:rsidR="00D60D82" w:rsidRPr="00181429" w:rsidRDefault="00D60D82" w:rsidP="00D60D82">
      <w:pPr>
        <w:jc w:val="both"/>
        <w:rPr>
          <w:rFonts w:ascii="Arial Narrow" w:hAnsi="Arial Narrow" w:cs="Arial"/>
          <w:b/>
          <w:i/>
          <w:sz w:val="18"/>
          <w:szCs w:val="18"/>
        </w:rPr>
      </w:pPr>
      <w:r w:rsidRPr="00181429">
        <w:rPr>
          <w:rFonts w:ascii="Arial Narrow" w:hAnsi="Arial Narrow" w:cs="Arial"/>
          <w:b/>
          <w:bCs/>
          <w:i/>
          <w:sz w:val="18"/>
          <w:szCs w:val="18"/>
        </w:rPr>
        <w:t>Demandado:</w:t>
      </w:r>
      <w:r w:rsidRPr="00181429">
        <w:rPr>
          <w:rFonts w:ascii="Arial Narrow" w:hAnsi="Arial Narrow" w:cs="Arial"/>
          <w:bCs/>
          <w:sz w:val="18"/>
          <w:szCs w:val="18"/>
        </w:rPr>
        <w:tab/>
      </w:r>
      <w:r w:rsidRPr="00181429">
        <w:rPr>
          <w:rFonts w:ascii="Arial Narrow" w:hAnsi="Arial Narrow" w:cs="Arial"/>
          <w:bCs/>
          <w:i/>
          <w:sz w:val="18"/>
          <w:szCs w:val="18"/>
        </w:rPr>
        <w:tab/>
        <w:t xml:space="preserve"> </w:t>
      </w:r>
      <w:r w:rsidR="006F5AF5">
        <w:rPr>
          <w:rFonts w:ascii="Arial Narrow" w:hAnsi="Arial Narrow" w:cs="Arial"/>
          <w:bCs/>
          <w:i/>
          <w:sz w:val="18"/>
          <w:szCs w:val="18"/>
        </w:rPr>
        <w:t>Protección S.A.</w:t>
      </w:r>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Juzgado de origen</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ab/>
      </w:r>
      <w:r w:rsidRPr="00181429">
        <w:rPr>
          <w:rFonts w:ascii="Arial Narrow" w:hAnsi="Arial Narrow" w:cs="Arial"/>
          <w:i/>
          <w:sz w:val="18"/>
          <w:szCs w:val="18"/>
        </w:rPr>
        <w:t xml:space="preserve"> </w:t>
      </w:r>
      <w:r w:rsidR="00932165">
        <w:rPr>
          <w:rFonts w:ascii="Arial Narrow" w:hAnsi="Arial Narrow" w:cs="Arial"/>
          <w:i/>
          <w:sz w:val="18"/>
          <w:szCs w:val="18"/>
        </w:rPr>
        <w:t>Segundo</w:t>
      </w:r>
      <w:r w:rsidR="00457CEA">
        <w:rPr>
          <w:rFonts w:ascii="Arial Narrow" w:hAnsi="Arial Narrow" w:cs="Arial"/>
          <w:i/>
          <w:sz w:val="18"/>
          <w:szCs w:val="18"/>
        </w:rPr>
        <w:t xml:space="preserve"> </w:t>
      </w:r>
      <w:r w:rsidRPr="00181429">
        <w:rPr>
          <w:rFonts w:ascii="Arial Narrow" w:hAnsi="Arial Narrow" w:cs="Arial"/>
          <w:i/>
          <w:sz w:val="18"/>
          <w:szCs w:val="18"/>
        </w:rPr>
        <w:t>Laboral del Circuito de Pereira</w:t>
      </w:r>
    </w:p>
    <w:p w:rsidR="00D60D82" w:rsidRDefault="00D60D82" w:rsidP="00D60D82">
      <w:pPr>
        <w:jc w:val="both"/>
        <w:rPr>
          <w:rFonts w:ascii="Arial Narrow" w:hAnsi="Arial Narrow" w:cs="Arial"/>
          <w:i/>
          <w:sz w:val="18"/>
          <w:szCs w:val="18"/>
        </w:rPr>
      </w:pPr>
      <w:r w:rsidRPr="00181429">
        <w:rPr>
          <w:rFonts w:ascii="Arial Narrow" w:hAnsi="Arial Narrow" w:cs="Arial"/>
          <w:b/>
          <w:i/>
          <w:sz w:val="18"/>
          <w:szCs w:val="18"/>
        </w:rPr>
        <w:t>Magistrado Ponente</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Francisco Javier Tamayo Tabares</w:t>
      </w:r>
    </w:p>
    <w:p w:rsidR="004E5097" w:rsidRDefault="004E5097" w:rsidP="00D60D82">
      <w:pPr>
        <w:jc w:val="both"/>
        <w:rPr>
          <w:rFonts w:ascii="Arial Narrow" w:hAnsi="Arial Narrow" w:cs="Arial"/>
          <w:i/>
          <w:sz w:val="18"/>
          <w:szCs w:val="18"/>
        </w:rPr>
      </w:pPr>
    </w:p>
    <w:p w:rsidR="004E5097" w:rsidRPr="00181429" w:rsidRDefault="004E5097" w:rsidP="00D60D82">
      <w:pPr>
        <w:jc w:val="both"/>
        <w:rPr>
          <w:rFonts w:ascii="Arial Narrow" w:hAnsi="Arial Narrow" w:cs="Arial"/>
          <w:i/>
          <w:sz w:val="18"/>
          <w:szCs w:val="18"/>
        </w:rPr>
      </w:pPr>
      <w:r>
        <w:rPr>
          <w:rFonts w:ascii="Arial Narrow" w:hAnsi="Arial Narrow" w:cs="Arial"/>
          <w:i/>
          <w:sz w:val="18"/>
          <w:szCs w:val="18"/>
        </w:rPr>
        <w:t>Tema:</w:t>
      </w:r>
      <w:r>
        <w:rPr>
          <w:rFonts w:ascii="Arial Narrow" w:hAnsi="Arial Narrow" w:cs="Arial"/>
          <w:i/>
          <w:sz w:val="18"/>
          <w:szCs w:val="18"/>
        </w:rPr>
        <w:tab/>
      </w:r>
      <w:r>
        <w:rPr>
          <w:rFonts w:ascii="Arial Narrow" w:hAnsi="Arial Narrow" w:cs="Arial"/>
          <w:i/>
          <w:sz w:val="18"/>
          <w:szCs w:val="18"/>
        </w:rPr>
        <w:tab/>
      </w:r>
      <w:r>
        <w:rPr>
          <w:rFonts w:ascii="Arial Narrow" w:hAnsi="Arial Narrow" w:cs="Arial"/>
          <w:i/>
          <w:sz w:val="18"/>
          <w:szCs w:val="18"/>
        </w:rPr>
        <w:tab/>
      </w:r>
      <w:r w:rsidRPr="004E5097">
        <w:rPr>
          <w:rFonts w:ascii="Arial Narrow" w:hAnsi="Arial Narrow" w:cs="Arial"/>
          <w:b/>
          <w:i/>
          <w:sz w:val="18"/>
          <w:szCs w:val="18"/>
        </w:rPr>
        <w:t>NO PROBADA LA</w:t>
      </w:r>
      <w:r>
        <w:rPr>
          <w:rFonts w:ascii="Arial Narrow" w:hAnsi="Arial Narrow" w:cs="Arial"/>
          <w:i/>
          <w:sz w:val="18"/>
          <w:szCs w:val="18"/>
        </w:rPr>
        <w:t xml:space="preserve"> </w:t>
      </w:r>
      <w:r w:rsidRPr="004E5097">
        <w:rPr>
          <w:rFonts w:ascii="Arial Narrow" w:hAnsi="Arial Narrow" w:cs="Arial"/>
          <w:b/>
          <w:i/>
          <w:sz w:val="18"/>
          <w:szCs w:val="18"/>
        </w:rPr>
        <w:t>EXCEPCIÓN DE PAGO / RECURSO NO SUSTENTADO / DENIEGA SÚPLICA</w:t>
      </w:r>
      <w:r>
        <w:rPr>
          <w:rFonts w:ascii="Arial Narrow" w:hAnsi="Arial Narrow" w:cs="Arial"/>
          <w:i/>
          <w:sz w:val="18"/>
          <w:szCs w:val="18"/>
        </w:rPr>
        <w:t xml:space="preserve"> - </w:t>
      </w:r>
      <w:r w:rsidRPr="004E5097">
        <w:rPr>
          <w:rFonts w:ascii="Arial Narrow" w:hAnsi="Arial Narrow" w:cs="Arial"/>
          <w:i/>
          <w:sz w:val="18"/>
          <w:szCs w:val="18"/>
        </w:rPr>
        <w:t xml:space="preserve">Pues bien, en el caso puntual se observa que razón le asiste al Magistrado Ponente al declarar inadmisible el recurso, amén que escuchada la audiencia de decisión de excepciones, el recurso propuesto por la profesional del derecho que en ese momento representaba a la entidad ejecutada, no fue sustentado, pues no atacó ninguno de los fundamentos que tuvo la Jueza para declarar no probada la excepción de pago propuesta. En efecto, la decisión de la funcionaria judicial se centró en que el embargo de dineros por parte del Despacho no constituía pago, dado que previo a la entrega de dineros al ejecutante, es necesario surtir una serie de etapas, Además de lo anterior, indicó la a-quo que el pago debe provenir de la intención de la entidad de cumplir con la obligación, lo que no ha ocurrido en este caso. Esos fundamentos, eran los que </w:t>
      </w:r>
      <w:proofErr w:type="gramStart"/>
      <w:r w:rsidRPr="004E5097">
        <w:rPr>
          <w:rFonts w:ascii="Arial Narrow" w:hAnsi="Arial Narrow" w:cs="Arial"/>
          <w:i/>
          <w:sz w:val="18"/>
          <w:szCs w:val="18"/>
        </w:rPr>
        <w:t>debía</w:t>
      </w:r>
      <w:proofErr w:type="gramEnd"/>
      <w:r w:rsidRPr="004E5097">
        <w:rPr>
          <w:rFonts w:ascii="Arial Narrow" w:hAnsi="Arial Narrow" w:cs="Arial"/>
          <w:i/>
          <w:sz w:val="18"/>
          <w:szCs w:val="18"/>
        </w:rPr>
        <w:t xml:space="preserve"> rebatir la apelante, pero en su “sustentación” nada de eso hizo, pues se limitó a decir que con el dinero embargado se tenía que dar por cumplida la obligación. Es que no puede confundirse el concepto de su</w:t>
      </w:r>
      <w:bookmarkStart w:id="0" w:name="_GoBack"/>
      <w:bookmarkEnd w:id="0"/>
      <w:r w:rsidRPr="004E5097">
        <w:rPr>
          <w:rFonts w:ascii="Arial Narrow" w:hAnsi="Arial Narrow" w:cs="Arial"/>
          <w:i/>
          <w:sz w:val="18"/>
          <w:szCs w:val="18"/>
        </w:rPr>
        <w:t xml:space="preserve">stentación estrictamente necesaria, como lo acuña el canon 66 de la obra que viene en cita, que se refiere puntualmente a la limitación temporal de la sustentación contra las sentencias –y aplicable igualmente respecto a las demás providencias- con el fin de racionalizar la duración de las diligencias judiciales, con la laxitud o insustancialidad de la sustentación, como ocurre en este caso, en el que, se insiste, se dejó sin debate los fundamentos de la providencia.   </w:t>
      </w:r>
    </w:p>
    <w:p w:rsidR="00627327" w:rsidRDefault="00627327" w:rsidP="00D60D82">
      <w:pPr>
        <w:spacing w:line="360" w:lineRule="auto"/>
        <w:ind w:left="1440" w:hanging="589"/>
        <w:jc w:val="both"/>
        <w:rPr>
          <w:rFonts w:ascii="Arial Narrow" w:hAnsi="Arial Narrow" w:cs="Arial"/>
          <w:iCs/>
          <w:sz w:val="28"/>
          <w:szCs w:val="28"/>
        </w:rPr>
      </w:pPr>
    </w:p>
    <w:p w:rsidR="00D60D82" w:rsidRPr="00D60D82" w:rsidRDefault="00D60D82" w:rsidP="00D60D82">
      <w:pPr>
        <w:spacing w:line="360" w:lineRule="auto"/>
        <w:ind w:left="1440" w:hanging="589"/>
        <w:jc w:val="both"/>
        <w:rPr>
          <w:rFonts w:ascii="Arial Narrow" w:hAnsi="Arial Narrow" w:cs="Arial"/>
          <w:b/>
          <w:bCs/>
          <w:i/>
          <w:iCs/>
          <w:sz w:val="28"/>
          <w:szCs w:val="28"/>
          <w:u w:val="single"/>
        </w:rPr>
      </w:pPr>
      <w:r w:rsidRPr="00D60D82">
        <w:rPr>
          <w:rFonts w:ascii="Arial Narrow" w:hAnsi="Arial Narrow" w:cs="Arial"/>
          <w:iCs/>
          <w:sz w:val="28"/>
          <w:szCs w:val="28"/>
        </w:rPr>
        <w:t>Magistrado Ponente:</w:t>
      </w:r>
      <w:r w:rsidRPr="00D60D82">
        <w:rPr>
          <w:rFonts w:ascii="Arial Narrow" w:hAnsi="Arial Narrow" w:cs="Arial"/>
          <w:b/>
          <w:iCs/>
          <w:sz w:val="28"/>
          <w:szCs w:val="28"/>
        </w:rPr>
        <w:t xml:space="preserve"> </w:t>
      </w:r>
      <w:r w:rsidRPr="00D60D82">
        <w:rPr>
          <w:rFonts w:ascii="Arial Narrow" w:hAnsi="Arial Narrow" w:cs="Arial"/>
          <w:b/>
          <w:bCs/>
          <w:sz w:val="28"/>
          <w:szCs w:val="28"/>
        </w:rPr>
        <w:t>FRANCISCO JAVIER TAMAYO TABARES</w:t>
      </w:r>
    </w:p>
    <w:p w:rsidR="00D60D82" w:rsidRPr="00D60D82" w:rsidRDefault="00D60D82" w:rsidP="00D60D82">
      <w:pPr>
        <w:pStyle w:val="Sinespaciado"/>
      </w:pPr>
      <w:r w:rsidRPr="00D60D82">
        <w:t xml:space="preserve">         </w:t>
      </w:r>
    </w:p>
    <w:p w:rsidR="00D60D82" w:rsidRPr="008A4174" w:rsidRDefault="00D60D82" w:rsidP="00D60D82">
      <w:pPr>
        <w:spacing w:line="360" w:lineRule="auto"/>
        <w:ind w:left="708"/>
        <w:rPr>
          <w:rFonts w:ascii="Arial Narrow" w:hAnsi="Arial Narrow" w:cs="Arial"/>
          <w:iCs/>
          <w:sz w:val="28"/>
          <w:szCs w:val="28"/>
        </w:rPr>
      </w:pPr>
      <w:r w:rsidRPr="00D60D82">
        <w:rPr>
          <w:rFonts w:ascii="Arial Narrow" w:hAnsi="Arial Narrow" w:cs="Arial"/>
          <w:iCs/>
          <w:sz w:val="28"/>
          <w:szCs w:val="28"/>
        </w:rPr>
        <w:t xml:space="preserve">          </w:t>
      </w:r>
      <w:r w:rsidRPr="008A4174">
        <w:rPr>
          <w:rFonts w:ascii="Arial Narrow" w:hAnsi="Arial Narrow" w:cs="Arial"/>
          <w:iCs/>
          <w:sz w:val="28"/>
          <w:szCs w:val="28"/>
        </w:rPr>
        <w:t xml:space="preserve">Pereira, </w:t>
      </w:r>
      <w:r w:rsidR="006F5AF5">
        <w:rPr>
          <w:rFonts w:ascii="Arial Narrow" w:hAnsi="Arial Narrow" w:cs="Arial"/>
          <w:iCs/>
          <w:sz w:val="28"/>
          <w:szCs w:val="28"/>
        </w:rPr>
        <w:t xml:space="preserve">abril </w:t>
      </w:r>
      <w:r w:rsidR="005517A4">
        <w:rPr>
          <w:rFonts w:ascii="Arial Narrow" w:hAnsi="Arial Narrow" w:cs="Arial"/>
          <w:iCs/>
          <w:sz w:val="28"/>
          <w:szCs w:val="28"/>
        </w:rPr>
        <w:t xml:space="preserve"> </w:t>
      </w:r>
      <w:r w:rsidR="00DA713C">
        <w:rPr>
          <w:rFonts w:ascii="Arial Narrow" w:hAnsi="Arial Narrow" w:cs="Arial"/>
          <w:iCs/>
          <w:sz w:val="28"/>
          <w:szCs w:val="28"/>
        </w:rPr>
        <w:t>veinti</w:t>
      </w:r>
      <w:r w:rsidR="006F5AF5">
        <w:rPr>
          <w:rFonts w:ascii="Arial Narrow" w:hAnsi="Arial Narrow" w:cs="Arial"/>
          <w:iCs/>
          <w:sz w:val="28"/>
          <w:szCs w:val="28"/>
        </w:rPr>
        <w:t>séis</w:t>
      </w:r>
      <w:r w:rsidR="000B2F82" w:rsidRPr="008A4174">
        <w:rPr>
          <w:rFonts w:ascii="Arial Narrow" w:hAnsi="Arial Narrow" w:cs="Arial"/>
          <w:iCs/>
          <w:sz w:val="28"/>
          <w:szCs w:val="28"/>
        </w:rPr>
        <w:t xml:space="preserve"> (</w:t>
      </w:r>
      <w:r w:rsidR="00DA713C">
        <w:rPr>
          <w:rFonts w:ascii="Arial Narrow" w:hAnsi="Arial Narrow" w:cs="Arial"/>
          <w:iCs/>
          <w:sz w:val="28"/>
          <w:szCs w:val="28"/>
        </w:rPr>
        <w:t>2</w:t>
      </w:r>
      <w:r w:rsidR="006F5AF5">
        <w:rPr>
          <w:rFonts w:ascii="Arial Narrow" w:hAnsi="Arial Narrow" w:cs="Arial"/>
          <w:iCs/>
          <w:sz w:val="28"/>
          <w:szCs w:val="28"/>
        </w:rPr>
        <w:t>6</w:t>
      </w:r>
      <w:r w:rsidR="000B2F82" w:rsidRPr="008A4174">
        <w:rPr>
          <w:rFonts w:ascii="Arial Narrow" w:hAnsi="Arial Narrow" w:cs="Arial"/>
          <w:iCs/>
          <w:sz w:val="28"/>
          <w:szCs w:val="28"/>
        </w:rPr>
        <w:t xml:space="preserve">) </w:t>
      </w:r>
      <w:r w:rsidRPr="008A4174">
        <w:rPr>
          <w:rFonts w:ascii="Arial Narrow" w:hAnsi="Arial Narrow" w:cs="Arial"/>
          <w:iCs/>
          <w:sz w:val="28"/>
          <w:szCs w:val="28"/>
        </w:rPr>
        <w:t xml:space="preserve">de dos mil </w:t>
      </w:r>
      <w:r w:rsidR="0025753A">
        <w:rPr>
          <w:rFonts w:ascii="Arial Narrow" w:hAnsi="Arial Narrow" w:cs="Arial"/>
          <w:iCs/>
          <w:sz w:val="28"/>
          <w:szCs w:val="28"/>
        </w:rPr>
        <w:t>dieci</w:t>
      </w:r>
      <w:r w:rsidR="00932165">
        <w:rPr>
          <w:rFonts w:ascii="Arial Narrow" w:hAnsi="Arial Narrow" w:cs="Arial"/>
          <w:iCs/>
          <w:sz w:val="28"/>
          <w:szCs w:val="28"/>
        </w:rPr>
        <w:t>ocho</w:t>
      </w:r>
      <w:r w:rsidRPr="008A4174">
        <w:rPr>
          <w:rFonts w:ascii="Arial Narrow" w:hAnsi="Arial Narrow" w:cs="Arial"/>
          <w:iCs/>
          <w:sz w:val="28"/>
          <w:szCs w:val="28"/>
        </w:rPr>
        <w:t xml:space="preserve"> (201</w:t>
      </w:r>
      <w:r w:rsidR="00932165">
        <w:rPr>
          <w:rFonts w:ascii="Arial Narrow" w:hAnsi="Arial Narrow" w:cs="Arial"/>
          <w:iCs/>
          <w:sz w:val="28"/>
          <w:szCs w:val="28"/>
        </w:rPr>
        <w:t>8</w:t>
      </w:r>
      <w:r w:rsidRPr="008A4174">
        <w:rPr>
          <w:rFonts w:ascii="Arial Narrow" w:hAnsi="Arial Narrow" w:cs="Arial"/>
          <w:iCs/>
          <w:sz w:val="28"/>
          <w:szCs w:val="28"/>
        </w:rPr>
        <w:t>).</w:t>
      </w:r>
    </w:p>
    <w:p w:rsidR="00D60D82" w:rsidRPr="008A4174" w:rsidRDefault="00D60D82" w:rsidP="00D60D82">
      <w:pPr>
        <w:pStyle w:val="Sinespaciado"/>
      </w:pPr>
    </w:p>
    <w:p w:rsidR="006F5AF5" w:rsidRDefault="00932165" w:rsidP="00D60D82">
      <w:pPr>
        <w:spacing w:line="360" w:lineRule="auto"/>
        <w:ind w:firstLine="851"/>
        <w:jc w:val="both"/>
        <w:rPr>
          <w:rFonts w:ascii="Arial Narrow" w:hAnsi="Arial Narrow" w:cs="Arial"/>
          <w:sz w:val="28"/>
          <w:szCs w:val="28"/>
        </w:rPr>
      </w:pPr>
      <w:r>
        <w:rPr>
          <w:rFonts w:ascii="Arial Narrow" w:hAnsi="Arial Narrow" w:cs="Arial"/>
          <w:sz w:val="28"/>
          <w:szCs w:val="28"/>
        </w:rPr>
        <w:t>Se dispone</w:t>
      </w:r>
      <w:r w:rsidR="006F5AF5">
        <w:rPr>
          <w:rFonts w:ascii="Arial Narrow" w:hAnsi="Arial Narrow" w:cs="Arial"/>
          <w:sz w:val="28"/>
          <w:szCs w:val="28"/>
        </w:rPr>
        <w:t>n</w:t>
      </w:r>
      <w:r>
        <w:rPr>
          <w:rFonts w:ascii="Arial Narrow" w:hAnsi="Arial Narrow" w:cs="Arial"/>
          <w:sz w:val="28"/>
          <w:szCs w:val="28"/>
        </w:rPr>
        <w:t xml:space="preserve"> l</w:t>
      </w:r>
      <w:r w:rsidR="006F5AF5">
        <w:rPr>
          <w:rFonts w:ascii="Arial Narrow" w:hAnsi="Arial Narrow" w:cs="Arial"/>
          <w:sz w:val="28"/>
          <w:szCs w:val="28"/>
        </w:rPr>
        <w:t xml:space="preserve">os restantes integrantes de la </w:t>
      </w:r>
      <w:r>
        <w:rPr>
          <w:rFonts w:ascii="Arial Narrow" w:hAnsi="Arial Narrow" w:cs="Arial"/>
          <w:sz w:val="28"/>
          <w:szCs w:val="28"/>
        </w:rPr>
        <w:t xml:space="preserve">Sala </w:t>
      </w:r>
      <w:r w:rsidR="006F5AF5">
        <w:rPr>
          <w:rFonts w:ascii="Arial Narrow" w:hAnsi="Arial Narrow" w:cs="Arial"/>
          <w:sz w:val="28"/>
          <w:szCs w:val="28"/>
        </w:rPr>
        <w:t>Tercera</w:t>
      </w:r>
      <w:r>
        <w:rPr>
          <w:rFonts w:ascii="Arial Narrow" w:hAnsi="Arial Narrow" w:cs="Arial"/>
          <w:sz w:val="28"/>
          <w:szCs w:val="28"/>
        </w:rPr>
        <w:t xml:space="preserve"> de Decisión Laboral del Tribunal Superior de Pereira a resolver </w:t>
      </w:r>
      <w:r w:rsidR="006F5AF5">
        <w:rPr>
          <w:rFonts w:ascii="Arial Narrow" w:hAnsi="Arial Narrow" w:cs="Arial"/>
          <w:sz w:val="28"/>
          <w:szCs w:val="28"/>
        </w:rPr>
        <w:t xml:space="preserve">el recurso de súplica impetrado por el apoderado judicial de la sociedad ejecutada, contra la providencia dictada por el Magistrado Julio César Salazar Muñoz el 19 de enero de 2018, por medio de la cual declaró inadmisible el recurso de apelación propuesto por esa parte contra la providencia emitida el 07 de diciembre de 2017 por el Juzgado Cuarto Laboral del Circuito de esta ciudad, dentro del proceso ejecutivo  adelantado por la </w:t>
      </w:r>
      <w:r w:rsidR="006F5AF5" w:rsidRPr="006F5AF5">
        <w:rPr>
          <w:rFonts w:ascii="Arial Narrow" w:hAnsi="Arial Narrow" w:cs="Arial"/>
          <w:b/>
          <w:sz w:val="28"/>
          <w:szCs w:val="28"/>
        </w:rPr>
        <w:t>Cooperativa la Rosa</w:t>
      </w:r>
      <w:r w:rsidR="006F5AF5">
        <w:rPr>
          <w:rFonts w:ascii="Arial Narrow" w:hAnsi="Arial Narrow" w:cs="Arial"/>
          <w:sz w:val="28"/>
          <w:szCs w:val="28"/>
        </w:rPr>
        <w:t xml:space="preserve"> contra </w:t>
      </w:r>
      <w:r w:rsidR="006F5AF5" w:rsidRPr="006F5AF5">
        <w:rPr>
          <w:rFonts w:ascii="Arial Narrow" w:hAnsi="Arial Narrow" w:cs="Arial"/>
          <w:b/>
          <w:sz w:val="28"/>
          <w:szCs w:val="28"/>
        </w:rPr>
        <w:t>Protección S.A.</w:t>
      </w:r>
    </w:p>
    <w:p w:rsidR="00D60D82" w:rsidRDefault="00D60D82" w:rsidP="001456C8">
      <w:pPr>
        <w:pStyle w:val="Sinespaciado"/>
        <w:spacing w:line="276" w:lineRule="auto"/>
      </w:pPr>
    </w:p>
    <w:p w:rsidR="005517A4" w:rsidRDefault="005517A4" w:rsidP="001456C8">
      <w:pPr>
        <w:pStyle w:val="Sinespaciado"/>
        <w:spacing w:line="276" w:lineRule="auto"/>
      </w:pPr>
    </w:p>
    <w:p w:rsidR="00D60D82" w:rsidRPr="009F7FF3" w:rsidRDefault="009F7FF3" w:rsidP="00B5105B">
      <w:pPr>
        <w:pStyle w:val="Prrafodelista"/>
        <w:numPr>
          <w:ilvl w:val="0"/>
          <w:numId w:val="1"/>
        </w:numPr>
        <w:spacing w:line="360" w:lineRule="auto"/>
        <w:ind w:left="1276" w:hanging="425"/>
        <w:jc w:val="both"/>
        <w:rPr>
          <w:rFonts w:ascii="Arial Narrow" w:hAnsi="Arial Narrow" w:cs="Arial"/>
          <w:b/>
          <w:i/>
          <w:sz w:val="28"/>
          <w:szCs w:val="28"/>
          <w:u w:val="single"/>
        </w:rPr>
      </w:pPr>
      <w:r w:rsidRPr="009F7FF3">
        <w:rPr>
          <w:rFonts w:ascii="Arial Narrow" w:hAnsi="Arial Narrow" w:cs="Arial"/>
          <w:b/>
          <w:i/>
          <w:sz w:val="28"/>
          <w:szCs w:val="28"/>
          <w:u w:val="single"/>
        </w:rPr>
        <w:t>ANTECEDENTES</w:t>
      </w:r>
    </w:p>
    <w:p w:rsidR="00D91A0C" w:rsidRDefault="00D91A0C" w:rsidP="008D3F13">
      <w:pPr>
        <w:pStyle w:val="Sinespaciado"/>
      </w:pPr>
    </w:p>
    <w:p w:rsidR="006F5AF5" w:rsidRDefault="006F5AF5" w:rsidP="00D91A0C">
      <w:pPr>
        <w:spacing w:line="360" w:lineRule="auto"/>
        <w:ind w:firstLine="708"/>
        <w:jc w:val="both"/>
        <w:rPr>
          <w:rFonts w:ascii="Arial Narrow" w:hAnsi="Arial Narrow" w:cs="Arial"/>
          <w:sz w:val="28"/>
          <w:szCs w:val="28"/>
        </w:rPr>
      </w:pPr>
      <w:r>
        <w:rPr>
          <w:rFonts w:ascii="Arial Narrow" w:hAnsi="Arial Narrow" w:cs="Arial"/>
          <w:sz w:val="28"/>
          <w:szCs w:val="28"/>
        </w:rPr>
        <w:t>En audiencia celebrada el día 07 de diciembre del año anterior, el Juzgado Cuarto Laboral del Circuito de Pereira declaró no probada la excepción de pago propuesta por la AFP Protección S.A., decisión que fue apelada por la portavoz judicial de esa sociedad y alzada concedida por la aludida funcionaria.</w:t>
      </w:r>
    </w:p>
    <w:p w:rsidR="006F5AF5" w:rsidRDefault="006F5AF5" w:rsidP="00D91A0C">
      <w:pPr>
        <w:spacing w:line="360" w:lineRule="auto"/>
        <w:ind w:firstLine="708"/>
        <w:jc w:val="both"/>
        <w:rPr>
          <w:rFonts w:ascii="Arial Narrow" w:hAnsi="Arial Narrow" w:cs="Arial"/>
          <w:sz w:val="28"/>
          <w:szCs w:val="28"/>
        </w:rPr>
      </w:pPr>
    </w:p>
    <w:p w:rsidR="001B202C" w:rsidRDefault="006F5AF5" w:rsidP="00D91A0C">
      <w:pPr>
        <w:spacing w:line="360" w:lineRule="auto"/>
        <w:ind w:firstLine="708"/>
        <w:jc w:val="both"/>
        <w:rPr>
          <w:rFonts w:ascii="Arial Narrow" w:hAnsi="Arial Narrow" w:cs="Arial"/>
          <w:sz w:val="28"/>
          <w:szCs w:val="28"/>
        </w:rPr>
      </w:pPr>
      <w:r>
        <w:rPr>
          <w:rFonts w:ascii="Arial Narrow" w:hAnsi="Arial Narrow" w:cs="Arial"/>
          <w:sz w:val="28"/>
          <w:szCs w:val="28"/>
        </w:rPr>
        <w:t xml:space="preserve">Mediante el auto atacado con el recurso de súplica, el Magistrado Ponente en Sala Unitaria, declaró inadmisible la alzada, </w:t>
      </w:r>
      <w:r w:rsidR="001B202C">
        <w:rPr>
          <w:rFonts w:ascii="Arial Narrow" w:hAnsi="Arial Narrow" w:cs="Arial"/>
          <w:sz w:val="28"/>
          <w:szCs w:val="28"/>
        </w:rPr>
        <w:t>amén</w:t>
      </w:r>
      <w:r>
        <w:rPr>
          <w:rFonts w:ascii="Arial Narrow" w:hAnsi="Arial Narrow" w:cs="Arial"/>
          <w:sz w:val="28"/>
          <w:szCs w:val="28"/>
        </w:rPr>
        <w:t xml:space="preserve"> que encontró que no hubo sustentación alguna del recurso, pues lo dicho por la p</w:t>
      </w:r>
      <w:r w:rsidR="001B202C">
        <w:rPr>
          <w:rFonts w:ascii="Arial Narrow" w:hAnsi="Arial Narrow" w:cs="Arial"/>
          <w:sz w:val="28"/>
          <w:szCs w:val="28"/>
        </w:rPr>
        <w:t xml:space="preserve">rofesional del derecho en aquel momento no rebatía los argumentos que llevaron a la falladora de primer grado a negar la excepción propuesta. </w:t>
      </w:r>
    </w:p>
    <w:p w:rsidR="001B202C" w:rsidRDefault="001B202C" w:rsidP="00D91A0C">
      <w:pPr>
        <w:spacing w:line="360" w:lineRule="auto"/>
        <w:ind w:firstLine="708"/>
        <w:jc w:val="both"/>
        <w:rPr>
          <w:rFonts w:ascii="Arial Narrow" w:hAnsi="Arial Narrow" w:cs="Arial"/>
          <w:sz w:val="28"/>
          <w:szCs w:val="28"/>
        </w:rPr>
      </w:pPr>
    </w:p>
    <w:p w:rsidR="001B202C" w:rsidRDefault="001B202C" w:rsidP="00D91A0C">
      <w:pPr>
        <w:spacing w:line="360" w:lineRule="auto"/>
        <w:ind w:firstLine="708"/>
        <w:jc w:val="both"/>
        <w:rPr>
          <w:rFonts w:ascii="Arial Narrow" w:hAnsi="Arial Narrow" w:cs="Arial"/>
          <w:sz w:val="28"/>
          <w:szCs w:val="28"/>
        </w:rPr>
      </w:pPr>
      <w:r>
        <w:rPr>
          <w:rFonts w:ascii="Arial Narrow" w:hAnsi="Arial Narrow" w:cs="Arial"/>
          <w:sz w:val="28"/>
          <w:szCs w:val="28"/>
        </w:rPr>
        <w:t>El portavoz de la sociedad ejecutada presentó recurso de súplica, argumentando que la sustentación del recurso de apelación si rebatía los argumentos de la a-quo, indicando puntualmente que la entidad sí había cumplido con la obligación, atendiendo la medida cautelar aplicada.</w:t>
      </w:r>
    </w:p>
    <w:p w:rsidR="001B202C" w:rsidRDefault="001B202C" w:rsidP="00D91A0C">
      <w:pPr>
        <w:spacing w:line="360" w:lineRule="auto"/>
        <w:ind w:firstLine="708"/>
        <w:jc w:val="both"/>
        <w:rPr>
          <w:rFonts w:ascii="Arial Narrow" w:hAnsi="Arial Narrow" w:cs="Arial"/>
          <w:sz w:val="28"/>
          <w:szCs w:val="28"/>
        </w:rPr>
      </w:pPr>
    </w:p>
    <w:p w:rsidR="001B202C" w:rsidRDefault="001B202C" w:rsidP="00DC71BC">
      <w:pPr>
        <w:spacing w:line="360" w:lineRule="auto"/>
        <w:ind w:firstLine="709"/>
        <w:jc w:val="both"/>
        <w:rPr>
          <w:rFonts w:ascii="Arial Narrow" w:hAnsi="Arial Narrow" w:cs="Arial"/>
          <w:sz w:val="28"/>
          <w:szCs w:val="28"/>
        </w:rPr>
      </w:pPr>
      <w:r>
        <w:rPr>
          <w:rFonts w:ascii="Arial Narrow" w:hAnsi="Arial Narrow" w:cs="Arial"/>
          <w:sz w:val="28"/>
          <w:szCs w:val="28"/>
        </w:rPr>
        <w:t xml:space="preserve">Surtido el traslado del canon 332 del </w:t>
      </w:r>
      <w:proofErr w:type="spellStart"/>
      <w:r>
        <w:rPr>
          <w:rFonts w:ascii="Arial Narrow" w:hAnsi="Arial Narrow" w:cs="Arial"/>
          <w:sz w:val="28"/>
          <w:szCs w:val="28"/>
        </w:rPr>
        <w:t>CGP</w:t>
      </w:r>
      <w:proofErr w:type="spellEnd"/>
      <w:r>
        <w:rPr>
          <w:rFonts w:ascii="Arial Narrow" w:hAnsi="Arial Narrow" w:cs="Arial"/>
          <w:sz w:val="28"/>
          <w:szCs w:val="28"/>
        </w:rPr>
        <w:t>, el portavoz de la parte ejecutante presentó escrito en el cual pide que se mantenga la decisión del ponente, dado que en su sentir, el recurso de apelación no fue sustentado en debida forma y la intención del portavoz judicial del ejecutado es complementar, por vía de súplica, lo dicho por la vocera que actuó en aquella oportunidad.</w:t>
      </w:r>
    </w:p>
    <w:p w:rsidR="000870F8" w:rsidRDefault="001B202C" w:rsidP="00DC71BC">
      <w:pPr>
        <w:spacing w:line="360" w:lineRule="auto"/>
        <w:ind w:firstLine="709"/>
        <w:jc w:val="both"/>
        <w:rPr>
          <w:rFonts w:ascii="Arial Narrow" w:hAnsi="Arial Narrow" w:cs="Arial"/>
          <w:sz w:val="28"/>
          <w:szCs w:val="28"/>
        </w:rPr>
      </w:pPr>
      <w:r>
        <w:rPr>
          <w:rFonts w:ascii="Arial Narrow" w:hAnsi="Arial Narrow" w:cs="Arial"/>
          <w:sz w:val="28"/>
          <w:szCs w:val="28"/>
        </w:rPr>
        <w:t xml:space="preserve">  </w:t>
      </w:r>
    </w:p>
    <w:p w:rsidR="009F7FF3" w:rsidRPr="009F7FF3" w:rsidRDefault="009F7FF3" w:rsidP="00DC71BC">
      <w:pPr>
        <w:spacing w:line="360" w:lineRule="auto"/>
        <w:ind w:firstLine="709"/>
        <w:jc w:val="both"/>
        <w:rPr>
          <w:rFonts w:ascii="Arial Narrow" w:hAnsi="Arial Narrow" w:cs="Arial"/>
          <w:i/>
          <w:sz w:val="28"/>
          <w:szCs w:val="28"/>
        </w:rPr>
      </w:pPr>
      <w:r w:rsidRPr="009F7FF3">
        <w:rPr>
          <w:rFonts w:ascii="Arial Narrow" w:hAnsi="Arial Narrow" w:cs="Arial"/>
          <w:sz w:val="28"/>
          <w:szCs w:val="28"/>
        </w:rPr>
        <w:t xml:space="preserve">Conforme lo anterior procede la Sala a resolver, previas las siguientes </w:t>
      </w:r>
    </w:p>
    <w:p w:rsidR="009F7FF3" w:rsidRPr="009F7FF3" w:rsidRDefault="009F7FF3" w:rsidP="00977E18">
      <w:pPr>
        <w:spacing w:line="276" w:lineRule="auto"/>
        <w:ind w:left="2265" w:hanging="825"/>
        <w:jc w:val="both"/>
        <w:rPr>
          <w:rFonts w:ascii="Arial Narrow" w:hAnsi="Arial Narrow" w:cs="Arial"/>
          <w:b/>
          <w:bCs/>
          <w:i/>
          <w:sz w:val="28"/>
          <w:szCs w:val="28"/>
          <w:u w:val="single"/>
        </w:rPr>
      </w:pPr>
    </w:p>
    <w:p w:rsidR="009F7FF3" w:rsidRPr="009F7FF3" w:rsidRDefault="009F7FF3" w:rsidP="009F7FF3">
      <w:pPr>
        <w:spacing w:line="360" w:lineRule="auto"/>
        <w:ind w:left="2265" w:hanging="1556"/>
        <w:jc w:val="both"/>
        <w:rPr>
          <w:rFonts w:ascii="Arial Narrow" w:hAnsi="Arial Narrow" w:cs="Arial"/>
          <w:b/>
          <w:bCs/>
          <w:i/>
          <w:sz w:val="28"/>
          <w:szCs w:val="28"/>
          <w:u w:val="single"/>
        </w:rPr>
      </w:pPr>
      <w:r>
        <w:rPr>
          <w:rFonts w:ascii="Arial Narrow" w:hAnsi="Arial Narrow" w:cs="Arial"/>
          <w:b/>
          <w:bCs/>
          <w:i/>
          <w:sz w:val="28"/>
          <w:szCs w:val="28"/>
          <w:u w:val="single"/>
        </w:rPr>
        <w:t>II</w:t>
      </w:r>
      <w:r w:rsidRPr="009F7FF3">
        <w:rPr>
          <w:rFonts w:ascii="Arial Narrow" w:hAnsi="Arial Narrow" w:cs="Arial"/>
          <w:b/>
          <w:bCs/>
          <w:i/>
          <w:sz w:val="28"/>
          <w:szCs w:val="28"/>
          <w:u w:val="single"/>
        </w:rPr>
        <w:t>. CONSIDERACIONES:</w:t>
      </w:r>
    </w:p>
    <w:p w:rsidR="00162ADD" w:rsidRDefault="00162ADD" w:rsidP="001909C8">
      <w:pPr>
        <w:pStyle w:val="Sinespaciado"/>
        <w:spacing w:line="360" w:lineRule="auto"/>
      </w:pPr>
    </w:p>
    <w:p w:rsidR="00977E18" w:rsidRDefault="00977E18" w:rsidP="00977E18">
      <w:pPr>
        <w:pStyle w:val="Prrafodelista"/>
        <w:numPr>
          <w:ilvl w:val="1"/>
          <w:numId w:val="4"/>
        </w:numPr>
        <w:spacing w:line="360" w:lineRule="auto"/>
        <w:ind w:firstLine="349"/>
        <w:jc w:val="both"/>
        <w:rPr>
          <w:rFonts w:ascii="Arial Narrow" w:hAnsi="Arial Narrow" w:cs="Arial"/>
          <w:b/>
          <w:i/>
          <w:sz w:val="28"/>
          <w:szCs w:val="28"/>
        </w:rPr>
      </w:pPr>
      <w:r w:rsidRPr="00977E18">
        <w:rPr>
          <w:rFonts w:ascii="Arial Narrow" w:hAnsi="Arial Narrow" w:cs="Arial"/>
          <w:b/>
          <w:i/>
          <w:sz w:val="28"/>
          <w:szCs w:val="28"/>
        </w:rPr>
        <w:t>Problema Jurídico.</w:t>
      </w:r>
    </w:p>
    <w:p w:rsidR="00977E18" w:rsidRPr="00977E18" w:rsidRDefault="00977E18" w:rsidP="00977E18">
      <w:pPr>
        <w:pStyle w:val="Sinespaciado"/>
      </w:pPr>
    </w:p>
    <w:p w:rsidR="00977E18" w:rsidRDefault="00977E18" w:rsidP="00DC71BC">
      <w:pPr>
        <w:pStyle w:val="Prrafodelista"/>
        <w:spacing w:line="360" w:lineRule="auto"/>
        <w:ind w:left="0" w:firstLine="708"/>
        <w:jc w:val="both"/>
        <w:rPr>
          <w:rFonts w:ascii="Arial Narrow" w:hAnsi="Arial Narrow" w:cs="Arial"/>
          <w:i/>
          <w:sz w:val="26"/>
          <w:szCs w:val="26"/>
        </w:rPr>
      </w:pPr>
      <w:r w:rsidRPr="00977E18">
        <w:rPr>
          <w:rFonts w:ascii="Arial Narrow" w:hAnsi="Arial Narrow" w:cs="Arial"/>
          <w:i/>
          <w:sz w:val="26"/>
          <w:szCs w:val="26"/>
        </w:rPr>
        <w:t>¿</w:t>
      </w:r>
      <w:r w:rsidR="001B202C">
        <w:rPr>
          <w:rFonts w:ascii="Arial Narrow" w:hAnsi="Arial Narrow" w:cs="Arial"/>
          <w:i/>
          <w:sz w:val="26"/>
          <w:szCs w:val="26"/>
        </w:rPr>
        <w:t>Hubo sustentación del recurso de apelación por parte de la apoderada judicial de la entidad ejecutada</w:t>
      </w:r>
      <w:r w:rsidRPr="00977E18">
        <w:rPr>
          <w:rFonts w:ascii="Arial Narrow" w:hAnsi="Arial Narrow" w:cs="Arial"/>
          <w:i/>
          <w:sz w:val="26"/>
          <w:szCs w:val="26"/>
        </w:rPr>
        <w:t>?</w:t>
      </w:r>
    </w:p>
    <w:p w:rsidR="004F483E" w:rsidRDefault="004F483E" w:rsidP="00643726">
      <w:pPr>
        <w:pStyle w:val="Prrafodelista"/>
        <w:spacing w:line="360" w:lineRule="auto"/>
        <w:ind w:left="0" w:firstLine="708"/>
        <w:jc w:val="both"/>
        <w:rPr>
          <w:rFonts w:ascii="Arial Narrow" w:hAnsi="Arial Narrow" w:cs="Arial"/>
          <w:i/>
          <w:sz w:val="26"/>
          <w:szCs w:val="26"/>
        </w:rPr>
      </w:pPr>
    </w:p>
    <w:p w:rsidR="004F483E" w:rsidRPr="004F483E" w:rsidRDefault="004F483E" w:rsidP="00977E18">
      <w:pPr>
        <w:pStyle w:val="Prrafodelista"/>
        <w:spacing w:line="276" w:lineRule="auto"/>
        <w:ind w:left="0" w:firstLine="708"/>
        <w:jc w:val="both"/>
        <w:rPr>
          <w:rFonts w:ascii="Arial Narrow" w:hAnsi="Arial Narrow" w:cs="Arial"/>
          <w:b/>
          <w:i/>
          <w:sz w:val="28"/>
          <w:szCs w:val="28"/>
        </w:rPr>
      </w:pPr>
      <w:r w:rsidRPr="004F483E">
        <w:rPr>
          <w:rFonts w:ascii="Arial Narrow" w:hAnsi="Arial Narrow" w:cs="Arial"/>
          <w:b/>
          <w:i/>
          <w:sz w:val="28"/>
          <w:szCs w:val="28"/>
        </w:rPr>
        <w:t xml:space="preserve">2.2 Desarrollo de la problemática planteada </w:t>
      </w:r>
    </w:p>
    <w:p w:rsidR="00AA56E2" w:rsidRDefault="00AA56E2" w:rsidP="00970CB3">
      <w:pPr>
        <w:pStyle w:val="Textoindependiente"/>
        <w:spacing w:line="360" w:lineRule="auto"/>
        <w:ind w:firstLine="851"/>
        <w:rPr>
          <w:rFonts w:ascii="Times New Roman" w:hAnsi="Times New Roman"/>
          <w:sz w:val="20"/>
        </w:rPr>
      </w:pPr>
    </w:p>
    <w:p w:rsidR="00570DF4" w:rsidRDefault="001B202C" w:rsidP="008C2FAF">
      <w:pPr>
        <w:pStyle w:val="Textoindependiente"/>
        <w:spacing w:line="360" w:lineRule="auto"/>
        <w:ind w:firstLine="851"/>
        <w:rPr>
          <w:rFonts w:ascii="Arial Narrow" w:hAnsi="Arial Narrow" w:cs="Arial"/>
          <w:szCs w:val="28"/>
        </w:rPr>
      </w:pPr>
      <w:r>
        <w:rPr>
          <w:rFonts w:ascii="Arial Narrow" w:hAnsi="Arial Narrow" w:cs="Arial"/>
          <w:szCs w:val="28"/>
        </w:rPr>
        <w:lastRenderedPageBreak/>
        <w:t xml:space="preserve">Establece el artículo 65 del </w:t>
      </w:r>
      <w:proofErr w:type="spellStart"/>
      <w:r>
        <w:rPr>
          <w:rFonts w:ascii="Arial Narrow" w:hAnsi="Arial Narrow" w:cs="Arial"/>
          <w:szCs w:val="28"/>
        </w:rPr>
        <w:t>CPLSS</w:t>
      </w:r>
      <w:proofErr w:type="spellEnd"/>
      <w:r>
        <w:rPr>
          <w:rFonts w:ascii="Arial Narrow" w:hAnsi="Arial Narrow" w:cs="Arial"/>
          <w:szCs w:val="28"/>
        </w:rPr>
        <w:t xml:space="preserve"> que en los casos en que la providencia se emita en audiencia, el recurso de apelación deberá proponerse en ese mismo acto, debiendo quien se alza contra la providencia</w:t>
      </w:r>
      <w:r w:rsidR="00570DF4">
        <w:rPr>
          <w:rFonts w:ascii="Arial Narrow" w:hAnsi="Arial Narrow" w:cs="Arial"/>
          <w:szCs w:val="28"/>
        </w:rPr>
        <w:t>, sustentar en aquella misma oportunidad su recurso, atendiendo ello el mandato contenido en el artículo 57 de la Ley 2 de 1984.</w:t>
      </w:r>
    </w:p>
    <w:p w:rsidR="00570DF4" w:rsidRDefault="00570DF4" w:rsidP="008C2FAF">
      <w:pPr>
        <w:pStyle w:val="Textoindependiente"/>
        <w:spacing w:line="360" w:lineRule="auto"/>
        <w:ind w:firstLine="851"/>
        <w:rPr>
          <w:rFonts w:ascii="Arial Narrow" w:hAnsi="Arial Narrow" w:cs="Arial"/>
          <w:szCs w:val="28"/>
        </w:rPr>
      </w:pPr>
    </w:p>
    <w:p w:rsidR="00135B45" w:rsidRDefault="00570DF4" w:rsidP="008C2FAF">
      <w:pPr>
        <w:pStyle w:val="Textoindependiente"/>
        <w:spacing w:line="360" w:lineRule="auto"/>
        <w:ind w:firstLine="851"/>
        <w:rPr>
          <w:rFonts w:ascii="Arial Narrow" w:hAnsi="Arial Narrow" w:cs="Arial"/>
          <w:szCs w:val="28"/>
        </w:rPr>
      </w:pPr>
      <w:r>
        <w:rPr>
          <w:rFonts w:ascii="Arial Narrow" w:hAnsi="Arial Narrow" w:cs="Arial"/>
          <w:szCs w:val="28"/>
        </w:rPr>
        <w:t>Por lo tanto, es indispensable que en el recurso de apelación se señale de manera clara y suficiente el motivo de la discordia con la providencia y las razones que justifican tal disenso, ejercicio argumentativo que implica rebatir las bases de la providencia apelada. Por ello, es que debe entenderse como argumentación del recurso de apelación, no cualquier manifestación, sino un verdadero discurso que cuestione los elementos básicos de la decisión y dé razones al superior para tomar una decisión contraria. Lo anterior, además, porque las materias objeto de apelación y obviamente sus argumentos, son los que le otorgan competencia al ad-</w:t>
      </w:r>
      <w:proofErr w:type="spellStart"/>
      <w:r>
        <w:rPr>
          <w:rFonts w:ascii="Arial Narrow" w:hAnsi="Arial Narrow" w:cs="Arial"/>
          <w:szCs w:val="28"/>
        </w:rPr>
        <w:t>quem</w:t>
      </w:r>
      <w:proofErr w:type="spellEnd"/>
      <w:r>
        <w:rPr>
          <w:rFonts w:ascii="Arial Narrow" w:hAnsi="Arial Narrow" w:cs="Arial"/>
          <w:szCs w:val="28"/>
        </w:rPr>
        <w:t>, tal como lo indica el canon 66ª del Estatuto Instrumental Laboral y de la Seguridad Social</w:t>
      </w:r>
      <w:r w:rsidR="00135B45">
        <w:rPr>
          <w:rFonts w:ascii="Arial Narrow" w:hAnsi="Arial Narrow" w:cs="Arial"/>
          <w:szCs w:val="28"/>
        </w:rPr>
        <w:t>. La jurisprudencia del órgano de cierre de la jurisdicción laboral se ha ocupado del tema recientemente, indicando que:</w:t>
      </w:r>
    </w:p>
    <w:p w:rsidR="00135B45" w:rsidRDefault="00135B45" w:rsidP="008C2FAF">
      <w:pPr>
        <w:pStyle w:val="Textoindependiente"/>
        <w:spacing w:line="360" w:lineRule="auto"/>
        <w:ind w:firstLine="851"/>
        <w:rPr>
          <w:rFonts w:ascii="Arial Narrow" w:hAnsi="Arial Narrow" w:cs="Arial"/>
          <w:szCs w:val="28"/>
        </w:rPr>
      </w:pPr>
    </w:p>
    <w:p w:rsidR="00135B45" w:rsidRPr="00135B45" w:rsidRDefault="00135B45" w:rsidP="00135B45">
      <w:pPr>
        <w:pStyle w:val="Textoindependiente"/>
        <w:spacing w:line="360" w:lineRule="auto"/>
        <w:ind w:firstLine="851"/>
        <w:rPr>
          <w:rFonts w:ascii="Arial Narrow" w:hAnsi="Arial Narrow" w:cs="Arial"/>
          <w:i/>
          <w:szCs w:val="28"/>
        </w:rPr>
      </w:pPr>
      <w:r>
        <w:rPr>
          <w:rFonts w:ascii="Arial Narrow" w:hAnsi="Arial Narrow" w:cs="Arial"/>
          <w:i/>
          <w:szCs w:val="28"/>
        </w:rPr>
        <w:t>“</w:t>
      </w:r>
      <w:r w:rsidRPr="00135B45">
        <w:rPr>
          <w:rFonts w:ascii="Arial Narrow" w:hAnsi="Arial Narrow" w:cs="Arial"/>
          <w:i/>
          <w:szCs w:val="28"/>
        </w:rPr>
        <w:t xml:space="preserve">[…] al tenor de lo dispuesto en el artículo 66 A del Código Procesal del Trabajo y de la Seguridad Social, el principio de consonancia consiste en que, entre la sentencia de segunda instancia y el objeto del recurso de alzada, debe existir plena correspondencia, lo que significa que, en principio, al juzgador le está vedado apartarse de las materias que le propone el recurrente. </w:t>
      </w:r>
    </w:p>
    <w:p w:rsidR="00135B45" w:rsidRPr="00135B45" w:rsidRDefault="00135B45" w:rsidP="00135B45">
      <w:pPr>
        <w:pStyle w:val="Textoindependiente"/>
        <w:spacing w:line="360" w:lineRule="auto"/>
        <w:ind w:firstLine="851"/>
        <w:rPr>
          <w:rFonts w:ascii="Arial Narrow" w:hAnsi="Arial Narrow" w:cs="Arial"/>
          <w:i/>
          <w:szCs w:val="28"/>
        </w:rPr>
      </w:pPr>
    </w:p>
    <w:p w:rsidR="00135B45" w:rsidRPr="00135B45" w:rsidRDefault="00135B45" w:rsidP="00135B45">
      <w:pPr>
        <w:pStyle w:val="Textoindependiente"/>
        <w:spacing w:line="360" w:lineRule="auto"/>
        <w:ind w:firstLine="851"/>
        <w:rPr>
          <w:rFonts w:ascii="Arial Narrow" w:hAnsi="Arial Narrow" w:cs="Arial"/>
          <w:i/>
          <w:szCs w:val="28"/>
        </w:rPr>
      </w:pPr>
      <w:r w:rsidRPr="00135B45">
        <w:rPr>
          <w:rFonts w:ascii="Arial Narrow" w:hAnsi="Arial Narrow" w:cs="Arial"/>
          <w:i/>
          <w:szCs w:val="28"/>
        </w:rPr>
        <w:t xml:space="preserve">Por ello, el impugnante está igualmente obligado, entre otros deberes procesales, a formular su recurso con la indicación precisa de las materias que le objeta a la decisión del juez de primer grado, porque de no ser así, se asume que está de acuerdo con lo que deja libre de ataque. Es de esperarse, desde luego, que el ejercicio de ese derecho de defensa se asuma con el rigor de explicarle al superior cuáles son los fundamentos del disenso, a través de una argumentación </w:t>
      </w:r>
      <w:r w:rsidRPr="00135B45">
        <w:rPr>
          <w:rFonts w:ascii="Arial Narrow" w:hAnsi="Arial Narrow" w:cs="Arial"/>
          <w:i/>
          <w:szCs w:val="28"/>
        </w:rPr>
        <w:lastRenderedPageBreak/>
        <w:t>jurídica y/o fáctica, según corresponda, coherente y suficiente para la resolución del asunto</w:t>
      </w:r>
      <w:r>
        <w:rPr>
          <w:rFonts w:ascii="Arial Narrow" w:hAnsi="Arial Narrow" w:cs="Arial"/>
          <w:i/>
          <w:szCs w:val="28"/>
        </w:rPr>
        <w:t>” (</w:t>
      </w:r>
      <w:r w:rsidRPr="00135B45">
        <w:rPr>
          <w:rFonts w:ascii="Arial Narrow" w:hAnsi="Arial Narrow" w:cs="Arial"/>
          <w:i/>
          <w:szCs w:val="28"/>
        </w:rPr>
        <w:t>CSJ SL2764-2017</w:t>
      </w:r>
      <w:r>
        <w:rPr>
          <w:rFonts w:ascii="Arial Narrow" w:hAnsi="Arial Narrow" w:cs="Arial"/>
          <w:i/>
          <w:szCs w:val="28"/>
        </w:rPr>
        <w:t>)</w:t>
      </w:r>
      <w:r w:rsidRPr="00135B45">
        <w:rPr>
          <w:rFonts w:ascii="Arial Narrow" w:hAnsi="Arial Narrow" w:cs="Arial"/>
          <w:i/>
          <w:szCs w:val="28"/>
        </w:rPr>
        <w:t>.</w:t>
      </w:r>
    </w:p>
    <w:p w:rsidR="00135B45" w:rsidRDefault="00135B45" w:rsidP="008C2FAF">
      <w:pPr>
        <w:pStyle w:val="Textoindependiente"/>
        <w:spacing w:line="360" w:lineRule="auto"/>
        <w:ind w:firstLine="851"/>
        <w:rPr>
          <w:rFonts w:ascii="Arial Narrow" w:hAnsi="Arial Narrow" w:cs="Arial"/>
          <w:szCs w:val="28"/>
        </w:rPr>
      </w:pPr>
    </w:p>
    <w:p w:rsidR="007D3D22" w:rsidRDefault="00135B45" w:rsidP="008C2FAF">
      <w:pPr>
        <w:pStyle w:val="Textoindependiente"/>
        <w:spacing w:line="360" w:lineRule="auto"/>
        <w:ind w:firstLine="851"/>
        <w:rPr>
          <w:rFonts w:ascii="Arial Narrow" w:hAnsi="Arial Narrow" w:cs="Arial"/>
          <w:szCs w:val="28"/>
        </w:rPr>
      </w:pPr>
      <w:r>
        <w:rPr>
          <w:rFonts w:ascii="Arial Narrow" w:hAnsi="Arial Narrow" w:cs="Arial"/>
          <w:szCs w:val="28"/>
        </w:rPr>
        <w:t>Pues bien, en el caso puntual se observa que razón le asiste al Magistrado Ponente al declarar inadmisible el recurso, amén que escuchada la audiencia de decisión de excepciones, el recurso propuesto por la profesional del derecho que en ese momento representaba a la entidad ejecutada, no fue sustentado, pues no atacó ninguno de los fundamentos que tuvo la Jueza para declarar no probada la excepción</w:t>
      </w:r>
      <w:r w:rsidR="007D3D22">
        <w:rPr>
          <w:rFonts w:ascii="Arial Narrow" w:hAnsi="Arial Narrow" w:cs="Arial"/>
          <w:szCs w:val="28"/>
        </w:rPr>
        <w:t xml:space="preserve"> de pago propuesta. En efecto, la decisión de la funcionaria judicial se centró en que el embargo de dineros por parte del Despacho no constituía pago, dado que previo a la entrega de dineros al ejecutante, es necesario surtir una serie de etapas, Además de lo anterior, indicó la a-quo que el pago debe provenir de la intención de la entidad de cumplir con la obligación, lo que no ha ocurrido en este caso. Esos fundamentos, eran los que </w:t>
      </w:r>
      <w:proofErr w:type="gramStart"/>
      <w:r w:rsidR="007D3D22">
        <w:rPr>
          <w:rFonts w:ascii="Arial Narrow" w:hAnsi="Arial Narrow" w:cs="Arial"/>
          <w:szCs w:val="28"/>
        </w:rPr>
        <w:t>debía</w:t>
      </w:r>
      <w:proofErr w:type="gramEnd"/>
      <w:r w:rsidR="007D3D22">
        <w:rPr>
          <w:rFonts w:ascii="Arial Narrow" w:hAnsi="Arial Narrow" w:cs="Arial"/>
          <w:szCs w:val="28"/>
        </w:rPr>
        <w:t xml:space="preserve"> rebatir la apelante, pero en su “sustentación” nada de eso hizo, pues se limitó a decir que con el dinero embargado se tenía que dar por cumplida la obligación. E</w:t>
      </w:r>
      <w:r w:rsidR="00070E8B">
        <w:rPr>
          <w:rFonts w:ascii="Arial Narrow" w:hAnsi="Arial Narrow" w:cs="Arial"/>
          <w:szCs w:val="28"/>
        </w:rPr>
        <w:t xml:space="preserve">s que no puede confundirse el concepto de sustentación estrictamente necesaria, como lo acuña el canon 66 de la obra que viene en cita, que se refiere puntualmente a la limitación temporal de la sustentación contra las sentencias –y aplicable igualmente respecto a las demás providencias- con el fin de racionalizar la duración de las diligencias judiciales, con la laxitud o insustancialidad de la sustentación, como ocurre en este caso, en el que, se insiste, se dejó sin debate los fundamentos de la providencia.  </w:t>
      </w:r>
      <w:r w:rsidR="007D3D22">
        <w:rPr>
          <w:rFonts w:ascii="Arial Narrow" w:hAnsi="Arial Narrow" w:cs="Arial"/>
          <w:szCs w:val="28"/>
        </w:rPr>
        <w:t xml:space="preserve"> </w:t>
      </w:r>
    </w:p>
    <w:p w:rsidR="007D3D22" w:rsidRDefault="007D3D22" w:rsidP="008C2FAF">
      <w:pPr>
        <w:pStyle w:val="Textoindependiente"/>
        <w:spacing w:line="360" w:lineRule="auto"/>
        <w:ind w:firstLine="851"/>
        <w:rPr>
          <w:rFonts w:ascii="Arial Narrow" w:hAnsi="Arial Narrow" w:cs="Arial"/>
          <w:szCs w:val="28"/>
        </w:rPr>
      </w:pPr>
    </w:p>
    <w:p w:rsidR="00135B45" w:rsidRDefault="007D3D22" w:rsidP="008C2FAF">
      <w:pPr>
        <w:pStyle w:val="Textoindependiente"/>
        <w:spacing w:line="360" w:lineRule="auto"/>
        <w:ind w:firstLine="851"/>
        <w:rPr>
          <w:rFonts w:ascii="Arial Narrow" w:hAnsi="Arial Narrow" w:cs="Arial"/>
          <w:szCs w:val="28"/>
        </w:rPr>
      </w:pPr>
      <w:r>
        <w:rPr>
          <w:rFonts w:ascii="Arial Narrow" w:hAnsi="Arial Narrow" w:cs="Arial"/>
          <w:szCs w:val="28"/>
        </w:rPr>
        <w:t xml:space="preserve">Por ello, es evidente que el recurso quedó sin sustentación, como lo declaró que el Ponente, razón por la que debe mantenerse la decisión por él adoptada.   </w:t>
      </w:r>
    </w:p>
    <w:p w:rsidR="00D06799" w:rsidRDefault="00570DF4" w:rsidP="00970CB3">
      <w:pPr>
        <w:pStyle w:val="Textoindependiente"/>
        <w:spacing w:line="360" w:lineRule="auto"/>
        <w:ind w:firstLine="851"/>
        <w:rPr>
          <w:rFonts w:ascii="Arial Narrow" w:hAnsi="Arial Narrow" w:cs="Arial"/>
          <w:szCs w:val="28"/>
        </w:rPr>
      </w:pPr>
      <w:r>
        <w:rPr>
          <w:rFonts w:ascii="Arial Narrow" w:hAnsi="Arial Narrow" w:cs="Arial"/>
          <w:szCs w:val="28"/>
        </w:rPr>
        <w:t xml:space="preserve">   </w:t>
      </w:r>
    </w:p>
    <w:p w:rsidR="00D60D82" w:rsidRPr="006804C5" w:rsidRDefault="00D06799" w:rsidP="00D06799">
      <w:pPr>
        <w:pStyle w:val="Textoindependiente"/>
        <w:spacing w:line="360" w:lineRule="auto"/>
        <w:ind w:firstLine="851"/>
        <w:rPr>
          <w:rFonts w:ascii="Arial Narrow" w:hAnsi="Arial Narrow" w:cs="Arial"/>
          <w:b/>
          <w:i/>
          <w:sz w:val="29"/>
          <w:szCs w:val="29"/>
        </w:rPr>
      </w:pPr>
      <w:r>
        <w:rPr>
          <w:rFonts w:ascii="Arial Narrow" w:hAnsi="Arial Narrow" w:cs="Arial"/>
          <w:szCs w:val="28"/>
        </w:rPr>
        <w:t>Sin necesidad de mayores consideraciones y e</w:t>
      </w:r>
      <w:r w:rsidR="00D60D82" w:rsidRPr="006804C5">
        <w:rPr>
          <w:rFonts w:ascii="Arial Narrow" w:hAnsi="Arial Narrow" w:cs="Arial"/>
          <w:sz w:val="29"/>
          <w:szCs w:val="29"/>
        </w:rPr>
        <w:t xml:space="preserve">n mérito de lo expuesto, </w:t>
      </w:r>
      <w:smartTag w:uri="urn:schemas-microsoft-com:office:smarttags" w:element="metricconverter">
        <w:smartTagPr>
          <w:attr w:name="ProductID" w:val="la Sala Laboral"/>
        </w:smartTagPr>
        <w:r w:rsidR="00D60D82" w:rsidRPr="006804C5">
          <w:rPr>
            <w:rFonts w:ascii="Arial Narrow" w:hAnsi="Arial Narrow" w:cs="Arial"/>
            <w:sz w:val="29"/>
            <w:szCs w:val="29"/>
          </w:rPr>
          <w:t xml:space="preserve">la </w:t>
        </w:r>
        <w:r w:rsidR="00D60D82" w:rsidRPr="006804C5">
          <w:rPr>
            <w:rFonts w:ascii="Arial Narrow" w:hAnsi="Arial Narrow" w:cs="Arial"/>
            <w:b/>
            <w:i/>
            <w:sz w:val="29"/>
            <w:szCs w:val="29"/>
          </w:rPr>
          <w:t>Sala Laboral</w:t>
        </w:r>
      </w:smartTag>
      <w:r w:rsidR="00D60D82" w:rsidRPr="006804C5">
        <w:rPr>
          <w:rFonts w:ascii="Arial Narrow" w:hAnsi="Arial Narrow" w:cs="Arial"/>
          <w:b/>
          <w:i/>
          <w:sz w:val="29"/>
          <w:szCs w:val="29"/>
        </w:rPr>
        <w:t xml:space="preserve"> del Tribunal Superior de Distrito Judicial de Pereira – Risaralda</w:t>
      </w:r>
      <w:r>
        <w:rPr>
          <w:rFonts w:ascii="Arial Narrow" w:hAnsi="Arial Narrow" w:cs="Arial"/>
          <w:b/>
          <w:i/>
          <w:sz w:val="29"/>
          <w:szCs w:val="29"/>
        </w:rPr>
        <w:t xml:space="preserve">, </w:t>
      </w:r>
    </w:p>
    <w:p w:rsidR="00D60D82" w:rsidRPr="006804C5" w:rsidRDefault="00D60D82" w:rsidP="001909C8">
      <w:pPr>
        <w:pStyle w:val="Sinespaciado"/>
        <w:spacing w:line="360" w:lineRule="auto"/>
      </w:pPr>
    </w:p>
    <w:p w:rsidR="00D60D82" w:rsidRDefault="00834A45" w:rsidP="00D60D82">
      <w:pPr>
        <w:spacing w:line="360" w:lineRule="auto"/>
        <w:ind w:firstLine="1404"/>
        <w:jc w:val="center"/>
        <w:rPr>
          <w:rFonts w:ascii="Arial Narrow" w:hAnsi="Arial Narrow" w:cs="Arial"/>
          <w:b/>
          <w:sz w:val="29"/>
          <w:szCs w:val="29"/>
        </w:rPr>
      </w:pPr>
      <w:r>
        <w:rPr>
          <w:rFonts w:ascii="Arial Narrow" w:hAnsi="Arial Narrow" w:cs="Arial"/>
          <w:b/>
          <w:sz w:val="29"/>
          <w:szCs w:val="29"/>
        </w:rPr>
        <w:lastRenderedPageBreak/>
        <w:t>Resuelve</w:t>
      </w:r>
    </w:p>
    <w:p w:rsidR="00D60D82" w:rsidRDefault="00D60D82" w:rsidP="00CB4D81">
      <w:pPr>
        <w:pStyle w:val="Sinespaciado"/>
      </w:pPr>
    </w:p>
    <w:p w:rsidR="00070E8B" w:rsidRDefault="00D06799" w:rsidP="0058056B">
      <w:pPr>
        <w:spacing w:line="360" w:lineRule="auto"/>
        <w:ind w:firstLine="708"/>
        <w:jc w:val="both"/>
        <w:rPr>
          <w:rFonts w:ascii="Arial Narrow" w:hAnsi="Arial Narrow" w:cs="Arial"/>
          <w:sz w:val="28"/>
          <w:szCs w:val="28"/>
        </w:rPr>
      </w:pPr>
      <w:r>
        <w:rPr>
          <w:rFonts w:ascii="Arial Narrow" w:hAnsi="Arial Narrow" w:cs="Arial"/>
          <w:b/>
          <w:sz w:val="28"/>
          <w:szCs w:val="28"/>
        </w:rPr>
        <w:t xml:space="preserve">Primero: </w:t>
      </w:r>
      <w:r w:rsidR="00070E8B">
        <w:rPr>
          <w:rFonts w:ascii="Arial Narrow" w:hAnsi="Arial Narrow" w:cs="Arial"/>
          <w:b/>
          <w:sz w:val="28"/>
          <w:szCs w:val="28"/>
        </w:rPr>
        <w:t xml:space="preserve">Denegar el recurso de súplica </w:t>
      </w:r>
      <w:r w:rsidR="00070E8B">
        <w:rPr>
          <w:rFonts w:ascii="Arial Narrow" w:hAnsi="Arial Narrow" w:cs="Arial"/>
          <w:sz w:val="28"/>
          <w:szCs w:val="28"/>
        </w:rPr>
        <w:t>propuesto por el portavoz judicial de la parte ejecutada, contra la providencia 19 de enero de 2018 dictado por el Magistrado Ponente en este asunto.</w:t>
      </w:r>
    </w:p>
    <w:p w:rsidR="00D06799" w:rsidRDefault="00D06799" w:rsidP="0058056B">
      <w:pPr>
        <w:spacing w:line="360" w:lineRule="auto"/>
        <w:ind w:firstLine="708"/>
        <w:jc w:val="both"/>
        <w:rPr>
          <w:rFonts w:ascii="Arial Narrow" w:hAnsi="Arial Narrow" w:cs="Arial"/>
          <w:sz w:val="28"/>
          <w:szCs w:val="28"/>
        </w:rPr>
      </w:pPr>
    </w:p>
    <w:p w:rsidR="00977137" w:rsidRDefault="00D06799" w:rsidP="0058056B">
      <w:pPr>
        <w:spacing w:line="360" w:lineRule="auto"/>
        <w:ind w:firstLine="708"/>
        <w:jc w:val="both"/>
        <w:rPr>
          <w:rFonts w:ascii="Arial Narrow" w:hAnsi="Arial Narrow" w:cs="Arial"/>
          <w:sz w:val="28"/>
          <w:szCs w:val="28"/>
        </w:rPr>
      </w:pPr>
      <w:r>
        <w:rPr>
          <w:rFonts w:ascii="Arial Narrow" w:hAnsi="Arial Narrow" w:cs="Arial"/>
          <w:b/>
          <w:sz w:val="28"/>
          <w:szCs w:val="28"/>
        </w:rPr>
        <w:t xml:space="preserve">Segundo: </w:t>
      </w:r>
      <w:r w:rsidR="00070E8B">
        <w:rPr>
          <w:rFonts w:ascii="Arial Narrow" w:hAnsi="Arial Narrow" w:cs="Arial"/>
          <w:sz w:val="28"/>
          <w:szCs w:val="28"/>
        </w:rPr>
        <w:t>Ejecutoriada esta providencia, cúmplase lo ordenado en el ordinal 2º de la providencia mencionada.</w:t>
      </w:r>
    </w:p>
    <w:p w:rsidR="00070E8B" w:rsidRDefault="00070E8B" w:rsidP="0058056B">
      <w:pPr>
        <w:spacing w:line="360" w:lineRule="auto"/>
        <w:ind w:firstLine="708"/>
        <w:jc w:val="both"/>
        <w:rPr>
          <w:rFonts w:ascii="Arial Narrow" w:hAnsi="Arial Narrow" w:cs="Arial"/>
          <w:sz w:val="28"/>
          <w:szCs w:val="28"/>
        </w:rPr>
      </w:pPr>
    </w:p>
    <w:p w:rsidR="00147E7E" w:rsidRDefault="00147E7E" w:rsidP="00147E7E">
      <w:pPr>
        <w:pStyle w:val="Sinespaciado"/>
      </w:pPr>
    </w:p>
    <w:p w:rsidR="00D60D82" w:rsidRDefault="00070E8B" w:rsidP="0058056B">
      <w:pPr>
        <w:spacing w:line="360" w:lineRule="auto"/>
        <w:ind w:firstLine="708"/>
        <w:jc w:val="both"/>
        <w:rPr>
          <w:rFonts w:ascii="Arial Narrow" w:hAnsi="Arial Narrow" w:cs="Arial"/>
          <w:bCs/>
          <w:sz w:val="29"/>
          <w:szCs w:val="29"/>
        </w:rPr>
      </w:pPr>
      <w:r>
        <w:rPr>
          <w:rFonts w:ascii="Arial Narrow" w:hAnsi="Arial Narrow" w:cs="Arial"/>
          <w:bCs/>
          <w:sz w:val="29"/>
          <w:szCs w:val="29"/>
        </w:rPr>
        <w:t>Notifíquese y cúmplase.</w:t>
      </w:r>
    </w:p>
    <w:p w:rsidR="00D60D82" w:rsidRDefault="00D60D82" w:rsidP="00D60D82">
      <w:pPr>
        <w:jc w:val="center"/>
        <w:rPr>
          <w:rFonts w:ascii="Arial Narrow" w:hAnsi="Arial Narrow" w:cs="Arial"/>
          <w:sz w:val="29"/>
          <w:szCs w:val="29"/>
        </w:rPr>
      </w:pPr>
    </w:p>
    <w:p w:rsidR="00E3428D" w:rsidRDefault="00E3428D" w:rsidP="00D60D82">
      <w:pPr>
        <w:jc w:val="center"/>
        <w:rPr>
          <w:rFonts w:ascii="Arial Narrow" w:hAnsi="Arial Narrow" w:cs="Arial"/>
          <w:sz w:val="29"/>
          <w:szCs w:val="29"/>
        </w:rPr>
      </w:pPr>
    </w:p>
    <w:p w:rsidR="00E3428D" w:rsidRPr="00574F01" w:rsidRDefault="00E3428D" w:rsidP="00D60D82">
      <w:pPr>
        <w:jc w:val="center"/>
        <w:rPr>
          <w:rFonts w:ascii="Arial Narrow" w:hAnsi="Arial Narrow" w:cs="Arial"/>
          <w:sz w:val="29"/>
          <w:szCs w:val="29"/>
        </w:rPr>
      </w:pPr>
    </w:p>
    <w:p w:rsidR="00D60D82" w:rsidRPr="00574F01" w:rsidRDefault="00D60D82" w:rsidP="00D60D82">
      <w:pPr>
        <w:jc w:val="center"/>
        <w:rPr>
          <w:rFonts w:ascii="Arial Narrow" w:hAnsi="Arial Narrow" w:cs="Arial"/>
          <w:b/>
          <w:sz w:val="29"/>
          <w:szCs w:val="29"/>
        </w:rPr>
      </w:pPr>
      <w:r w:rsidRPr="00574F01">
        <w:rPr>
          <w:rFonts w:ascii="Arial Narrow" w:hAnsi="Arial Narrow" w:cs="Arial"/>
          <w:b/>
          <w:sz w:val="29"/>
          <w:szCs w:val="29"/>
        </w:rPr>
        <w:t>FRANCISCO JAVIER TAMAYO TABARES</w:t>
      </w:r>
    </w:p>
    <w:p w:rsidR="00D60D82" w:rsidRPr="00574F01" w:rsidRDefault="00D60D82" w:rsidP="00D60D82">
      <w:pPr>
        <w:jc w:val="center"/>
        <w:rPr>
          <w:rFonts w:ascii="Arial Narrow" w:hAnsi="Arial Narrow" w:cs="Arial"/>
          <w:sz w:val="29"/>
          <w:szCs w:val="29"/>
        </w:rPr>
      </w:pPr>
      <w:r w:rsidRPr="00574F01">
        <w:rPr>
          <w:rFonts w:ascii="Arial Narrow" w:hAnsi="Arial Narrow" w:cs="Arial"/>
          <w:sz w:val="29"/>
          <w:szCs w:val="29"/>
        </w:rPr>
        <w:t>Magistrado</w:t>
      </w:r>
    </w:p>
    <w:p w:rsidR="00D60D82" w:rsidRDefault="00D60D82" w:rsidP="00D60D82">
      <w:pPr>
        <w:tabs>
          <w:tab w:val="left" w:pos="4047"/>
        </w:tabs>
        <w:jc w:val="center"/>
        <w:rPr>
          <w:rFonts w:ascii="Arial Narrow" w:hAnsi="Arial Narrow" w:cs="Arial"/>
          <w:sz w:val="29"/>
          <w:szCs w:val="29"/>
        </w:rPr>
      </w:pPr>
    </w:p>
    <w:p w:rsidR="00D60D82" w:rsidRDefault="00D60D82" w:rsidP="00D60D82">
      <w:pPr>
        <w:tabs>
          <w:tab w:val="left" w:pos="4047"/>
        </w:tabs>
        <w:jc w:val="center"/>
        <w:rPr>
          <w:rFonts w:ascii="Arial Narrow" w:hAnsi="Arial Narrow" w:cs="Arial"/>
          <w:sz w:val="29"/>
          <w:szCs w:val="29"/>
        </w:rPr>
      </w:pPr>
    </w:p>
    <w:p w:rsidR="00E3428D" w:rsidRDefault="00E3428D" w:rsidP="00D60D82">
      <w:pPr>
        <w:tabs>
          <w:tab w:val="left" w:pos="4047"/>
        </w:tabs>
        <w:jc w:val="center"/>
        <w:rPr>
          <w:rFonts w:ascii="Arial Narrow" w:hAnsi="Arial Narrow" w:cs="Arial"/>
          <w:sz w:val="29"/>
          <w:szCs w:val="29"/>
        </w:rPr>
      </w:pPr>
    </w:p>
    <w:p w:rsidR="00E3428D" w:rsidRDefault="00E3428D" w:rsidP="00D60D82">
      <w:pPr>
        <w:tabs>
          <w:tab w:val="left" w:pos="4047"/>
        </w:tabs>
        <w:jc w:val="center"/>
        <w:rPr>
          <w:rFonts w:ascii="Arial Narrow" w:hAnsi="Arial Narrow" w:cs="Arial"/>
          <w:sz w:val="29"/>
          <w:szCs w:val="29"/>
        </w:rPr>
      </w:pPr>
    </w:p>
    <w:p w:rsidR="00D60D82" w:rsidRPr="00574F01" w:rsidRDefault="00D60D82" w:rsidP="00D60D82">
      <w:pPr>
        <w:tabs>
          <w:tab w:val="left" w:pos="4047"/>
        </w:tabs>
        <w:jc w:val="center"/>
        <w:rPr>
          <w:rFonts w:ascii="Arial Narrow" w:hAnsi="Arial Narrow" w:cs="Arial"/>
          <w:sz w:val="29"/>
          <w:szCs w:val="29"/>
        </w:rPr>
      </w:pPr>
      <w:r w:rsidRPr="00574F01">
        <w:rPr>
          <w:rFonts w:ascii="Arial Narrow" w:hAnsi="Arial Narrow" w:cs="Arial"/>
          <w:b/>
          <w:sz w:val="29"/>
          <w:szCs w:val="29"/>
        </w:rPr>
        <w:t xml:space="preserve">ANA LUCIA CAICEDO CALDERÓN </w:t>
      </w:r>
      <w:r>
        <w:rPr>
          <w:rFonts w:ascii="Arial Narrow" w:hAnsi="Arial Narrow" w:cs="Arial"/>
          <w:b/>
          <w:sz w:val="29"/>
          <w:szCs w:val="29"/>
        </w:rPr>
        <w:t xml:space="preserve">   </w:t>
      </w:r>
      <w:r w:rsidRPr="00574F01">
        <w:rPr>
          <w:rFonts w:ascii="Arial Narrow" w:hAnsi="Arial Narrow" w:cs="Arial"/>
          <w:b/>
          <w:sz w:val="29"/>
          <w:szCs w:val="29"/>
        </w:rPr>
        <w:t xml:space="preserve">   </w:t>
      </w:r>
    </w:p>
    <w:p w:rsidR="00D60D82" w:rsidRDefault="00D60D82" w:rsidP="00070E8B">
      <w:pPr>
        <w:tabs>
          <w:tab w:val="left" w:pos="4047"/>
        </w:tabs>
        <w:jc w:val="center"/>
        <w:rPr>
          <w:rFonts w:ascii="Arial Narrow" w:hAnsi="Arial Narrow" w:cs="Arial"/>
          <w:sz w:val="29"/>
          <w:szCs w:val="29"/>
        </w:rPr>
      </w:pPr>
      <w:r w:rsidRPr="00574F01">
        <w:rPr>
          <w:rFonts w:ascii="Arial Narrow" w:hAnsi="Arial Narrow" w:cs="Arial"/>
          <w:sz w:val="29"/>
          <w:szCs w:val="29"/>
        </w:rPr>
        <w:t>Magistrada</w:t>
      </w:r>
    </w:p>
    <w:p w:rsidR="00D60D82" w:rsidRPr="005F0140" w:rsidRDefault="00586795" w:rsidP="00CB4D81">
      <w:pPr>
        <w:tabs>
          <w:tab w:val="left" w:pos="4047"/>
        </w:tabs>
        <w:ind w:left="142"/>
        <w:jc w:val="both"/>
        <w:rPr>
          <w:rFonts w:ascii="Arial Narrow" w:hAnsi="Arial Narrow" w:cs="Arial"/>
          <w:sz w:val="29"/>
          <w:szCs w:val="29"/>
        </w:rPr>
      </w:pPr>
      <w:r>
        <w:rPr>
          <w:rFonts w:ascii="Arial Narrow" w:hAnsi="Arial Narrow" w:cs="Arial"/>
          <w:sz w:val="29"/>
          <w:szCs w:val="29"/>
        </w:rPr>
        <w:t xml:space="preserve">         </w:t>
      </w:r>
      <w:r w:rsidR="00D60D82" w:rsidRPr="005F0140">
        <w:rPr>
          <w:rFonts w:ascii="Arial Narrow" w:hAnsi="Arial Narrow" w:cs="Arial"/>
          <w:sz w:val="29"/>
          <w:szCs w:val="29"/>
        </w:rPr>
        <w:t xml:space="preserve"> </w:t>
      </w:r>
    </w:p>
    <w:p w:rsidR="001909C8" w:rsidRDefault="001909C8" w:rsidP="001909C8">
      <w:pPr>
        <w:pStyle w:val="Sinespaciado"/>
      </w:pPr>
    </w:p>
    <w:p w:rsidR="00E3428D" w:rsidRDefault="00E3428D" w:rsidP="001909C8">
      <w:pPr>
        <w:pStyle w:val="Sinespaciado"/>
      </w:pPr>
    </w:p>
    <w:p w:rsidR="00E3428D" w:rsidRDefault="00E3428D" w:rsidP="001909C8">
      <w:pPr>
        <w:pStyle w:val="Sinespaciado"/>
      </w:pPr>
    </w:p>
    <w:p w:rsidR="00BF582E" w:rsidRPr="00574F01" w:rsidRDefault="00BF582E" w:rsidP="001909C8">
      <w:pPr>
        <w:pStyle w:val="Sinespaciado"/>
      </w:pPr>
    </w:p>
    <w:p w:rsidR="00D60D82" w:rsidRPr="00070E8B" w:rsidRDefault="00BF582E" w:rsidP="00D60D82">
      <w:pPr>
        <w:tabs>
          <w:tab w:val="left" w:pos="4047"/>
        </w:tabs>
        <w:jc w:val="center"/>
        <w:rPr>
          <w:rFonts w:ascii="Arial Narrow" w:hAnsi="Arial Narrow" w:cs="Arial"/>
          <w:b/>
          <w:sz w:val="29"/>
          <w:szCs w:val="29"/>
        </w:rPr>
      </w:pPr>
      <w:r w:rsidRPr="00070E8B">
        <w:rPr>
          <w:rFonts w:ascii="Arial Narrow" w:hAnsi="Arial Narrow" w:cs="Arial"/>
          <w:b/>
          <w:sz w:val="29"/>
          <w:szCs w:val="29"/>
        </w:rPr>
        <w:t>ALONSO GAVIRIA OCAMPO</w:t>
      </w:r>
    </w:p>
    <w:p w:rsidR="00D84850" w:rsidRDefault="00D60D82" w:rsidP="00586795">
      <w:pPr>
        <w:tabs>
          <w:tab w:val="left" w:pos="4047"/>
        </w:tabs>
        <w:jc w:val="center"/>
      </w:pPr>
      <w:r w:rsidRPr="00574F01">
        <w:rPr>
          <w:rFonts w:ascii="Arial Narrow" w:hAnsi="Arial Narrow"/>
          <w:sz w:val="29"/>
          <w:szCs w:val="29"/>
        </w:rPr>
        <w:t>Secretari</w:t>
      </w:r>
      <w:r w:rsidR="00BF582E">
        <w:rPr>
          <w:rFonts w:ascii="Arial Narrow" w:hAnsi="Arial Narrow"/>
          <w:sz w:val="29"/>
          <w:szCs w:val="29"/>
        </w:rPr>
        <w:t>o</w:t>
      </w:r>
    </w:p>
    <w:sectPr w:rsidR="00D84850" w:rsidSect="001909C8">
      <w:headerReference w:type="default" r:id="rId9"/>
      <w:footerReference w:type="even" r:id="rId10"/>
      <w:footerReference w:type="default" r:id="rId11"/>
      <w:pgSz w:w="12242" w:h="18722" w:code="119"/>
      <w:pgMar w:top="1701" w:right="1701" w:bottom="156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1E9" w:rsidRDefault="00C711E9" w:rsidP="00D60D82">
      <w:r>
        <w:separator/>
      </w:r>
    </w:p>
  </w:endnote>
  <w:endnote w:type="continuationSeparator" w:id="0">
    <w:p w:rsidR="00C711E9" w:rsidRDefault="00C711E9" w:rsidP="00D6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Default="002B17A9" w:rsidP="008471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056C" w:rsidRDefault="00C711E9" w:rsidP="008471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Pr="007569C6" w:rsidRDefault="002B17A9">
    <w:pPr>
      <w:pStyle w:val="Piedepgina"/>
      <w:jc w:val="right"/>
      <w:rPr>
        <w:rFonts w:ascii="Arial" w:hAnsi="Arial" w:cs="Arial"/>
      </w:rPr>
    </w:pPr>
    <w:r w:rsidRPr="007569C6">
      <w:rPr>
        <w:rFonts w:ascii="Arial" w:hAnsi="Arial" w:cs="Arial"/>
      </w:rPr>
      <w:fldChar w:fldCharType="begin"/>
    </w:r>
    <w:r w:rsidRPr="007569C6">
      <w:rPr>
        <w:rFonts w:ascii="Arial" w:hAnsi="Arial" w:cs="Arial"/>
      </w:rPr>
      <w:instrText xml:space="preserve"> PAGE   \* MERGEFORMAT </w:instrText>
    </w:r>
    <w:r w:rsidRPr="007569C6">
      <w:rPr>
        <w:rFonts w:ascii="Arial" w:hAnsi="Arial" w:cs="Arial"/>
      </w:rPr>
      <w:fldChar w:fldCharType="separate"/>
    </w:r>
    <w:r w:rsidR="004E5097">
      <w:rPr>
        <w:rFonts w:ascii="Arial" w:hAnsi="Arial" w:cs="Arial"/>
        <w:noProof/>
      </w:rPr>
      <w:t>5</w:t>
    </w:r>
    <w:r w:rsidRPr="007569C6">
      <w:rPr>
        <w:rFonts w:ascii="Arial" w:hAnsi="Arial" w:cs="Arial"/>
      </w:rPr>
      <w:fldChar w:fldCharType="end"/>
    </w:r>
  </w:p>
  <w:p w:rsidR="00CB056C" w:rsidRDefault="00C711E9" w:rsidP="008471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1E9" w:rsidRDefault="00C711E9" w:rsidP="00D60D82">
      <w:r>
        <w:separator/>
      </w:r>
    </w:p>
  </w:footnote>
  <w:footnote w:type="continuationSeparator" w:id="0">
    <w:p w:rsidR="00C711E9" w:rsidRDefault="00C711E9" w:rsidP="00D6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Pr="006C6E10" w:rsidRDefault="005517A4" w:rsidP="006C6E10">
    <w:pPr>
      <w:jc w:val="both"/>
      <w:rPr>
        <w:rFonts w:ascii="Arial Narrow" w:hAnsi="Arial Narrow" w:cs="Arial"/>
        <w:bCs/>
        <w:i/>
      </w:rPr>
    </w:pPr>
    <w:r>
      <w:rPr>
        <w:rFonts w:ascii="Arial Narrow" w:hAnsi="Arial Narrow" w:cs="Arial"/>
        <w:bCs/>
        <w:i/>
      </w:rPr>
      <w:t>Ra</w:t>
    </w:r>
    <w:r w:rsidR="002B17A9" w:rsidRPr="006C6E10">
      <w:rPr>
        <w:rFonts w:ascii="Arial Narrow" w:hAnsi="Arial Narrow" w:cs="Arial"/>
        <w:bCs/>
        <w:i/>
      </w:rPr>
      <w:t>dicación No: 66001-31-05-00</w:t>
    </w:r>
    <w:r w:rsidR="006F5AF5">
      <w:rPr>
        <w:rFonts w:ascii="Arial Narrow" w:hAnsi="Arial Narrow" w:cs="Arial"/>
        <w:bCs/>
        <w:i/>
      </w:rPr>
      <w:t>4</w:t>
    </w:r>
    <w:r w:rsidR="002B17A9">
      <w:rPr>
        <w:rFonts w:ascii="Arial Narrow" w:hAnsi="Arial Narrow" w:cs="Arial"/>
        <w:bCs/>
        <w:i/>
      </w:rPr>
      <w:t>-201</w:t>
    </w:r>
    <w:r w:rsidR="006F5AF5">
      <w:rPr>
        <w:rFonts w:ascii="Arial Narrow" w:hAnsi="Arial Narrow" w:cs="Arial"/>
        <w:bCs/>
        <w:i/>
      </w:rPr>
      <w:t>4</w:t>
    </w:r>
    <w:r w:rsidR="002B17A9">
      <w:rPr>
        <w:rFonts w:ascii="Arial Narrow" w:hAnsi="Arial Narrow" w:cs="Arial"/>
        <w:bCs/>
        <w:i/>
      </w:rPr>
      <w:t>-00</w:t>
    </w:r>
    <w:r w:rsidR="006F5AF5">
      <w:rPr>
        <w:rFonts w:ascii="Arial Narrow" w:hAnsi="Arial Narrow" w:cs="Arial"/>
        <w:bCs/>
        <w:i/>
      </w:rPr>
      <w:t>665</w:t>
    </w:r>
    <w:r>
      <w:rPr>
        <w:rFonts w:ascii="Arial Narrow" w:hAnsi="Arial Narrow" w:cs="Arial"/>
        <w:bCs/>
        <w:i/>
      </w:rPr>
      <w:t>-</w:t>
    </w:r>
    <w:r w:rsidR="002B17A9">
      <w:rPr>
        <w:rFonts w:ascii="Arial Narrow" w:hAnsi="Arial Narrow" w:cs="Arial"/>
        <w:bCs/>
        <w:i/>
      </w:rPr>
      <w:t>0</w:t>
    </w:r>
    <w:r w:rsidR="006F5AF5">
      <w:rPr>
        <w:rFonts w:ascii="Arial Narrow" w:hAnsi="Arial Narrow" w:cs="Arial"/>
        <w:bCs/>
        <w:i/>
      </w:rPr>
      <w:t>2</w:t>
    </w:r>
  </w:p>
  <w:p w:rsidR="00CB056C" w:rsidRPr="006C6E10" w:rsidRDefault="006F5AF5" w:rsidP="006C6E10">
    <w:pPr>
      <w:jc w:val="both"/>
      <w:rPr>
        <w:rFonts w:ascii="Arial Narrow" w:hAnsi="Arial Narrow" w:cs="Arial"/>
        <w:bCs/>
        <w:i/>
        <w:iCs/>
      </w:rPr>
    </w:pPr>
    <w:r>
      <w:rPr>
        <w:rFonts w:ascii="Arial Narrow" w:hAnsi="Arial Narrow" w:cs="Arial"/>
        <w:bCs/>
        <w:i/>
      </w:rPr>
      <w:t>Cooperativa La Rosa</w:t>
    </w:r>
    <w:r w:rsidR="00D60D82">
      <w:rPr>
        <w:rFonts w:ascii="Arial Narrow" w:hAnsi="Arial Narrow" w:cs="Arial"/>
        <w:bCs/>
        <w:i/>
      </w:rPr>
      <w:t xml:space="preserve"> </w:t>
    </w:r>
    <w:r w:rsidR="002B17A9" w:rsidRPr="006C6E10">
      <w:rPr>
        <w:rFonts w:ascii="Arial Narrow" w:hAnsi="Arial Narrow" w:cs="Arial"/>
        <w:bCs/>
        <w:i/>
      </w:rPr>
      <w:t xml:space="preserve">vs </w:t>
    </w:r>
    <w:r>
      <w:rPr>
        <w:rFonts w:ascii="Arial Narrow" w:hAnsi="Arial Narrow" w:cs="Arial"/>
        <w:bCs/>
        <w:i/>
      </w:rPr>
      <w:t>Protección S.A</w:t>
    </w:r>
    <w:r w:rsidR="00932165">
      <w:rPr>
        <w:rFonts w:ascii="Arial Narrow" w:hAnsi="Arial Narrow" w:cs="Arial"/>
        <w:bCs/>
        <w:i/>
      </w:rPr>
      <w:t>.</w:t>
    </w:r>
  </w:p>
  <w:p w:rsidR="00CB056C" w:rsidRDefault="00C711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4E10"/>
    <w:multiLevelType w:val="hybridMultilevel"/>
    <w:tmpl w:val="3B9ACD74"/>
    <w:lvl w:ilvl="0" w:tplc="7CE4C4E0">
      <w:start w:val="1"/>
      <w:numFmt w:val="lowerLetter"/>
      <w:lvlText w:val="%1)"/>
      <w:lvlJc w:val="left"/>
      <w:pPr>
        <w:ind w:left="2148" w:hanging="129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1">
    <w:nsid w:val="1ABC53D4"/>
    <w:multiLevelType w:val="hybridMultilevel"/>
    <w:tmpl w:val="16760410"/>
    <w:lvl w:ilvl="0" w:tplc="7A08E68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
    <w:nsid w:val="1E7C3212"/>
    <w:multiLevelType w:val="hybridMultilevel"/>
    <w:tmpl w:val="E52E9C8C"/>
    <w:lvl w:ilvl="0" w:tplc="1A98A5AA">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730433FF"/>
    <w:multiLevelType w:val="multilevel"/>
    <w:tmpl w:val="E09A1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82"/>
    <w:rsid w:val="000010F8"/>
    <w:rsid w:val="00053C38"/>
    <w:rsid w:val="00070E8B"/>
    <w:rsid w:val="000870F8"/>
    <w:rsid w:val="000B2F82"/>
    <w:rsid w:val="000D0B85"/>
    <w:rsid w:val="000E7F42"/>
    <w:rsid w:val="00110D31"/>
    <w:rsid w:val="001176BA"/>
    <w:rsid w:val="00135B45"/>
    <w:rsid w:val="001456C8"/>
    <w:rsid w:val="001468A6"/>
    <w:rsid w:val="00147E7E"/>
    <w:rsid w:val="0015715D"/>
    <w:rsid w:val="00162ADD"/>
    <w:rsid w:val="001715D2"/>
    <w:rsid w:val="00172834"/>
    <w:rsid w:val="00180CE4"/>
    <w:rsid w:val="001847EC"/>
    <w:rsid w:val="001909C8"/>
    <w:rsid w:val="00192C35"/>
    <w:rsid w:val="001A2F1B"/>
    <w:rsid w:val="001A357E"/>
    <w:rsid w:val="001B202C"/>
    <w:rsid w:val="001B262E"/>
    <w:rsid w:val="00225FD8"/>
    <w:rsid w:val="00236A38"/>
    <w:rsid w:val="00242152"/>
    <w:rsid w:val="0025753A"/>
    <w:rsid w:val="00282EDF"/>
    <w:rsid w:val="00284CDF"/>
    <w:rsid w:val="00285D0B"/>
    <w:rsid w:val="002913C1"/>
    <w:rsid w:val="0029347D"/>
    <w:rsid w:val="002A38E5"/>
    <w:rsid w:val="002B17A9"/>
    <w:rsid w:val="002B2C55"/>
    <w:rsid w:val="002E36B4"/>
    <w:rsid w:val="00305273"/>
    <w:rsid w:val="003172DA"/>
    <w:rsid w:val="003215D1"/>
    <w:rsid w:val="00325856"/>
    <w:rsid w:val="003677CC"/>
    <w:rsid w:val="00383651"/>
    <w:rsid w:val="00383816"/>
    <w:rsid w:val="004502EA"/>
    <w:rsid w:val="00453F0F"/>
    <w:rsid w:val="00457CEA"/>
    <w:rsid w:val="004D01C5"/>
    <w:rsid w:val="004D047E"/>
    <w:rsid w:val="004D73F0"/>
    <w:rsid w:val="004E115B"/>
    <w:rsid w:val="004E2D13"/>
    <w:rsid w:val="004E5097"/>
    <w:rsid w:val="004F0747"/>
    <w:rsid w:val="004F153A"/>
    <w:rsid w:val="004F483E"/>
    <w:rsid w:val="004F5BC2"/>
    <w:rsid w:val="004F7F10"/>
    <w:rsid w:val="00511B62"/>
    <w:rsid w:val="00515BDC"/>
    <w:rsid w:val="005170ED"/>
    <w:rsid w:val="00541CCE"/>
    <w:rsid w:val="005517A4"/>
    <w:rsid w:val="00563496"/>
    <w:rsid w:val="00570DF4"/>
    <w:rsid w:val="0058056B"/>
    <w:rsid w:val="00586795"/>
    <w:rsid w:val="00596286"/>
    <w:rsid w:val="005A4D03"/>
    <w:rsid w:val="005B7A0E"/>
    <w:rsid w:val="005B7C1B"/>
    <w:rsid w:val="005E7FCA"/>
    <w:rsid w:val="005F2279"/>
    <w:rsid w:val="005F5E82"/>
    <w:rsid w:val="006135E9"/>
    <w:rsid w:val="00627327"/>
    <w:rsid w:val="00643726"/>
    <w:rsid w:val="006556AE"/>
    <w:rsid w:val="006700AA"/>
    <w:rsid w:val="00691F6D"/>
    <w:rsid w:val="006D2643"/>
    <w:rsid w:val="006F2FF3"/>
    <w:rsid w:val="006F5AF5"/>
    <w:rsid w:val="0071664A"/>
    <w:rsid w:val="0072440D"/>
    <w:rsid w:val="007513FC"/>
    <w:rsid w:val="007766F4"/>
    <w:rsid w:val="00776AA5"/>
    <w:rsid w:val="007951F6"/>
    <w:rsid w:val="007B5499"/>
    <w:rsid w:val="007D3D22"/>
    <w:rsid w:val="007D57F7"/>
    <w:rsid w:val="007E2C14"/>
    <w:rsid w:val="0080012F"/>
    <w:rsid w:val="0082477C"/>
    <w:rsid w:val="00834A45"/>
    <w:rsid w:val="00842DB5"/>
    <w:rsid w:val="00866877"/>
    <w:rsid w:val="008A4174"/>
    <w:rsid w:val="008C2FAF"/>
    <w:rsid w:val="008D3F13"/>
    <w:rsid w:val="008F003B"/>
    <w:rsid w:val="008F23EA"/>
    <w:rsid w:val="00907A5F"/>
    <w:rsid w:val="009129DE"/>
    <w:rsid w:val="00932165"/>
    <w:rsid w:val="00936D4A"/>
    <w:rsid w:val="009632E6"/>
    <w:rsid w:val="00970CB3"/>
    <w:rsid w:val="00977137"/>
    <w:rsid w:val="00977E18"/>
    <w:rsid w:val="009B1D6F"/>
    <w:rsid w:val="009C22DF"/>
    <w:rsid w:val="009C314D"/>
    <w:rsid w:val="009F7FF3"/>
    <w:rsid w:val="00A12A85"/>
    <w:rsid w:val="00A23CFA"/>
    <w:rsid w:val="00A43EF4"/>
    <w:rsid w:val="00A63E5D"/>
    <w:rsid w:val="00A928D2"/>
    <w:rsid w:val="00AA56E2"/>
    <w:rsid w:val="00AF35F1"/>
    <w:rsid w:val="00B05800"/>
    <w:rsid w:val="00B456B4"/>
    <w:rsid w:val="00B5105B"/>
    <w:rsid w:val="00B56E76"/>
    <w:rsid w:val="00B60873"/>
    <w:rsid w:val="00B661BF"/>
    <w:rsid w:val="00BA0C20"/>
    <w:rsid w:val="00BA52E2"/>
    <w:rsid w:val="00BC734F"/>
    <w:rsid w:val="00BC7CF6"/>
    <w:rsid w:val="00BF35EA"/>
    <w:rsid w:val="00BF582E"/>
    <w:rsid w:val="00C46C63"/>
    <w:rsid w:val="00C51284"/>
    <w:rsid w:val="00C51533"/>
    <w:rsid w:val="00C551E5"/>
    <w:rsid w:val="00C711E9"/>
    <w:rsid w:val="00CA468D"/>
    <w:rsid w:val="00CB4D81"/>
    <w:rsid w:val="00CC6ACA"/>
    <w:rsid w:val="00CD2F98"/>
    <w:rsid w:val="00CD49C3"/>
    <w:rsid w:val="00CF576A"/>
    <w:rsid w:val="00D06799"/>
    <w:rsid w:val="00D13E43"/>
    <w:rsid w:val="00D33FD2"/>
    <w:rsid w:val="00D43053"/>
    <w:rsid w:val="00D60D82"/>
    <w:rsid w:val="00D73847"/>
    <w:rsid w:val="00D91A0C"/>
    <w:rsid w:val="00DA4BEE"/>
    <w:rsid w:val="00DA713C"/>
    <w:rsid w:val="00DB632D"/>
    <w:rsid w:val="00DC71BC"/>
    <w:rsid w:val="00DD335E"/>
    <w:rsid w:val="00DF30A5"/>
    <w:rsid w:val="00DF3736"/>
    <w:rsid w:val="00E27B52"/>
    <w:rsid w:val="00E3428D"/>
    <w:rsid w:val="00E441E4"/>
    <w:rsid w:val="00E81F2A"/>
    <w:rsid w:val="00ED4D9F"/>
    <w:rsid w:val="00F246E6"/>
    <w:rsid w:val="00F31A8B"/>
    <w:rsid w:val="00F444BA"/>
    <w:rsid w:val="00F53188"/>
    <w:rsid w:val="00F65645"/>
    <w:rsid w:val="00FC3F36"/>
    <w:rsid w:val="00FF3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362DEF-B3E9-4C63-9C4A-602DBDC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8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60D82"/>
    <w:pPr>
      <w:tabs>
        <w:tab w:val="center" w:pos="4252"/>
        <w:tab w:val="right" w:pos="8504"/>
      </w:tabs>
    </w:pPr>
  </w:style>
  <w:style w:type="character" w:customStyle="1" w:styleId="PiedepginaCar">
    <w:name w:val="Pie de página Car"/>
    <w:basedOn w:val="Fuentedeprrafopredeter"/>
    <w:link w:val="Piedepgina"/>
    <w:uiPriority w:val="99"/>
    <w:rsid w:val="00D60D8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60D82"/>
  </w:style>
  <w:style w:type="paragraph" w:styleId="Encabezado">
    <w:name w:val="header"/>
    <w:basedOn w:val="Normal"/>
    <w:link w:val="EncabezadoCar"/>
    <w:uiPriority w:val="99"/>
    <w:unhideWhenUsed/>
    <w:rsid w:val="00D60D82"/>
    <w:pPr>
      <w:tabs>
        <w:tab w:val="center" w:pos="4252"/>
        <w:tab w:val="right" w:pos="8504"/>
      </w:tabs>
    </w:pPr>
  </w:style>
  <w:style w:type="character" w:customStyle="1" w:styleId="EncabezadoCar">
    <w:name w:val="Encabezado Car"/>
    <w:basedOn w:val="Fuentedeprrafopredeter"/>
    <w:link w:val="Encabezado"/>
    <w:uiPriority w:val="99"/>
    <w:rsid w:val="00D60D82"/>
    <w:rPr>
      <w:rFonts w:ascii="Times New Roman" w:eastAsia="Times New Roman" w:hAnsi="Times New Roman" w:cs="Times New Roman"/>
      <w:sz w:val="20"/>
      <w:szCs w:val="20"/>
      <w:lang w:val="es-ES" w:eastAsia="es-ES"/>
    </w:rPr>
  </w:style>
  <w:style w:type="paragraph" w:styleId="Sinespaciado">
    <w:name w:val="No Spacing"/>
    <w:uiPriority w:val="1"/>
    <w:qFormat/>
    <w:rsid w:val="00D60D82"/>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5105B"/>
    <w:pPr>
      <w:ind w:left="720"/>
      <w:contextualSpacing/>
    </w:pPr>
  </w:style>
  <w:style w:type="paragraph" w:styleId="Textoindependiente">
    <w:name w:val="Body Text"/>
    <w:basedOn w:val="Normal"/>
    <w:link w:val="TextoindependienteCar"/>
    <w:rsid w:val="00643726"/>
    <w:pPr>
      <w:jc w:val="both"/>
    </w:pPr>
    <w:rPr>
      <w:rFonts w:ascii="Comic Sans MS" w:hAnsi="Comic Sans MS"/>
      <w:sz w:val="28"/>
    </w:rPr>
  </w:style>
  <w:style w:type="character" w:customStyle="1" w:styleId="TextoindependienteCar">
    <w:name w:val="Texto independiente Car"/>
    <w:basedOn w:val="Fuentedeprrafopredeter"/>
    <w:link w:val="Textoindependiente"/>
    <w:rsid w:val="00643726"/>
    <w:rPr>
      <w:rFonts w:ascii="Comic Sans MS" w:eastAsia="Times New Roman" w:hAnsi="Comic Sans MS" w:cs="Times New Roman"/>
      <w:sz w:val="28"/>
      <w:szCs w:val="20"/>
      <w:lang w:val="es-ES" w:eastAsia="es-ES"/>
    </w:rPr>
  </w:style>
  <w:style w:type="character" w:styleId="Refdenotaalpie">
    <w:name w:val="footnote reference"/>
    <w:basedOn w:val="Fuentedeprrafopredeter"/>
    <w:semiHidden/>
    <w:rsid w:val="006700AA"/>
    <w:rPr>
      <w:vertAlign w:val="superscript"/>
    </w:rPr>
  </w:style>
  <w:style w:type="paragraph" w:styleId="Textonotapie">
    <w:name w:val="footnote text"/>
    <w:basedOn w:val="Normal"/>
    <w:link w:val="TextonotapieCar"/>
    <w:semiHidden/>
    <w:rsid w:val="006700AA"/>
  </w:style>
  <w:style w:type="character" w:customStyle="1" w:styleId="TextonotapieCar">
    <w:name w:val="Texto nota pie Car"/>
    <w:basedOn w:val="Fuentedeprrafopredeter"/>
    <w:link w:val="Textonotapie"/>
    <w:semiHidden/>
    <w:rsid w:val="006700A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867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6795"/>
    <w:rPr>
      <w:rFonts w:ascii="Segoe UI" w:eastAsia="Times New Roman" w:hAnsi="Segoe UI" w:cs="Segoe UI"/>
      <w:sz w:val="18"/>
      <w:szCs w:val="18"/>
      <w:lang w:val="es-ES" w:eastAsia="es-ES"/>
    </w:rPr>
  </w:style>
  <w:style w:type="paragraph" w:customStyle="1" w:styleId="a">
    <w:basedOn w:val="Normal"/>
    <w:next w:val="Puesto"/>
    <w:link w:val="PuestoCar"/>
    <w:qFormat/>
    <w:rsid w:val="002A38E5"/>
    <w:pPr>
      <w:widowControl w:val="0"/>
      <w:autoSpaceDE w:val="0"/>
      <w:autoSpaceDN w:val="0"/>
      <w:adjustRightInd w:val="0"/>
      <w:jc w:val="center"/>
    </w:pPr>
    <w:rPr>
      <w:rFonts w:ascii="Roman 12cpi" w:hAnsi="Roman 12cpi" w:cstheme="minorBidi"/>
      <w:b/>
      <w:bCs/>
      <w:sz w:val="22"/>
      <w:szCs w:val="22"/>
      <w:lang w:val="es-CO" w:eastAsia="en-US"/>
    </w:rPr>
  </w:style>
  <w:style w:type="character" w:customStyle="1" w:styleId="PuestoCar">
    <w:name w:val="Puesto Car"/>
    <w:link w:val="a"/>
    <w:rsid w:val="002A38E5"/>
    <w:rPr>
      <w:rFonts w:ascii="Roman 12cpi" w:eastAsia="Times New Roman" w:hAnsi="Roman 12cpi"/>
      <w:b/>
      <w:bCs/>
    </w:rPr>
  </w:style>
  <w:style w:type="paragraph" w:styleId="Puesto">
    <w:name w:val="Title"/>
    <w:basedOn w:val="Normal"/>
    <w:next w:val="Normal"/>
    <w:link w:val="PuestoCar1"/>
    <w:uiPriority w:val="10"/>
    <w:qFormat/>
    <w:rsid w:val="002A38E5"/>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2A38E5"/>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60D15-F2AA-47C9-A203-687F727F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1401</Words>
  <Characters>7706</Characters>
  <Application>Microsoft Office Word</Application>
  <DocSecurity>0</DocSecurity>
  <Lines>64</Lines>
  <Paragraphs>18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SALA TERCERA DE DECISIÓN LABORAL</vt:lpstr>
    </vt:vector>
  </TitlesOfParts>
  <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2018-02-22T14:15:00Z</cp:lastPrinted>
  <dcterms:created xsi:type="dcterms:W3CDTF">2018-04-12T16:17:00Z</dcterms:created>
  <dcterms:modified xsi:type="dcterms:W3CDTF">2018-05-18T14:39:00Z</dcterms:modified>
</cp:coreProperties>
</file>