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DAA" w:rsidRPr="00D76972" w:rsidRDefault="00293DAA" w:rsidP="00293DAA">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D7697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76972">
        <w:rPr>
          <w:rFonts w:ascii="Arial" w:eastAsia="Calibri" w:hAnsi="Arial" w:cs="Arial"/>
          <w:color w:val="FF0000"/>
          <w:kern w:val="28"/>
          <w:sz w:val="20"/>
          <w:szCs w:val="18"/>
          <w:lang w:val="es-CO" w:eastAsia="fr-FR"/>
        </w:rPr>
        <w:t> </w:t>
      </w:r>
    </w:p>
    <w:p w:rsidR="00293DAA" w:rsidRDefault="00293DAA" w:rsidP="00293DAA">
      <w:pPr>
        <w:spacing w:line="276" w:lineRule="auto"/>
        <w:contextualSpacing/>
        <w:jc w:val="both"/>
        <w:rPr>
          <w:rFonts w:ascii="Arial" w:hAnsi="Arial" w:cs="Arial"/>
          <w:kern w:val="28"/>
          <w:sz w:val="18"/>
          <w:szCs w:val="18"/>
          <w:lang w:val="es-CO" w:eastAsia="fr-FR"/>
        </w:rPr>
      </w:pPr>
    </w:p>
    <w:p w:rsidR="00245B54" w:rsidRPr="00245B54" w:rsidRDefault="00245B54" w:rsidP="00245B54">
      <w:pPr>
        <w:spacing w:line="276" w:lineRule="auto"/>
        <w:contextualSpacing/>
        <w:jc w:val="both"/>
        <w:rPr>
          <w:rFonts w:ascii="Arial" w:hAnsi="Arial" w:cs="Arial"/>
          <w:kern w:val="28"/>
          <w:sz w:val="18"/>
          <w:szCs w:val="18"/>
          <w:lang w:val="es-CO" w:eastAsia="fr-FR"/>
        </w:rPr>
      </w:pPr>
      <w:r w:rsidRPr="00245B54">
        <w:rPr>
          <w:rFonts w:ascii="Arial" w:hAnsi="Arial" w:cs="Arial"/>
          <w:kern w:val="28"/>
          <w:sz w:val="18"/>
          <w:szCs w:val="18"/>
          <w:lang w:val="es-CO" w:eastAsia="fr-FR"/>
        </w:rPr>
        <w:t>Providencia:</w:t>
      </w:r>
      <w:r w:rsidRPr="00245B54">
        <w:rPr>
          <w:rFonts w:ascii="Arial" w:hAnsi="Arial" w:cs="Arial"/>
          <w:kern w:val="28"/>
          <w:sz w:val="18"/>
          <w:szCs w:val="18"/>
          <w:lang w:val="es-CO" w:eastAsia="fr-FR"/>
        </w:rPr>
        <w:tab/>
      </w:r>
      <w:r w:rsidRPr="00245B54">
        <w:rPr>
          <w:rFonts w:ascii="Arial" w:hAnsi="Arial" w:cs="Arial"/>
          <w:kern w:val="28"/>
          <w:sz w:val="18"/>
          <w:szCs w:val="18"/>
          <w:lang w:val="es-CO" w:eastAsia="fr-FR"/>
        </w:rPr>
        <w:tab/>
        <w:t xml:space="preserve">Sentencia de Segunda Instancia, jueves 10 de mayo de 2018. </w:t>
      </w:r>
    </w:p>
    <w:p w:rsidR="00245B54" w:rsidRPr="00245B54" w:rsidRDefault="00245B54" w:rsidP="00245B54">
      <w:pPr>
        <w:spacing w:line="276" w:lineRule="auto"/>
        <w:contextualSpacing/>
        <w:jc w:val="both"/>
        <w:rPr>
          <w:rFonts w:ascii="Arial" w:hAnsi="Arial" w:cs="Arial"/>
          <w:kern w:val="28"/>
          <w:sz w:val="18"/>
          <w:szCs w:val="18"/>
          <w:lang w:val="es-CO" w:eastAsia="fr-FR"/>
        </w:rPr>
      </w:pPr>
      <w:r w:rsidRPr="00245B54">
        <w:rPr>
          <w:rFonts w:ascii="Arial" w:hAnsi="Arial" w:cs="Arial"/>
          <w:kern w:val="28"/>
          <w:sz w:val="18"/>
          <w:szCs w:val="18"/>
          <w:lang w:val="es-CO" w:eastAsia="fr-FR"/>
        </w:rPr>
        <w:t>Radicación No:</w:t>
      </w:r>
      <w:r w:rsidRPr="00245B54">
        <w:rPr>
          <w:rFonts w:ascii="Arial" w:hAnsi="Arial" w:cs="Arial"/>
          <w:kern w:val="28"/>
          <w:sz w:val="18"/>
          <w:szCs w:val="18"/>
          <w:lang w:val="es-CO" w:eastAsia="fr-FR"/>
        </w:rPr>
        <w:tab/>
      </w:r>
      <w:r w:rsidRPr="00245B54">
        <w:rPr>
          <w:rFonts w:ascii="Arial" w:hAnsi="Arial" w:cs="Arial"/>
          <w:kern w:val="28"/>
          <w:sz w:val="18"/>
          <w:szCs w:val="18"/>
          <w:lang w:val="es-CO" w:eastAsia="fr-FR"/>
        </w:rPr>
        <w:tab/>
        <w:t>66001-31-05-001-2016-00622-01</w:t>
      </w:r>
    </w:p>
    <w:p w:rsidR="00245B54" w:rsidRPr="00245B54" w:rsidRDefault="00245B54" w:rsidP="00245B54">
      <w:pPr>
        <w:spacing w:line="276" w:lineRule="auto"/>
        <w:contextualSpacing/>
        <w:jc w:val="both"/>
        <w:rPr>
          <w:rFonts w:ascii="Arial" w:hAnsi="Arial" w:cs="Arial"/>
          <w:kern w:val="28"/>
          <w:sz w:val="18"/>
          <w:szCs w:val="18"/>
          <w:lang w:val="es-CO" w:eastAsia="fr-FR"/>
        </w:rPr>
      </w:pPr>
      <w:r w:rsidRPr="00245B54">
        <w:rPr>
          <w:rFonts w:ascii="Arial" w:hAnsi="Arial" w:cs="Arial"/>
          <w:kern w:val="28"/>
          <w:sz w:val="18"/>
          <w:szCs w:val="18"/>
          <w:lang w:val="es-CO" w:eastAsia="fr-FR"/>
        </w:rPr>
        <w:t>Proceso:</w:t>
      </w:r>
      <w:r w:rsidRPr="00245B54">
        <w:rPr>
          <w:rFonts w:ascii="Arial" w:hAnsi="Arial" w:cs="Arial"/>
          <w:kern w:val="28"/>
          <w:sz w:val="18"/>
          <w:szCs w:val="18"/>
          <w:lang w:val="es-CO" w:eastAsia="fr-FR"/>
        </w:rPr>
        <w:tab/>
      </w:r>
      <w:r w:rsidRPr="00245B54">
        <w:rPr>
          <w:rFonts w:ascii="Arial" w:hAnsi="Arial" w:cs="Arial"/>
          <w:kern w:val="28"/>
          <w:sz w:val="18"/>
          <w:szCs w:val="18"/>
          <w:lang w:val="es-CO" w:eastAsia="fr-FR"/>
        </w:rPr>
        <w:tab/>
        <w:t>Ordinario Laboral</w:t>
      </w:r>
    </w:p>
    <w:p w:rsidR="00245B54" w:rsidRPr="00245B54" w:rsidRDefault="00245B54" w:rsidP="00245B54">
      <w:pPr>
        <w:spacing w:line="276" w:lineRule="auto"/>
        <w:contextualSpacing/>
        <w:jc w:val="both"/>
        <w:rPr>
          <w:rFonts w:ascii="Arial" w:hAnsi="Arial" w:cs="Arial"/>
          <w:kern w:val="28"/>
          <w:sz w:val="18"/>
          <w:szCs w:val="18"/>
          <w:lang w:val="es-CO" w:eastAsia="fr-FR"/>
        </w:rPr>
      </w:pPr>
      <w:r w:rsidRPr="00245B54">
        <w:rPr>
          <w:rFonts w:ascii="Arial" w:hAnsi="Arial" w:cs="Arial"/>
          <w:kern w:val="28"/>
          <w:sz w:val="18"/>
          <w:szCs w:val="18"/>
          <w:lang w:val="es-CO" w:eastAsia="fr-FR"/>
        </w:rPr>
        <w:t xml:space="preserve">Demandante:     </w:t>
      </w:r>
      <w:r w:rsidRPr="00245B54">
        <w:rPr>
          <w:rFonts w:ascii="Arial" w:hAnsi="Arial" w:cs="Arial"/>
          <w:kern w:val="28"/>
          <w:sz w:val="18"/>
          <w:szCs w:val="18"/>
          <w:lang w:val="es-CO" w:eastAsia="fr-FR"/>
        </w:rPr>
        <w:tab/>
      </w:r>
      <w:r w:rsidRPr="00245B54">
        <w:rPr>
          <w:rFonts w:ascii="Arial" w:hAnsi="Arial" w:cs="Arial"/>
          <w:kern w:val="28"/>
          <w:sz w:val="18"/>
          <w:szCs w:val="18"/>
          <w:lang w:val="es-CO" w:eastAsia="fr-FR"/>
        </w:rPr>
        <w:tab/>
        <w:t xml:space="preserve">Edilberto Guevara Salazar    </w:t>
      </w:r>
    </w:p>
    <w:p w:rsidR="00245B54" w:rsidRPr="00245B54" w:rsidRDefault="00245B54" w:rsidP="00245B54">
      <w:pPr>
        <w:spacing w:line="276" w:lineRule="auto"/>
        <w:contextualSpacing/>
        <w:jc w:val="both"/>
        <w:rPr>
          <w:rFonts w:ascii="Arial" w:hAnsi="Arial" w:cs="Arial"/>
          <w:kern w:val="28"/>
          <w:sz w:val="18"/>
          <w:szCs w:val="18"/>
          <w:lang w:val="es-CO" w:eastAsia="fr-FR"/>
        </w:rPr>
      </w:pPr>
      <w:r w:rsidRPr="00245B54">
        <w:rPr>
          <w:rFonts w:ascii="Arial" w:hAnsi="Arial" w:cs="Arial"/>
          <w:kern w:val="28"/>
          <w:sz w:val="18"/>
          <w:szCs w:val="18"/>
          <w:lang w:val="es-CO" w:eastAsia="fr-FR"/>
        </w:rPr>
        <w:t>Demandado:</w:t>
      </w:r>
      <w:r w:rsidRPr="00245B54">
        <w:rPr>
          <w:rFonts w:ascii="Arial" w:hAnsi="Arial" w:cs="Arial"/>
          <w:kern w:val="28"/>
          <w:sz w:val="18"/>
          <w:szCs w:val="18"/>
          <w:lang w:val="es-CO" w:eastAsia="fr-FR"/>
        </w:rPr>
        <w:tab/>
      </w:r>
      <w:r w:rsidRPr="00245B54">
        <w:rPr>
          <w:rFonts w:ascii="Arial" w:hAnsi="Arial" w:cs="Arial"/>
          <w:kern w:val="28"/>
          <w:sz w:val="18"/>
          <w:szCs w:val="18"/>
          <w:lang w:val="es-CO" w:eastAsia="fr-FR"/>
        </w:rPr>
        <w:tab/>
        <w:t>Colpensiones</w:t>
      </w:r>
    </w:p>
    <w:p w:rsidR="00245B54" w:rsidRPr="00245B54" w:rsidRDefault="00245B54" w:rsidP="00245B54">
      <w:pPr>
        <w:spacing w:line="276" w:lineRule="auto"/>
        <w:contextualSpacing/>
        <w:jc w:val="both"/>
        <w:rPr>
          <w:rFonts w:ascii="Arial" w:hAnsi="Arial" w:cs="Arial"/>
          <w:kern w:val="28"/>
          <w:sz w:val="18"/>
          <w:szCs w:val="18"/>
          <w:lang w:val="es-CO" w:eastAsia="fr-FR"/>
        </w:rPr>
      </w:pPr>
      <w:r w:rsidRPr="00245B54">
        <w:rPr>
          <w:rFonts w:ascii="Arial" w:hAnsi="Arial" w:cs="Arial"/>
          <w:kern w:val="28"/>
          <w:sz w:val="18"/>
          <w:szCs w:val="18"/>
          <w:lang w:val="es-CO" w:eastAsia="fr-FR"/>
        </w:rPr>
        <w:t xml:space="preserve">Juzgado de origen:   </w:t>
      </w:r>
      <w:r w:rsidRPr="00245B54">
        <w:rPr>
          <w:rFonts w:ascii="Arial" w:hAnsi="Arial" w:cs="Arial"/>
          <w:kern w:val="28"/>
          <w:sz w:val="18"/>
          <w:szCs w:val="18"/>
          <w:lang w:val="es-CO" w:eastAsia="fr-FR"/>
        </w:rPr>
        <w:tab/>
        <w:t>Primero Laboral del Circuito de Pereira.</w:t>
      </w:r>
    </w:p>
    <w:p w:rsidR="00293DAA" w:rsidRPr="00D76972" w:rsidRDefault="00245B54" w:rsidP="00245B54">
      <w:pPr>
        <w:spacing w:line="276" w:lineRule="auto"/>
        <w:contextualSpacing/>
        <w:jc w:val="both"/>
        <w:rPr>
          <w:rFonts w:ascii="Arial" w:hAnsi="Arial" w:cs="Arial"/>
          <w:kern w:val="28"/>
          <w:sz w:val="18"/>
          <w:szCs w:val="18"/>
          <w:lang w:val="es-CO" w:eastAsia="fr-FR"/>
        </w:rPr>
      </w:pPr>
      <w:r w:rsidRPr="00245B54">
        <w:rPr>
          <w:rFonts w:ascii="Arial" w:hAnsi="Arial" w:cs="Arial"/>
          <w:kern w:val="28"/>
          <w:sz w:val="18"/>
          <w:szCs w:val="18"/>
          <w:lang w:val="es-CO" w:eastAsia="fr-FR"/>
        </w:rPr>
        <w:t xml:space="preserve">Magistrado Ponente:     </w:t>
      </w:r>
      <w:r w:rsidRPr="00245B54">
        <w:rPr>
          <w:rFonts w:ascii="Arial" w:hAnsi="Arial" w:cs="Arial"/>
          <w:kern w:val="28"/>
          <w:sz w:val="18"/>
          <w:szCs w:val="18"/>
          <w:lang w:val="es-CO" w:eastAsia="fr-FR"/>
        </w:rPr>
        <w:tab/>
        <w:t>Francisco Javier Tamayo Tabare</w:t>
      </w:r>
      <w:r>
        <w:rPr>
          <w:rFonts w:ascii="Arial" w:hAnsi="Arial" w:cs="Arial"/>
          <w:kern w:val="28"/>
          <w:sz w:val="18"/>
          <w:szCs w:val="18"/>
          <w:lang w:val="es-CO" w:eastAsia="fr-FR"/>
        </w:rPr>
        <w:t>s</w:t>
      </w:r>
      <w:r w:rsidR="00293DAA" w:rsidRPr="00D76972">
        <w:rPr>
          <w:rFonts w:ascii="Arial" w:hAnsi="Arial" w:cs="Arial"/>
          <w:kern w:val="28"/>
          <w:sz w:val="18"/>
          <w:szCs w:val="18"/>
          <w:lang w:val="es-CO" w:eastAsia="fr-FR"/>
        </w:rPr>
        <w:t>.</w:t>
      </w:r>
    </w:p>
    <w:p w:rsidR="00293DAA" w:rsidRDefault="00293DAA" w:rsidP="00293DAA">
      <w:pPr>
        <w:spacing w:line="276" w:lineRule="auto"/>
        <w:contextualSpacing/>
        <w:jc w:val="both"/>
        <w:rPr>
          <w:rFonts w:ascii="Arial" w:hAnsi="Arial" w:cs="Arial"/>
          <w:b/>
          <w:bCs/>
          <w:sz w:val="18"/>
          <w:szCs w:val="18"/>
        </w:rPr>
      </w:pPr>
    </w:p>
    <w:p w:rsidR="00293DAA" w:rsidRPr="00D76972" w:rsidRDefault="00293DAA" w:rsidP="00293DAA">
      <w:pPr>
        <w:spacing w:line="276" w:lineRule="auto"/>
        <w:contextualSpacing/>
        <w:jc w:val="both"/>
        <w:rPr>
          <w:rFonts w:ascii="Arial" w:hAnsi="Arial" w:cs="Arial"/>
          <w:b/>
          <w:bCs/>
          <w:sz w:val="18"/>
          <w:szCs w:val="18"/>
        </w:rPr>
      </w:pPr>
    </w:p>
    <w:p w:rsidR="00293DAA" w:rsidRDefault="00293DAA" w:rsidP="00293DAA">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PENSIÓN DE VEJEZ /</w:t>
      </w:r>
      <w:r w:rsidRPr="00D76972">
        <w:rPr>
          <w:rFonts w:ascii="Arial" w:hAnsi="Arial" w:cs="Arial"/>
          <w:b/>
          <w:sz w:val="18"/>
          <w:szCs w:val="18"/>
          <w:lang w:val="es-CO" w:eastAsia="fr-FR"/>
        </w:rPr>
        <w:t xml:space="preserve"> </w:t>
      </w:r>
      <w:r w:rsidR="00F55305">
        <w:rPr>
          <w:rFonts w:ascii="Arial" w:hAnsi="Arial" w:cs="Arial"/>
          <w:b/>
          <w:sz w:val="18"/>
          <w:szCs w:val="18"/>
          <w:lang w:val="es-CO" w:eastAsia="fr-FR"/>
        </w:rPr>
        <w:t>RÉGIMEN DE TRANSICIÓN</w:t>
      </w:r>
      <w:r>
        <w:rPr>
          <w:rFonts w:ascii="Arial" w:hAnsi="Arial" w:cs="Arial"/>
          <w:b/>
          <w:sz w:val="18"/>
          <w:szCs w:val="18"/>
          <w:lang w:val="es-CO" w:eastAsia="fr-FR"/>
        </w:rPr>
        <w:t xml:space="preserve"> /</w:t>
      </w:r>
      <w:r w:rsidR="00F55305">
        <w:rPr>
          <w:rFonts w:ascii="Arial" w:hAnsi="Arial" w:cs="Arial"/>
          <w:b/>
          <w:sz w:val="18"/>
          <w:szCs w:val="18"/>
          <w:lang w:val="es-CO" w:eastAsia="fr-FR"/>
        </w:rPr>
        <w:t xml:space="preserve"> </w:t>
      </w:r>
      <w:r w:rsidR="00245B54">
        <w:rPr>
          <w:rFonts w:ascii="Arial" w:hAnsi="Arial" w:cs="Arial"/>
          <w:b/>
          <w:sz w:val="18"/>
          <w:szCs w:val="18"/>
          <w:lang w:val="es-CO" w:eastAsia="fr-FR"/>
        </w:rPr>
        <w:t>DENSIDAD DE SEMANAS / NO ACREDITADAS PARA MANTENER RÉGIMEN ANTERIOR / CONFIRMA / NIEGA</w:t>
      </w:r>
    </w:p>
    <w:p w:rsidR="00293DAA" w:rsidRDefault="00293DAA" w:rsidP="00293DAA">
      <w:pPr>
        <w:jc w:val="both"/>
        <w:rPr>
          <w:rFonts w:ascii="Arial" w:hAnsi="Arial" w:cs="Arial"/>
          <w:b/>
          <w:sz w:val="18"/>
          <w:szCs w:val="18"/>
          <w:lang w:val="es-CO" w:eastAsia="fr-FR"/>
        </w:rPr>
      </w:pPr>
    </w:p>
    <w:p w:rsidR="00245B54" w:rsidRPr="00245B54" w:rsidRDefault="00245B54" w:rsidP="00245B54">
      <w:pPr>
        <w:jc w:val="both"/>
        <w:rPr>
          <w:rFonts w:ascii="Arial" w:hAnsi="Arial" w:cs="Arial"/>
          <w:sz w:val="18"/>
          <w:szCs w:val="18"/>
          <w:lang w:val="es-CO" w:eastAsia="fr-FR"/>
        </w:rPr>
      </w:pPr>
      <w:r w:rsidRPr="00245B54">
        <w:rPr>
          <w:rFonts w:ascii="Arial" w:hAnsi="Arial" w:cs="Arial"/>
          <w:sz w:val="18"/>
          <w:szCs w:val="18"/>
          <w:lang w:val="es-CO" w:eastAsia="fr-FR"/>
        </w:rPr>
        <w:t xml:space="preserve">En efecto, al verificar si al 31 de julio de 2010 el actor colmaba el requisito de las 500 semanas durante los 20 años anteriores al cumplimiento de la edad mínima, o 1000 en cualquier tiempo, acorde con el Decreto 758 de 1990, se tiene que el total de cotizaciones apenas asciende a 818.14 semanas, de las cuales sólo 170.85 lo fueron en los 20 años anteriores al cumplimiento de la edad mínima, esto es, entre el 22 de mayo de 2004 y ese mismo día y mes de 1984. </w:t>
      </w:r>
    </w:p>
    <w:p w:rsidR="00245B54" w:rsidRPr="00245B54" w:rsidRDefault="00245B54" w:rsidP="00245B54">
      <w:pPr>
        <w:jc w:val="both"/>
        <w:rPr>
          <w:rFonts w:ascii="Arial" w:hAnsi="Arial" w:cs="Arial"/>
          <w:sz w:val="18"/>
          <w:szCs w:val="18"/>
          <w:lang w:val="es-CO" w:eastAsia="fr-FR"/>
        </w:rPr>
      </w:pPr>
    </w:p>
    <w:p w:rsidR="00245B54" w:rsidRPr="00245B54" w:rsidRDefault="00245B54" w:rsidP="00245B54">
      <w:pPr>
        <w:jc w:val="both"/>
        <w:rPr>
          <w:rFonts w:ascii="Arial" w:hAnsi="Arial" w:cs="Arial"/>
          <w:sz w:val="18"/>
          <w:szCs w:val="18"/>
          <w:lang w:val="es-CO" w:eastAsia="fr-FR"/>
        </w:rPr>
      </w:pPr>
      <w:r w:rsidRPr="00245B54">
        <w:rPr>
          <w:rFonts w:ascii="Arial" w:hAnsi="Arial" w:cs="Arial"/>
          <w:sz w:val="18"/>
          <w:szCs w:val="18"/>
          <w:lang w:val="es-CO" w:eastAsia="fr-FR"/>
        </w:rPr>
        <w:t xml:space="preserve">Por ende, era menester que el demandante aglutinara a la fecha de expedición del Acto Legislativo 01/05, es decir, al 29 de julio de 2005, al menos 750 semanas o su equivalente en servicios, en orden a que los beneficios del régimen de transición le fueran extendidos hasta el 31 de diciembre de 2014. Verificado tal presupuesto, encuentra la Sala que el actor únicamente reportaba a esa calenda un total de 576.76 semanas, por lo que se concluye que perdió el derecho al régimen de transición del artículo 36 de la Ley 100 de 1993, </w:t>
      </w:r>
      <w:proofErr w:type="gramStart"/>
      <w:r w:rsidRPr="00245B54">
        <w:rPr>
          <w:rFonts w:ascii="Arial" w:hAnsi="Arial" w:cs="Arial"/>
          <w:sz w:val="18"/>
          <w:szCs w:val="18"/>
          <w:lang w:val="es-CO" w:eastAsia="fr-FR"/>
        </w:rPr>
        <w:t>y</w:t>
      </w:r>
      <w:proofErr w:type="gramEnd"/>
      <w:r w:rsidRPr="00245B54">
        <w:rPr>
          <w:rFonts w:ascii="Arial" w:hAnsi="Arial" w:cs="Arial"/>
          <w:sz w:val="18"/>
          <w:szCs w:val="18"/>
          <w:lang w:val="es-CO" w:eastAsia="fr-FR"/>
        </w:rPr>
        <w:t xml:space="preserve"> en consecuencia, no podía pretender su pensión de vejez al amparo del Acuerdo 049 de 1990, tal cual lo concluyó la a-quo. </w:t>
      </w:r>
    </w:p>
    <w:p w:rsidR="00245B54" w:rsidRPr="00245B54" w:rsidRDefault="00245B54" w:rsidP="00245B54">
      <w:pPr>
        <w:jc w:val="both"/>
        <w:rPr>
          <w:rFonts w:ascii="Arial" w:hAnsi="Arial" w:cs="Arial"/>
          <w:sz w:val="18"/>
          <w:szCs w:val="18"/>
          <w:lang w:val="es-CO" w:eastAsia="fr-FR"/>
        </w:rPr>
      </w:pPr>
    </w:p>
    <w:p w:rsidR="00293DAA" w:rsidRPr="000769A0" w:rsidRDefault="00245B54" w:rsidP="00245B54">
      <w:pPr>
        <w:jc w:val="both"/>
        <w:rPr>
          <w:rFonts w:ascii="Arial" w:hAnsi="Arial" w:cs="Arial"/>
          <w:sz w:val="18"/>
          <w:szCs w:val="18"/>
          <w:lang w:val="es-CO" w:eastAsia="fr-FR"/>
        </w:rPr>
      </w:pPr>
      <w:r w:rsidRPr="00245B54">
        <w:rPr>
          <w:rFonts w:ascii="Arial" w:hAnsi="Arial" w:cs="Arial"/>
          <w:sz w:val="18"/>
          <w:szCs w:val="18"/>
          <w:lang w:val="es-CO" w:eastAsia="fr-FR"/>
        </w:rPr>
        <w:t xml:space="preserve">Y es que vale decir, que el cumplir con alguno de los requisitos consagrados en el artículo 36 de la Ley 100 de 1993 para acceder al régimen de transición, no implica el mantenimiento pétreo e indefinido de tales condiciones, como lo parece entender la apelante, sino que le garantizaba que, en un espacio temporal que se concretó con el Acto Legislativo 01 de 2005, se le respetaran y mantuvieran las condiciones pensionales del régimen anterior que tuviere, pero siempre con la carga de cumplir con las exigencias legales en un lapso determinado. </w:t>
      </w:r>
      <w:r w:rsidR="00293DAA" w:rsidRPr="000769A0">
        <w:rPr>
          <w:rFonts w:ascii="Arial" w:hAnsi="Arial" w:cs="Arial"/>
          <w:sz w:val="18"/>
          <w:szCs w:val="18"/>
          <w:lang w:val="es-CO" w:eastAsia="fr-FR"/>
        </w:rPr>
        <w:t xml:space="preserve"> </w:t>
      </w:r>
    </w:p>
    <w:p w:rsidR="00293DAA" w:rsidRDefault="00293DAA" w:rsidP="009805B8">
      <w:pPr>
        <w:spacing w:line="360" w:lineRule="auto"/>
        <w:jc w:val="both"/>
        <w:rPr>
          <w:rFonts w:ascii="Arial Narrow" w:hAnsi="Arial Narrow" w:cs="Arial"/>
          <w:bCs/>
          <w:i/>
          <w:iCs/>
          <w:sz w:val="32"/>
          <w:szCs w:val="32"/>
          <w:u w:val="single"/>
        </w:rPr>
      </w:pPr>
    </w:p>
    <w:p w:rsidR="00B6762F" w:rsidRDefault="00B6762F" w:rsidP="00B6762F">
      <w:pPr>
        <w:ind w:left="2127" w:hanging="2127"/>
        <w:jc w:val="both"/>
        <w:rPr>
          <w:rFonts w:ascii="Arial Narrow" w:hAnsi="Arial Narrow" w:cs="Arial"/>
          <w:sz w:val="28"/>
          <w:szCs w:val="28"/>
          <w:u w:val="single"/>
        </w:rPr>
      </w:pPr>
    </w:p>
    <w:p w:rsidR="00890E53" w:rsidRDefault="00890E53" w:rsidP="00B6762F">
      <w:pPr>
        <w:ind w:left="2127" w:hanging="2127"/>
        <w:jc w:val="both"/>
        <w:rPr>
          <w:rFonts w:ascii="Arial Narrow" w:hAnsi="Arial Narrow" w:cs="Arial"/>
          <w:sz w:val="28"/>
          <w:szCs w:val="28"/>
          <w:u w:val="single"/>
        </w:rPr>
      </w:pPr>
    </w:p>
    <w:p w:rsidR="00890E53" w:rsidRDefault="00890E53" w:rsidP="00B6762F">
      <w:pPr>
        <w:ind w:left="2127" w:hanging="2127"/>
        <w:jc w:val="both"/>
        <w:rPr>
          <w:rFonts w:ascii="Arial Narrow" w:hAnsi="Arial Narrow" w:cs="Arial"/>
          <w:sz w:val="28"/>
          <w:szCs w:val="28"/>
          <w:u w:val="single"/>
        </w:rPr>
      </w:pPr>
      <w:bookmarkStart w:id="0" w:name="_GoBack"/>
      <w:bookmarkEnd w:id="0"/>
    </w:p>
    <w:p w:rsidR="009805B8" w:rsidRPr="00AE68C8" w:rsidRDefault="009805B8" w:rsidP="00B6762F">
      <w:pPr>
        <w:ind w:left="2127" w:hanging="1419"/>
        <w:jc w:val="both"/>
        <w:rPr>
          <w:rFonts w:ascii="Arial Narrow" w:hAnsi="Arial Narrow" w:cs="Arial"/>
          <w:sz w:val="28"/>
          <w:szCs w:val="28"/>
        </w:rPr>
      </w:pPr>
      <w:r w:rsidRPr="00AE68C8">
        <w:rPr>
          <w:rFonts w:ascii="Arial Narrow" w:hAnsi="Arial Narrow" w:cs="Arial"/>
          <w:sz w:val="28"/>
          <w:szCs w:val="28"/>
          <w:u w:val="single"/>
        </w:rPr>
        <w:t>AUDIENCIA PÚBLICA</w:t>
      </w:r>
      <w:r w:rsidRPr="00AE68C8">
        <w:rPr>
          <w:rFonts w:ascii="Arial Narrow" w:hAnsi="Arial Narrow" w:cs="Arial"/>
          <w:sz w:val="28"/>
          <w:szCs w:val="28"/>
        </w:rPr>
        <w:t>:</w:t>
      </w:r>
    </w:p>
    <w:p w:rsidR="00B6762F" w:rsidRDefault="00B6762F" w:rsidP="00B6762F">
      <w:pPr>
        <w:pStyle w:val="Sinespaciado"/>
        <w:spacing w:line="360" w:lineRule="auto"/>
        <w:rPr>
          <w:lang w:val="es-CO"/>
        </w:rPr>
      </w:pPr>
    </w:p>
    <w:p w:rsidR="009805B8" w:rsidRPr="00685EF6" w:rsidRDefault="009805B8" w:rsidP="00B6762F">
      <w:pPr>
        <w:spacing w:line="360" w:lineRule="auto"/>
        <w:ind w:firstLine="708"/>
        <w:jc w:val="both"/>
        <w:rPr>
          <w:rFonts w:ascii="Arial Narrow" w:hAnsi="Arial Narrow" w:cs="Arial"/>
          <w:color w:val="FF0000"/>
          <w:sz w:val="28"/>
          <w:szCs w:val="28"/>
        </w:rPr>
      </w:pPr>
      <w:r>
        <w:rPr>
          <w:rFonts w:ascii="Arial Narrow" w:eastAsia="Calibri" w:hAnsi="Arial Narrow" w:cs="Arial"/>
          <w:sz w:val="28"/>
          <w:szCs w:val="28"/>
          <w:lang w:val="es-CO" w:eastAsia="en-US"/>
        </w:rPr>
        <w:t xml:space="preserve">En Pereira, a los </w:t>
      </w:r>
      <w:r w:rsidR="00AD039A">
        <w:rPr>
          <w:rFonts w:ascii="Arial Narrow" w:eastAsia="Calibri" w:hAnsi="Arial Narrow" w:cs="Arial"/>
          <w:sz w:val="28"/>
          <w:szCs w:val="28"/>
          <w:lang w:val="es-CO" w:eastAsia="en-US"/>
        </w:rPr>
        <w:t xml:space="preserve">diez </w:t>
      </w:r>
      <w:r>
        <w:rPr>
          <w:rFonts w:ascii="Arial Narrow" w:eastAsia="Calibri" w:hAnsi="Arial Narrow" w:cs="Arial"/>
          <w:sz w:val="28"/>
          <w:szCs w:val="28"/>
          <w:lang w:val="es-CO" w:eastAsia="en-US"/>
        </w:rPr>
        <w:t>(1</w:t>
      </w:r>
      <w:r w:rsidR="00AD039A">
        <w:rPr>
          <w:rFonts w:ascii="Arial Narrow" w:eastAsia="Calibri" w:hAnsi="Arial Narrow" w:cs="Arial"/>
          <w:sz w:val="28"/>
          <w:szCs w:val="28"/>
          <w:lang w:val="es-CO" w:eastAsia="en-US"/>
        </w:rPr>
        <w:t>0</w:t>
      </w:r>
      <w:r>
        <w:rPr>
          <w:rFonts w:ascii="Arial Narrow" w:eastAsia="Calibri" w:hAnsi="Arial Narrow" w:cs="Arial"/>
          <w:sz w:val="28"/>
          <w:szCs w:val="28"/>
          <w:lang w:val="es-CO" w:eastAsia="en-US"/>
        </w:rPr>
        <w:t xml:space="preserve">) </w:t>
      </w:r>
      <w:r w:rsidRPr="008105C9">
        <w:rPr>
          <w:rFonts w:ascii="Arial Narrow" w:eastAsia="Calibri" w:hAnsi="Arial Narrow" w:cs="Arial"/>
          <w:sz w:val="28"/>
          <w:szCs w:val="28"/>
          <w:lang w:val="es-CO" w:eastAsia="en-US"/>
        </w:rPr>
        <w:t xml:space="preserve">días del mes de </w:t>
      </w:r>
      <w:r w:rsidR="00AD039A">
        <w:rPr>
          <w:rFonts w:ascii="Arial Narrow" w:eastAsia="Calibri" w:hAnsi="Arial Narrow" w:cs="Arial"/>
          <w:sz w:val="28"/>
          <w:szCs w:val="28"/>
          <w:lang w:val="es-CO" w:eastAsia="en-US"/>
        </w:rPr>
        <w:t xml:space="preserve">mayo </w:t>
      </w:r>
      <w:r>
        <w:rPr>
          <w:rFonts w:ascii="Arial Narrow" w:eastAsia="Calibri" w:hAnsi="Arial Narrow" w:cs="Arial"/>
          <w:sz w:val="28"/>
          <w:szCs w:val="28"/>
          <w:lang w:val="es-CO" w:eastAsia="en-US"/>
        </w:rPr>
        <w:t>de dos mil dieciocho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8105C9">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diez y treinta de </w:t>
      </w:r>
      <w:r w:rsidRPr="008105C9">
        <w:rPr>
          <w:rFonts w:ascii="Arial Narrow" w:eastAsia="Calibri" w:hAnsi="Arial Narrow" w:cs="Arial"/>
          <w:sz w:val="28"/>
          <w:szCs w:val="28"/>
          <w:lang w:val="es-CO" w:eastAsia="en-US"/>
        </w:rPr>
        <w:t>la mañana (</w:t>
      </w:r>
      <w:r>
        <w:rPr>
          <w:rFonts w:ascii="Arial Narrow" w:eastAsia="Calibri" w:hAnsi="Arial Narrow" w:cs="Arial"/>
          <w:sz w:val="28"/>
          <w:szCs w:val="28"/>
          <w:lang w:val="es-CO" w:eastAsia="en-US"/>
        </w:rPr>
        <w:t>10:30 a.m.</w:t>
      </w:r>
      <w:r w:rsidRPr="008105C9">
        <w:rPr>
          <w:rFonts w:ascii="Arial Narrow" w:eastAsia="Calibri" w:hAnsi="Arial Narrow" w:cs="Arial"/>
          <w:sz w:val="28"/>
          <w:szCs w:val="28"/>
          <w:lang w:val="es-CO" w:eastAsia="en-US"/>
        </w:rPr>
        <w:t xml:space="preserve">),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Cuarta </w:t>
      </w:r>
      <w:r w:rsidRPr="008105C9">
        <w:rPr>
          <w:rFonts w:ascii="Arial Narrow" w:hAnsi="Arial Narrow" w:cs="Tahoma"/>
          <w:bCs/>
          <w:color w:val="000000"/>
          <w:sz w:val="28"/>
          <w:szCs w:val="28"/>
          <w:lang w:eastAsia="es-CO"/>
        </w:rPr>
        <w:t xml:space="preserve">Laboral del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interpuesto por el vocero judicial de la demandante contra la </w:t>
      </w:r>
      <w:r w:rsidRPr="008105C9">
        <w:rPr>
          <w:rFonts w:ascii="Arial Narrow" w:hAnsi="Arial Narrow" w:cs="Arial"/>
          <w:sz w:val="28"/>
          <w:szCs w:val="28"/>
        </w:rPr>
        <w:t>sentencia proferida el</w:t>
      </w:r>
      <w:r w:rsidR="00AD039A">
        <w:rPr>
          <w:rFonts w:ascii="Arial Narrow" w:hAnsi="Arial Narrow" w:cs="Arial"/>
          <w:sz w:val="28"/>
          <w:szCs w:val="28"/>
        </w:rPr>
        <w:t xml:space="preserve"> 14 de junio </w:t>
      </w:r>
      <w:r>
        <w:rPr>
          <w:rFonts w:ascii="Arial Narrow" w:hAnsi="Arial Narrow" w:cs="Arial"/>
          <w:sz w:val="28"/>
          <w:szCs w:val="28"/>
        </w:rPr>
        <w:t xml:space="preserve">de 2017 </w:t>
      </w:r>
      <w:r w:rsidRPr="008105C9">
        <w:rPr>
          <w:rFonts w:ascii="Arial Narrow" w:hAnsi="Arial Narrow" w:cs="Arial"/>
          <w:sz w:val="28"/>
          <w:szCs w:val="28"/>
        </w:rPr>
        <w:t xml:space="preserve">por el Juzgado </w:t>
      </w:r>
      <w:r w:rsidR="00AD039A">
        <w:rPr>
          <w:rFonts w:ascii="Arial Narrow" w:hAnsi="Arial Narrow" w:cs="Arial"/>
          <w:sz w:val="28"/>
          <w:szCs w:val="28"/>
        </w:rPr>
        <w:t xml:space="preserve">Primero </w:t>
      </w:r>
      <w:r>
        <w:rPr>
          <w:rFonts w:ascii="Arial Narrow" w:hAnsi="Arial Narrow" w:cs="Arial"/>
          <w:sz w:val="28"/>
          <w:szCs w:val="28"/>
        </w:rPr>
        <w:t xml:space="preserve">Laboral </w:t>
      </w:r>
      <w:r w:rsidRPr="008105C9">
        <w:rPr>
          <w:rFonts w:ascii="Arial Narrow" w:hAnsi="Arial Narrow" w:cs="Arial"/>
          <w:sz w:val="28"/>
          <w:szCs w:val="28"/>
        </w:rPr>
        <w:t xml:space="preserve">del Circuito de Pereira, dentro del proceso ordinario laboral promovido por </w:t>
      </w:r>
      <w:r w:rsidR="00AD039A">
        <w:rPr>
          <w:rFonts w:ascii="Arial Narrow" w:hAnsi="Arial Narrow" w:cs="Arial"/>
          <w:i/>
          <w:iCs/>
          <w:sz w:val="28"/>
          <w:szCs w:val="28"/>
        </w:rPr>
        <w:t xml:space="preserve">Edilberto Guevara Salazar </w:t>
      </w:r>
      <w:r w:rsidRPr="00F51071">
        <w:rPr>
          <w:rFonts w:ascii="Arial Narrow" w:hAnsi="Arial Narrow" w:cs="Arial"/>
          <w:sz w:val="28"/>
          <w:szCs w:val="28"/>
        </w:rPr>
        <w:t xml:space="preserve">contra la </w:t>
      </w:r>
      <w:r w:rsidRPr="00F51071">
        <w:rPr>
          <w:rFonts w:ascii="Arial Narrow" w:hAnsi="Arial Narrow" w:cs="Arial"/>
          <w:i/>
          <w:sz w:val="28"/>
          <w:szCs w:val="28"/>
        </w:rPr>
        <w:t>Administradora Colomb</w:t>
      </w:r>
      <w:r>
        <w:rPr>
          <w:rFonts w:ascii="Arial Narrow" w:hAnsi="Arial Narrow" w:cs="Arial"/>
          <w:i/>
          <w:sz w:val="28"/>
          <w:szCs w:val="28"/>
        </w:rPr>
        <w:t>iana de Pensiones Colpensiones.</w:t>
      </w:r>
    </w:p>
    <w:p w:rsidR="005F4D6D" w:rsidRPr="004269FB" w:rsidRDefault="005F4D6D" w:rsidP="004269FB">
      <w:pPr>
        <w:pStyle w:val="Sinespaciado"/>
      </w:pPr>
    </w:p>
    <w:p w:rsidR="005F4D6D" w:rsidRPr="005F4D6D" w:rsidRDefault="005F4D6D" w:rsidP="005F4D6D">
      <w:pPr>
        <w:pStyle w:val="Prrafodelista"/>
        <w:numPr>
          <w:ilvl w:val="0"/>
          <w:numId w:val="6"/>
        </w:numPr>
        <w:spacing w:line="360" w:lineRule="auto"/>
        <w:rPr>
          <w:rFonts w:ascii="Arial Narrow" w:hAnsi="Arial Narrow" w:cs="Tahoma"/>
          <w:i/>
          <w:sz w:val="28"/>
          <w:szCs w:val="28"/>
        </w:rPr>
      </w:pPr>
      <w:r w:rsidRPr="005F4D6D">
        <w:rPr>
          <w:rFonts w:ascii="Arial Narrow" w:hAnsi="Arial Narrow" w:cs="Tahoma"/>
          <w:i/>
          <w:sz w:val="28"/>
          <w:szCs w:val="28"/>
        </w:rPr>
        <w:t xml:space="preserve">ANTECEDENTES </w:t>
      </w:r>
    </w:p>
    <w:p w:rsidR="009805B8" w:rsidRPr="005F4D6D" w:rsidRDefault="009805B8" w:rsidP="005F4D6D">
      <w:pPr>
        <w:pStyle w:val="Sinespaciado"/>
      </w:pPr>
    </w:p>
    <w:p w:rsidR="009805B8" w:rsidRDefault="00AD039A" w:rsidP="009805B8">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El </w:t>
      </w:r>
      <w:r w:rsidR="009805B8">
        <w:rPr>
          <w:rFonts w:ascii="Arial Narrow" w:hAnsi="Arial Narrow" w:cs="Tahoma"/>
          <w:sz w:val="28"/>
          <w:szCs w:val="28"/>
        </w:rPr>
        <w:t xml:space="preserve">demandante pretende que se declare que tiene derecho a la pensión de vejez, y en consecuencia, se condene a la entidad demandada a reconocer y pagar dicha prestación a partir del </w:t>
      </w:r>
      <w:r w:rsidR="00CB58A7">
        <w:rPr>
          <w:rFonts w:ascii="Arial Narrow" w:hAnsi="Arial Narrow" w:cs="Tahoma"/>
          <w:sz w:val="28"/>
          <w:szCs w:val="28"/>
        </w:rPr>
        <w:t>1 de septiembre de 2015</w:t>
      </w:r>
      <w:r w:rsidR="009805B8">
        <w:rPr>
          <w:rFonts w:ascii="Arial Narrow" w:hAnsi="Arial Narrow" w:cs="Tahoma"/>
          <w:sz w:val="28"/>
          <w:szCs w:val="28"/>
        </w:rPr>
        <w:t xml:space="preserve">, </w:t>
      </w:r>
      <w:r w:rsidR="00CB58A7">
        <w:rPr>
          <w:rFonts w:ascii="Arial Narrow" w:hAnsi="Arial Narrow" w:cs="Tahoma"/>
          <w:sz w:val="28"/>
          <w:szCs w:val="28"/>
        </w:rPr>
        <w:t>más</w:t>
      </w:r>
      <w:r w:rsidR="009805B8">
        <w:rPr>
          <w:rFonts w:ascii="Arial Narrow" w:hAnsi="Arial Narrow" w:cs="Tahoma"/>
          <w:sz w:val="28"/>
          <w:szCs w:val="28"/>
        </w:rPr>
        <w:t xml:space="preserve"> el retroactivo</w:t>
      </w:r>
      <w:r w:rsidR="00CB58A7">
        <w:rPr>
          <w:rFonts w:ascii="Arial Narrow" w:hAnsi="Arial Narrow" w:cs="Tahoma"/>
          <w:sz w:val="28"/>
          <w:szCs w:val="28"/>
        </w:rPr>
        <w:t xml:space="preserve"> pensional con las respectivas mesadas adicionales</w:t>
      </w:r>
      <w:r w:rsidR="009805B8">
        <w:rPr>
          <w:rFonts w:ascii="Arial Narrow" w:hAnsi="Arial Narrow" w:cs="Tahoma"/>
          <w:sz w:val="28"/>
          <w:szCs w:val="28"/>
        </w:rPr>
        <w:t xml:space="preserve">, los intereses moratorios contenidos en el canon 141 de la Ley 100/93, </w:t>
      </w:r>
      <w:r w:rsidR="00CB58A7">
        <w:rPr>
          <w:rFonts w:ascii="Arial Narrow" w:hAnsi="Arial Narrow" w:cs="Tahoma"/>
          <w:sz w:val="28"/>
          <w:szCs w:val="28"/>
        </w:rPr>
        <w:t>y</w:t>
      </w:r>
      <w:r w:rsidR="009805B8">
        <w:rPr>
          <w:rFonts w:ascii="Arial Narrow" w:hAnsi="Arial Narrow" w:cs="Tahoma"/>
          <w:sz w:val="28"/>
          <w:szCs w:val="28"/>
        </w:rPr>
        <w:t xml:space="preserve"> las costas del proceso. </w:t>
      </w:r>
    </w:p>
    <w:p w:rsidR="009805B8" w:rsidRPr="00FC7F0B" w:rsidRDefault="005F4D6D" w:rsidP="005F4D6D">
      <w:pPr>
        <w:pStyle w:val="Sinespaciado"/>
        <w:tabs>
          <w:tab w:val="left" w:pos="2565"/>
        </w:tabs>
      </w:pPr>
      <w:r>
        <w:tab/>
      </w:r>
    </w:p>
    <w:p w:rsidR="009805B8" w:rsidRDefault="009805B8" w:rsidP="009805B8">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fundamento a sus pedimentos exp</w:t>
      </w:r>
      <w:r>
        <w:rPr>
          <w:rFonts w:ascii="Arial Narrow" w:hAnsi="Arial Narrow" w:cs="Tahoma"/>
          <w:color w:val="000000"/>
          <w:sz w:val="28"/>
          <w:szCs w:val="28"/>
          <w:lang w:eastAsia="es-CO"/>
        </w:rPr>
        <w:t xml:space="preserve">one que nació el </w:t>
      </w:r>
      <w:r w:rsidR="00CB58A7">
        <w:rPr>
          <w:rFonts w:ascii="Arial Narrow" w:hAnsi="Arial Narrow" w:cs="Tahoma"/>
          <w:color w:val="000000"/>
          <w:sz w:val="28"/>
          <w:szCs w:val="28"/>
          <w:lang w:eastAsia="es-CO"/>
        </w:rPr>
        <w:t>22 de mayo de 1944</w:t>
      </w:r>
      <w:r w:rsidR="00060713">
        <w:rPr>
          <w:rFonts w:ascii="Arial Narrow" w:hAnsi="Arial Narrow" w:cs="Tahoma"/>
          <w:color w:val="000000"/>
          <w:sz w:val="28"/>
          <w:szCs w:val="28"/>
          <w:lang w:eastAsia="es-CO"/>
        </w:rPr>
        <w:t>, por lo que al 1º de abril de 1994 contaba con más de 40 años de edad</w:t>
      </w:r>
      <w:r w:rsidR="00CB58A7">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que cotizó al régimen de prima media administrado por el ISS hoy Colpensiones un total de 1.0</w:t>
      </w:r>
      <w:r w:rsidR="00CB58A7">
        <w:rPr>
          <w:rFonts w:ascii="Arial Narrow" w:hAnsi="Arial Narrow" w:cs="Tahoma"/>
          <w:color w:val="000000"/>
          <w:sz w:val="28"/>
          <w:szCs w:val="28"/>
          <w:lang w:eastAsia="es-CO"/>
        </w:rPr>
        <w:t xml:space="preserve">97 semanas </w:t>
      </w:r>
      <w:r>
        <w:rPr>
          <w:rFonts w:ascii="Arial Narrow" w:hAnsi="Arial Narrow" w:cs="Tahoma"/>
          <w:color w:val="000000"/>
          <w:sz w:val="28"/>
          <w:szCs w:val="28"/>
          <w:lang w:eastAsia="es-CO"/>
        </w:rPr>
        <w:t>comprendidas entre el</w:t>
      </w:r>
      <w:r w:rsidR="00CB58A7">
        <w:rPr>
          <w:rFonts w:ascii="Arial Narrow" w:hAnsi="Arial Narrow" w:cs="Tahoma"/>
          <w:color w:val="000000"/>
          <w:sz w:val="28"/>
          <w:szCs w:val="28"/>
          <w:lang w:eastAsia="es-CO"/>
        </w:rPr>
        <w:t xml:space="preserve"> 30 de diciembre de 1967 y el 18 de agosto de 2015</w:t>
      </w:r>
      <w:r>
        <w:rPr>
          <w:rFonts w:ascii="Arial Narrow" w:hAnsi="Arial Narrow" w:cs="Tahoma"/>
          <w:color w:val="000000"/>
          <w:sz w:val="28"/>
          <w:szCs w:val="28"/>
          <w:lang w:eastAsia="es-CO"/>
        </w:rPr>
        <w:t>; q</w:t>
      </w:r>
      <w:r w:rsidR="00CB58A7">
        <w:rPr>
          <w:rFonts w:ascii="Arial Narrow" w:hAnsi="Arial Narrow" w:cs="Tahoma"/>
          <w:color w:val="000000"/>
          <w:sz w:val="28"/>
          <w:szCs w:val="28"/>
          <w:lang w:eastAsia="es-CO"/>
        </w:rPr>
        <w:t xml:space="preserve">ue la entidad demandada a través de la resolución GNR 214544 del 17 de julio de 2015, </w:t>
      </w:r>
      <w:r w:rsidR="00060713">
        <w:rPr>
          <w:rFonts w:ascii="Arial Narrow" w:hAnsi="Arial Narrow" w:cs="Tahoma"/>
          <w:color w:val="000000"/>
          <w:sz w:val="28"/>
          <w:szCs w:val="28"/>
          <w:lang w:eastAsia="es-CO"/>
        </w:rPr>
        <w:t xml:space="preserve">le negó el reconocimiento de la referida prestación, argumentando que no cumple con la densidad de semanas requeridas. </w:t>
      </w:r>
    </w:p>
    <w:p w:rsidR="009805B8" w:rsidRDefault="009805B8" w:rsidP="009805B8">
      <w:pPr>
        <w:spacing w:line="360" w:lineRule="auto"/>
        <w:ind w:firstLine="708"/>
        <w:jc w:val="both"/>
        <w:rPr>
          <w:rFonts w:ascii="Arial Narrow" w:hAnsi="Arial Narrow" w:cs="Arial"/>
          <w:sz w:val="28"/>
          <w:szCs w:val="28"/>
        </w:rPr>
      </w:pPr>
      <w:r w:rsidRPr="009868D1">
        <w:rPr>
          <w:rFonts w:ascii="Arial Narrow" w:hAnsi="Arial Narrow" w:cs="Arial"/>
          <w:sz w:val="28"/>
          <w:szCs w:val="28"/>
        </w:rPr>
        <w:t>Colpensiones</w:t>
      </w:r>
      <w:r w:rsidRPr="00881C80">
        <w:rPr>
          <w:rFonts w:ascii="Arial Narrow" w:hAnsi="Arial Narrow" w:cs="Arial"/>
          <w:sz w:val="28"/>
          <w:szCs w:val="28"/>
        </w:rPr>
        <w:t xml:space="preserve"> </w:t>
      </w:r>
      <w:r>
        <w:rPr>
          <w:rFonts w:ascii="Arial Narrow" w:hAnsi="Arial Narrow" w:cs="Arial"/>
          <w:sz w:val="28"/>
          <w:szCs w:val="28"/>
        </w:rPr>
        <w:t xml:space="preserve">a través de su portavoz judicial </w:t>
      </w:r>
      <w:r w:rsidR="0067120F">
        <w:rPr>
          <w:rFonts w:ascii="Arial Narrow" w:hAnsi="Arial Narrow" w:cs="Arial"/>
          <w:sz w:val="28"/>
          <w:szCs w:val="28"/>
        </w:rPr>
        <w:t xml:space="preserve">se opuso </w:t>
      </w:r>
      <w:r w:rsidRPr="00881C80">
        <w:rPr>
          <w:rFonts w:ascii="Arial Narrow" w:hAnsi="Arial Narrow" w:cs="Arial"/>
          <w:sz w:val="28"/>
          <w:szCs w:val="28"/>
        </w:rPr>
        <w:t>a l</w:t>
      </w:r>
      <w:r>
        <w:rPr>
          <w:rFonts w:ascii="Arial Narrow" w:hAnsi="Arial Narrow" w:cs="Arial"/>
          <w:sz w:val="28"/>
          <w:szCs w:val="28"/>
        </w:rPr>
        <w:t xml:space="preserve">a totalidad de las pretensiones, al considerar que </w:t>
      </w:r>
      <w:r w:rsidR="004D4722">
        <w:rPr>
          <w:rFonts w:ascii="Arial Narrow" w:hAnsi="Arial Narrow" w:cs="Arial"/>
          <w:sz w:val="28"/>
          <w:szCs w:val="28"/>
        </w:rPr>
        <w:t xml:space="preserve">el demandante no cumple </w:t>
      </w:r>
      <w:r w:rsidR="008B6363">
        <w:rPr>
          <w:rFonts w:ascii="Arial Narrow" w:hAnsi="Arial Narrow" w:cs="Arial"/>
          <w:sz w:val="28"/>
          <w:szCs w:val="28"/>
        </w:rPr>
        <w:t xml:space="preserve">los presupuestos </w:t>
      </w:r>
      <w:r>
        <w:rPr>
          <w:rFonts w:ascii="Arial Narrow" w:hAnsi="Arial Narrow" w:cs="Arial"/>
          <w:sz w:val="28"/>
          <w:szCs w:val="28"/>
        </w:rPr>
        <w:t xml:space="preserve">para acceder al derecho pensional reclamado. </w:t>
      </w:r>
      <w:r w:rsidRPr="00881C80">
        <w:rPr>
          <w:rFonts w:ascii="Arial Narrow" w:hAnsi="Arial Narrow" w:cs="Arial"/>
          <w:sz w:val="28"/>
          <w:szCs w:val="28"/>
        </w:rPr>
        <w:t xml:space="preserve">En su defensa, propuso como excepciones </w:t>
      </w:r>
      <w:r>
        <w:rPr>
          <w:rFonts w:ascii="Arial Narrow" w:hAnsi="Arial Narrow" w:cs="Arial"/>
          <w:sz w:val="28"/>
          <w:szCs w:val="28"/>
        </w:rPr>
        <w:t xml:space="preserve">las de </w:t>
      </w:r>
      <w:r w:rsidRPr="00881C80">
        <w:rPr>
          <w:rFonts w:ascii="Arial Narrow" w:hAnsi="Arial Narrow" w:cs="Arial"/>
          <w:sz w:val="28"/>
          <w:szCs w:val="28"/>
        </w:rPr>
        <w:t>“</w:t>
      </w:r>
      <w:r w:rsidR="00214BC9">
        <w:rPr>
          <w:rFonts w:ascii="Arial Narrow" w:hAnsi="Arial Narrow" w:cs="Arial"/>
          <w:sz w:val="28"/>
          <w:szCs w:val="28"/>
        </w:rPr>
        <w:t xml:space="preserve">Inexistencia de la obligación demandada” </w:t>
      </w:r>
      <w:r w:rsidR="0067120F">
        <w:rPr>
          <w:rFonts w:ascii="Arial Narrow" w:hAnsi="Arial Narrow" w:cs="Arial"/>
          <w:sz w:val="28"/>
          <w:szCs w:val="28"/>
        </w:rPr>
        <w:t>y “Prescripción”.</w:t>
      </w:r>
    </w:p>
    <w:p w:rsidR="009805B8" w:rsidRDefault="009805B8" w:rsidP="005F4D6D">
      <w:pPr>
        <w:pStyle w:val="Sinespaciado"/>
        <w:spacing w:line="360" w:lineRule="auto"/>
      </w:pPr>
    </w:p>
    <w:p w:rsidR="009805B8" w:rsidRPr="005F4D6D" w:rsidRDefault="009805B8" w:rsidP="005F4D6D">
      <w:pPr>
        <w:pStyle w:val="Prrafodelista"/>
        <w:numPr>
          <w:ilvl w:val="0"/>
          <w:numId w:val="6"/>
        </w:numPr>
        <w:spacing w:line="360" w:lineRule="auto"/>
        <w:jc w:val="both"/>
        <w:rPr>
          <w:rFonts w:ascii="Arial Narrow" w:hAnsi="Arial Narrow" w:cs="Arial"/>
          <w:i/>
          <w:sz w:val="28"/>
          <w:szCs w:val="28"/>
        </w:rPr>
      </w:pPr>
      <w:r w:rsidRPr="005F4D6D">
        <w:rPr>
          <w:rFonts w:ascii="Arial Narrow" w:hAnsi="Arial Narrow" w:cs="Arial"/>
          <w:i/>
          <w:sz w:val="28"/>
          <w:szCs w:val="28"/>
        </w:rPr>
        <w:t>SENTENCIA</w:t>
      </w:r>
    </w:p>
    <w:p w:rsidR="009805B8" w:rsidRPr="005F4D6D" w:rsidRDefault="009805B8" w:rsidP="005F4D6D">
      <w:pPr>
        <w:pStyle w:val="Sinespaciado"/>
      </w:pPr>
    </w:p>
    <w:p w:rsidR="009805B8" w:rsidRPr="000F7876" w:rsidRDefault="009805B8" w:rsidP="009805B8">
      <w:pPr>
        <w:spacing w:line="360" w:lineRule="auto"/>
        <w:ind w:firstLine="708"/>
        <w:jc w:val="both"/>
        <w:rPr>
          <w:rFonts w:ascii="Arial Narrow" w:hAnsi="Arial Narrow" w:cs="Arial"/>
          <w:color w:val="FF0000"/>
          <w:sz w:val="28"/>
          <w:szCs w:val="28"/>
        </w:rPr>
      </w:pPr>
      <w:r w:rsidRPr="00BE4D77">
        <w:rPr>
          <w:rFonts w:ascii="Arial Narrow" w:hAnsi="Arial Narrow" w:cs="Arial"/>
          <w:sz w:val="28"/>
          <w:szCs w:val="28"/>
        </w:rPr>
        <w:t xml:space="preserve">El Juzgado </w:t>
      </w:r>
      <w:r>
        <w:rPr>
          <w:rFonts w:ascii="Arial Narrow" w:hAnsi="Arial Narrow" w:cs="Arial"/>
          <w:sz w:val="28"/>
          <w:szCs w:val="28"/>
        </w:rPr>
        <w:t xml:space="preserve">de conocimiento </w:t>
      </w:r>
      <w:r w:rsidRPr="00BE4D77">
        <w:rPr>
          <w:rFonts w:ascii="Arial Narrow" w:hAnsi="Arial Narrow" w:cs="Arial"/>
          <w:sz w:val="28"/>
          <w:szCs w:val="28"/>
        </w:rPr>
        <w:t xml:space="preserve">mediante fallo del </w:t>
      </w:r>
      <w:r w:rsidR="0067120F">
        <w:rPr>
          <w:rFonts w:ascii="Arial Narrow" w:hAnsi="Arial Narrow" w:cs="Arial"/>
          <w:sz w:val="28"/>
          <w:szCs w:val="28"/>
        </w:rPr>
        <w:t xml:space="preserve">14 de junio </w:t>
      </w:r>
      <w:r>
        <w:rPr>
          <w:rFonts w:ascii="Arial Narrow" w:hAnsi="Arial Narrow" w:cs="Arial"/>
          <w:sz w:val="28"/>
          <w:szCs w:val="28"/>
        </w:rPr>
        <w:t>de 2017, absolvió a la Administradora Colombiana de Pensiones Colpensiones de las pretensiones incoadas en su contra, y condenó en costas a la parte vencida en un 100%. Para así co</w:t>
      </w:r>
      <w:r w:rsidR="009303DE">
        <w:rPr>
          <w:rFonts w:ascii="Arial Narrow" w:hAnsi="Arial Narrow" w:cs="Arial"/>
          <w:sz w:val="28"/>
          <w:szCs w:val="28"/>
        </w:rPr>
        <w:t xml:space="preserve">ncluir, indicó que si bien </w:t>
      </w:r>
      <w:r w:rsidR="00FC438F">
        <w:rPr>
          <w:rFonts w:ascii="Arial Narrow" w:hAnsi="Arial Narrow" w:cs="Arial"/>
          <w:sz w:val="28"/>
          <w:szCs w:val="28"/>
        </w:rPr>
        <w:t xml:space="preserve">el </w:t>
      </w:r>
      <w:r w:rsidRPr="005A60B1">
        <w:rPr>
          <w:rFonts w:ascii="Arial Narrow" w:hAnsi="Arial Narrow" w:cs="Arial"/>
          <w:sz w:val="28"/>
          <w:szCs w:val="28"/>
        </w:rPr>
        <w:t>demandante era beneficiari</w:t>
      </w:r>
      <w:r w:rsidR="00FC438F">
        <w:rPr>
          <w:rFonts w:ascii="Arial Narrow" w:hAnsi="Arial Narrow" w:cs="Arial"/>
          <w:sz w:val="28"/>
          <w:szCs w:val="28"/>
        </w:rPr>
        <w:t>o</w:t>
      </w:r>
      <w:r w:rsidRPr="005A60B1">
        <w:rPr>
          <w:rFonts w:ascii="Arial Narrow" w:hAnsi="Arial Narrow" w:cs="Arial"/>
          <w:sz w:val="28"/>
          <w:szCs w:val="28"/>
        </w:rPr>
        <w:t xml:space="preserve"> </w:t>
      </w:r>
      <w:r>
        <w:rPr>
          <w:rFonts w:ascii="Arial Narrow" w:hAnsi="Arial Narrow" w:cs="Arial"/>
          <w:sz w:val="28"/>
          <w:szCs w:val="28"/>
        </w:rPr>
        <w:t xml:space="preserve">del régimen de transición que contempla el artículo 36 de la Ley 100/93, puesto que al 1º de abril de 1994 tenía más de </w:t>
      </w:r>
      <w:r w:rsidR="00FC438F">
        <w:rPr>
          <w:rFonts w:ascii="Arial Narrow" w:hAnsi="Arial Narrow" w:cs="Arial"/>
          <w:sz w:val="28"/>
          <w:szCs w:val="28"/>
        </w:rPr>
        <w:t>40</w:t>
      </w:r>
      <w:r>
        <w:rPr>
          <w:rFonts w:ascii="Arial Narrow" w:hAnsi="Arial Narrow" w:cs="Arial"/>
          <w:sz w:val="28"/>
          <w:szCs w:val="28"/>
        </w:rPr>
        <w:t xml:space="preserve"> años de edad, no consolidó su derecho pensional con antelación al 31 de julio de 2010, ni satisfizo las 750 semanas exigidas en el Acto Legislativo 01 de 2005, para extender </w:t>
      </w:r>
      <w:r w:rsidR="009303DE">
        <w:rPr>
          <w:rFonts w:ascii="Arial Narrow" w:hAnsi="Arial Narrow" w:cs="Arial"/>
          <w:sz w:val="28"/>
          <w:szCs w:val="28"/>
        </w:rPr>
        <w:t xml:space="preserve">los </w:t>
      </w:r>
      <w:r>
        <w:rPr>
          <w:rFonts w:ascii="Arial Narrow" w:hAnsi="Arial Narrow" w:cs="Arial"/>
          <w:sz w:val="28"/>
          <w:szCs w:val="28"/>
        </w:rPr>
        <w:t>beneficios del régimen de transición hasta el 2014, pues al 29 de julio de 2005 sólo reportó un total de 5</w:t>
      </w:r>
      <w:r w:rsidR="00FC438F">
        <w:rPr>
          <w:rFonts w:ascii="Arial Narrow" w:hAnsi="Arial Narrow" w:cs="Arial"/>
          <w:sz w:val="28"/>
          <w:szCs w:val="28"/>
        </w:rPr>
        <w:t>87</w:t>
      </w:r>
      <w:r>
        <w:rPr>
          <w:rFonts w:ascii="Arial Narrow" w:hAnsi="Arial Narrow" w:cs="Arial"/>
          <w:sz w:val="28"/>
          <w:szCs w:val="28"/>
        </w:rPr>
        <w:t xml:space="preserve"> </w:t>
      </w:r>
      <w:r w:rsidRPr="009A7E5B">
        <w:rPr>
          <w:rFonts w:ascii="Arial Narrow" w:hAnsi="Arial Narrow" w:cs="Arial"/>
          <w:sz w:val="28"/>
          <w:szCs w:val="28"/>
        </w:rPr>
        <w:t>semanas</w:t>
      </w:r>
      <w:r>
        <w:rPr>
          <w:rFonts w:ascii="Arial Narrow" w:hAnsi="Arial Narrow" w:cs="Arial"/>
          <w:sz w:val="28"/>
          <w:szCs w:val="28"/>
        </w:rPr>
        <w:t xml:space="preserve"> de aportes. Por último, encontró que </w:t>
      </w:r>
      <w:r w:rsidR="005F4D6D">
        <w:rPr>
          <w:rFonts w:ascii="Arial Narrow" w:hAnsi="Arial Narrow" w:cs="Arial"/>
          <w:sz w:val="28"/>
          <w:szCs w:val="28"/>
        </w:rPr>
        <w:t xml:space="preserve">el actor </w:t>
      </w:r>
      <w:r>
        <w:rPr>
          <w:rFonts w:ascii="Arial Narrow" w:hAnsi="Arial Narrow" w:cs="Arial"/>
          <w:sz w:val="28"/>
          <w:szCs w:val="28"/>
        </w:rPr>
        <w:t>tampoco acredita el cumplimiento de los requisitos exigidos por la Ley 797 de 2003 para acceder al derecho pensional solicitado.</w:t>
      </w:r>
    </w:p>
    <w:p w:rsidR="009805B8" w:rsidRDefault="009805B8" w:rsidP="004269FB">
      <w:pPr>
        <w:shd w:val="clear" w:color="auto" w:fill="FFFFFF"/>
        <w:spacing w:line="360" w:lineRule="auto"/>
        <w:contextualSpacing/>
        <w:jc w:val="both"/>
        <w:rPr>
          <w:rFonts w:asciiTheme="minorHAnsi" w:eastAsiaTheme="minorHAnsi" w:hAnsiTheme="minorHAnsi" w:cstheme="minorBidi"/>
          <w:sz w:val="22"/>
          <w:szCs w:val="22"/>
          <w:lang w:eastAsia="en-US"/>
        </w:rPr>
      </w:pPr>
    </w:p>
    <w:p w:rsidR="009805B8" w:rsidRPr="00A2569D" w:rsidRDefault="009805B8" w:rsidP="005F4D6D">
      <w:pPr>
        <w:pStyle w:val="Prrafodelista"/>
        <w:numPr>
          <w:ilvl w:val="0"/>
          <w:numId w:val="6"/>
        </w:numPr>
        <w:shd w:val="clear" w:color="auto" w:fill="FFFFFF"/>
        <w:spacing w:line="360" w:lineRule="auto"/>
        <w:contextualSpacing/>
        <w:jc w:val="both"/>
        <w:rPr>
          <w:rFonts w:ascii="Arial Narrow" w:hAnsi="Arial Narrow" w:cs="Tahoma"/>
          <w:i/>
          <w:sz w:val="28"/>
          <w:szCs w:val="28"/>
        </w:rPr>
      </w:pPr>
      <w:r>
        <w:rPr>
          <w:rFonts w:ascii="Arial Narrow" w:hAnsi="Arial Narrow" w:cs="Tahoma"/>
          <w:i/>
          <w:sz w:val="28"/>
          <w:szCs w:val="28"/>
        </w:rPr>
        <w:t>RECURSO DE APELACIÓN</w:t>
      </w:r>
      <w:r w:rsidRPr="00A2569D">
        <w:rPr>
          <w:rFonts w:ascii="Arial Narrow" w:hAnsi="Arial Narrow" w:cs="Tahoma"/>
          <w:i/>
          <w:sz w:val="28"/>
          <w:szCs w:val="28"/>
        </w:rPr>
        <w:t xml:space="preserve"> </w:t>
      </w:r>
    </w:p>
    <w:p w:rsidR="009805B8" w:rsidRPr="00A2569D" w:rsidRDefault="009805B8" w:rsidP="009805B8">
      <w:pPr>
        <w:pStyle w:val="Sinespaciado"/>
      </w:pPr>
    </w:p>
    <w:p w:rsidR="009805B8" w:rsidRDefault="009805B8" w:rsidP="009805B8">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El vocero judicial de</w:t>
      </w:r>
      <w:r w:rsidR="005F4D6D">
        <w:rPr>
          <w:rFonts w:ascii="Arial Narrow" w:hAnsi="Arial Narrow" w:cs="Tahoma"/>
          <w:sz w:val="28"/>
          <w:szCs w:val="28"/>
        </w:rPr>
        <w:t xml:space="preserve">l </w:t>
      </w:r>
      <w:r>
        <w:rPr>
          <w:rFonts w:ascii="Arial Narrow" w:hAnsi="Arial Narrow" w:cs="Tahoma"/>
          <w:sz w:val="28"/>
          <w:szCs w:val="28"/>
        </w:rPr>
        <w:t xml:space="preserve">demandante se alzó contra la decisión anterior, en orden a que se revoque y se acceda a las pretensiones de la demanda. En la sustentación, indicó que </w:t>
      </w:r>
      <w:r w:rsidR="00E36777">
        <w:rPr>
          <w:rFonts w:ascii="Arial Narrow" w:hAnsi="Arial Narrow" w:cs="Tahoma"/>
          <w:sz w:val="28"/>
          <w:szCs w:val="28"/>
        </w:rPr>
        <w:t xml:space="preserve">al 1º de abril de 1994 el demandante tenía casi 50 años de edad, </w:t>
      </w:r>
      <w:r w:rsidR="009303DE">
        <w:rPr>
          <w:rFonts w:ascii="Arial Narrow" w:hAnsi="Arial Narrow" w:cs="Tahoma"/>
          <w:sz w:val="28"/>
          <w:szCs w:val="28"/>
        </w:rPr>
        <w:t xml:space="preserve">amén de que cotizó más de 15 años al sistema, por ende, </w:t>
      </w:r>
      <w:r w:rsidR="00E36777">
        <w:rPr>
          <w:rFonts w:ascii="Arial Narrow" w:hAnsi="Arial Narrow" w:cs="Tahoma"/>
          <w:sz w:val="28"/>
          <w:szCs w:val="28"/>
        </w:rPr>
        <w:t xml:space="preserve">al ser beneficiario del régimen de transición, tiene derecho a consolidar su derecho a la pensión de vejez con 1.000 semanas de cotización en cualquier tiempo. </w:t>
      </w:r>
    </w:p>
    <w:p w:rsidR="00B6762F" w:rsidRDefault="00B6762F" w:rsidP="004269FB">
      <w:pPr>
        <w:pStyle w:val="Sinespaciado"/>
        <w:spacing w:line="360" w:lineRule="auto"/>
      </w:pPr>
    </w:p>
    <w:p w:rsidR="009805B8" w:rsidRPr="00A2569D" w:rsidRDefault="009805B8" w:rsidP="005F4D6D">
      <w:pPr>
        <w:pStyle w:val="Prrafodelista"/>
        <w:numPr>
          <w:ilvl w:val="0"/>
          <w:numId w:val="6"/>
        </w:numPr>
        <w:tabs>
          <w:tab w:val="left" w:pos="0"/>
          <w:tab w:val="left" w:pos="8647"/>
        </w:tabs>
        <w:suppressAutoHyphens/>
        <w:spacing w:line="360" w:lineRule="auto"/>
        <w:contextualSpacing/>
        <w:jc w:val="both"/>
        <w:rPr>
          <w:rFonts w:ascii="Arial Narrow" w:hAnsi="Arial Narrow" w:cs="Tahoma"/>
          <w:sz w:val="28"/>
          <w:szCs w:val="28"/>
        </w:rPr>
      </w:pPr>
      <w:r w:rsidRPr="00A2569D">
        <w:rPr>
          <w:rFonts w:ascii="Arial Narrow" w:hAnsi="Arial Narrow" w:cs="Tahoma"/>
          <w:i/>
          <w:sz w:val="28"/>
          <w:szCs w:val="28"/>
        </w:rPr>
        <w:t>ALEGATOS EN ESTA INSTANCIA</w:t>
      </w:r>
      <w:r w:rsidRPr="00A2569D">
        <w:rPr>
          <w:rFonts w:ascii="Arial Narrow" w:hAnsi="Arial Narrow" w:cs="Tahoma"/>
          <w:sz w:val="28"/>
          <w:szCs w:val="28"/>
        </w:rPr>
        <w:t>:</w:t>
      </w:r>
    </w:p>
    <w:p w:rsidR="009805B8" w:rsidRPr="00BB58A1" w:rsidRDefault="009805B8" w:rsidP="009805B8">
      <w:pPr>
        <w:pStyle w:val="Sinespaciado"/>
      </w:pPr>
    </w:p>
    <w:p w:rsidR="009805B8" w:rsidRDefault="009805B8" w:rsidP="009805B8">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se corre traslado por el término de 8 minutos, a cada uno de los voceros judiciales de las partes asistentes a la audiencia, empezando p</w:t>
      </w:r>
      <w:r>
        <w:rPr>
          <w:rFonts w:ascii="Arial Narrow" w:hAnsi="Arial Narrow"/>
          <w:sz w:val="28"/>
          <w:szCs w:val="28"/>
        </w:rPr>
        <w:t xml:space="preserve">or la parte recurrente.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9805B8" w:rsidRDefault="009805B8" w:rsidP="009805B8">
      <w:pPr>
        <w:pStyle w:val="Sinespaciado"/>
        <w:spacing w:line="360" w:lineRule="auto"/>
        <w:rPr>
          <w:lang w:val="es-MX" w:eastAsia="es-CO"/>
        </w:rPr>
      </w:pPr>
    </w:p>
    <w:p w:rsidR="009805B8" w:rsidRPr="00A04952" w:rsidRDefault="009805B8" w:rsidP="005F4D6D">
      <w:pPr>
        <w:pStyle w:val="Prrafodelista"/>
        <w:numPr>
          <w:ilvl w:val="0"/>
          <w:numId w:val="6"/>
        </w:numPr>
        <w:shd w:val="clear" w:color="auto" w:fill="FFFFFF"/>
        <w:spacing w:line="360" w:lineRule="auto"/>
        <w:contextualSpacing/>
        <w:jc w:val="both"/>
        <w:rPr>
          <w:rFonts w:ascii="Arial Narrow" w:hAnsi="Arial Narrow" w:cs="Tahoma"/>
          <w:i/>
          <w:iCs/>
          <w:color w:val="000000"/>
          <w:sz w:val="28"/>
          <w:szCs w:val="28"/>
          <w:lang w:val="es-MX" w:eastAsia="es-CO"/>
        </w:rPr>
      </w:pPr>
      <w:r w:rsidRPr="00A04952">
        <w:rPr>
          <w:rFonts w:ascii="Arial Narrow" w:hAnsi="Arial Narrow" w:cs="Tahoma"/>
          <w:i/>
          <w:iCs/>
          <w:color w:val="000000"/>
          <w:sz w:val="28"/>
          <w:szCs w:val="28"/>
          <w:lang w:val="es-MX" w:eastAsia="es-CO"/>
        </w:rPr>
        <w:t>CONSIDERACIONES</w:t>
      </w:r>
    </w:p>
    <w:p w:rsidR="009805B8" w:rsidRPr="00BB58A1" w:rsidRDefault="009805B8" w:rsidP="009805B8">
      <w:pPr>
        <w:pStyle w:val="Sinespaciado"/>
      </w:pPr>
    </w:p>
    <w:p w:rsidR="009805B8" w:rsidRDefault="009805B8" w:rsidP="009805B8">
      <w:pPr>
        <w:shd w:val="clear" w:color="auto" w:fill="FFFFFF"/>
        <w:tabs>
          <w:tab w:val="left" w:pos="5197"/>
        </w:tabs>
        <w:spacing w:line="360" w:lineRule="auto"/>
        <w:ind w:firstLine="851"/>
        <w:jc w:val="both"/>
        <w:rPr>
          <w:rFonts w:ascii="Arial Narrow" w:hAnsi="Arial Narrow" w:cs="Tahoma"/>
          <w:b/>
          <w:i/>
          <w:sz w:val="28"/>
          <w:szCs w:val="28"/>
        </w:rPr>
      </w:pPr>
      <w:r w:rsidRPr="00A04952">
        <w:rPr>
          <w:rFonts w:ascii="Arial Narrow" w:hAnsi="Arial Narrow" w:cs="Tahoma"/>
          <w:i/>
          <w:sz w:val="28"/>
          <w:szCs w:val="28"/>
        </w:rPr>
        <w:t>Del problema jurídico</w:t>
      </w:r>
      <w:r w:rsidRPr="006B4716">
        <w:rPr>
          <w:rFonts w:ascii="Arial Narrow" w:hAnsi="Arial Narrow" w:cs="Tahoma"/>
          <w:b/>
          <w:i/>
          <w:sz w:val="28"/>
          <w:szCs w:val="28"/>
        </w:rPr>
        <w:t>.</w:t>
      </w:r>
    </w:p>
    <w:p w:rsidR="009805B8" w:rsidRPr="00BB58A1" w:rsidRDefault="009805B8" w:rsidP="009805B8">
      <w:pPr>
        <w:pStyle w:val="Sinespaciado"/>
      </w:pPr>
    </w:p>
    <w:p w:rsidR="009805B8" w:rsidRDefault="00E36777" w:rsidP="009805B8">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¿Le asiste al </w:t>
      </w:r>
      <w:r w:rsidR="009805B8">
        <w:rPr>
          <w:rFonts w:ascii="Arial Narrow" w:hAnsi="Arial Narrow" w:cs="Tahoma"/>
          <w:i/>
          <w:color w:val="000000"/>
          <w:sz w:val="28"/>
          <w:szCs w:val="28"/>
          <w:lang w:eastAsia="es-CO"/>
        </w:rPr>
        <w:t>demandante el derecho a la pensión de vejez que por esta vía judicial reclama?</w:t>
      </w:r>
    </w:p>
    <w:p w:rsidR="009805B8" w:rsidRPr="00024021" w:rsidRDefault="009805B8" w:rsidP="004269FB">
      <w:pPr>
        <w:pStyle w:val="Sinespaciado"/>
        <w:spacing w:line="360" w:lineRule="auto"/>
      </w:pPr>
    </w:p>
    <w:p w:rsidR="009805B8" w:rsidRDefault="009805B8" w:rsidP="009805B8">
      <w:pPr>
        <w:pStyle w:val="Sinespaciado"/>
        <w:ind w:firstLine="708"/>
        <w:rPr>
          <w:rFonts w:ascii="Arial Narrow" w:hAnsi="Arial Narrow"/>
          <w:sz w:val="28"/>
          <w:szCs w:val="28"/>
        </w:rPr>
      </w:pPr>
      <w:r w:rsidRPr="00CF09FC">
        <w:rPr>
          <w:rFonts w:ascii="Arial Narrow" w:hAnsi="Arial Narrow"/>
          <w:sz w:val="28"/>
          <w:szCs w:val="28"/>
        </w:rPr>
        <w:t>Desenvolvimiento de la problemática planteada</w:t>
      </w:r>
    </w:p>
    <w:p w:rsidR="009805B8" w:rsidRDefault="009805B8" w:rsidP="00182285">
      <w:pPr>
        <w:pStyle w:val="Sinespaciado"/>
        <w:spacing w:line="360" w:lineRule="auto"/>
      </w:pPr>
    </w:p>
    <w:p w:rsidR="005E6280" w:rsidRDefault="005E6280" w:rsidP="005E6280">
      <w:pPr>
        <w:autoSpaceDE w:val="0"/>
        <w:autoSpaceDN w:val="0"/>
        <w:adjustRightInd w:val="0"/>
        <w:spacing w:line="360" w:lineRule="auto"/>
        <w:ind w:firstLine="708"/>
        <w:jc w:val="both"/>
        <w:rPr>
          <w:rFonts w:ascii="Arial Narrow" w:hAnsi="Arial Narrow" w:cs="Arial"/>
          <w:sz w:val="28"/>
          <w:szCs w:val="28"/>
          <w:lang w:val="es-ES"/>
        </w:rPr>
      </w:pPr>
      <w:r w:rsidRPr="005E6280">
        <w:rPr>
          <w:rFonts w:ascii="Arial Narrow" w:hAnsi="Arial Narrow" w:cs="Arial"/>
          <w:sz w:val="28"/>
          <w:szCs w:val="28"/>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puntualmente, se mantienen la edad, el tiempo para pensionarse y el monto de la pensión exigidos en la normatividad anterior que le fuere aplicable. </w:t>
      </w:r>
    </w:p>
    <w:p w:rsidR="005E6280" w:rsidRDefault="005E6280" w:rsidP="005E6280">
      <w:pPr>
        <w:pStyle w:val="Sinespaciado"/>
        <w:rPr>
          <w:lang w:val="es-ES"/>
        </w:rPr>
      </w:pPr>
    </w:p>
    <w:p w:rsidR="001C4922" w:rsidRDefault="005E6280" w:rsidP="007E1E5D">
      <w:pPr>
        <w:autoSpaceDE w:val="0"/>
        <w:autoSpaceDN w:val="0"/>
        <w:adjustRightInd w:val="0"/>
        <w:spacing w:line="360" w:lineRule="auto"/>
        <w:ind w:firstLine="708"/>
        <w:jc w:val="both"/>
        <w:rPr>
          <w:rFonts w:ascii="Arial Narrow" w:hAnsi="Arial Narrow" w:cs="Arial"/>
          <w:sz w:val="28"/>
          <w:szCs w:val="28"/>
          <w:lang w:val="es-ES"/>
        </w:rPr>
      </w:pPr>
      <w:r w:rsidRPr="005E6280">
        <w:rPr>
          <w:rFonts w:ascii="Arial Narrow" w:hAnsi="Arial Narrow" w:cs="Arial"/>
          <w:sz w:val="28"/>
          <w:szCs w:val="28"/>
          <w:lang w:val="es-ES"/>
        </w:rPr>
        <w:t>Tales grupos se encuentran determinados en el artículo 36 de</w:t>
      </w:r>
      <w:r w:rsidR="001C4922">
        <w:rPr>
          <w:rFonts w:ascii="Arial Narrow" w:hAnsi="Arial Narrow" w:cs="Arial"/>
          <w:sz w:val="28"/>
          <w:szCs w:val="28"/>
          <w:lang w:val="es-ES"/>
        </w:rPr>
        <w:t>l</w:t>
      </w:r>
      <w:r>
        <w:rPr>
          <w:rFonts w:ascii="Arial Narrow" w:hAnsi="Arial Narrow" w:cs="Arial"/>
          <w:sz w:val="28"/>
          <w:szCs w:val="28"/>
          <w:lang w:val="es-ES"/>
        </w:rPr>
        <w:t xml:space="preserve"> presupuesto legal en menci</w:t>
      </w:r>
      <w:r w:rsidR="007E1E5D">
        <w:rPr>
          <w:rFonts w:ascii="Arial Narrow" w:hAnsi="Arial Narrow" w:cs="Arial"/>
          <w:sz w:val="28"/>
          <w:szCs w:val="28"/>
          <w:lang w:val="es-ES"/>
        </w:rPr>
        <w:t xml:space="preserve">ón, </w:t>
      </w:r>
      <w:r w:rsidR="00182285">
        <w:rPr>
          <w:rFonts w:ascii="Arial Narrow" w:hAnsi="Arial Narrow" w:cs="Arial"/>
          <w:sz w:val="28"/>
          <w:szCs w:val="28"/>
          <w:lang w:val="es-ES"/>
        </w:rPr>
        <w:t xml:space="preserve">en el que se estableció </w:t>
      </w:r>
      <w:r w:rsidR="007E1E5D">
        <w:rPr>
          <w:rFonts w:ascii="Arial Narrow" w:hAnsi="Arial Narrow" w:cs="Arial"/>
          <w:sz w:val="28"/>
          <w:szCs w:val="28"/>
          <w:lang w:val="es-ES"/>
        </w:rPr>
        <w:t xml:space="preserve">que las </w:t>
      </w:r>
      <w:r w:rsidR="00182285">
        <w:rPr>
          <w:rFonts w:ascii="Arial Narrow" w:hAnsi="Arial Narrow" w:cs="Arial"/>
          <w:sz w:val="28"/>
          <w:szCs w:val="28"/>
          <w:lang w:val="es-ES"/>
        </w:rPr>
        <w:t xml:space="preserve">pautas de dicho </w:t>
      </w:r>
      <w:r w:rsidR="007E1E5D">
        <w:rPr>
          <w:rFonts w:ascii="Arial Narrow" w:hAnsi="Arial Narrow" w:cs="Arial"/>
          <w:sz w:val="28"/>
          <w:szCs w:val="28"/>
          <w:lang w:val="es-ES"/>
        </w:rPr>
        <w:t>régimen</w:t>
      </w:r>
      <w:r w:rsidR="00182285">
        <w:rPr>
          <w:rFonts w:ascii="Arial Narrow" w:hAnsi="Arial Narrow" w:cs="Arial"/>
          <w:sz w:val="28"/>
          <w:szCs w:val="28"/>
          <w:lang w:val="es-ES"/>
        </w:rPr>
        <w:t xml:space="preserve"> serían </w:t>
      </w:r>
      <w:r w:rsidR="007E1E5D">
        <w:rPr>
          <w:rFonts w:ascii="Arial Narrow" w:hAnsi="Arial Narrow" w:cs="Arial"/>
          <w:sz w:val="28"/>
          <w:szCs w:val="28"/>
          <w:lang w:val="es-ES"/>
        </w:rPr>
        <w:t xml:space="preserve">aplicables para quienes al momento de entrada en vigencia de dicha ley -1º de abril de1994-, </w:t>
      </w:r>
      <w:r w:rsidR="007E1E5D">
        <w:rPr>
          <w:rFonts w:ascii="Arial Narrow" w:hAnsi="Arial Narrow" w:cs="Arial"/>
          <w:sz w:val="28"/>
          <w:szCs w:val="28"/>
          <w:lang w:val="es-ES"/>
        </w:rPr>
        <w:lastRenderedPageBreak/>
        <w:t xml:space="preserve">tuvieran 40 o más años de edad, en caso de los hombres o 15 o más años de servicios o su equivalente en cotizaciones, </w:t>
      </w:r>
      <w:r w:rsidR="001C4922" w:rsidRPr="009D005E">
        <w:rPr>
          <w:rFonts w:ascii="Arial Narrow" w:hAnsi="Arial Narrow" w:cs="Arial"/>
          <w:sz w:val="28"/>
          <w:szCs w:val="28"/>
          <w:lang w:val="es-ES"/>
        </w:rPr>
        <w:t>sin importar la edad.</w:t>
      </w:r>
    </w:p>
    <w:p w:rsidR="001C4922" w:rsidRPr="005E6280" w:rsidRDefault="001C4922" w:rsidP="007E1E5D">
      <w:pPr>
        <w:pStyle w:val="Sinespaciado"/>
        <w:rPr>
          <w:lang w:val="es-ES"/>
        </w:rPr>
      </w:pPr>
    </w:p>
    <w:p w:rsidR="005E6280" w:rsidRPr="005E6280" w:rsidRDefault="00182285" w:rsidP="005E6280">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No obstante</w:t>
      </w:r>
      <w:r w:rsidR="005E6280" w:rsidRPr="005E6280">
        <w:rPr>
          <w:rFonts w:ascii="Arial Narrow" w:hAnsi="Arial Narrow" w:cs="Arial"/>
          <w:sz w:val="28"/>
          <w:szCs w:val="28"/>
          <w:lang w:val="es-ES"/>
        </w:rPr>
        <w:t xml:space="preserve">, con posterioridad a dicha norma, se </w:t>
      </w:r>
      <w:r w:rsidR="0022704F">
        <w:rPr>
          <w:rFonts w:ascii="Arial Narrow" w:hAnsi="Arial Narrow" w:cs="Arial"/>
          <w:sz w:val="28"/>
          <w:szCs w:val="28"/>
          <w:lang w:val="es-ES"/>
        </w:rPr>
        <w:t xml:space="preserve">expidió </w:t>
      </w:r>
      <w:r w:rsidR="005E6280" w:rsidRPr="005E6280">
        <w:rPr>
          <w:rFonts w:ascii="Arial Narrow" w:hAnsi="Arial Narrow" w:cs="Arial"/>
          <w:sz w:val="28"/>
          <w:szCs w:val="28"/>
          <w:lang w:val="es-ES"/>
        </w:rPr>
        <w:t>el Acto Legislativo 01 de 2005, mediante el cual se modificó el artículo 48 superior, e</w:t>
      </w:r>
      <w:r w:rsidR="0022704F">
        <w:rPr>
          <w:rFonts w:ascii="Arial Narrow" w:hAnsi="Arial Narrow" w:cs="Arial"/>
          <w:sz w:val="28"/>
          <w:szCs w:val="28"/>
          <w:lang w:val="es-ES"/>
        </w:rPr>
        <w:t xml:space="preserve">n el que se </w:t>
      </w:r>
      <w:r w:rsidR="005E6280" w:rsidRPr="005E6280">
        <w:rPr>
          <w:rFonts w:ascii="Arial Narrow" w:hAnsi="Arial Narrow" w:cs="Arial"/>
          <w:sz w:val="28"/>
          <w:szCs w:val="28"/>
          <w:lang w:val="es-ES"/>
        </w:rPr>
        <w:t xml:space="preserve">indicó </w:t>
      </w:r>
      <w:r w:rsidR="0022704F">
        <w:rPr>
          <w:rFonts w:ascii="Arial Narrow" w:hAnsi="Arial Narrow" w:cs="Arial"/>
          <w:sz w:val="28"/>
          <w:szCs w:val="28"/>
          <w:lang w:val="es-ES"/>
        </w:rPr>
        <w:t xml:space="preserve">en el parágrafo 4º, </w:t>
      </w:r>
      <w:r w:rsidR="005E6280" w:rsidRPr="005E6280">
        <w:rPr>
          <w:rFonts w:ascii="Arial Narrow" w:hAnsi="Arial Narrow" w:cs="Arial"/>
          <w:sz w:val="28"/>
          <w:szCs w:val="28"/>
          <w:lang w:val="es-ES"/>
        </w:rPr>
        <w:t>que el régimen de transición se extendía hasta el 31 de julio de 2010</w:t>
      </w:r>
      <w:r w:rsidR="0022704F">
        <w:rPr>
          <w:rFonts w:ascii="Arial Narrow" w:hAnsi="Arial Narrow" w:cs="Arial"/>
          <w:sz w:val="28"/>
          <w:szCs w:val="28"/>
          <w:lang w:val="es-ES"/>
        </w:rPr>
        <w:t xml:space="preserve">, salvo para aquellas </w:t>
      </w:r>
      <w:r w:rsidR="005E6280" w:rsidRPr="005E6280">
        <w:rPr>
          <w:rFonts w:ascii="Arial Narrow" w:hAnsi="Arial Narrow" w:cs="Arial"/>
          <w:sz w:val="28"/>
          <w:szCs w:val="28"/>
          <w:lang w:val="es-ES"/>
        </w:rPr>
        <w:t>personas que al momento de entrar a regir dicho acto modificatorio de la Constitución</w:t>
      </w:r>
      <w:r w:rsidR="0022704F">
        <w:rPr>
          <w:rFonts w:ascii="Arial Narrow" w:hAnsi="Arial Narrow" w:cs="Arial"/>
          <w:sz w:val="28"/>
          <w:szCs w:val="28"/>
          <w:lang w:val="es-ES"/>
        </w:rPr>
        <w:t xml:space="preserve">, esto es, al </w:t>
      </w:r>
      <w:r w:rsidR="005E6280" w:rsidRPr="005E6280">
        <w:rPr>
          <w:rFonts w:ascii="Arial Narrow" w:hAnsi="Arial Narrow" w:cs="Arial"/>
          <w:sz w:val="28"/>
          <w:szCs w:val="28"/>
          <w:lang w:val="es-ES"/>
        </w:rPr>
        <w:t>-29 de julio de 200</w:t>
      </w:r>
      <w:r w:rsidR="0022704F">
        <w:rPr>
          <w:rFonts w:ascii="Arial Narrow" w:hAnsi="Arial Narrow" w:cs="Arial"/>
          <w:sz w:val="28"/>
          <w:szCs w:val="28"/>
          <w:lang w:val="es-ES"/>
        </w:rPr>
        <w:t xml:space="preserve">5-, </w:t>
      </w:r>
      <w:r w:rsidR="005E6280" w:rsidRPr="005E6280">
        <w:rPr>
          <w:rFonts w:ascii="Arial Narrow" w:hAnsi="Arial Narrow" w:cs="Arial"/>
          <w:sz w:val="28"/>
          <w:szCs w:val="28"/>
          <w:lang w:val="es-ES"/>
        </w:rPr>
        <w:t xml:space="preserve">contarán con 750 semanas, </w:t>
      </w:r>
      <w:r w:rsidR="0022704F">
        <w:rPr>
          <w:rFonts w:ascii="Arial Narrow" w:hAnsi="Arial Narrow" w:cs="Arial"/>
          <w:sz w:val="28"/>
          <w:szCs w:val="28"/>
          <w:lang w:val="es-ES"/>
        </w:rPr>
        <w:t xml:space="preserve">caso en el cual </w:t>
      </w:r>
      <w:r w:rsidR="005E6280" w:rsidRPr="005E6280">
        <w:rPr>
          <w:rFonts w:ascii="Arial Narrow" w:hAnsi="Arial Narrow" w:cs="Arial"/>
          <w:sz w:val="28"/>
          <w:szCs w:val="28"/>
          <w:lang w:val="es-ES"/>
        </w:rPr>
        <w:t xml:space="preserve">el beneficio de la transición </w:t>
      </w:r>
      <w:r w:rsidR="0022704F">
        <w:rPr>
          <w:rFonts w:ascii="Arial Narrow" w:hAnsi="Arial Narrow" w:cs="Arial"/>
          <w:sz w:val="28"/>
          <w:szCs w:val="28"/>
          <w:lang w:val="es-ES"/>
        </w:rPr>
        <w:t>se extend</w:t>
      </w:r>
      <w:r>
        <w:rPr>
          <w:rFonts w:ascii="Arial Narrow" w:hAnsi="Arial Narrow" w:cs="Arial"/>
          <w:sz w:val="28"/>
          <w:szCs w:val="28"/>
          <w:lang w:val="es-ES"/>
        </w:rPr>
        <w:t xml:space="preserve">ería </w:t>
      </w:r>
      <w:r w:rsidR="005E6280" w:rsidRPr="005E6280">
        <w:rPr>
          <w:rFonts w:ascii="Arial Narrow" w:hAnsi="Arial Narrow" w:cs="Arial"/>
          <w:sz w:val="28"/>
          <w:szCs w:val="28"/>
          <w:lang w:val="es-ES"/>
        </w:rPr>
        <w:t>hasta el año 2014.</w:t>
      </w:r>
    </w:p>
    <w:p w:rsidR="005E6280" w:rsidRDefault="005E6280" w:rsidP="00182285">
      <w:pPr>
        <w:pStyle w:val="Sinespaciado"/>
        <w:rPr>
          <w:lang w:val="es-ES"/>
        </w:rPr>
      </w:pPr>
    </w:p>
    <w:p w:rsidR="0010296E" w:rsidRDefault="00182285" w:rsidP="005E6280">
      <w:pPr>
        <w:autoSpaceDE w:val="0"/>
        <w:autoSpaceDN w:val="0"/>
        <w:adjustRightInd w:val="0"/>
        <w:spacing w:line="360" w:lineRule="auto"/>
        <w:ind w:firstLine="851"/>
        <w:jc w:val="both"/>
        <w:rPr>
          <w:rFonts w:ascii="Arial Narrow" w:hAnsi="Arial Narrow" w:cs="Arial"/>
          <w:sz w:val="28"/>
          <w:szCs w:val="28"/>
          <w:lang w:val="es-ES"/>
        </w:rPr>
      </w:pPr>
      <w:r w:rsidRPr="00182285">
        <w:rPr>
          <w:rFonts w:ascii="Arial Narrow" w:hAnsi="Arial Narrow" w:cs="Arial"/>
          <w:sz w:val="28"/>
          <w:szCs w:val="28"/>
          <w:lang w:val="es-ES"/>
        </w:rPr>
        <w:t>En el sub-lite, no es objeto de discusión que el demandante nació el 22 de mayo de 1944</w:t>
      </w:r>
      <w:r w:rsidR="0010296E">
        <w:rPr>
          <w:rFonts w:ascii="Arial Narrow" w:hAnsi="Arial Narrow" w:cs="Arial"/>
          <w:sz w:val="28"/>
          <w:szCs w:val="28"/>
          <w:lang w:val="es-ES"/>
        </w:rPr>
        <w:t xml:space="preserve">, </w:t>
      </w:r>
      <w:r w:rsidRPr="00182285">
        <w:rPr>
          <w:rFonts w:ascii="Arial Narrow" w:hAnsi="Arial Narrow" w:cs="Arial"/>
          <w:sz w:val="28"/>
          <w:szCs w:val="28"/>
          <w:lang w:val="es-ES"/>
        </w:rPr>
        <w:t xml:space="preserve">y </w:t>
      </w:r>
      <w:r w:rsidR="0010296E">
        <w:rPr>
          <w:rFonts w:ascii="Arial Narrow" w:hAnsi="Arial Narrow" w:cs="Arial"/>
          <w:sz w:val="28"/>
          <w:szCs w:val="28"/>
          <w:lang w:val="es-ES"/>
        </w:rPr>
        <w:t xml:space="preserve">que </w:t>
      </w:r>
      <w:r w:rsidRPr="00182285">
        <w:rPr>
          <w:rFonts w:ascii="Arial Narrow" w:hAnsi="Arial Narrow" w:cs="Arial"/>
          <w:sz w:val="28"/>
          <w:szCs w:val="28"/>
          <w:lang w:val="es-ES"/>
        </w:rPr>
        <w:t>por tanto, al 1º de abril de 1994 contaba con más de 40 años de edad</w:t>
      </w:r>
      <w:r>
        <w:rPr>
          <w:rFonts w:ascii="Arial Narrow" w:hAnsi="Arial Narrow" w:cs="Arial"/>
          <w:sz w:val="28"/>
          <w:szCs w:val="28"/>
          <w:lang w:val="es-ES"/>
        </w:rPr>
        <w:t>, siendo entonces, en principio, beneficiario del</w:t>
      </w:r>
      <w:r w:rsidR="00F1429A">
        <w:rPr>
          <w:rFonts w:ascii="Arial Narrow" w:hAnsi="Arial Narrow" w:cs="Arial"/>
          <w:sz w:val="28"/>
          <w:szCs w:val="28"/>
          <w:lang w:val="es-ES"/>
        </w:rPr>
        <w:t xml:space="preserve"> aludido </w:t>
      </w:r>
      <w:r>
        <w:rPr>
          <w:rFonts w:ascii="Arial Narrow" w:hAnsi="Arial Narrow" w:cs="Arial"/>
          <w:sz w:val="28"/>
          <w:szCs w:val="28"/>
          <w:lang w:val="es-ES"/>
        </w:rPr>
        <w:t>régimen de transici</w:t>
      </w:r>
      <w:r w:rsidR="00DC4D95">
        <w:rPr>
          <w:rFonts w:ascii="Arial Narrow" w:hAnsi="Arial Narrow" w:cs="Arial"/>
          <w:sz w:val="28"/>
          <w:szCs w:val="28"/>
          <w:lang w:val="es-ES"/>
        </w:rPr>
        <w:t>ón, por lo menos hasta el 31</w:t>
      </w:r>
      <w:r w:rsidR="0010296E">
        <w:rPr>
          <w:rFonts w:ascii="Arial Narrow" w:hAnsi="Arial Narrow" w:cs="Arial"/>
          <w:sz w:val="28"/>
          <w:szCs w:val="28"/>
          <w:lang w:val="es-ES"/>
        </w:rPr>
        <w:t xml:space="preserve"> de julio de 2010, pues adquirió la edad </w:t>
      </w:r>
      <w:r w:rsidR="00DC4D95">
        <w:rPr>
          <w:rFonts w:ascii="Arial Narrow" w:hAnsi="Arial Narrow" w:cs="Arial"/>
          <w:sz w:val="28"/>
          <w:szCs w:val="28"/>
          <w:lang w:val="es-ES"/>
        </w:rPr>
        <w:t xml:space="preserve">mínima para pensión </w:t>
      </w:r>
      <w:r w:rsidR="0010296E">
        <w:rPr>
          <w:rFonts w:ascii="Arial Narrow" w:hAnsi="Arial Narrow" w:cs="Arial"/>
          <w:sz w:val="28"/>
          <w:szCs w:val="28"/>
          <w:lang w:val="es-ES"/>
        </w:rPr>
        <w:t xml:space="preserve">el 22 de mayo de 2004. </w:t>
      </w:r>
    </w:p>
    <w:p w:rsidR="00AB7FF1" w:rsidRDefault="00AB7FF1" w:rsidP="00AB7FF1">
      <w:pPr>
        <w:pStyle w:val="Sinespaciado"/>
        <w:rPr>
          <w:lang w:val="es-ES"/>
        </w:rPr>
      </w:pPr>
    </w:p>
    <w:p w:rsidR="00AB7FF1" w:rsidRDefault="00AB7FF1" w:rsidP="00AB7FF1">
      <w:pPr>
        <w:spacing w:line="360" w:lineRule="auto"/>
        <w:ind w:firstLine="851"/>
        <w:jc w:val="both"/>
        <w:rPr>
          <w:rFonts w:ascii="Arial Narrow" w:hAnsi="Arial Narrow" w:cs="Arial"/>
          <w:sz w:val="28"/>
          <w:szCs w:val="28"/>
          <w:lang w:val="es-ES"/>
        </w:rPr>
      </w:pPr>
      <w:r>
        <w:rPr>
          <w:rFonts w:ascii="Arial Narrow" w:hAnsi="Arial Narrow" w:cs="Arial"/>
          <w:spacing w:val="-3"/>
          <w:sz w:val="28"/>
          <w:szCs w:val="28"/>
        </w:rPr>
        <w:t>En efecto, al verificar si al 31 de julio de 2010 el actor colmaba el requisito de las 500 semanas durante los 20 años anteriores al cumplimiento de la edad mínima, o 1000 en cualquier tiempo, acorde con el Decreto 758 de 1990, se tiene que el total de cotizaciones apenas asciende a 818.14 semanas, de las cuales sólo 170.85 lo fueron</w:t>
      </w:r>
      <w:r w:rsidR="0010296E">
        <w:rPr>
          <w:rFonts w:ascii="Arial Narrow" w:hAnsi="Arial Narrow" w:cs="Arial"/>
          <w:sz w:val="28"/>
          <w:szCs w:val="28"/>
          <w:lang w:val="es-ES"/>
        </w:rPr>
        <w:t xml:space="preserve"> en los 20 años anteriores al cumplimiento de la edad mínima, esto es, entre el 22 de mayo de 2004 y ese mismo d</w:t>
      </w:r>
      <w:r>
        <w:rPr>
          <w:rFonts w:ascii="Arial Narrow" w:hAnsi="Arial Narrow" w:cs="Arial"/>
          <w:sz w:val="28"/>
          <w:szCs w:val="28"/>
          <w:lang w:val="es-ES"/>
        </w:rPr>
        <w:t xml:space="preserve">ía y mes de 1984. </w:t>
      </w:r>
    </w:p>
    <w:p w:rsidR="00AB7FF1" w:rsidRPr="00AB7FF1" w:rsidRDefault="00AB7FF1" w:rsidP="00AB7FF1">
      <w:pPr>
        <w:pStyle w:val="Sinespaciado"/>
        <w:rPr>
          <w:sz w:val="28"/>
          <w:szCs w:val="28"/>
          <w:lang w:val="es-ES"/>
        </w:rPr>
      </w:pPr>
    </w:p>
    <w:p w:rsidR="00DC4D95" w:rsidRDefault="00AB7FF1" w:rsidP="00872DE4">
      <w:pPr>
        <w:spacing w:line="360" w:lineRule="auto"/>
        <w:ind w:firstLine="851"/>
        <w:jc w:val="both"/>
        <w:rPr>
          <w:rFonts w:ascii="Arial Narrow" w:hAnsi="Arial Narrow" w:cs="Arial"/>
          <w:sz w:val="28"/>
          <w:szCs w:val="28"/>
          <w:lang w:val="es-ES"/>
        </w:rPr>
      </w:pPr>
      <w:r w:rsidRPr="00157F13">
        <w:rPr>
          <w:rFonts w:ascii="Arial Narrow" w:hAnsi="Arial Narrow" w:cs="Arial"/>
          <w:sz w:val="28"/>
          <w:szCs w:val="28"/>
          <w:lang w:val="es-ES"/>
        </w:rPr>
        <w:t xml:space="preserve">Por ende, era menester que </w:t>
      </w:r>
      <w:r w:rsidR="00F1429A" w:rsidRPr="00157F13">
        <w:rPr>
          <w:rFonts w:ascii="Arial Narrow" w:hAnsi="Arial Narrow" w:cs="Arial"/>
          <w:sz w:val="28"/>
          <w:szCs w:val="28"/>
          <w:lang w:val="es-ES"/>
        </w:rPr>
        <w:t xml:space="preserve">el demandante </w:t>
      </w:r>
      <w:r w:rsidRPr="00157F13">
        <w:rPr>
          <w:rFonts w:ascii="Arial Narrow" w:hAnsi="Arial Narrow" w:cs="Arial"/>
          <w:sz w:val="28"/>
          <w:szCs w:val="28"/>
          <w:lang w:val="es-ES"/>
        </w:rPr>
        <w:t xml:space="preserve">aglutinara a </w:t>
      </w:r>
      <w:r w:rsidR="00F1429A" w:rsidRPr="00157F13">
        <w:rPr>
          <w:rFonts w:ascii="Arial Narrow" w:hAnsi="Arial Narrow" w:cs="Arial"/>
          <w:sz w:val="28"/>
          <w:szCs w:val="28"/>
          <w:lang w:val="es-ES"/>
        </w:rPr>
        <w:t xml:space="preserve">la fecha de expedición del Acto Legislativo 01/05, es decir, al 29 de julio de 2005, al menos 750 semanas o su equivalente en servicios, en orden a que los beneficios del régimen de transición le </w:t>
      </w:r>
      <w:r w:rsidR="00F1429A" w:rsidRPr="00101FD3">
        <w:rPr>
          <w:rFonts w:ascii="Arial Narrow" w:hAnsi="Arial Narrow" w:cs="Arial"/>
          <w:sz w:val="28"/>
          <w:szCs w:val="28"/>
          <w:lang w:val="es-ES"/>
        </w:rPr>
        <w:t xml:space="preserve">fueran extendidos hasta el 31 de diciembre de 2014. </w:t>
      </w:r>
      <w:r w:rsidRPr="00101FD3">
        <w:rPr>
          <w:rFonts w:ascii="Arial Narrow" w:hAnsi="Arial Narrow" w:cs="Arial"/>
          <w:sz w:val="28"/>
          <w:szCs w:val="28"/>
          <w:lang w:val="es-ES"/>
        </w:rPr>
        <w:t>Verificado tal presupuesto, encuentra la Sala que el actor únicamente reporta</w:t>
      </w:r>
      <w:r w:rsidR="00211DCF" w:rsidRPr="00101FD3">
        <w:rPr>
          <w:rFonts w:ascii="Arial Narrow" w:hAnsi="Arial Narrow" w:cs="Arial"/>
          <w:sz w:val="28"/>
          <w:szCs w:val="28"/>
          <w:lang w:val="es-ES"/>
        </w:rPr>
        <w:t xml:space="preserve">ba a esa calenda un total de </w:t>
      </w:r>
      <w:r w:rsidR="00C37E28" w:rsidRPr="00101FD3">
        <w:rPr>
          <w:rFonts w:ascii="Arial Narrow" w:hAnsi="Arial Narrow" w:cs="Arial"/>
          <w:sz w:val="28"/>
          <w:szCs w:val="28"/>
          <w:lang w:val="es-ES"/>
        </w:rPr>
        <w:t>576.76</w:t>
      </w:r>
      <w:r w:rsidR="00211DCF" w:rsidRPr="00101FD3">
        <w:rPr>
          <w:rFonts w:ascii="Arial Narrow" w:hAnsi="Arial Narrow" w:cs="Arial"/>
          <w:sz w:val="28"/>
          <w:szCs w:val="28"/>
          <w:lang w:val="es-ES"/>
        </w:rPr>
        <w:t xml:space="preserve"> semanas</w:t>
      </w:r>
      <w:r w:rsidR="00C5039A" w:rsidRPr="00101FD3">
        <w:rPr>
          <w:rFonts w:ascii="Arial Narrow" w:hAnsi="Arial Narrow" w:cs="Arial"/>
          <w:sz w:val="28"/>
          <w:szCs w:val="28"/>
          <w:lang w:val="es-ES"/>
        </w:rPr>
        <w:t xml:space="preserve">, </w:t>
      </w:r>
      <w:r w:rsidR="00101FD3" w:rsidRPr="00101FD3">
        <w:rPr>
          <w:rFonts w:ascii="Arial Narrow" w:hAnsi="Arial Narrow" w:cs="Arial"/>
          <w:sz w:val="28"/>
          <w:szCs w:val="28"/>
          <w:lang w:val="es-ES"/>
        </w:rPr>
        <w:t>por lo que se concluye que perdió el derecho al régimen de transición del artículo 36 de la Ley 100 de 1993, y en consecuencia, no podía pretender su pensión de vejez al amparo del Acuerdo 049 de 1990</w:t>
      </w:r>
      <w:r w:rsidR="00CF4D44">
        <w:rPr>
          <w:rFonts w:ascii="Arial Narrow" w:hAnsi="Arial Narrow" w:cs="Arial"/>
          <w:sz w:val="28"/>
          <w:szCs w:val="28"/>
          <w:lang w:val="es-ES"/>
        </w:rPr>
        <w:t xml:space="preserve">, tal cual lo concluyó la a-quo. </w:t>
      </w:r>
    </w:p>
    <w:p w:rsidR="00157F13" w:rsidRDefault="00157F13" w:rsidP="00157F13">
      <w:pPr>
        <w:pStyle w:val="Sinespaciado"/>
        <w:rPr>
          <w:lang w:val="es-ES"/>
        </w:rPr>
      </w:pPr>
    </w:p>
    <w:p w:rsidR="004269FB" w:rsidRDefault="00CF4D44" w:rsidP="00101FD3">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Y es que </w:t>
      </w:r>
      <w:r w:rsidR="0034141F">
        <w:rPr>
          <w:rFonts w:ascii="Arial Narrow" w:hAnsi="Arial Narrow" w:cs="Arial"/>
          <w:sz w:val="28"/>
          <w:szCs w:val="28"/>
          <w:lang w:val="es-ES"/>
        </w:rPr>
        <w:t>vale decir</w:t>
      </w:r>
      <w:r w:rsidR="00157F13" w:rsidRPr="00D066CC">
        <w:rPr>
          <w:rFonts w:ascii="Arial Narrow" w:hAnsi="Arial Narrow" w:cs="Arial"/>
          <w:sz w:val="28"/>
          <w:szCs w:val="28"/>
          <w:lang w:val="es-ES"/>
        </w:rPr>
        <w:t xml:space="preserve">, que el cumplir con alguno de los requisitos consagrados en el artículo 36 de la Ley 100 de 1993 para acceder al régimen de transición, no implica </w:t>
      </w:r>
      <w:r w:rsidR="00157F13" w:rsidRPr="00D066CC">
        <w:rPr>
          <w:rFonts w:ascii="Arial Narrow" w:hAnsi="Arial Narrow" w:cs="Arial"/>
          <w:sz w:val="28"/>
          <w:szCs w:val="28"/>
          <w:lang w:val="es-ES"/>
        </w:rPr>
        <w:lastRenderedPageBreak/>
        <w:t>el mantenimiento pétreo e indefinido de tales condiciones, como lo parece entender la apelante, sino que le garantizaba que, en un espacio temporal que se concretó con el Acto Legislativo 01 de 2005, se le respetaran y mantuvieran las condiciones pensionales del régimen anterior que tuviere, pero siempre con la carga de cumplir con las exigencias legales en un lapso determinado.</w:t>
      </w:r>
      <w:r w:rsidR="00101FD3" w:rsidRPr="00D066CC">
        <w:rPr>
          <w:rFonts w:ascii="Arial Narrow" w:hAnsi="Arial Narrow" w:cs="Arial"/>
          <w:sz w:val="28"/>
          <w:szCs w:val="28"/>
          <w:lang w:val="es-ES"/>
        </w:rPr>
        <w:t xml:space="preserve"> </w:t>
      </w:r>
    </w:p>
    <w:p w:rsidR="004269FB" w:rsidRDefault="004269FB" w:rsidP="004269FB">
      <w:pPr>
        <w:pStyle w:val="Sinespaciado"/>
        <w:rPr>
          <w:lang w:val="es-ES"/>
        </w:rPr>
      </w:pPr>
    </w:p>
    <w:p w:rsidR="00EF3DB0" w:rsidRDefault="00EF3DB0" w:rsidP="00101FD3">
      <w:pPr>
        <w:autoSpaceDE w:val="0"/>
        <w:autoSpaceDN w:val="0"/>
        <w:adjustRightInd w:val="0"/>
        <w:spacing w:line="360" w:lineRule="auto"/>
        <w:ind w:firstLine="851"/>
        <w:jc w:val="both"/>
        <w:rPr>
          <w:rFonts w:ascii="Arial Narrow" w:hAnsi="Arial Narrow" w:cs="Arial"/>
          <w:sz w:val="28"/>
          <w:szCs w:val="28"/>
          <w:lang w:val="es-ES"/>
        </w:rPr>
      </w:pPr>
      <w:r w:rsidRPr="00D066CC">
        <w:rPr>
          <w:rFonts w:ascii="Arial Narrow" w:hAnsi="Arial Narrow" w:cs="Arial"/>
          <w:sz w:val="28"/>
          <w:szCs w:val="28"/>
          <w:lang w:val="es-ES"/>
        </w:rPr>
        <w:t>A</w:t>
      </w:r>
      <w:r w:rsidR="0061540E">
        <w:rPr>
          <w:rFonts w:ascii="Arial Narrow" w:hAnsi="Arial Narrow" w:cs="Arial"/>
          <w:sz w:val="28"/>
          <w:szCs w:val="28"/>
          <w:lang w:val="es-ES"/>
        </w:rPr>
        <w:t xml:space="preserve">l respecto, la sentencia </w:t>
      </w:r>
      <w:r w:rsidR="00101FD3" w:rsidRPr="00D066CC">
        <w:rPr>
          <w:rFonts w:ascii="Arial Narrow" w:hAnsi="Arial Narrow" w:cs="Arial"/>
          <w:sz w:val="28"/>
          <w:szCs w:val="28"/>
          <w:lang w:val="es-ES"/>
        </w:rPr>
        <w:t>SL 19568 de 2017</w:t>
      </w:r>
      <w:r w:rsidR="0061540E">
        <w:rPr>
          <w:rFonts w:ascii="Arial Narrow" w:hAnsi="Arial Narrow" w:cs="Arial"/>
          <w:sz w:val="28"/>
          <w:szCs w:val="28"/>
          <w:lang w:val="es-ES"/>
        </w:rPr>
        <w:t xml:space="preserve">, </w:t>
      </w:r>
      <w:r w:rsidR="00AC1483">
        <w:rPr>
          <w:rFonts w:ascii="Arial Narrow" w:hAnsi="Arial Narrow" w:cs="Arial"/>
          <w:sz w:val="28"/>
          <w:szCs w:val="28"/>
          <w:lang w:val="es-ES"/>
        </w:rPr>
        <w:t xml:space="preserve">del órgano de cierre de esta especialidad laboral precisó claramente que: </w:t>
      </w:r>
    </w:p>
    <w:p w:rsidR="004269FB" w:rsidRDefault="004269FB" w:rsidP="004269FB">
      <w:pPr>
        <w:pStyle w:val="Sinespaciado"/>
        <w:rPr>
          <w:lang w:val="es-ES"/>
        </w:rPr>
      </w:pPr>
    </w:p>
    <w:p w:rsidR="00AC1483" w:rsidRPr="0073739C" w:rsidRDefault="00AC1483" w:rsidP="00AC1483">
      <w:pPr>
        <w:autoSpaceDE w:val="0"/>
        <w:autoSpaceDN w:val="0"/>
        <w:adjustRightInd w:val="0"/>
        <w:ind w:firstLine="851"/>
        <w:jc w:val="both"/>
        <w:rPr>
          <w:rFonts w:ascii="Arial Narrow" w:hAnsi="Arial Narrow" w:cs="Arial"/>
          <w:i/>
          <w:sz w:val="29"/>
          <w:szCs w:val="29"/>
          <w:lang w:val="es-ES"/>
        </w:rPr>
      </w:pPr>
      <w:r>
        <w:rPr>
          <w:rFonts w:ascii="Arial Narrow" w:hAnsi="Arial Narrow" w:cs="Arial"/>
          <w:sz w:val="28"/>
          <w:szCs w:val="28"/>
          <w:lang w:val="es-ES"/>
        </w:rPr>
        <w:t>“</w:t>
      </w:r>
      <w:r w:rsidRPr="0073739C">
        <w:rPr>
          <w:rFonts w:ascii="Arial Narrow" w:hAnsi="Arial Narrow" w:cs="Arial"/>
          <w:i/>
          <w:sz w:val="29"/>
          <w:szCs w:val="29"/>
          <w:lang w:val="es-ES"/>
        </w:rPr>
        <w:t>el citado Acto Legislativo fue el que dio precisión al término de vigencia del régimen de transición, dejando claro que éste fenecía el 31 de julio de 2010, habilitando como término último de adquisición del derecho el 31 de diciembre de 2014, para quienes contaban al momento de su vigencia por lo menos con 750 semanas de cotización.</w:t>
      </w:r>
    </w:p>
    <w:p w:rsidR="00AC1483" w:rsidRDefault="00AC1483" w:rsidP="00AC1483">
      <w:pPr>
        <w:autoSpaceDE w:val="0"/>
        <w:autoSpaceDN w:val="0"/>
        <w:adjustRightInd w:val="0"/>
        <w:ind w:firstLine="851"/>
        <w:jc w:val="both"/>
        <w:rPr>
          <w:rFonts w:ascii="Arial Narrow" w:hAnsi="Arial Narrow" w:cs="Arial"/>
          <w:b/>
          <w:i/>
          <w:sz w:val="29"/>
          <w:szCs w:val="29"/>
          <w:lang w:val="es-ES"/>
        </w:rPr>
      </w:pPr>
      <w:r w:rsidRPr="00E67D5B">
        <w:rPr>
          <w:rFonts w:ascii="Arial Narrow" w:hAnsi="Arial Narrow" w:cs="Arial"/>
          <w:i/>
          <w:sz w:val="29"/>
          <w:szCs w:val="29"/>
          <w:lang w:val="es-ES"/>
        </w:rPr>
        <w:t xml:space="preserve">De otra parte, vale la pena señalar que aunque el principio de confianza legítima busca amparar la expectativa legítima del administrado, para que determinada situación de hecho o regulación jurídica no sea modificada intempestivamente, </w:t>
      </w:r>
      <w:r w:rsidRPr="00E67D5B">
        <w:rPr>
          <w:rFonts w:ascii="Arial Narrow" w:hAnsi="Arial Narrow" w:cs="Arial"/>
          <w:b/>
          <w:i/>
          <w:sz w:val="29"/>
          <w:szCs w:val="29"/>
          <w:lang w:val="es-ES"/>
        </w:rPr>
        <w:t>ello no quiere decir que el legislador esté obligado a mantenerla en el tiempo, pues la podrá modificar “bajo parámetros de justicia y de equidad que la Constitución le fija para el cumplimiento cabal de sus funciones” (CC C-428-2009).</w:t>
      </w:r>
      <w:r>
        <w:rPr>
          <w:rFonts w:ascii="Arial Narrow" w:hAnsi="Arial Narrow" w:cs="Arial"/>
          <w:b/>
          <w:i/>
          <w:sz w:val="29"/>
          <w:szCs w:val="29"/>
          <w:lang w:val="es-ES"/>
        </w:rPr>
        <w:t>”</w:t>
      </w:r>
    </w:p>
    <w:p w:rsidR="00AC1483" w:rsidRPr="00E67D5B" w:rsidRDefault="00AC1483" w:rsidP="002E1A38">
      <w:pPr>
        <w:pStyle w:val="Sinespaciado"/>
        <w:rPr>
          <w:lang w:val="es-ES"/>
        </w:rPr>
      </w:pPr>
    </w:p>
    <w:p w:rsidR="00AC1483" w:rsidRPr="002E1A38" w:rsidRDefault="00AC1483" w:rsidP="002E1A38">
      <w:pPr>
        <w:pStyle w:val="Sinespaciado"/>
      </w:pPr>
    </w:p>
    <w:p w:rsidR="007747AE" w:rsidRDefault="00AC1483" w:rsidP="007747AE">
      <w:pPr>
        <w:spacing w:line="360" w:lineRule="auto"/>
        <w:ind w:firstLine="708"/>
        <w:jc w:val="both"/>
        <w:rPr>
          <w:rFonts w:ascii="Arial Narrow" w:hAnsi="Arial Narrow" w:cs="Arial"/>
          <w:spacing w:val="-3"/>
          <w:sz w:val="28"/>
          <w:szCs w:val="28"/>
        </w:rPr>
      </w:pPr>
      <w:r>
        <w:rPr>
          <w:rFonts w:ascii="Arial Narrow" w:hAnsi="Arial Narrow" w:cs="Arial"/>
          <w:sz w:val="28"/>
          <w:szCs w:val="28"/>
          <w:lang w:val="es-ES"/>
        </w:rPr>
        <w:t>A</w:t>
      </w:r>
      <w:r w:rsidR="002E1A38">
        <w:rPr>
          <w:rFonts w:ascii="Arial Narrow" w:hAnsi="Arial Narrow" w:cs="Arial"/>
          <w:sz w:val="28"/>
          <w:szCs w:val="28"/>
          <w:lang w:val="es-ES"/>
        </w:rPr>
        <w:t xml:space="preserve">hora bien, </w:t>
      </w:r>
      <w:r w:rsidR="001B3B3A">
        <w:rPr>
          <w:rFonts w:ascii="Arial Narrow" w:hAnsi="Arial Narrow" w:cs="Arial"/>
          <w:sz w:val="28"/>
          <w:szCs w:val="28"/>
          <w:lang w:val="es-ES"/>
        </w:rPr>
        <w:t xml:space="preserve">teniendo en cuenta que </w:t>
      </w:r>
      <w:r>
        <w:rPr>
          <w:rFonts w:ascii="Arial Narrow" w:hAnsi="Arial Narrow" w:cs="Arial"/>
          <w:sz w:val="28"/>
          <w:szCs w:val="28"/>
          <w:lang w:val="es-ES"/>
        </w:rPr>
        <w:t xml:space="preserve">el demandante </w:t>
      </w:r>
      <w:r w:rsidR="002E1A38">
        <w:rPr>
          <w:rFonts w:ascii="Arial Narrow" w:hAnsi="Arial Narrow" w:cs="Arial"/>
          <w:sz w:val="28"/>
          <w:szCs w:val="28"/>
          <w:lang w:val="es-ES"/>
        </w:rPr>
        <w:t>no reunió ninguno de los requisitos para obtener la prestaci</w:t>
      </w:r>
      <w:r w:rsidR="001B3B3A">
        <w:rPr>
          <w:rFonts w:ascii="Arial Narrow" w:hAnsi="Arial Narrow" w:cs="Arial"/>
          <w:sz w:val="28"/>
          <w:szCs w:val="28"/>
          <w:lang w:val="es-ES"/>
        </w:rPr>
        <w:t xml:space="preserve">ón pensional </w:t>
      </w:r>
      <w:r w:rsidR="002E1A38">
        <w:rPr>
          <w:rFonts w:ascii="Arial Narrow" w:hAnsi="Arial Narrow" w:cs="Arial"/>
          <w:sz w:val="28"/>
          <w:szCs w:val="28"/>
          <w:lang w:val="es-ES"/>
        </w:rPr>
        <w:t xml:space="preserve">antes de que entrara a regir la Ley 797 de 2003, </w:t>
      </w:r>
      <w:r w:rsidR="001B3B3A">
        <w:rPr>
          <w:rFonts w:ascii="Arial Narrow" w:hAnsi="Arial Narrow" w:cs="Arial"/>
          <w:spacing w:val="-3"/>
          <w:sz w:val="28"/>
          <w:szCs w:val="28"/>
        </w:rPr>
        <w:t xml:space="preserve">ninguna expectativa legitima puede constituir el periodo de la ley, en que aún no había empezado a correr </w:t>
      </w:r>
      <w:r w:rsidR="0034141F">
        <w:rPr>
          <w:rFonts w:ascii="Arial Narrow" w:hAnsi="Arial Narrow" w:cs="Arial"/>
          <w:spacing w:val="-3"/>
          <w:sz w:val="28"/>
          <w:szCs w:val="28"/>
        </w:rPr>
        <w:t>la gradualidad impuesta en su propio texto</w:t>
      </w:r>
      <w:r w:rsidR="001B3B3A">
        <w:rPr>
          <w:rFonts w:ascii="Arial Narrow" w:hAnsi="Arial Narrow" w:cs="Arial"/>
          <w:spacing w:val="-3"/>
          <w:sz w:val="28"/>
          <w:szCs w:val="28"/>
        </w:rPr>
        <w:t xml:space="preserve">, por cuanto desde el mismo instante en que entró en vigor </w:t>
      </w:r>
      <w:r w:rsidR="0034141F">
        <w:rPr>
          <w:rFonts w:ascii="Arial Narrow" w:hAnsi="Arial Narrow" w:cs="Arial"/>
          <w:spacing w:val="-3"/>
          <w:sz w:val="28"/>
          <w:szCs w:val="28"/>
        </w:rPr>
        <w:t>dicho precepto normativo</w:t>
      </w:r>
      <w:r w:rsidR="001B3B3A">
        <w:rPr>
          <w:rFonts w:ascii="Arial Narrow" w:hAnsi="Arial Narrow" w:cs="Arial"/>
          <w:spacing w:val="-3"/>
          <w:sz w:val="28"/>
          <w:szCs w:val="28"/>
        </w:rPr>
        <w:t xml:space="preserve">, </w:t>
      </w:r>
      <w:r w:rsidR="00CF4D44">
        <w:rPr>
          <w:rFonts w:ascii="Arial Narrow" w:hAnsi="Arial Narrow" w:cs="Arial"/>
          <w:spacing w:val="-3"/>
          <w:sz w:val="28"/>
          <w:szCs w:val="28"/>
        </w:rPr>
        <w:t xml:space="preserve">el actor </w:t>
      </w:r>
      <w:r w:rsidR="001B3B3A">
        <w:rPr>
          <w:rFonts w:ascii="Arial Narrow" w:hAnsi="Arial Narrow" w:cs="Arial"/>
          <w:spacing w:val="-3"/>
          <w:sz w:val="28"/>
          <w:szCs w:val="28"/>
        </w:rPr>
        <w:t xml:space="preserve">conocía las condiciones en torno a la viabilidad de la prestación reclamada. </w:t>
      </w:r>
      <w:r w:rsidR="007747AE">
        <w:rPr>
          <w:rFonts w:ascii="Arial Narrow" w:hAnsi="Arial Narrow" w:cs="Arial"/>
          <w:spacing w:val="-3"/>
          <w:sz w:val="28"/>
          <w:szCs w:val="28"/>
        </w:rPr>
        <w:t xml:space="preserve">Así lo decantó el órgano de cierre de la especialidad laboral en sentencia SL 7039 del 5 de abril de 2017, radicado 73273 en los siguientes términos: </w:t>
      </w:r>
    </w:p>
    <w:p w:rsidR="007747AE" w:rsidRPr="00FB0B60" w:rsidRDefault="007747AE" w:rsidP="007747AE">
      <w:pPr>
        <w:pStyle w:val="Sinespaciado"/>
        <w:rPr>
          <w:lang w:val="es-ES"/>
        </w:rPr>
      </w:pPr>
      <w:r w:rsidRPr="00FB0B60">
        <w:rPr>
          <w:lang w:val="es-ES"/>
        </w:rPr>
        <w:t xml:space="preserve"> </w:t>
      </w:r>
    </w:p>
    <w:p w:rsidR="007747AE" w:rsidRPr="00FB0B60" w:rsidRDefault="007747AE" w:rsidP="007747AE">
      <w:pPr>
        <w:spacing w:line="276" w:lineRule="auto"/>
        <w:ind w:left="142" w:firstLine="566"/>
        <w:jc w:val="both"/>
        <w:rPr>
          <w:rFonts w:ascii="Arial Narrow" w:hAnsi="Arial Narrow" w:cs="Arial"/>
          <w:i/>
          <w:spacing w:val="-3"/>
          <w:sz w:val="28"/>
          <w:szCs w:val="28"/>
        </w:rPr>
      </w:pPr>
      <w:r>
        <w:rPr>
          <w:rFonts w:ascii="Arial Narrow" w:hAnsi="Arial Narrow" w:cs="Arial"/>
          <w:spacing w:val="-3"/>
          <w:sz w:val="28"/>
          <w:szCs w:val="28"/>
        </w:rPr>
        <w:t xml:space="preserve">“(…) </w:t>
      </w:r>
      <w:r w:rsidRPr="00FB0B60">
        <w:rPr>
          <w:rFonts w:ascii="Arial Narrow" w:hAnsi="Arial Narrow"/>
          <w:i/>
          <w:sz w:val="28"/>
          <w:szCs w:val="28"/>
        </w:rPr>
        <w:t>quienes antes del 29 de enero de 2003 no habían adquirido el derecho a la pensión de vejez, pues no habían satisfecho los requisitos consagrados en el artículo 33 original de la Ley 100 de 1993, quedaron sometidos a las exigencias del artículo 9 de la Ley 797 de 2003, según la cual los afiliados que no alcanzaron a cotizar 1000 semanas antes de que terminara el año 2005, deben acreditar la densidad de aportes con los incrementos que estatuyó dicha regla de derecho”</w:t>
      </w:r>
    </w:p>
    <w:p w:rsidR="001B3B3A" w:rsidRDefault="001B3B3A" w:rsidP="004A142A">
      <w:pPr>
        <w:pStyle w:val="Sinespaciado"/>
      </w:pPr>
    </w:p>
    <w:p w:rsidR="004269FB" w:rsidRDefault="004269FB" w:rsidP="004A142A">
      <w:pPr>
        <w:pStyle w:val="Sinespaciado"/>
      </w:pPr>
    </w:p>
    <w:p w:rsidR="004A142A" w:rsidRDefault="004A142A" w:rsidP="00EC192D">
      <w:pPr>
        <w:spacing w:line="360" w:lineRule="auto"/>
        <w:ind w:firstLine="851"/>
        <w:jc w:val="both"/>
        <w:rPr>
          <w:rFonts w:ascii="Arial Narrow" w:hAnsi="Arial Narrow" w:cs="Arial"/>
          <w:sz w:val="28"/>
          <w:szCs w:val="28"/>
          <w:lang w:val="es-ES"/>
        </w:rPr>
      </w:pPr>
      <w:r>
        <w:rPr>
          <w:rFonts w:ascii="Arial Narrow" w:hAnsi="Arial Narrow" w:cs="Arial"/>
          <w:spacing w:val="-3"/>
          <w:sz w:val="28"/>
          <w:szCs w:val="28"/>
        </w:rPr>
        <w:t xml:space="preserve">En ese orden, no erró la sentenciadora de primer grado cuando concluyó que la situación pensional del demandante estaba regida en su integridad por la Ley 797 de 2003, pues una vez </w:t>
      </w:r>
      <w:r w:rsidRPr="00EC192D">
        <w:rPr>
          <w:rFonts w:ascii="Arial Narrow" w:hAnsi="Arial Narrow" w:cs="Arial"/>
          <w:spacing w:val="-3"/>
          <w:sz w:val="28"/>
          <w:szCs w:val="28"/>
        </w:rPr>
        <w:t xml:space="preserve">cumplió la edad el 22 de mayo de 2004, quedó a la espera de cumplir el número de aportes con los cuales obtendría su pensión de vejez, acorde con la escala implementada por la Ley 797 a partir de 1 de enero de 2005, los cuales valga anotar, </w:t>
      </w:r>
      <w:r w:rsidR="00A97F61" w:rsidRPr="00EC192D">
        <w:rPr>
          <w:rFonts w:ascii="Arial Narrow" w:hAnsi="Arial Narrow" w:cs="Arial"/>
          <w:spacing w:val="-3"/>
          <w:sz w:val="28"/>
          <w:szCs w:val="28"/>
        </w:rPr>
        <w:t xml:space="preserve">no acreditó, por cuanto apenas cuenta con 1.070 semanas según el cuadro </w:t>
      </w:r>
      <w:r w:rsidR="00EC192D" w:rsidRPr="00EC192D">
        <w:rPr>
          <w:rFonts w:ascii="Arial Narrow" w:hAnsi="Arial Narrow" w:cs="Arial"/>
          <w:spacing w:val="-3"/>
          <w:sz w:val="28"/>
          <w:szCs w:val="28"/>
        </w:rPr>
        <w:t xml:space="preserve">de tiempo de servicios </w:t>
      </w:r>
      <w:r w:rsidR="00A97F61" w:rsidRPr="00EC192D">
        <w:rPr>
          <w:rFonts w:ascii="Arial Narrow" w:hAnsi="Arial Narrow" w:cs="Arial"/>
          <w:spacing w:val="-3"/>
          <w:sz w:val="28"/>
          <w:szCs w:val="28"/>
        </w:rPr>
        <w:t xml:space="preserve">anexo a la resolución GNR 214544 del 17 de julio de 2015, </w:t>
      </w:r>
      <w:r w:rsidRPr="00EC192D">
        <w:rPr>
          <w:rFonts w:ascii="Arial Narrow" w:hAnsi="Arial Narrow" w:cs="Arial"/>
          <w:sz w:val="28"/>
          <w:szCs w:val="28"/>
          <w:lang w:val="es-ES"/>
        </w:rPr>
        <w:t xml:space="preserve">cifra claramente inferior a </w:t>
      </w:r>
      <w:r w:rsidR="00EC192D">
        <w:rPr>
          <w:rFonts w:ascii="Arial Narrow" w:hAnsi="Arial Narrow" w:cs="Arial"/>
          <w:sz w:val="28"/>
          <w:szCs w:val="28"/>
          <w:lang w:val="es-ES"/>
        </w:rPr>
        <w:t xml:space="preserve">la exigida actualmente -1.300 semanas. </w:t>
      </w:r>
    </w:p>
    <w:p w:rsidR="004269FB" w:rsidRPr="00EC192D" w:rsidRDefault="004269FB" w:rsidP="004269FB">
      <w:pPr>
        <w:pStyle w:val="Sinespaciado"/>
      </w:pPr>
    </w:p>
    <w:p w:rsidR="00EC192D" w:rsidRPr="00EC192D" w:rsidRDefault="00EC192D" w:rsidP="00EC192D">
      <w:pPr>
        <w:autoSpaceDE w:val="0"/>
        <w:autoSpaceDN w:val="0"/>
        <w:adjustRightInd w:val="0"/>
        <w:spacing w:line="360" w:lineRule="auto"/>
        <w:ind w:firstLine="851"/>
        <w:jc w:val="both"/>
        <w:rPr>
          <w:rFonts w:ascii="Arial Narrow" w:hAnsi="Arial Narrow" w:cs="Arial"/>
          <w:sz w:val="28"/>
          <w:szCs w:val="28"/>
          <w:lang w:val="es-ES"/>
        </w:rPr>
      </w:pPr>
      <w:r w:rsidRPr="00EC192D">
        <w:rPr>
          <w:rFonts w:ascii="Arial Narrow" w:hAnsi="Arial Narrow" w:cs="Arial"/>
          <w:sz w:val="28"/>
          <w:szCs w:val="28"/>
          <w:lang w:val="es-ES"/>
        </w:rPr>
        <w:t>Por ende, la única vía posible es la de desestimar las pretensiones de la demanda, como lo indicó la a quo, debiéndose por ende confirmar la sentencia de primera instancia.</w:t>
      </w:r>
    </w:p>
    <w:p w:rsidR="00EC192D" w:rsidRPr="00EC192D" w:rsidRDefault="00EC192D" w:rsidP="00EC192D">
      <w:pPr>
        <w:autoSpaceDE w:val="0"/>
        <w:autoSpaceDN w:val="0"/>
        <w:adjustRightInd w:val="0"/>
        <w:spacing w:line="360" w:lineRule="auto"/>
        <w:ind w:firstLine="851"/>
        <w:jc w:val="both"/>
        <w:rPr>
          <w:rFonts w:ascii="Arial Narrow" w:hAnsi="Arial Narrow" w:cs="Arial"/>
          <w:sz w:val="28"/>
          <w:szCs w:val="28"/>
          <w:lang w:val="es-ES"/>
        </w:rPr>
      </w:pPr>
      <w:r w:rsidRPr="00EC192D">
        <w:rPr>
          <w:rFonts w:ascii="Arial Narrow" w:hAnsi="Arial Narrow" w:cs="Arial"/>
          <w:sz w:val="28"/>
          <w:szCs w:val="28"/>
          <w:lang w:val="es-ES"/>
        </w:rPr>
        <w:t xml:space="preserve">En cuanto a las costas de segunda instancia, atendiendo la resolución completamente desfavorable del recurso de apelación, habrán de imponerse a cargo de la parte actora y a favor de la entidad demandada.     </w:t>
      </w:r>
    </w:p>
    <w:p w:rsidR="009805B8" w:rsidRDefault="009805B8" w:rsidP="009805B8">
      <w:pPr>
        <w:pStyle w:val="Sinespaciado"/>
      </w:pPr>
    </w:p>
    <w:p w:rsidR="009805B8" w:rsidRDefault="009805B8" w:rsidP="009805B8">
      <w:pPr>
        <w:pStyle w:val="Prrafodelista2"/>
        <w:spacing w:after="0" w:line="360" w:lineRule="auto"/>
        <w:ind w:left="0" w:firstLine="708"/>
        <w:jc w:val="both"/>
        <w:rPr>
          <w:rFonts w:ascii="Arial Narrow" w:hAnsi="Arial Narrow"/>
          <w:sz w:val="28"/>
          <w:szCs w:val="28"/>
        </w:rPr>
      </w:pPr>
      <w:r w:rsidRPr="008E1295">
        <w:rPr>
          <w:rFonts w:ascii="Arial Narrow" w:hAnsi="Arial Narrow"/>
          <w:sz w:val="28"/>
          <w:szCs w:val="28"/>
        </w:rPr>
        <w:t xml:space="preserve">En mérito de lo expuesto, </w:t>
      </w:r>
      <w:r w:rsidRPr="0019399A">
        <w:rPr>
          <w:rFonts w:ascii="Arial Narrow" w:hAnsi="Arial Narrow"/>
          <w:sz w:val="28"/>
          <w:szCs w:val="28"/>
        </w:rPr>
        <w:t xml:space="preserve">el Tribunal Superior del Distrito Judicial de Pereira - Risaralda, Sala </w:t>
      </w:r>
      <w:r>
        <w:rPr>
          <w:rFonts w:ascii="Arial Narrow" w:hAnsi="Arial Narrow"/>
          <w:sz w:val="28"/>
          <w:szCs w:val="28"/>
        </w:rPr>
        <w:t xml:space="preserve">Cuarta de Decisión </w:t>
      </w:r>
      <w:r w:rsidRPr="0019399A">
        <w:rPr>
          <w:rFonts w:ascii="Arial Narrow" w:hAnsi="Arial Narrow"/>
          <w:sz w:val="28"/>
          <w:szCs w:val="28"/>
        </w:rPr>
        <w:t>Laboral, administrando justicia en nombre de la República y por autoridad de la ley,</w:t>
      </w:r>
    </w:p>
    <w:p w:rsidR="009805B8" w:rsidRPr="00EE724A" w:rsidRDefault="009805B8" w:rsidP="009805B8">
      <w:pPr>
        <w:pStyle w:val="Sinespaciado"/>
      </w:pPr>
    </w:p>
    <w:p w:rsidR="009805B8" w:rsidRPr="0019399A" w:rsidRDefault="009805B8" w:rsidP="009805B8">
      <w:pPr>
        <w:spacing w:line="360" w:lineRule="auto"/>
        <w:jc w:val="center"/>
        <w:rPr>
          <w:rFonts w:ascii="Arial Narrow" w:hAnsi="Arial Narrow" w:cs="Arial"/>
          <w:i/>
          <w:sz w:val="28"/>
          <w:szCs w:val="28"/>
        </w:rPr>
      </w:pPr>
      <w:r w:rsidRPr="0019399A">
        <w:rPr>
          <w:rFonts w:ascii="Arial Narrow" w:hAnsi="Arial Narrow" w:cs="Arial"/>
          <w:i/>
          <w:sz w:val="28"/>
          <w:szCs w:val="28"/>
        </w:rPr>
        <w:t>FALLA</w:t>
      </w:r>
    </w:p>
    <w:p w:rsidR="009805B8" w:rsidRPr="0019399A" w:rsidRDefault="009805B8" w:rsidP="009805B8">
      <w:pPr>
        <w:pStyle w:val="Sinespaciado"/>
      </w:pPr>
    </w:p>
    <w:p w:rsidR="009805B8" w:rsidRPr="0019399A" w:rsidRDefault="009805B8" w:rsidP="009805B8">
      <w:pPr>
        <w:pStyle w:val="Textoindependiente31"/>
        <w:numPr>
          <w:ilvl w:val="0"/>
          <w:numId w:val="2"/>
        </w:numPr>
        <w:ind w:left="0" w:firstLine="426"/>
        <w:rPr>
          <w:rFonts w:ascii="Arial Narrow" w:hAnsi="Arial Narrow" w:cs="Arial"/>
          <w:bCs/>
          <w:szCs w:val="28"/>
        </w:rPr>
      </w:pPr>
      <w:r w:rsidRPr="0019399A">
        <w:rPr>
          <w:rFonts w:ascii="Arial Narrow" w:hAnsi="Arial Narrow" w:cs="Arial"/>
          <w:i/>
          <w:spacing w:val="-2"/>
          <w:szCs w:val="28"/>
        </w:rPr>
        <w:t xml:space="preserve">Confirma </w:t>
      </w:r>
      <w:r w:rsidRPr="0019399A">
        <w:rPr>
          <w:rFonts w:ascii="Arial Narrow" w:hAnsi="Arial Narrow" w:cs="Arial"/>
          <w:spacing w:val="-2"/>
          <w:szCs w:val="28"/>
        </w:rPr>
        <w:t>l</w:t>
      </w:r>
      <w:r w:rsidRPr="0019399A">
        <w:rPr>
          <w:rFonts w:ascii="Arial Narrow" w:hAnsi="Arial Narrow" w:cs="Arial"/>
          <w:szCs w:val="28"/>
        </w:rPr>
        <w:t xml:space="preserve">a sentencia proferida el </w:t>
      </w:r>
      <w:r w:rsidR="00EC192D">
        <w:rPr>
          <w:rFonts w:ascii="Arial Narrow" w:hAnsi="Arial Narrow" w:cs="Arial"/>
          <w:szCs w:val="28"/>
        </w:rPr>
        <w:t xml:space="preserve">14 de junio </w:t>
      </w:r>
      <w:r>
        <w:rPr>
          <w:rFonts w:ascii="Arial Narrow" w:hAnsi="Arial Narrow" w:cs="Arial"/>
          <w:szCs w:val="28"/>
        </w:rPr>
        <w:t>de 2017</w:t>
      </w:r>
      <w:r w:rsidRPr="0019399A">
        <w:rPr>
          <w:rFonts w:ascii="Arial Narrow" w:hAnsi="Arial Narrow" w:cs="Arial"/>
          <w:szCs w:val="28"/>
        </w:rPr>
        <w:t xml:space="preserve">, por el Juzgado </w:t>
      </w:r>
      <w:r w:rsidR="00EC192D">
        <w:rPr>
          <w:rFonts w:ascii="Arial Narrow" w:hAnsi="Arial Narrow" w:cs="Arial"/>
          <w:szCs w:val="28"/>
        </w:rPr>
        <w:t>Primero Laboral</w:t>
      </w:r>
      <w:r w:rsidRPr="0019399A">
        <w:rPr>
          <w:rFonts w:ascii="Arial Narrow" w:hAnsi="Arial Narrow" w:cs="Arial"/>
          <w:szCs w:val="28"/>
        </w:rPr>
        <w:t xml:space="preserve"> del Circuito de Pereira, dentro del proceso ordinario laboral de </w:t>
      </w:r>
      <w:r w:rsidRPr="0019399A">
        <w:rPr>
          <w:rFonts w:ascii="Arial Narrow" w:hAnsi="Arial Narrow" w:cs="Arial"/>
          <w:iCs/>
          <w:szCs w:val="28"/>
        </w:rPr>
        <w:t xml:space="preserve">la referencia. </w:t>
      </w:r>
    </w:p>
    <w:p w:rsidR="009805B8" w:rsidRPr="00D05E73" w:rsidRDefault="009805B8" w:rsidP="009805B8">
      <w:pPr>
        <w:pStyle w:val="Sinespaciado"/>
      </w:pPr>
    </w:p>
    <w:p w:rsidR="009805B8" w:rsidRPr="0019399A" w:rsidRDefault="009805B8" w:rsidP="009805B8">
      <w:pPr>
        <w:pStyle w:val="Textoindependiente31"/>
        <w:numPr>
          <w:ilvl w:val="0"/>
          <w:numId w:val="2"/>
        </w:numPr>
        <w:ind w:left="0" w:firstLine="426"/>
        <w:rPr>
          <w:rFonts w:ascii="Arial Narrow" w:hAnsi="Arial Narrow" w:cs="Arial"/>
          <w:iCs/>
          <w:kern w:val="28"/>
          <w:szCs w:val="28"/>
          <w:lang w:val="es-CO"/>
        </w:rPr>
      </w:pPr>
      <w:r w:rsidRPr="0019399A">
        <w:rPr>
          <w:rFonts w:ascii="Arial Narrow" w:hAnsi="Arial Narrow" w:cs="Arial"/>
          <w:iCs/>
          <w:kern w:val="28"/>
          <w:szCs w:val="28"/>
          <w:lang w:val="es-CO"/>
        </w:rPr>
        <w:t xml:space="preserve">Costas en esta instancia </w:t>
      </w:r>
      <w:r w:rsidR="00EC192D">
        <w:rPr>
          <w:rFonts w:ascii="Arial Narrow" w:hAnsi="Arial Narrow" w:cs="Arial"/>
          <w:iCs/>
          <w:kern w:val="28"/>
          <w:szCs w:val="28"/>
          <w:lang w:val="es-CO"/>
        </w:rPr>
        <w:t>a cargo de la parte actora.</w:t>
      </w:r>
    </w:p>
    <w:p w:rsidR="009805B8" w:rsidRPr="0019399A" w:rsidRDefault="009805B8" w:rsidP="009805B8">
      <w:pPr>
        <w:pStyle w:val="Sinespaciado"/>
      </w:pPr>
    </w:p>
    <w:p w:rsidR="009805B8" w:rsidRPr="0019399A" w:rsidRDefault="009805B8" w:rsidP="009805B8">
      <w:pPr>
        <w:spacing w:line="360" w:lineRule="auto"/>
        <w:ind w:firstLine="900"/>
        <w:jc w:val="both"/>
        <w:rPr>
          <w:rFonts w:ascii="Arial Narrow" w:hAnsi="Arial Narrow" w:cs="Microsoft Sans Serif"/>
          <w:bCs/>
          <w:i/>
          <w:iCs/>
          <w:sz w:val="28"/>
          <w:szCs w:val="28"/>
          <w:lang w:val="es-ES"/>
        </w:rPr>
      </w:pPr>
      <w:r w:rsidRPr="0019399A">
        <w:rPr>
          <w:rFonts w:ascii="Arial Narrow" w:hAnsi="Arial Narrow" w:cs="Microsoft Sans Serif"/>
          <w:bCs/>
          <w:i/>
          <w:iCs/>
          <w:sz w:val="28"/>
          <w:szCs w:val="28"/>
          <w:lang w:val="es-ES"/>
        </w:rPr>
        <w:t>NOTIFÍQUESE, CÚMPLASE Y DEVUÉLVASE.</w:t>
      </w:r>
    </w:p>
    <w:p w:rsidR="009805B8" w:rsidRPr="0019399A" w:rsidRDefault="009805B8" w:rsidP="009805B8">
      <w:pPr>
        <w:pStyle w:val="Sinespaciado"/>
      </w:pPr>
    </w:p>
    <w:p w:rsidR="009805B8" w:rsidRPr="0019399A" w:rsidRDefault="009805B8" w:rsidP="009805B8">
      <w:pPr>
        <w:spacing w:line="360" w:lineRule="auto"/>
        <w:ind w:firstLine="900"/>
        <w:jc w:val="both"/>
        <w:rPr>
          <w:rFonts w:ascii="Arial Narrow" w:hAnsi="Arial Narrow" w:cs="Microsoft Sans Serif"/>
          <w:bCs/>
          <w:iCs/>
          <w:sz w:val="28"/>
          <w:szCs w:val="28"/>
          <w:lang w:val="es-ES"/>
        </w:rPr>
      </w:pPr>
      <w:r w:rsidRPr="0019399A">
        <w:rPr>
          <w:rFonts w:ascii="Arial Narrow" w:hAnsi="Arial Narrow" w:cs="Microsoft Sans Serif"/>
          <w:bCs/>
          <w:iCs/>
          <w:sz w:val="28"/>
          <w:szCs w:val="28"/>
          <w:lang w:val="es-ES"/>
        </w:rPr>
        <w:t>La anterior decisión queda notificada en estrados.</w:t>
      </w:r>
    </w:p>
    <w:p w:rsidR="009805B8" w:rsidRPr="0019399A" w:rsidRDefault="009805B8" w:rsidP="009805B8">
      <w:pPr>
        <w:pStyle w:val="Sinespaciado"/>
        <w:rPr>
          <w:lang w:val="es-ES"/>
        </w:rPr>
      </w:pPr>
    </w:p>
    <w:p w:rsidR="009805B8" w:rsidRPr="0019399A" w:rsidRDefault="009805B8" w:rsidP="009805B8">
      <w:pPr>
        <w:spacing w:line="360" w:lineRule="auto"/>
        <w:ind w:firstLine="900"/>
        <w:jc w:val="both"/>
        <w:rPr>
          <w:rFonts w:ascii="Arial Narrow" w:hAnsi="Arial Narrow" w:cs="Microsoft Sans Serif"/>
          <w:bCs/>
          <w:iCs/>
          <w:sz w:val="28"/>
          <w:szCs w:val="28"/>
          <w:lang w:val="es-ES"/>
        </w:rPr>
      </w:pPr>
    </w:p>
    <w:p w:rsidR="009805B8" w:rsidRPr="0019399A" w:rsidRDefault="009805B8" w:rsidP="009805B8">
      <w:pPr>
        <w:ind w:firstLine="900"/>
        <w:jc w:val="center"/>
        <w:rPr>
          <w:rFonts w:ascii="Arial Narrow" w:hAnsi="Arial Narrow" w:cs="Microsoft Sans Serif"/>
          <w:bCs/>
          <w:iCs/>
          <w:sz w:val="28"/>
          <w:szCs w:val="28"/>
          <w:lang w:val="es-ES"/>
        </w:rPr>
      </w:pPr>
    </w:p>
    <w:p w:rsidR="009805B8" w:rsidRPr="0019399A" w:rsidRDefault="009805B8" w:rsidP="009805B8">
      <w:pPr>
        <w:ind w:firstLine="900"/>
        <w:jc w:val="center"/>
        <w:rPr>
          <w:rFonts w:ascii="Arial Narrow" w:hAnsi="Arial Narrow" w:cs="Microsoft Sans Serif"/>
          <w:bCs/>
          <w:iCs/>
          <w:sz w:val="28"/>
          <w:szCs w:val="28"/>
          <w:lang w:val="es-ES"/>
        </w:rPr>
      </w:pPr>
      <w:r w:rsidRPr="0019399A">
        <w:rPr>
          <w:rFonts w:ascii="Arial Narrow" w:hAnsi="Arial Narrow" w:cs="Microsoft Sans Serif"/>
          <w:bCs/>
          <w:iCs/>
          <w:sz w:val="28"/>
          <w:szCs w:val="28"/>
          <w:lang w:val="es-ES"/>
        </w:rPr>
        <w:t>FRANCISCO JAVIER TAMAYO TABARES</w:t>
      </w:r>
    </w:p>
    <w:p w:rsidR="009805B8" w:rsidRPr="0019399A" w:rsidRDefault="009805B8" w:rsidP="009805B8">
      <w:pPr>
        <w:ind w:firstLine="900"/>
        <w:jc w:val="center"/>
        <w:rPr>
          <w:rFonts w:ascii="Arial Narrow" w:hAnsi="Arial Narrow" w:cs="Microsoft Sans Serif"/>
          <w:sz w:val="28"/>
          <w:szCs w:val="28"/>
          <w:lang w:val="es-ES"/>
        </w:rPr>
      </w:pPr>
      <w:r w:rsidRPr="0019399A">
        <w:rPr>
          <w:rFonts w:ascii="Arial Narrow" w:hAnsi="Arial Narrow" w:cs="Microsoft Sans Serif"/>
          <w:sz w:val="28"/>
          <w:szCs w:val="28"/>
          <w:lang w:val="es-ES"/>
        </w:rPr>
        <w:t>Magistrado</w:t>
      </w:r>
    </w:p>
    <w:p w:rsidR="009805B8" w:rsidRDefault="009805B8" w:rsidP="009805B8">
      <w:pPr>
        <w:spacing w:line="360" w:lineRule="auto"/>
        <w:jc w:val="both"/>
        <w:rPr>
          <w:rFonts w:ascii="Arial Narrow" w:hAnsi="Arial Narrow" w:cs="Microsoft Sans Serif"/>
          <w:bCs/>
          <w:iCs/>
          <w:sz w:val="28"/>
          <w:szCs w:val="28"/>
          <w:lang w:val="es-ES"/>
        </w:rPr>
      </w:pPr>
    </w:p>
    <w:p w:rsidR="009805B8" w:rsidRPr="0019399A" w:rsidRDefault="009805B8" w:rsidP="009805B8">
      <w:pPr>
        <w:pStyle w:val="Sinespaciado"/>
        <w:rPr>
          <w:lang w:val="es-ES"/>
        </w:rPr>
      </w:pPr>
    </w:p>
    <w:p w:rsidR="009805B8" w:rsidRPr="0019399A" w:rsidRDefault="009805B8" w:rsidP="009805B8">
      <w:pPr>
        <w:pStyle w:val="Sinespaciado"/>
        <w:rPr>
          <w:lang w:val="es-ES"/>
        </w:rPr>
      </w:pPr>
    </w:p>
    <w:p w:rsidR="009805B8" w:rsidRPr="0019399A" w:rsidRDefault="009805B8" w:rsidP="009805B8">
      <w:pPr>
        <w:jc w:val="both"/>
        <w:rPr>
          <w:rFonts w:ascii="Arial Narrow" w:hAnsi="Arial Narrow" w:cs="Microsoft Sans Serif"/>
          <w:sz w:val="28"/>
          <w:szCs w:val="28"/>
          <w:lang w:val="es-ES"/>
        </w:rPr>
      </w:pPr>
      <w:r w:rsidRPr="0019399A">
        <w:rPr>
          <w:rFonts w:ascii="Arial Narrow" w:hAnsi="Arial Narrow" w:cs="Microsoft Sans Serif"/>
          <w:bCs/>
          <w:iCs/>
          <w:sz w:val="28"/>
          <w:szCs w:val="28"/>
          <w:lang w:val="es-ES"/>
        </w:rPr>
        <w:t xml:space="preserve">ANA LUCÍA CAICEDO CALDERÓN                            </w:t>
      </w:r>
      <w:r>
        <w:rPr>
          <w:rFonts w:ascii="Arial Narrow" w:hAnsi="Arial Narrow" w:cs="Microsoft Sans Serif"/>
          <w:bCs/>
          <w:iCs/>
          <w:sz w:val="28"/>
          <w:szCs w:val="28"/>
          <w:lang w:val="es-ES"/>
        </w:rPr>
        <w:t xml:space="preserve">OLGA LUCÍA HOYOS SEPÚLVEDA </w:t>
      </w:r>
    </w:p>
    <w:p w:rsidR="009805B8" w:rsidRDefault="00EC192D" w:rsidP="00EC192D">
      <w:pPr>
        <w:ind w:left="708"/>
        <w:jc w:val="both"/>
      </w:pPr>
      <w:r>
        <w:rPr>
          <w:rFonts w:ascii="Arial Narrow" w:hAnsi="Arial Narrow" w:cs="Microsoft Sans Serif"/>
          <w:bCs/>
          <w:iCs/>
          <w:sz w:val="28"/>
          <w:szCs w:val="28"/>
          <w:lang w:val="es-ES"/>
        </w:rPr>
        <w:t xml:space="preserve">      </w:t>
      </w:r>
      <w:r w:rsidR="009805B8" w:rsidRPr="0019399A">
        <w:rPr>
          <w:rFonts w:ascii="Arial Narrow" w:hAnsi="Arial Narrow" w:cs="Microsoft Sans Serif"/>
          <w:bCs/>
          <w:iCs/>
          <w:sz w:val="28"/>
          <w:szCs w:val="28"/>
          <w:lang w:val="es-ES"/>
        </w:rPr>
        <w:t xml:space="preserve">Magistrada </w:t>
      </w:r>
      <w:r w:rsidR="009805B8" w:rsidRPr="0019399A">
        <w:rPr>
          <w:rFonts w:ascii="Arial Narrow" w:hAnsi="Arial Narrow" w:cs="Microsoft Sans Serif"/>
          <w:bCs/>
          <w:iCs/>
          <w:sz w:val="28"/>
          <w:szCs w:val="28"/>
          <w:lang w:val="es-ES"/>
        </w:rPr>
        <w:tab/>
      </w:r>
      <w:r w:rsidR="009805B8" w:rsidRPr="0019399A">
        <w:rPr>
          <w:rFonts w:ascii="Arial Narrow" w:hAnsi="Arial Narrow" w:cs="Microsoft Sans Serif"/>
          <w:bCs/>
          <w:iCs/>
          <w:sz w:val="28"/>
          <w:szCs w:val="28"/>
          <w:lang w:val="es-ES"/>
        </w:rPr>
        <w:tab/>
      </w:r>
      <w:r w:rsidR="009805B8" w:rsidRPr="0019399A">
        <w:rPr>
          <w:rFonts w:ascii="Arial Narrow" w:hAnsi="Arial Narrow" w:cs="Microsoft Sans Serif"/>
          <w:bCs/>
          <w:iCs/>
          <w:sz w:val="28"/>
          <w:szCs w:val="28"/>
          <w:lang w:val="es-ES"/>
        </w:rPr>
        <w:tab/>
        <w:t xml:space="preserve">                      </w:t>
      </w:r>
      <w:r w:rsidR="009805B8" w:rsidRPr="0019399A">
        <w:rPr>
          <w:rFonts w:ascii="Arial Narrow" w:hAnsi="Arial Narrow" w:cs="Microsoft Sans Serif"/>
          <w:bCs/>
          <w:iCs/>
          <w:sz w:val="28"/>
          <w:szCs w:val="28"/>
          <w:lang w:val="es-ES"/>
        </w:rPr>
        <w:tab/>
      </w:r>
      <w:r w:rsidR="009805B8" w:rsidRPr="0019399A">
        <w:rPr>
          <w:rFonts w:ascii="Arial Narrow" w:hAnsi="Arial Narrow" w:cs="Microsoft Sans Serif"/>
          <w:bCs/>
          <w:iCs/>
          <w:sz w:val="28"/>
          <w:szCs w:val="28"/>
          <w:lang w:val="es-ES"/>
        </w:rPr>
        <w:tab/>
        <w:t xml:space="preserve">Magistrado                                                                              </w:t>
      </w:r>
      <w:r w:rsidR="009805B8" w:rsidRPr="0019399A">
        <w:rPr>
          <w:rFonts w:ascii="Arial Narrow" w:hAnsi="Arial Narrow" w:cs="Microsoft Sans Serif"/>
          <w:bCs/>
          <w:iCs/>
          <w:sz w:val="28"/>
          <w:szCs w:val="28"/>
          <w:lang w:val="es-ES"/>
        </w:rPr>
        <w:tab/>
      </w:r>
      <w:r w:rsidR="009805B8" w:rsidRPr="0019399A">
        <w:rPr>
          <w:rFonts w:ascii="Arial Narrow" w:hAnsi="Arial Narrow" w:cs="Microsoft Sans Serif"/>
          <w:bCs/>
          <w:iCs/>
          <w:sz w:val="28"/>
          <w:szCs w:val="28"/>
          <w:lang w:val="es-ES"/>
        </w:rPr>
        <w:tab/>
      </w:r>
      <w:r w:rsidR="009805B8" w:rsidRPr="0019399A">
        <w:rPr>
          <w:rFonts w:ascii="Arial Narrow" w:hAnsi="Arial Narrow" w:cs="Microsoft Sans Serif"/>
          <w:bCs/>
          <w:iCs/>
          <w:sz w:val="28"/>
          <w:szCs w:val="28"/>
          <w:lang w:val="es-ES"/>
        </w:rPr>
        <w:tab/>
      </w:r>
    </w:p>
    <w:p w:rsidR="00C35CA1" w:rsidRDefault="00C35CA1"/>
    <w:sectPr w:rsidR="00C35CA1" w:rsidSect="00C31C22">
      <w:headerReference w:type="default" r:id="rId7"/>
      <w:footerReference w:type="even" r:id="rId8"/>
      <w:footerReference w:type="default" r:id="rId9"/>
      <w:pgSz w:w="12242" w:h="18722" w:code="121"/>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2B9" w:rsidRDefault="000F32B9" w:rsidP="009805B8">
      <w:r>
        <w:separator/>
      </w:r>
    </w:p>
  </w:endnote>
  <w:endnote w:type="continuationSeparator" w:id="0">
    <w:p w:rsidR="000F32B9" w:rsidRDefault="000F32B9" w:rsidP="0098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CC" w:rsidRDefault="00AD63A4"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2DCC" w:rsidRDefault="000F32B9" w:rsidP="004609D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CC" w:rsidRDefault="00AD63A4"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5305">
      <w:rPr>
        <w:rStyle w:val="Nmerodepgina"/>
        <w:noProof/>
      </w:rPr>
      <w:t>7</w:t>
    </w:r>
    <w:r>
      <w:rPr>
        <w:rStyle w:val="Nmerodepgina"/>
      </w:rPr>
      <w:fldChar w:fldCharType="end"/>
    </w:r>
  </w:p>
  <w:p w:rsidR="00C82DCC" w:rsidRDefault="000F32B9" w:rsidP="004609D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2B9" w:rsidRDefault="000F32B9" w:rsidP="009805B8">
      <w:r>
        <w:separator/>
      </w:r>
    </w:p>
  </w:footnote>
  <w:footnote w:type="continuationSeparator" w:id="0">
    <w:p w:rsidR="000F32B9" w:rsidRDefault="000F32B9" w:rsidP="0098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CC" w:rsidRDefault="00AD63A4"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sidR="009805B8">
      <w:rPr>
        <w:rFonts w:ascii="Arial Narrow" w:hAnsi="Arial Narrow" w:cs="Arial"/>
        <w:bCs/>
        <w:sz w:val="18"/>
        <w:szCs w:val="18"/>
      </w:rPr>
      <w:t>1-2015-00622-01</w:t>
    </w:r>
  </w:p>
  <w:p w:rsidR="00C82DCC" w:rsidRPr="0015409B" w:rsidRDefault="00AD039A" w:rsidP="004609D0">
    <w:pPr>
      <w:jc w:val="both"/>
      <w:rPr>
        <w:rFonts w:ascii="Arial Narrow" w:hAnsi="Arial Narrow"/>
        <w:sz w:val="18"/>
        <w:szCs w:val="18"/>
        <w:lang w:val="es-ES"/>
      </w:rPr>
    </w:pPr>
    <w:r>
      <w:rPr>
        <w:rFonts w:ascii="Arial Narrow" w:hAnsi="Arial Narrow" w:cs="Arial"/>
        <w:bCs/>
        <w:sz w:val="18"/>
        <w:szCs w:val="18"/>
      </w:rPr>
      <w:t xml:space="preserve">Edilberto Guevara Salazar </w:t>
    </w:r>
    <w:r w:rsidR="00AD63A4">
      <w:rPr>
        <w:rFonts w:ascii="Arial Narrow" w:hAnsi="Arial Narrow" w:cs="Arial"/>
        <w:bCs/>
        <w:sz w:val="18"/>
        <w:szCs w:val="18"/>
      </w:rPr>
      <w:t>vs</w:t>
    </w:r>
    <w:r w:rsidR="00AD63A4" w:rsidRPr="0015409B">
      <w:rPr>
        <w:rFonts w:ascii="Arial Narrow" w:hAnsi="Arial Narrow" w:cs="Arial"/>
        <w:bCs/>
        <w:sz w:val="18"/>
        <w:szCs w:val="18"/>
        <w:lang w:val="es-ES"/>
      </w:rPr>
      <w:t xml:space="preserve"> </w:t>
    </w:r>
    <w:r w:rsidR="00AD63A4">
      <w:rPr>
        <w:rFonts w:ascii="Arial Narrow" w:hAnsi="Arial Narrow" w:cs="Arial"/>
        <w:bCs/>
        <w:sz w:val="18"/>
        <w:szCs w:val="18"/>
        <w:lang w:val="es-ES"/>
      </w:rPr>
      <w:t xml:space="preserve">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4AB"/>
    <w:multiLevelType w:val="hybridMultilevel"/>
    <w:tmpl w:val="340637B8"/>
    <w:lvl w:ilvl="0" w:tplc="168E82B8">
      <w:start w:val="1"/>
      <w:numFmt w:val="decimal"/>
      <w:lvlText w:val="%1."/>
      <w:lvlJc w:val="left"/>
      <w:pPr>
        <w:ind w:left="4613" w:hanging="360"/>
      </w:pPr>
      <w:rPr>
        <w:rFonts w:hint="default"/>
        <w:b w:val="0"/>
        <w:i/>
      </w:rPr>
    </w:lvl>
    <w:lvl w:ilvl="1" w:tplc="240A0019" w:tentative="1">
      <w:start w:val="1"/>
      <w:numFmt w:val="lowerLetter"/>
      <w:lvlText w:val="%2."/>
      <w:lvlJc w:val="left"/>
      <w:pPr>
        <w:ind w:left="4956" w:hanging="360"/>
      </w:pPr>
    </w:lvl>
    <w:lvl w:ilvl="2" w:tplc="240A001B" w:tentative="1">
      <w:start w:val="1"/>
      <w:numFmt w:val="lowerRoman"/>
      <w:lvlText w:val="%3."/>
      <w:lvlJc w:val="right"/>
      <w:pPr>
        <w:ind w:left="5676" w:hanging="180"/>
      </w:pPr>
    </w:lvl>
    <w:lvl w:ilvl="3" w:tplc="240A000F" w:tentative="1">
      <w:start w:val="1"/>
      <w:numFmt w:val="decimal"/>
      <w:lvlText w:val="%4."/>
      <w:lvlJc w:val="left"/>
      <w:pPr>
        <w:ind w:left="6396" w:hanging="360"/>
      </w:pPr>
    </w:lvl>
    <w:lvl w:ilvl="4" w:tplc="240A0019" w:tentative="1">
      <w:start w:val="1"/>
      <w:numFmt w:val="lowerLetter"/>
      <w:lvlText w:val="%5."/>
      <w:lvlJc w:val="left"/>
      <w:pPr>
        <w:ind w:left="7116" w:hanging="360"/>
      </w:pPr>
    </w:lvl>
    <w:lvl w:ilvl="5" w:tplc="240A001B" w:tentative="1">
      <w:start w:val="1"/>
      <w:numFmt w:val="lowerRoman"/>
      <w:lvlText w:val="%6."/>
      <w:lvlJc w:val="right"/>
      <w:pPr>
        <w:ind w:left="7836" w:hanging="180"/>
      </w:pPr>
    </w:lvl>
    <w:lvl w:ilvl="6" w:tplc="240A000F" w:tentative="1">
      <w:start w:val="1"/>
      <w:numFmt w:val="decimal"/>
      <w:lvlText w:val="%7."/>
      <w:lvlJc w:val="left"/>
      <w:pPr>
        <w:ind w:left="8556" w:hanging="360"/>
      </w:pPr>
    </w:lvl>
    <w:lvl w:ilvl="7" w:tplc="240A0019" w:tentative="1">
      <w:start w:val="1"/>
      <w:numFmt w:val="lowerLetter"/>
      <w:lvlText w:val="%8."/>
      <w:lvlJc w:val="left"/>
      <w:pPr>
        <w:ind w:left="9276" w:hanging="360"/>
      </w:pPr>
    </w:lvl>
    <w:lvl w:ilvl="8" w:tplc="240A001B" w:tentative="1">
      <w:start w:val="1"/>
      <w:numFmt w:val="lowerRoman"/>
      <w:lvlText w:val="%9."/>
      <w:lvlJc w:val="right"/>
      <w:pPr>
        <w:ind w:left="9996" w:hanging="180"/>
      </w:pPr>
    </w:lvl>
  </w:abstractNum>
  <w:abstractNum w:abstractNumId="1" w15:restartNumberingAfterBreak="0">
    <w:nsid w:val="2E860A11"/>
    <w:multiLevelType w:val="hybridMultilevel"/>
    <w:tmpl w:val="F4BC5ADE"/>
    <w:lvl w:ilvl="0" w:tplc="9C68C7C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673D26"/>
    <w:multiLevelType w:val="hybridMultilevel"/>
    <w:tmpl w:val="FBD60948"/>
    <w:lvl w:ilvl="0" w:tplc="C7DCC30A">
      <w:start w:val="1"/>
      <w:numFmt w:val="low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4A5B4347"/>
    <w:multiLevelType w:val="hybridMultilevel"/>
    <w:tmpl w:val="93B2A03A"/>
    <w:lvl w:ilvl="0" w:tplc="4F445CF4">
      <w:start w:val="1"/>
      <w:numFmt w:val="upperRoman"/>
      <w:lvlText w:val="%1."/>
      <w:lvlJc w:val="left"/>
      <w:pPr>
        <w:ind w:left="1080" w:hanging="720"/>
      </w:pPr>
      <w:rPr>
        <w:rFonts w:asciiTheme="minorHAnsi" w:eastAsiaTheme="minorHAnsi" w:hAnsiTheme="minorHAnsi" w:cstheme="minorBidi" w:hint="default"/>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abstractNum w:abstractNumId="5" w15:restartNumberingAfterBreak="0">
    <w:nsid w:val="7560244D"/>
    <w:multiLevelType w:val="hybridMultilevel"/>
    <w:tmpl w:val="6D420AC4"/>
    <w:lvl w:ilvl="0" w:tplc="C5E4795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B8"/>
    <w:rsid w:val="00060713"/>
    <w:rsid w:val="000F32B9"/>
    <w:rsid w:val="00101FD3"/>
    <w:rsid w:val="0010296E"/>
    <w:rsid w:val="001417FE"/>
    <w:rsid w:val="00157F13"/>
    <w:rsid w:val="00182285"/>
    <w:rsid w:val="001B3B3A"/>
    <w:rsid w:val="001C3799"/>
    <w:rsid w:val="001C4922"/>
    <w:rsid w:val="00211DCF"/>
    <w:rsid w:val="00214BC9"/>
    <w:rsid w:val="0022704F"/>
    <w:rsid w:val="00245B54"/>
    <w:rsid w:val="00293DAA"/>
    <w:rsid w:val="002E1A38"/>
    <w:rsid w:val="0034141F"/>
    <w:rsid w:val="004269FB"/>
    <w:rsid w:val="004A142A"/>
    <w:rsid w:val="004D4722"/>
    <w:rsid w:val="00577237"/>
    <w:rsid w:val="005D7361"/>
    <w:rsid w:val="005E6280"/>
    <w:rsid w:val="005F4D6D"/>
    <w:rsid w:val="0061540E"/>
    <w:rsid w:val="0067120F"/>
    <w:rsid w:val="00742CE4"/>
    <w:rsid w:val="007747AE"/>
    <w:rsid w:val="007E1E5D"/>
    <w:rsid w:val="00872DE4"/>
    <w:rsid w:val="00890E53"/>
    <w:rsid w:val="008B6363"/>
    <w:rsid w:val="009303DE"/>
    <w:rsid w:val="009805B8"/>
    <w:rsid w:val="00A830B8"/>
    <w:rsid w:val="00A97F61"/>
    <w:rsid w:val="00AB1A69"/>
    <w:rsid w:val="00AB7FF1"/>
    <w:rsid w:val="00AC1483"/>
    <w:rsid w:val="00AD039A"/>
    <w:rsid w:val="00AD63A4"/>
    <w:rsid w:val="00B233E3"/>
    <w:rsid w:val="00B6762F"/>
    <w:rsid w:val="00BE7032"/>
    <w:rsid w:val="00C35CA1"/>
    <w:rsid w:val="00C37E28"/>
    <w:rsid w:val="00C5039A"/>
    <w:rsid w:val="00CB58A7"/>
    <w:rsid w:val="00CF4D44"/>
    <w:rsid w:val="00D066CC"/>
    <w:rsid w:val="00DC4D95"/>
    <w:rsid w:val="00E36777"/>
    <w:rsid w:val="00EC192D"/>
    <w:rsid w:val="00EF3DB0"/>
    <w:rsid w:val="00F1429A"/>
    <w:rsid w:val="00F55305"/>
    <w:rsid w:val="00FC43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361D"/>
  <w15:chartTrackingRefBased/>
  <w15:docId w15:val="{57938247-8B1C-42EB-A47E-3BC4DDA1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5B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805B8"/>
    <w:pPr>
      <w:tabs>
        <w:tab w:val="center" w:pos="4252"/>
        <w:tab w:val="right" w:pos="8504"/>
      </w:tabs>
    </w:pPr>
  </w:style>
  <w:style w:type="character" w:customStyle="1" w:styleId="PiedepginaCar">
    <w:name w:val="Pie de página Car"/>
    <w:basedOn w:val="Fuentedeprrafopredeter"/>
    <w:link w:val="Piedepgina"/>
    <w:rsid w:val="009805B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805B8"/>
  </w:style>
  <w:style w:type="paragraph" w:styleId="Prrafodelista">
    <w:name w:val="List Paragraph"/>
    <w:basedOn w:val="Normal"/>
    <w:uiPriority w:val="34"/>
    <w:qFormat/>
    <w:rsid w:val="009805B8"/>
    <w:pPr>
      <w:ind w:left="708"/>
    </w:pPr>
  </w:style>
  <w:style w:type="paragraph" w:styleId="Sinespaciado">
    <w:name w:val="No Spacing"/>
    <w:uiPriority w:val="1"/>
    <w:qFormat/>
    <w:rsid w:val="009805B8"/>
    <w:pPr>
      <w:spacing w:after="0" w:line="240" w:lineRule="auto"/>
    </w:pPr>
    <w:rPr>
      <w:lang w:val="es-ES_tradnl"/>
    </w:rPr>
  </w:style>
  <w:style w:type="paragraph" w:customStyle="1" w:styleId="Prrafodelista2">
    <w:name w:val="Párrafo de lista2"/>
    <w:basedOn w:val="Normal"/>
    <w:rsid w:val="009805B8"/>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9805B8"/>
    <w:pPr>
      <w:spacing w:line="360" w:lineRule="auto"/>
      <w:jc w:val="both"/>
    </w:pPr>
    <w:rPr>
      <w:rFonts w:ascii="Arial" w:hAnsi="Arial"/>
      <w:sz w:val="28"/>
    </w:rPr>
  </w:style>
  <w:style w:type="paragraph" w:styleId="Encabezado">
    <w:name w:val="header"/>
    <w:basedOn w:val="Normal"/>
    <w:link w:val="EncabezadoCar"/>
    <w:uiPriority w:val="99"/>
    <w:unhideWhenUsed/>
    <w:rsid w:val="009805B8"/>
    <w:pPr>
      <w:tabs>
        <w:tab w:val="center" w:pos="4252"/>
        <w:tab w:val="right" w:pos="8504"/>
      </w:tabs>
    </w:pPr>
  </w:style>
  <w:style w:type="character" w:customStyle="1" w:styleId="EncabezadoCar">
    <w:name w:val="Encabezado Car"/>
    <w:basedOn w:val="Fuentedeprrafopredeter"/>
    <w:link w:val="Encabezado"/>
    <w:uiPriority w:val="99"/>
    <w:rsid w:val="009805B8"/>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C192D"/>
    <w:pPr>
      <w:spacing w:after="200" w:line="276" w:lineRule="auto"/>
      <w:ind w:left="720"/>
      <w:contextualSpacing/>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2083</Words>
  <Characters>11460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WALTER MAURICIO ZULUAGA MEJIA</cp:lastModifiedBy>
  <cp:revision>12</cp:revision>
  <dcterms:created xsi:type="dcterms:W3CDTF">2018-04-27T19:48:00Z</dcterms:created>
  <dcterms:modified xsi:type="dcterms:W3CDTF">2018-08-08T01:33:00Z</dcterms:modified>
</cp:coreProperties>
</file>