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0D" w:rsidRPr="005E1BF2" w:rsidRDefault="00147D0D" w:rsidP="00147D0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147D0D" w:rsidRPr="00147D0D" w:rsidRDefault="00147D0D" w:rsidP="00147D0D">
      <w:pPr>
        <w:spacing w:line="276" w:lineRule="auto"/>
        <w:jc w:val="both"/>
        <w:rPr>
          <w:rFonts w:ascii="Arial" w:hAnsi="Arial" w:cs="Arial"/>
          <w:kern w:val="28"/>
          <w:sz w:val="18"/>
          <w:szCs w:val="18"/>
          <w:lang w:val="es-CO" w:eastAsia="fr-FR"/>
        </w:rPr>
      </w:pPr>
      <w:r w:rsidRPr="00147D0D">
        <w:rPr>
          <w:rFonts w:ascii="Arial" w:hAnsi="Arial" w:cs="Arial"/>
          <w:kern w:val="28"/>
          <w:sz w:val="18"/>
          <w:szCs w:val="18"/>
          <w:lang w:val="es-CO" w:eastAsia="fr-FR"/>
        </w:rPr>
        <w:t xml:space="preserve">Providencia: </w:t>
      </w:r>
      <w:r w:rsidRPr="00147D0D">
        <w:rPr>
          <w:rFonts w:ascii="Arial" w:hAnsi="Arial" w:cs="Arial"/>
          <w:kern w:val="28"/>
          <w:sz w:val="18"/>
          <w:szCs w:val="18"/>
          <w:lang w:val="es-CO" w:eastAsia="fr-FR"/>
        </w:rPr>
        <w:tab/>
      </w:r>
      <w:r w:rsidRPr="00147D0D">
        <w:rPr>
          <w:rFonts w:ascii="Arial" w:hAnsi="Arial" w:cs="Arial"/>
          <w:kern w:val="28"/>
          <w:sz w:val="18"/>
          <w:szCs w:val="18"/>
          <w:lang w:val="es-CO" w:eastAsia="fr-FR"/>
        </w:rPr>
        <w:tab/>
        <w:t>Sentencia de Segunda Instancia, jueves 26 de julio de 2018.</w:t>
      </w:r>
    </w:p>
    <w:p w:rsidR="00147D0D" w:rsidRPr="00147D0D" w:rsidRDefault="00147D0D" w:rsidP="00147D0D">
      <w:pPr>
        <w:spacing w:line="276" w:lineRule="auto"/>
        <w:jc w:val="both"/>
        <w:rPr>
          <w:rFonts w:ascii="Arial" w:hAnsi="Arial" w:cs="Arial"/>
          <w:kern w:val="28"/>
          <w:sz w:val="18"/>
          <w:szCs w:val="18"/>
          <w:lang w:val="es-CO" w:eastAsia="fr-FR"/>
        </w:rPr>
      </w:pPr>
      <w:r w:rsidRPr="00147D0D">
        <w:rPr>
          <w:rFonts w:ascii="Arial" w:hAnsi="Arial" w:cs="Arial"/>
          <w:kern w:val="28"/>
          <w:sz w:val="18"/>
          <w:szCs w:val="18"/>
          <w:lang w:val="es-CO" w:eastAsia="fr-FR"/>
        </w:rPr>
        <w:t xml:space="preserve">Radicación No: </w:t>
      </w:r>
      <w:r w:rsidRPr="00147D0D">
        <w:rPr>
          <w:rFonts w:ascii="Arial" w:hAnsi="Arial" w:cs="Arial"/>
          <w:kern w:val="28"/>
          <w:sz w:val="18"/>
          <w:szCs w:val="18"/>
          <w:lang w:val="es-CO" w:eastAsia="fr-FR"/>
        </w:rPr>
        <w:tab/>
        <w:t xml:space="preserve">      </w:t>
      </w:r>
      <w:r w:rsidRPr="00147D0D">
        <w:rPr>
          <w:rFonts w:ascii="Arial" w:hAnsi="Arial" w:cs="Arial"/>
          <w:kern w:val="28"/>
          <w:sz w:val="18"/>
          <w:szCs w:val="18"/>
          <w:lang w:val="es-CO" w:eastAsia="fr-FR"/>
        </w:rPr>
        <w:tab/>
        <w:t>66001-31-05-005-2016-00336-01</w:t>
      </w:r>
    </w:p>
    <w:p w:rsidR="00147D0D" w:rsidRPr="00147D0D" w:rsidRDefault="00147D0D" w:rsidP="00147D0D">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147D0D">
        <w:rPr>
          <w:rFonts w:ascii="Arial" w:hAnsi="Arial" w:cs="Arial"/>
          <w:kern w:val="28"/>
          <w:sz w:val="18"/>
          <w:szCs w:val="18"/>
          <w:lang w:val="es-CO" w:eastAsia="fr-FR"/>
        </w:rPr>
        <w:t>Ordinario Laboral.</w:t>
      </w:r>
    </w:p>
    <w:p w:rsidR="00147D0D" w:rsidRPr="00147D0D" w:rsidRDefault="00147D0D" w:rsidP="00147D0D">
      <w:pPr>
        <w:spacing w:line="276" w:lineRule="auto"/>
        <w:jc w:val="both"/>
        <w:rPr>
          <w:rFonts w:ascii="Arial" w:hAnsi="Arial" w:cs="Arial"/>
          <w:kern w:val="28"/>
          <w:sz w:val="18"/>
          <w:szCs w:val="18"/>
          <w:lang w:val="es-CO" w:eastAsia="fr-FR"/>
        </w:rPr>
      </w:pPr>
      <w:r w:rsidRPr="00147D0D">
        <w:rPr>
          <w:rFonts w:ascii="Arial" w:hAnsi="Arial" w:cs="Arial"/>
          <w:kern w:val="28"/>
          <w:sz w:val="18"/>
          <w:szCs w:val="18"/>
          <w:lang w:val="es-CO" w:eastAsia="fr-FR"/>
        </w:rPr>
        <w:t xml:space="preserve">Demandante:     </w:t>
      </w:r>
      <w:r w:rsidRPr="00147D0D">
        <w:rPr>
          <w:rFonts w:ascii="Arial" w:hAnsi="Arial" w:cs="Arial"/>
          <w:kern w:val="28"/>
          <w:sz w:val="18"/>
          <w:szCs w:val="18"/>
          <w:lang w:val="es-CO" w:eastAsia="fr-FR"/>
        </w:rPr>
        <w:tab/>
      </w:r>
      <w:r w:rsidRPr="00147D0D">
        <w:rPr>
          <w:rFonts w:ascii="Arial" w:hAnsi="Arial" w:cs="Arial"/>
          <w:kern w:val="28"/>
          <w:sz w:val="18"/>
          <w:szCs w:val="18"/>
          <w:lang w:val="es-CO" w:eastAsia="fr-FR"/>
        </w:rPr>
        <w:tab/>
        <w:t xml:space="preserve">Roberto de Jesús Rentería </w:t>
      </w:r>
    </w:p>
    <w:p w:rsidR="00147D0D" w:rsidRPr="00147D0D" w:rsidRDefault="00147D0D" w:rsidP="00147D0D">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r w:rsidRPr="00147D0D">
        <w:rPr>
          <w:rFonts w:ascii="Arial" w:hAnsi="Arial" w:cs="Arial"/>
          <w:kern w:val="28"/>
          <w:sz w:val="18"/>
          <w:szCs w:val="18"/>
          <w:lang w:val="es-CO" w:eastAsia="fr-FR"/>
        </w:rPr>
        <w:t>Colpensiones</w:t>
      </w:r>
    </w:p>
    <w:p w:rsidR="00147D0D" w:rsidRPr="00147D0D" w:rsidRDefault="00147D0D" w:rsidP="00147D0D">
      <w:pPr>
        <w:spacing w:line="276" w:lineRule="auto"/>
        <w:jc w:val="both"/>
        <w:rPr>
          <w:rFonts w:ascii="Arial" w:hAnsi="Arial" w:cs="Arial"/>
          <w:kern w:val="28"/>
          <w:sz w:val="18"/>
          <w:szCs w:val="18"/>
          <w:lang w:val="es-CO" w:eastAsia="fr-FR"/>
        </w:rPr>
      </w:pPr>
      <w:r w:rsidRPr="00147D0D">
        <w:rPr>
          <w:rFonts w:ascii="Arial" w:hAnsi="Arial" w:cs="Arial"/>
          <w:kern w:val="28"/>
          <w:sz w:val="18"/>
          <w:szCs w:val="18"/>
          <w:lang w:val="es-CO" w:eastAsia="fr-FR"/>
        </w:rPr>
        <w:t xml:space="preserve">Juzgado de origen:     </w:t>
      </w:r>
      <w:r w:rsidRPr="00147D0D">
        <w:rPr>
          <w:rFonts w:ascii="Arial" w:hAnsi="Arial" w:cs="Arial"/>
          <w:kern w:val="28"/>
          <w:sz w:val="18"/>
          <w:szCs w:val="18"/>
          <w:lang w:val="es-CO" w:eastAsia="fr-FR"/>
        </w:rPr>
        <w:tab/>
        <w:t>Quinto Laboral del Circuito de Pereira.</w:t>
      </w:r>
    </w:p>
    <w:p w:rsidR="00147D0D" w:rsidRDefault="00147D0D" w:rsidP="00147D0D">
      <w:pPr>
        <w:spacing w:line="276" w:lineRule="auto"/>
        <w:jc w:val="both"/>
        <w:rPr>
          <w:rFonts w:ascii="Arial" w:hAnsi="Arial" w:cs="Arial"/>
          <w:kern w:val="28"/>
          <w:sz w:val="18"/>
          <w:szCs w:val="18"/>
          <w:lang w:val="es-CO" w:eastAsia="fr-FR"/>
        </w:rPr>
      </w:pPr>
      <w:r w:rsidRPr="00147D0D">
        <w:rPr>
          <w:rFonts w:ascii="Arial" w:hAnsi="Arial" w:cs="Arial"/>
          <w:kern w:val="28"/>
          <w:sz w:val="18"/>
          <w:szCs w:val="18"/>
          <w:lang w:val="es-CO" w:eastAsia="fr-FR"/>
        </w:rPr>
        <w:t xml:space="preserve">Magistrado Ponente:     </w:t>
      </w:r>
      <w:r w:rsidRPr="00147D0D">
        <w:rPr>
          <w:rFonts w:ascii="Arial" w:hAnsi="Arial" w:cs="Arial"/>
          <w:kern w:val="28"/>
          <w:sz w:val="18"/>
          <w:szCs w:val="18"/>
          <w:lang w:val="es-CO" w:eastAsia="fr-FR"/>
        </w:rPr>
        <w:tab/>
        <w:t>Francisco Javier Tamayo Tabares.</w:t>
      </w:r>
    </w:p>
    <w:p w:rsidR="00147D0D" w:rsidRDefault="00147D0D" w:rsidP="00147D0D">
      <w:pPr>
        <w:spacing w:line="276" w:lineRule="auto"/>
        <w:jc w:val="both"/>
        <w:rPr>
          <w:rFonts w:ascii="Arial" w:hAnsi="Arial" w:cs="Arial"/>
          <w:b/>
          <w:bCs/>
          <w:sz w:val="18"/>
          <w:szCs w:val="18"/>
        </w:rPr>
      </w:pPr>
    </w:p>
    <w:p w:rsidR="00147D0D" w:rsidRDefault="00147D0D" w:rsidP="00147D0D">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t>PENSIÓN DE JUBILACIÓN EXTRALEGAL</w:t>
      </w:r>
      <w:r w:rsidR="00F130C7">
        <w:rPr>
          <w:rFonts w:ascii="Arial" w:hAnsi="Arial" w:cs="Arial"/>
          <w:b/>
          <w:sz w:val="18"/>
          <w:szCs w:val="18"/>
          <w:lang w:val="es-CO" w:eastAsia="fr-FR"/>
        </w:rPr>
        <w:t xml:space="preserve"> /</w:t>
      </w:r>
      <w:r>
        <w:rPr>
          <w:rFonts w:ascii="Arial" w:hAnsi="Arial" w:cs="Arial"/>
          <w:b/>
          <w:sz w:val="18"/>
          <w:szCs w:val="18"/>
          <w:lang w:val="es-CO" w:eastAsia="fr-FR"/>
        </w:rPr>
        <w:t xml:space="preserve"> INCOMPATIBLE CON PENSIÓN DE VEJEZ / </w:t>
      </w:r>
      <w:r w:rsidR="00F130C7">
        <w:rPr>
          <w:rFonts w:ascii="Arial" w:hAnsi="Arial" w:cs="Arial"/>
          <w:b/>
          <w:sz w:val="18"/>
          <w:szCs w:val="18"/>
          <w:lang w:val="es-CO" w:eastAsia="fr-FR"/>
        </w:rPr>
        <w:t>RE</w:t>
      </w:r>
      <w:r>
        <w:rPr>
          <w:rFonts w:ascii="Arial" w:hAnsi="Arial" w:cs="Arial"/>
          <w:b/>
          <w:sz w:val="18"/>
          <w:szCs w:val="18"/>
          <w:lang w:val="es-CO" w:eastAsia="fr-FR"/>
        </w:rPr>
        <w:t xml:space="preserve">LIQUIDACIÓN DE PENSIÓN / DEBEN TENERSE EN CUENTA TODAS LAS SEMANAS COTIZADAS / </w:t>
      </w:r>
      <w:proofErr w:type="spellStart"/>
      <w:r>
        <w:rPr>
          <w:rFonts w:ascii="Arial" w:hAnsi="Arial" w:cs="Arial"/>
          <w:b/>
          <w:sz w:val="18"/>
          <w:szCs w:val="18"/>
          <w:lang w:val="es-CO" w:eastAsia="fr-FR"/>
        </w:rPr>
        <w:t>IBL</w:t>
      </w:r>
      <w:proofErr w:type="spellEnd"/>
      <w:r>
        <w:rPr>
          <w:rFonts w:ascii="Arial" w:hAnsi="Arial" w:cs="Arial"/>
          <w:b/>
          <w:sz w:val="18"/>
          <w:szCs w:val="18"/>
          <w:lang w:val="es-CO" w:eastAsia="fr-FR"/>
        </w:rPr>
        <w:t xml:space="preserve"> DE LOS ÚLTIMOS 10 AÑOS / </w:t>
      </w:r>
      <w:r w:rsidR="00E9198B">
        <w:rPr>
          <w:rFonts w:ascii="Arial" w:hAnsi="Arial" w:cs="Arial"/>
          <w:b/>
          <w:sz w:val="18"/>
          <w:szCs w:val="18"/>
          <w:lang w:val="es-CO" w:eastAsia="fr-FR"/>
        </w:rPr>
        <w:t>CONFIRMA / CONCEDE</w:t>
      </w:r>
      <w:r>
        <w:rPr>
          <w:rFonts w:ascii="Arial" w:hAnsi="Arial" w:cs="Arial"/>
          <w:b/>
          <w:sz w:val="18"/>
          <w:szCs w:val="18"/>
          <w:lang w:val="es-CO" w:eastAsia="fr-FR"/>
        </w:rPr>
        <w:t xml:space="preserve">   </w:t>
      </w:r>
      <w:r w:rsidRPr="00FC7A60">
        <w:rPr>
          <w:rFonts w:ascii="Arial" w:hAnsi="Arial" w:cs="Arial"/>
          <w:b/>
          <w:sz w:val="18"/>
          <w:szCs w:val="18"/>
          <w:lang w:val="es-CO" w:eastAsia="fr-FR"/>
        </w:rPr>
        <w:t xml:space="preserve">  </w:t>
      </w:r>
    </w:p>
    <w:p w:rsidR="00147D0D" w:rsidRDefault="00147D0D" w:rsidP="00147D0D">
      <w:pPr>
        <w:jc w:val="both"/>
        <w:rPr>
          <w:rFonts w:ascii="Arial" w:hAnsi="Arial" w:cs="Arial"/>
          <w:b/>
          <w:sz w:val="18"/>
          <w:szCs w:val="18"/>
          <w:lang w:val="es-CO" w:eastAsia="fr-FR"/>
        </w:rPr>
      </w:pPr>
    </w:p>
    <w:p w:rsidR="00147D0D" w:rsidRPr="00147D0D" w:rsidRDefault="00147D0D" w:rsidP="00147D0D">
      <w:pPr>
        <w:pStyle w:val="Sinespaciado"/>
        <w:jc w:val="both"/>
        <w:rPr>
          <w:rFonts w:ascii="Arial" w:hAnsi="Arial" w:cs="Arial"/>
          <w:sz w:val="18"/>
          <w:szCs w:val="18"/>
          <w:lang w:val="es-CO" w:eastAsia="fr-FR"/>
        </w:rPr>
      </w:pPr>
      <w:r w:rsidRPr="00147D0D">
        <w:rPr>
          <w:rFonts w:ascii="Arial" w:hAnsi="Arial" w:cs="Arial"/>
          <w:sz w:val="18"/>
          <w:szCs w:val="18"/>
          <w:lang w:val="es-CO" w:eastAsia="fr-FR"/>
        </w:rPr>
        <w:t>De lo anterior, puede colegirse que desde la expedición del acto administrativo que reconoció el derecho a la pensión de jubilación e</w:t>
      </w:r>
      <w:bookmarkStart w:id="0" w:name="_GoBack"/>
      <w:bookmarkEnd w:id="0"/>
      <w:r w:rsidRPr="00147D0D">
        <w:rPr>
          <w:rFonts w:ascii="Arial" w:hAnsi="Arial" w:cs="Arial"/>
          <w:sz w:val="18"/>
          <w:szCs w:val="18"/>
          <w:lang w:val="es-CO" w:eastAsia="fr-FR"/>
        </w:rPr>
        <w:t xml:space="preserve">xtralegal, se reseñó que dicha pensión sería compartida con la que reconociera el </w:t>
      </w:r>
      <w:proofErr w:type="spellStart"/>
      <w:r w:rsidRPr="00147D0D">
        <w:rPr>
          <w:rFonts w:ascii="Arial" w:hAnsi="Arial" w:cs="Arial"/>
          <w:sz w:val="18"/>
          <w:szCs w:val="18"/>
          <w:lang w:val="es-CO" w:eastAsia="fr-FR"/>
        </w:rPr>
        <w:t>ISS</w:t>
      </w:r>
      <w:proofErr w:type="spellEnd"/>
      <w:r w:rsidRPr="00147D0D">
        <w:rPr>
          <w:rFonts w:ascii="Arial" w:hAnsi="Arial" w:cs="Arial"/>
          <w:sz w:val="18"/>
          <w:szCs w:val="18"/>
          <w:lang w:val="es-CO" w:eastAsia="fr-FR"/>
        </w:rPr>
        <w:t xml:space="preserve">, una vez se acreditaran los requisitos legales, luego entonces, improcedente era insistir en el reconocimiento de una pensión de vejez adicional a la de jubilación extralegal, pues esta no era compatible con la de vejez a cargo del </w:t>
      </w:r>
      <w:proofErr w:type="spellStart"/>
      <w:r w:rsidRPr="00147D0D">
        <w:rPr>
          <w:rFonts w:ascii="Arial" w:hAnsi="Arial" w:cs="Arial"/>
          <w:sz w:val="18"/>
          <w:szCs w:val="18"/>
          <w:lang w:val="es-CO" w:eastAsia="fr-FR"/>
        </w:rPr>
        <w:t>ISS</w:t>
      </w:r>
      <w:proofErr w:type="spellEnd"/>
      <w:r w:rsidRPr="00147D0D">
        <w:rPr>
          <w:rFonts w:ascii="Arial" w:hAnsi="Arial" w:cs="Arial"/>
          <w:sz w:val="18"/>
          <w:szCs w:val="18"/>
          <w:lang w:val="es-CO" w:eastAsia="fr-FR"/>
        </w:rPr>
        <w:t xml:space="preserve">, dado que la </w:t>
      </w:r>
      <w:proofErr w:type="spellStart"/>
      <w:r w:rsidRPr="00147D0D">
        <w:rPr>
          <w:rFonts w:ascii="Arial" w:hAnsi="Arial" w:cs="Arial"/>
          <w:sz w:val="18"/>
          <w:szCs w:val="18"/>
          <w:lang w:val="es-CO" w:eastAsia="fr-FR"/>
        </w:rPr>
        <w:t>causación</w:t>
      </w:r>
      <w:proofErr w:type="spellEnd"/>
      <w:r w:rsidRPr="00147D0D">
        <w:rPr>
          <w:rFonts w:ascii="Arial" w:hAnsi="Arial" w:cs="Arial"/>
          <w:sz w:val="18"/>
          <w:szCs w:val="18"/>
          <w:lang w:val="es-CO" w:eastAsia="fr-FR"/>
        </w:rPr>
        <w:t xml:space="preserve"> de la misma se dio con posterioridad al Decreto 1879 de 1985 aprobado por el Acuerdo 029 de ese mismo año.</w:t>
      </w:r>
    </w:p>
    <w:p w:rsidR="00147D0D" w:rsidRPr="00147D0D" w:rsidRDefault="00147D0D" w:rsidP="00147D0D">
      <w:pPr>
        <w:pStyle w:val="Sinespaciado"/>
        <w:jc w:val="both"/>
        <w:rPr>
          <w:rFonts w:ascii="Arial" w:hAnsi="Arial" w:cs="Arial"/>
          <w:sz w:val="18"/>
          <w:szCs w:val="18"/>
          <w:lang w:val="es-CO" w:eastAsia="fr-FR"/>
        </w:rPr>
      </w:pPr>
    </w:p>
    <w:p w:rsidR="00147D0D" w:rsidRDefault="00147D0D" w:rsidP="00147D0D">
      <w:pPr>
        <w:pStyle w:val="Sinespaciado"/>
        <w:jc w:val="both"/>
        <w:rPr>
          <w:rFonts w:ascii="Arial" w:hAnsi="Arial" w:cs="Arial"/>
          <w:sz w:val="18"/>
          <w:szCs w:val="18"/>
          <w:lang w:val="es-CO" w:eastAsia="fr-FR"/>
        </w:rPr>
      </w:pPr>
      <w:r w:rsidRPr="00147D0D">
        <w:rPr>
          <w:rFonts w:ascii="Arial" w:hAnsi="Arial" w:cs="Arial"/>
          <w:sz w:val="18"/>
          <w:szCs w:val="18"/>
          <w:lang w:val="es-CO" w:eastAsia="fr-FR"/>
        </w:rPr>
        <w:t xml:space="preserve">Así las cosas, acertado resulta el razonamiento de la a-quo al indicar que para la reliquidación de la pensión de vejez legal a cargo del </w:t>
      </w:r>
      <w:proofErr w:type="spellStart"/>
      <w:r w:rsidRPr="00147D0D">
        <w:rPr>
          <w:rFonts w:ascii="Arial" w:hAnsi="Arial" w:cs="Arial"/>
          <w:sz w:val="18"/>
          <w:szCs w:val="18"/>
          <w:lang w:val="es-CO" w:eastAsia="fr-FR"/>
        </w:rPr>
        <w:t>ISS</w:t>
      </w:r>
      <w:proofErr w:type="spellEnd"/>
      <w:r w:rsidRPr="00147D0D">
        <w:rPr>
          <w:rFonts w:ascii="Arial" w:hAnsi="Arial" w:cs="Arial"/>
          <w:sz w:val="18"/>
          <w:szCs w:val="18"/>
          <w:lang w:val="es-CO" w:eastAsia="fr-FR"/>
        </w:rPr>
        <w:t xml:space="preserve"> hoy Colpensiones, era menester computar la totalidad de semanas cotizadas al sistema pensional, sin distinción de los aportes efectuados por empleador Banco Cafetero en Liquidación, y los sufragados por el propio demandante como independiente, o realizados por terceros por cuenta de este, antes o después de la vinculación que tuvo con el banco.</w:t>
      </w:r>
    </w:p>
    <w:p w:rsidR="00147D0D" w:rsidRDefault="00147D0D" w:rsidP="00147D0D">
      <w:pPr>
        <w:pStyle w:val="Sinespaciado"/>
        <w:jc w:val="both"/>
        <w:rPr>
          <w:rFonts w:ascii="Arial" w:hAnsi="Arial" w:cs="Arial"/>
          <w:sz w:val="18"/>
          <w:szCs w:val="18"/>
          <w:lang w:val="es-CO" w:eastAsia="fr-FR"/>
        </w:rPr>
      </w:pPr>
    </w:p>
    <w:p w:rsidR="00147D0D" w:rsidRDefault="00147D0D" w:rsidP="00147D0D">
      <w:pPr>
        <w:pStyle w:val="Sinespaciado"/>
        <w:jc w:val="both"/>
        <w:rPr>
          <w:rFonts w:ascii="Arial" w:hAnsi="Arial" w:cs="Arial"/>
          <w:sz w:val="18"/>
          <w:szCs w:val="18"/>
          <w:lang w:val="es-CO" w:eastAsia="fr-FR"/>
        </w:rPr>
      </w:pPr>
      <w:r w:rsidRPr="00147D0D">
        <w:rPr>
          <w:rFonts w:ascii="Arial" w:hAnsi="Arial" w:cs="Arial"/>
          <w:sz w:val="18"/>
          <w:szCs w:val="18"/>
          <w:lang w:val="es-CO" w:eastAsia="fr-FR"/>
        </w:rPr>
        <w:t xml:space="preserve">Para establecer el valor de una pensión otorgada por el régimen de prima media con prestación definida, es indispensable determinar qué norma regula la forma como se debe liquidar el </w:t>
      </w:r>
      <w:proofErr w:type="spellStart"/>
      <w:r w:rsidRPr="00147D0D">
        <w:rPr>
          <w:rFonts w:ascii="Arial" w:hAnsi="Arial" w:cs="Arial"/>
          <w:sz w:val="18"/>
          <w:szCs w:val="18"/>
          <w:lang w:val="es-CO" w:eastAsia="fr-FR"/>
        </w:rPr>
        <w:t>IBL</w:t>
      </w:r>
      <w:proofErr w:type="spellEnd"/>
      <w:r w:rsidRPr="00147D0D">
        <w:rPr>
          <w:rFonts w:ascii="Arial" w:hAnsi="Arial" w:cs="Arial"/>
          <w:sz w:val="18"/>
          <w:szCs w:val="18"/>
          <w:lang w:val="es-CO" w:eastAsia="fr-FR"/>
        </w:rPr>
        <w:t xml:space="preserve">. En el sub-lite, dado que al actor al 1º de abril de 1994, le hacían falta más de 10 años consolidar su derecho, la norma aplicable es el canon 21 de la Ley 100/93, que establece las pautas para liquidar el </w:t>
      </w:r>
      <w:proofErr w:type="spellStart"/>
      <w:r w:rsidRPr="00147D0D">
        <w:rPr>
          <w:rFonts w:ascii="Arial" w:hAnsi="Arial" w:cs="Arial"/>
          <w:sz w:val="18"/>
          <w:szCs w:val="18"/>
          <w:lang w:val="es-CO" w:eastAsia="fr-FR"/>
        </w:rPr>
        <w:t>IBL</w:t>
      </w:r>
      <w:proofErr w:type="spellEnd"/>
      <w:r w:rsidRPr="00147D0D">
        <w:rPr>
          <w:rFonts w:ascii="Arial" w:hAnsi="Arial" w:cs="Arial"/>
          <w:sz w:val="18"/>
          <w:szCs w:val="18"/>
          <w:lang w:val="es-CO" w:eastAsia="fr-FR"/>
        </w:rPr>
        <w:t xml:space="preserve">. Se establecen dos formas para tal cometido. La primera, consistente en tomar los salarios bases sobre los cuales el afiliado cotizó en los 10 últimos años, actualizarlos anualmente y obtener de allí, como promedio ponderado, el valor de la base sobre la que se va a establecer la prestación. La segunda hipótesis que contempla la regla legal, es la de efectuar el mismo ejercicio respecto a todos los salarios sobre los que el aspirante a la pensión cotizó en toda sus vida laboral, posibilidad que solo se aplica cuando aquel cuente con un mínimo de 1.250 semanas cotizadas y siempre que el promedio así obtenido le resulte más benéfico. </w:t>
      </w:r>
    </w:p>
    <w:p w:rsidR="00147D0D" w:rsidRDefault="00147D0D" w:rsidP="00AD698D">
      <w:pPr>
        <w:spacing w:line="360" w:lineRule="auto"/>
        <w:jc w:val="both"/>
        <w:rPr>
          <w:rFonts w:ascii="Arial Narrow" w:hAnsi="Arial Narrow" w:cs="Arial"/>
          <w:b/>
          <w:bCs/>
          <w:i/>
          <w:iCs/>
          <w:sz w:val="36"/>
          <w:szCs w:val="36"/>
          <w:u w:val="single"/>
        </w:rPr>
      </w:pPr>
    </w:p>
    <w:p w:rsidR="00147D0D" w:rsidRDefault="00147D0D" w:rsidP="00AD698D">
      <w:pPr>
        <w:spacing w:line="360" w:lineRule="auto"/>
        <w:jc w:val="both"/>
        <w:rPr>
          <w:rFonts w:ascii="Arial Narrow" w:hAnsi="Arial Narrow" w:cs="Arial"/>
          <w:b/>
          <w:bCs/>
          <w:i/>
          <w:iCs/>
          <w:sz w:val="36"/>
          <w:szCs w:val="36"/>
          <w:u w:val="single"/>
        </w:rPr>
      </w:pPr>
    </w:p>
    <w:p w:rsidR="00AD698D" w:rsidRPr="00402979" w:rsidRDefault="00AD698D" w:rsidP="00AD698D">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D698D" w:rsidRPr="00DA5D26" w:rsidRDefault="00AD698D" w:rsidP="00AD698D">
      <w:pPr>
        <w:ind w:left="2127" w:hanging="2127"/>
        <w:jc w:val="both"/>
        <w:rPr>
          <w:rFonts w:ascii="Arial Narrow" w:hAnsi="Arial Narrow" w:cs="Arial"/>
          <w:bCs/>
          <w:i/>
          <w:color w:val="FF0000"/>
          <w:sz w:val="18"/>
          <w:szCs w:val="18"/>
          <w:lang w:val="es-CO"/>
        </w:rPr>
      </w:pPr>
    </w:p>
    <w:p w:rsidR="00AD698D" w:rsidRPr="00DA5D26" w:rsidRDefault="00AD698D" w:rsidP="00AD698D">
      <w:pPr>
        <w:ind w:left="2127" w:hanging="2127"/>
        <w:jc w:val="both"/>
        <w:rPr>
          <w:rFonts w:ascii="Arial Narrow" w:hAnsi="Arial Narrow" w:cs="Arial"/>
          <w:bCs/>
          <w:i/>
          <w:color w:val="FF0000"/>
          <w:sz w:val="18"/>
          <w:szCs w:val="18"/>
          <w:highlight w:val="yellow"/>
        </w:rPr>
      </w:pPr>
    </w:p>
    <w:p w:rsidR="00AD698D" w:rsidRPr="00B02E05" w:rsidRDefault="00AD698D" w:rsidP="00AD698D">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AD698D" w:rsidRPr="00951140" w:rsidRDefault="00AD698D" w:rsidP="00AD698D">
      <w:pPr>
        <w:pStyle w:val="Sinespaciado"/>
      </w:pPr>
    </w:p>
    <w:p w:rsidR="00AD698D" w:rsidRPr="00B02E05" w:rsidRDefault="00AD698D" w:rsidP="00AD698D">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veintiséis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26</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julio de </w:t>
      </w:r>
      <w:r w:rsidRPr="00B02E05">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dieciocho</w:t>
      </w:r>
      <w:r w:rsidRPr="00B02E05">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(10:30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Cuarta 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Pr>
          <w:rFonts w:ascii="Arial Narrow" w:hAnsi="Arial Narrow" w:cs="Arial"/>
          <w:sz w:val="28"/>
          <w:szCs w:val="28"/>
        </w:rPr>
        <w:t>14 de septiembre de 2017 p</w:t>
      </w:r>
      <w:r w:rsidRPr="00B02E05">
        <w:rPr>
          <w:rFonts w:ascii="Arial Narrow" w:hAnsi="Arial Narrow" w:cs="Arial"/>
          <w:sz w:val="28"/>
          <w:szCs w:val="28"/>
        </w:rPr>
        <w:t xml:space="preserve">or el Juzgado </w:t>
      </w:r>
      <w:r>
        <w:rPr>
          <w:rFonts w:ascii="Arial Narrow" w:hAnsi="Arial Narrow" w:cs="Arial"/>
          <w:sz w:val="28"/>
          <w:szCs w:val="28"/>
        </w:rPr>
        <w:t xml:space="preserve">Quinto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Roberto de Jesús Rentería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AD698D" w:rsidRPr="00B02E05" w:rsidRDefault="00AD698D" w:rsidP="00AD698D">
      <w:pPr>
        <w:pStyle w:val="Sinespaciado"/>
      </w:pPr>
    </w:p>
    <w:p w:rsidR="00AD698D" w:rsidRPr="00B02E05" w:rsidRDefault="00AD698D" w:rsidP="00AD698D">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lastRenderedPageBreak/>
        <w:t>IDENTIFICACIÓN DE LOS PRESENTES:</w:t>
      </w:r>
    </w:p>
    <w:p w:rsidR="00AD698D" w:rsidRPr="00B02E05" w:rsidRDefault="00AD698D" w:rsidP="00AD698D">
      <w:pPr>
        <w:shd w:val="clear" w:color="auto" w:fill="FFFFFF"/>
        <w:spacing w:line="360" w:lineRule="atLeast"/>
        <w:jc w:val="both"/>
        <w:rPr>
          <w:rFonts w:ascii="Arial Narrow" w:hAnsi="Arial Narrow" w:cs="Tahoma"/>
          <w:b/>
          <w:bCs/>
          <w:color w:val="000000"/>
          <w:sz w:val="28"/>
          <w:szCs w:val="28"/>
          <w:lang w:eastAsia="es-CO"/>
        </w:rPr>
      </w:pPr>
    </w:p>
    <w:p w:rsidR="00AD698D" w:rsidRPr="00145342" w:rsidRDefault="00AD698D" w:rsidP="00AD698D">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AD698D" w:rsidRPr="000A6EA4" w:rsidRDefault="00AD698D" w:rsidP="00AD698D">
      <w:pPr>
        <w:pStyle w:val="Sinespaciado"/>
      </w:pPr>
    </w:p>
    <w:p w:rsidR="00C520ED" w:rsidRDefault="00AD698D" w:rsidP="00AD698D">
      <w:pPr>
        <w:spacing w:line="360" w:lineRule="auto"/>
        <w:ind w:firstLine="900"/>
        <w:jc w:val="both"/>
        <w:rPr>
          <w:rFonts w:ascii="Arial Narrow" w:hAnsi="Arial Narrow" w:cs="Tahoma"/>
          <w:sz w:val="28"/>
          <w:szCs w:val="28"/>
        </w:rPr>
      </w:pPr>
      <w:r>
        <w:rPr>
          <w:rFonts w:ascii="Arial Narrow" w:hAnsi="Arial Narrow" w:cs="Tahoma"/>
          <w:sz w:val="28"/>
          <w:szCs w:val="28"/>
        </w:rPr>
        <w:t>Pretende el demandante que se ordene a Colpensiones</w:t>
      </w:r>
      <w:r w:rsidR="00C520ED">
        <w:rPr>
          <w:rFonts w:ascii="Arial Narrow" w:hAnsi="Arial Narrow" w:cs="Tahoma"/>
          <w:sz w:val="28"/>
          <w:szCs w:val="28"/>
        </w:rPr>
        <w:t xml:space="preserve"> revocar las resoluciones GNR 174722 y VPB 29774 de 2014 y 2015, respectivamente, y en consecuencia, se condene a </w:t>
      </w:r>
      <w:proofErr w:type="spellStart"/>
      <w:r>
        <w:rPr>
          <w:rFonts w:ascii="Arial Narrow" w:hAnsi="Arial Narrow" w:cs="Tahoma"/>
          <w:sz w:val="28"/>
          <w:szCs w:val="28"/>
        </w:rPr>
        <w:t>reliquidar</w:t>
      </w:r>
      <w:proofErr w:type="spellEnd"/>
      <w:r w:rsidR="00C520ED">
        <w:rPr>
          <w:rFonts w:ascii="Arial Narrow" w:hAnsi="Arial Narrow" w:cs="Tahoma"/>
          <w:sz w:val="28"/>
          <w:szCs w:val="28"/>
        </w:rPr>
        <w:t xml:space="preserve"> la pensión de vejez compartida, tomando en consideración única y exclusivamente </w:t>
      </w:r>
      <w:r w:rsidR="00796D5D">
        <w:rPr>
          <w:rFonts w:ascii="Arial Narrow" w:hAnsi="Arial Narrow" w:cs="Tahoma"/>
          <w:sz w:val="28"/>
          <w:szCs w:val="28"/>
        </w:rPr>
        <w:t xml:space="preserve">las cotizaciones </w:t>
      </w:r>
      <w:r w:rsidR="00C520ED">
        <w:rPr>
          <w:rFonts w:ascii="Arial Narrow" w:hAnsi="Arial Narrow" w:cs="Tahoma"/>
          <w:sz w:val="28"/>
          <w:szCs w:val="28"/>
        </w:rPr>
        <w:t xml:space="preserve">efectuadas por su ex empleador Banco Cafetero, </w:t>
      </w:r>
      <w:r w:rsidR="00796D5D">
        <w:rPr>
          <w:rFonts w:ascii="Arial Narrow" w:hAnsi="Arial Narrow" w:cs="Tahoma"/>
          <w:sz w:val="28"/>
          <w:szCs w:val="28"/>
        </w:rPr>
        <w:t xml:space="preserve">ya </w:t>
      </w:r>
      <w:r w:rsidR="00C520ED">
        <w:rPr>
          <w:rFonts w:ascii="Arial Narrow" w:hAnsi="Arial Narrow" w:cs="Tahoma"/>
          <w:sz w:val="28"/>
          <w:szCs w:val="28"/>
        </w:rPr>
        <w:t>sea con</w:t>
      </w:r>
      <w:r w:rsidR="00796D5D">
        <w:rPr>
          <w:rFonts w:ascii="Arial Narrow" w:hAnsi="Arial Narrow" w:cs="Tahoma"/>
          <w:sz w:val="28"/>
          <w:szCs w:val="28"/>
        </w:rPr>
        <w:t xml:space="preserve"> base en el promedio de lo devengado en </w:t>
      </w:r>
      <w:r w:rsidR="00C520ED">
        <w:rPr>
          <w:rFonts w:ascii="Arial Narrow" w:hAnsi="Arial Narrow" w:cs="Tahoma"/>
          <w:sz w:val="28"/>
          <w:szCs w:val="28"/>
        </w:rPr>
        <w:t>los últimos 10 años cotizados</w:t>
      </w:r>
      <w:r>
        <w:rPr>
          <w:rFonts w:ascii="Arial Narrow" w:hAnsi="Arial Narrow" w:cs="Tahoma"/>
          <w:sz w:val="28"/>
          <w:szCs w:val="28"/>
        </w:rPr>
        <w:t xml:space="preserve"> </w:t>
      </w:r>
      <w:r w:rsidR="00C520ED">
        <w:rPr>
          <w:rFonts w:ascii="Arial Narrow" w:hAnsi="Arial Narrow" w:cs="Tahoma"/>
          <w:sz w:val="28"/>
          <w:szCs w:val="28"/>
        </w:rPr>
        <w:t xml:space="preserve">o con toda la vida, según </w:t>
      </w:r>
      <w:r w:rsidR="00796D5D">
        <w:rPr>
          <w:rFonts w:ascii="Arial Narrow" w:hAnsi="Arial Narrow" w:cs="Tahoma"/>
          <w:sz w:val="28"/>
          <w:szCs w:val="28"/>
        </w:rPr>
        <w:t xml:space="preserve">le </w:t>
      </w:r>
      <w:r w:rsidR="00C520ED">
        <w:rPr>
          <w:rFonts w:ascii="Arial Narrow" w:hAnsi="Arial Narrow" w:cs="Tahoma"/>
          <w:sz w:val="28"/>
          <w:szCs w:val="28"/>
        </w:rPr>
        <w:t xml:space="preserve">sea más favorable. </w:t>
      </w:r>
    </w:p>
    <w:p w:rsidR="0097497E" w:rsidRDefault="0097497E" w:rsidP="0097497E">
      <w:pPr>
        <w:pStyle w:val="Sinespaciado"/>
      </w:pPr>
    </w:p>
    <w:p w:rsidR="00C520ED" w:rsidRDefault="00796D5D" w:rsidP="00AD698D">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además, se condene a </w:t>
      </w:r>
      <w:r w:rsidR="001669B9">
        <w:rPr>
          <w:rFonts w:ascii="Arial Narrow" w:hAnsi="Arial Narrow" w:cs="Tahoma"/>
          <w:sz w:val="28"/>
          <w:szCs w:val="28"/>
        </w:rPr>
        <w:t xml:space="preserve">dicha entidad de seguridad social a reconocer y pagar pensión de vejez independiente a la compartida, </w:t>
      </w:r>
      <w:r>
        <w:rPr>
          <w:rFonts w:ascii="Arial Narrow" w:hAnsi="Arial Narrow" w:cs="Tahoma"/>
          <w:sz w:val="28"/>
          <w:szCs w:val="28"/>
        </w:rPr>
        <w:t>a partir del 1º de julio de 2012,</w:t>
      </w:r>
      <w:r w:rsidR="001669B9">
        <w:rPr>
          <w:rFonts w:ascii="Arial Narrow" w:hAnsi="Arial Narrow" w:cs="Tahoma"/>
          <w:sz w:val="28"/>
          <w:szCs w:val="28"/>
        </w:rPr>
        <w:t xml:space="preserve"> y en cuantía de un salario mínimo, </w:t>
      </w:r>
      <w:r>
        <w:rPr>
          <w:rFonts w:ascii="Arial Narrow" w:hAnsi="Arial Narrow" w:cs="Tahoma"/>
          <w:sz w:val="28"/>
          <w:szCs w:val="28"/>
        </w:rPr>
        <w:t xml:space="preserve">con base en 730.44 semanas cotizadas con </w:t>
      </w:r>
      <w:r w:rsidR="001669B9">
        <w:rPr>
          <w:rFonts w:ascii="Arial Narrow" w:hAnsi="Arial Narrow" w:cs="Tahoma"/>
          <w:sz w:val="28"/>
          <w:szCs w:val="28"/>
        </w:rPr>
        <w:t xml:space="preserve">distintos </w:t>
      </w:r>
      <w:r>
        <w:rPr>
          <w:rFonts w:ascii="Arial Narrow" w:hAnsi="Arial Narrow" w:cs="Tahoma"/>
          <w:sz w:val="28"/>
          <w:szCs w:val="28"/>
        </w:rPr>
        <w:t xml:space="preserve">empleadores </w:t>
      </w:r>
      <w:r w:rsidR="001669B9">
        <w:rPr>
          <w:rFonts w:ascii="Arial Narrow" w:hAnsi="Arial Narrow" w:cs="Tahoma"/>
          <w:sz w:val="28"/>
          <w:szCs w:val="28"/>
        </w:rPr>
        <w:t>o en forma independiente</w:t>
      </w:r>
      <w:r w:rsidR="00890589">
        <w:rPr>
          <w:rFonts w:ascii="Arial Narrow" w:hAnsi="Arial Narrow" w:cs="Tahoma"/>
          <w:sz w:val="28"/>
          <w:szCs w:val="28"/>
        </w:rPr>
        <w:t xml:space="preserve">. </w:t>
      </w:r>
      <w:r w:rsidR="001669B9">
        <w:rPr>
          <w:rFonts w:ascii="Arial Narrow" w:hAnsi="Arial Narrow" w:cs="Tahoma"/>
          <w:sz w:val="28"/>
          <w:szCs w:val="28"/>
        </w:rPr>
        <w:t>Por último, que se condene al pago de la diferencia entre lo pagado y lo dejado de pagar por la entidad</w:t>
      </w:r>
      <w:r w:rsidR="00ED324A">
        <w:rPr>
          <w:rFonts w:ascii="Arial Narrow" w:hAnsi="Arial Narrow" w:cs="Tahoma"/>
          <w:sz w:val="28"/>
          <w:szCs w:val="28"/>
        </w:rPr>
        <w:t xml:space="preserve">, el retroactivo pensional de la pensión de vejez, los intereses moratorios que consagra el canon 141 de la Ley 100/93, y las costas procesales a su favor. </w:t>
      </w:r>
    </w:p>
    <w:p w:rsidR="00F47498" w:rsidRPr="0097497E" w:rsidRDefault="00F47498" w:rsidP="0097497E">
      <w:pPr>
        <w:pStyle w:val="Sinespaciado"/>
      </w:pPr>
    </w:p>
    <w:p w:rsidR="00021F00" w:rsidRDefault="00021F00" w:rsidP="00AD698D">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Fundamentó sus peticiones, básicamente, en que laboró para el Banco Cafetero en Liquidación durante muchos años, razón por la cual </w:t>
      </w:r>
      <w:r w:rsidR="00A02935">
        <w:rPr>
          <w:rFonts w:ascii="Arial Narrow" w:hAnsi="Arial Narrow" w:cs="Tahoma"/>
          <w:sz w:val="28"/>
          <w:szCs w:val="28"/>
        </w:rPr>
        <w:t xml:space="preserve">dicha entidad </w:t>
      </w:r>
      <w:r>
        <w:rPr>
          <w:rFonts w:ascii="Arial Narrow" w:hAnsi="Arial Narrow" w:cs="Tahoma"/>
          <w:sz w:val="28"/>
          <w:szCs w:val="28"/>
        </w:rPr>
        <w:t>le reconoció la pensión de jubilación oficial a partir del 1º de julio de 2007, en cuantía de $1`448.316, con fundamento en la Ley 33 de 1985</w:t>
      </w:r>
      <w:r w:rsidR="00A02935">
        <w:rPr>
          <w:rFonts w:ascii="Arial Narrow" w:hAnsi="Arial Narrow" w:cs="Tahoma"/>
          <w:sz w:val="28"/>
          <w:szCs w:val="28"/>
        </w:rPr>
        <w:t xml:space="preserve">; </w:t>
      </w:r>
      <w:r w:rsidR="001D159E">
        <w:rPr>
          <w:rFonts w:ascii="Arial Narrow" w:hAnsi="Arial Narrow" w:cs="Tahoma"/>
          <w:sz w:val="28"/>
          <w:szCs w:val="28"/>
        </w:rPr>
        <w:t>que dicha prestación pensional tendría el carácter de compartida con la pensión de vejez que reconoc</w:t>
      </w:r>
      <w:r w:rsidR="00540E3A">
        <w:rPr>
          <w:rFonts w:ascii="Arial Narrow" w:hAnsi="Arial Narrow" w:cs="Tahoma"/>
          <w:sz w:val="28"/>
          <w:szCs w:val="28"/>
        </w:rPr>
        <w:t>ería</w:t>
      </w:r>
      <w:r w:rsidR="001D159E">
        <w:rPr>
          <w:rFonts w:ascii="Arial Narrow" w:hAnsi="Arial Narrow" w:cs="Tahoma"/>
          <w:sz w:val="28"/>
          <w:szCs w:val="28"/>
        </w:rPr>
        <w:t xml:space="preserve"> el ISS</w:t>
      </w:r>
      <w:r w:rsidR="00540E3A">
        <w:rPr>
          <w:rFonts w:ascii="Arial Narrow" w:hAnsi="Arial Narrow" w:cs="Tahoma"/>
          <w:sz w:val="28"/>
          <w:szCs w:val="28"/>
        </w:rPr>
        <w:t>, y que fue conmutada con el Seguro Social mediante Resolución 3060 de 2010</w:t>
      </w:r>
      <w:r w:rsidR="001D159E">
        <w:rPr>
          <w:rFonts w:ascii="Arial Narrow" w:hAnsi="Arial Narrow" w:cs="Tahoma"/>
          <w:sz w:val="28"/>
          <w:szCs w:val="28"/>
        </w:rPr>
        <w:t xml:space="preserve">. </w:t>
      </w:r>
      <w:r w:rsidR="00D2071F">
        <w:rPr>
          <w:rFonts w:ascii="Arial Narrow" w:hAnsi="Arial Narrow" w:cs="Tahoma"/>
          <w:sz w:val="28"/>
          <w:szCs w:val="28"/>
        </w:rPr>
        <w:t xml:space="preserve">Indica que </w:t>
      </w:r>
      <w:r w:rsidR="00540E3A">
        <w:rPr>
          <w:rFonts w:ascii="Arial Narrow" w:hAnsi="Arial Narrow" w:cs="Tahoma"/>
          <w:sz w:val="28"/>
          <w:szCs w:val="28"/>
        </w:rPr>
        <w:t xml:space="preserve">cotizó </w:t>
      </w:r>
      <w:r w:rsidR="00D2071F">
        <w:rPr>
          <w:rFonts w:ascii="Arial Narrow" w:hAnsi="Arial Narrow" w:cs="Tahoma"/>
          <w:sz w:val="28"/>
          <w:szCs w:val="28"/>
        </w:rPr>
        <w:t xml:space="preserve">730.44 </w:t>
      </w:r>
      <w:r w:rsidR="00540E3A">
        <w:rPr>
          <w:rFonts w:ascii="Arial Narrow" w:hAnsi="Arial Narrow" w:cs="Tahoma"/>
          <w:sz w:val="28"/>
          <w:szCs w:val="28"/>
        </w:rPr>
        <w:t xml:space="preserve">semanas adicionales al </w:t>
      </w:r>
      <w:r w:rsidR="00D2071F">
        <w:rPr>
          <w:rFonts w:ascii="Arial Narrow" w:hAnsi="Arial Narrow" w:cs="Tahoma"/>
          <w:sz w:val="28"/>
          <w:szCs w:val="28"/>
        </w:rPr>
        <w:t>sistema pensional con empleadores distintos al Banco Cafetero y en calidad de trabajador independiente</w:t>
      </w:r>
      <w:r w:rsidR="00540E3A">
        <w:rPr>
          <w:rFonts w:ascii="Arial Narrow" w:hAnsi="Arial Narrow" w:cs="Tahoma"/>
          <w:sz w:val="28"/>
          <w:szCs w:val="28"/>
        </w:rPr>
        <w:t xml:space="preserve">, motivo por el que </w:t>
      </w:r>
      <w:r w:rsidR="00D2071F">
        <w:rPr>
          <w:rFonts w:ascii="Arial Narrow" w:hAnsi="Arial Narrow" w:cs="Tahoma"/>
          <w:sz w:val="28"/>
          <w:szCs w:val="28"/>
        </w:rPr>
        <w:t xml:space="preserve">el 3 de marzo de 2011 solicitó a la administradora del régimen de prima media </w:t>
      </w:r>
      <w:r w:rsidR="00540E3A">
        <w:rPr>
          <w:rFonts w:ascii="Arial Narrow" w:hAnsi="Arial Narrow" w:cs="Tahoma"/>
          <w:sz w:val="28"/>
          <w:szCs w:val="28"/>
        </w:rPr>
        <w:t xml:space="preserve">la devolución de tales aportes, sin embargo, la entidad se negó </w:t>
      </w:r>
      <w:r w:rsidR="00E72326">
        <w:rPr>
          <w:rFonts w:ascii="Arial Narrow" w:hAnsi="Arial Narrow" w:cs="Tahoma"/>
          <w:sz w:val="28"/>
          <w:szCs w:val="28"/>
        </w:rPr>
        <w:t>aduciendo que ello era im</w:t>
      </w:r>
      <w:r w:rsidR="001731A3">
        <w:rPr>
          <w:rFonts w:ascii="Arial Narrow" w:hAnsi="Arial Narrow" w:cs="Tahoma"/>
          <w:sz w:val="28"/>
          <w:szCs w:val="28"/>
        </w:rPr>
        <w:t>procedente; que reiteró en varias oportunidades dicha solicitud pero obtuvo respuesta negativa.</w:t>
      </w:r>
    </w:p>
    <w:p w:rsidR="00E72326" w:rsidRPr="0097497E" w:rsidRDefault="00E72326" w:rsidP="0097497E">
      <w:pPr>
        <w:pStyle w:val="Sinespaciado"/>
      </w:pPr>
    </w:p>
    <w:p w:rsidR="00E72326" w:rsidRDefault="00E72326" w:rsidP="00AD698D">
      <w:pPr>
        <w:spacing w:line="360" w:lineRule="auto"/>
        <w:ind w:firstLine="900"/>
        <w:jc w:val="both"/>
        <w:rPr>
          <w:rFonts w:ascii="Arial Narrow" w:hAnsi="Arial Narrow" w:cs="Tahoma"/>
          <w:sz w:val="28"/>
          <w:szCs w:val="28"/>
        </w:rPr>
      </w:pPr>
      <w:r>
        <w:rPr>
          <w:rFonts w:ascii="Arial Narrow" w:hAnsi="Arial Narrow" w:cs="Tahoma"/>
          <w:sz w:val="28"/>
          <w:szCs w:val="28"/>
        </w:rPr>
        <w:t xml:space="preserve">Refiere que </w:t>
      </w:r>
      <w:r w:rsidR="00E536BF">
        <w:rPr>
          <w:rFonts w:ascii="Arial Narrow" w:hAnsi="Arial Narrow" w:cs="Tahoma"/>
          <w:sz w:val="28"/>
          <w:szCs w:val="28"/>
        </w:rPr>
        <w:t>el 10 de enero de 2013 presentó solicitud de reconocimiento de la pensión de vejez, empero, a través de la Resolución</w:t>
      </w:r>
      <w:r w:rsidR="00597646">
        <w:rPr>
          <w:rFonts w:ascii="Arial Narrow" w:hAnsi="Arial Narrow" w:cs="Tahoma"/>
          <w:sz w:val="28"/>
          <w:szCs w:val="28"/>
        </w:rPr>
        <w:t xml:space="preserve"> GNR 49295 de 2013 le fue negada; que interpuso los recursos de ley</w:t>
      </w:r>
      <w:r w:rsidR="00A56760">
        <w:rPr>
          <w:rFonts w:ascii="Arial Narrow" w:hAnsi="Arial Narrow" w:cs="Tahoma"/>
          <w:sz w:val="28"/>
          <w:szCs w:val="28"/>
        </w:rPr>
        <w:t xml:space="preserve">, razón por la que mediante Resolución 174722 de 2014, se revocó el acto administrativo anterior para en su lugar </w:t>
      </w:r>
      <w:r w:rsidR="00B16435">
        <w:rPr>
          <w:rFonts w:ascii="Arial Narrow" w:hAnsi="Arial Narrow" w:cs="Tahoma"/>
          <w:sz w:val="28"/>
          <w:szCs w:val="28"/>
        </w:rPr>
        <w:t xml:space="preserve">ordenar el pago de una </w:t>
      </w:r>
      <w:r w:rsidR="00B16435">
        <w:rPr>
          <w:rFonts w:ascii="Arial Narrow" w:hAnsi="Arial Narrow" w:cs="Tahoma"/>
          <w:sz w:val="28"/>
          <w:szCs w:val="28"/>
        </w:rPr>
        <w:lastRenderedPageBreak/>
        <w:t xml:space="preserve">pensión mensual vitalicia de </w:t>
      </w:r>
      <w:r w:rsidR="00651340">
        <w:rPr>
          <w:rFonts w:ascii="Arial Narrow" w:hAnsi="Arial Narrow" w:cs="Tahoma"/>
          <w:sz w:val="28"/>
          <w:szCs w:val="28"/>
        </w:rPr>
        <w:t>vejez</w:t>
      </w:r>
      <w:r w:rsidR="00B16435">
        <w:rPr>
          <w:rFonts w:ascii="Arial Narrow" w:hAnsi="Arial Narrow" w:cs="Tahoma"/>
          <w:sz w:val="28"/>
          <w:szCs w:val="28"/>
        </w:rPr>
        <w:t xml:space="preserve"> por valor de $1`130.183</w:t>
      </w:r>
      <w:r w:rsidR="00651340">
        <w:rPr>
          <w:rFonts w:ascii="Arial Narrow" w:hAnsi="Arial Narrow" w:cs="Tahoma"/>
          <w:sz w:val="28"/>
          <w:szCs w:val="28"/>
        </w:rPr>
        <w:t xml:space="preserve"> a partir del 1º de julio de 2014</w:t>
      </w:r>
      <w:r w:rsidR="009E37C1">
        <w:rPr>
          <w:rFonts w:ascii="Arial Narrow" w:hAnsi="Arial Narrow" w:cs="Tahoma"/>
          <w:sz w:val="28"/>
          <w:szCs w:val="28"/>
        </w:rPr>
        <w:t>; que la entidad omitió resolver el recurso de apelación, y que por ello, present</w:t>
      </w:r>
      <w:r w:rsidR="00BA4E49">
        <w:rPr>
          <w:rFonts w:ascii="Arial Narrow" w:hAnsi="Arial Narrow" w:cs="Tahoma"/>
          <w:sz w:val="28"/>
          <w:szCs w:val="28"/>
        </w:rPr>
        <w:t xml:space="preserve">ó recurso de queja, el cual fue resuelto a través de la Resolución VPB 29774 de 2015, en la que se indica que el actor cotizó un total de 2.087 semanas al sistema pensional, y </w:t>
      </w:r>
      <w:r w:rsidR="009F76B0">
        <w:rPr>
          <w:rFonts w:ascii="Arial Narrow" w:hAnsi="Arial Narrow" w:cs="Tahoma"/>
          <w:sz w:val="28"/>
          <w:szCs w:val="28"/>
        </w:rPr>
        <w:t xml:space="preserve">determina que </w:t>
      </w:r>
      <w:r w:rsidR="00BA4E49">
        <w:rPr>
          <w:rFonts w:ascii="Arial Narrow" w:hAnsi="Arial Narrow" w:cs="Tahoma"/>
          <w:sz w:val="28"/>
          <w:szCs w:val="28"/>
        </w:rPr>
        <w:t>tiene derecho a una pensión de vejez de $1</w:t>
      </w:r>
      <w:r w:rsidR="009F76B0">
        <w:rPr>
          <w:rFonts w:ascii="Arial Narrow" w:hAnsi="Arial Narrow" w:cs="Tahoma"/>
          <w:sz w:val="28"/>
          <w:szCs w:val="28"/>
        </w:rPr>
        <w:t>`155.</w:t>
      </w:r>
      <w:r w:rsidR="00BA4E49">
        <w:rPr>
          <w:rFonts w:ascii="Arial Narrow" w:hAnsi="Arial Narrow" w:cs="Tahoma"/>
          <w:sz w:val="28"/>
          <w:szCs w:val="28"/>
        </w:rPr>
        <w:t>045,</w:t>
      </w:r>
      <w:r w:rsidR="009F76B0">
        <w:rPr>
          <w:rFonts w:ascii="Arial Narrow" w:hAnsi="Arial Narrow" w:cs="Tahoma"/>
          <w:sz w:val="28"/>
          <w:szCs w:val="28"/>
        </w:rPr>
        <w:t xml:space="preserve"> con efectividad a partir del 1º de abril de 2015, calculada con </w:t>
      </w:r>
      <w:r w:rsidR="00BA4E49">
        <w:rPr>
          <w:rFonts w:ascii="Arial Narrow" w:hAnsi="Arial Narrow" w:cs="Tahoma"/>
          <w:sz w:val="28"/>
          <w:szCs w:val="28"/>
        </w:rPr>
        <w:t>un IBL de $1`283.384 y una tasa d</w:t>
      </w:r>
      <w:r w:rsidR="00A060A4">
        <w:rPr>
          <w:rFonts w:ascii="Arial Narrow" w:hAnsi="Arial Narrow" w:cs="Tahoma"/>
          <w:sz w:val="28"/>
          <w:szCs w:val="28"/>
        </w:rPr>
        <w:t>e remplazo d</w:t>
      </w:r>
      <w:r w:rsidR="00BA4E49">
        <w:rPr>
          <w:rFonts w:ascii="Arial Narrow" w:hAnsi="Arial Narrow" w:cs="Tahoma"/>
          <w:sz w:val="28"/>
          <w:szCs w:val="28"/>
        </w:rPr>
        <w:t>el 90 %</w:t>
      </w:r>
      <w:r w:rsidR="009F76B0">
        <w:rPr>
          <w:rFonts w:ascii="Arial Narrow" w:hAnsi="Arial Narrow" w:cs="Tahoma"/>
          <w:sz w:val="28"/>
          <w:szCs w:val="28"/>
        </w:rPr>
        <w:t xml:space="preserve">. </w:t>
      </w:r>
    </w:p>
    <w:p w:rsidR="00AD698D" w:rsidRDefault="00AD698D" w:rsidP="00A060A4">
      <w:pPr>
        <w:pStyle w:val="Sinespaciado"/>
      </w:pPr>
    </w:p>
    <w:p w:rsidR="00AD698D" w:rsidRDefault="00AD698D" w:rsidP="00AD698D">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w:t>
      </w:r>
      <w:r w:rsidR="00A060A4">
        <w:rPr>
          <w:rFonts w:ascii="Arial Narrow" w:hAnsi="Arial Narrow" w:cs="Tahoma"/>
          <w:sz w:val="28"/>
          <w:szCs w:val="28"/>
        </w:rPr>
        <w:t xml:space="preserve">quien </w:t>
      </w:r>
      <w:r>
        <w:rPr>
          <w:rFonts w:ascii="Arial Narrow" w:hAnsi="Arial Narrow" w:cs="Tahoma"/>
          <w:sz w:val="28"/>
          <w:szCs w:val="28"/>
        </w:rPr>
        <w:t>por medio de portavoz judicial se pronunció respecto a los hechos</w:t>
      </w:r>
      <w:r w:rsidR="00A060A4">
        <w:rPr>
          <w:rFonts w:ascii="Arial Narrow" w:hAnsi="Arial Narrow" w:cs="Tahoma"/>
          <w:sz w:val="28"/>
          <w:szCs w:val="28"/>
        </w:rPr>
        <w:t xml:space="preserve"> y pretensiones</w:t>
      </w:r>
      <w:r>
        <w:rPr>
          <w:rFonts w:ascii="Arial Narrow" w:hAnsi="Arial Narrow" w:cs="Tahoma"/>
          <w:sz w:val="28"/>
          <w:szCs w:val="28"/>
        </w:rPr>
        <w:t xml:space="preserve"> de la demanda, a</w:t>
      </w:r>
      <w:r w:rsidR="00A060A4">
        <w:rPr>
          <w:rFonts w:ascii="Arial Narrow" w:hAnsi="Arial Narrow" w:cs="Tahoma"/>
          <w:sz w:val="28"/>
          <w:szCs w:val="28"/>
        </w:rPr>
        <w:t xml:space="preserve">duciendo respecto a estas últimas, que se opone a su prosperidad, </w:t>
      </w:r>
      <w:r w:rsidR="00BA0884">
        <w:rPr>
          <w:rFonts w:ascii="Arial Narrow" w:hAnsi="Arial Narrow" w:cs="Tahoma"/>
          <w:sz w:val="28"/>
          <w:szCs w:val="28"/>
        </w:rPr>
        <w:t>dado que la entidad aplicó las normas vigentes que regulan el caso. En su defensa, propuso como</w:t>
      </w:r>
      <w:r w:rsidR="00A060A4">
        <w:rPr>
          <w:rFonts w:ascii="Arial Narrow" w:hAnsi="Arial Narrow" w:cs="Tahoma"/>
          <w:sz w:val="28"/>
          <w:szCs w:val="28"/>
        </w:rPr>
        <w:t xml:space="preserve"> </w:t>
      </w:r>
      <w:r w:rsidR="00BA0884">
        <w:rPr>
          <w:rFonts w:ascii="Arial Narrow" w:hAnsi="Arial Narrow" w:cs="Tahoma"/>
          <w:sz w:val="28"/>
          <w:szCs w:val="28"/>
        </w:rPr>
        <w:t>excepciones</w:t>
      </w:r>
      <w:r>
        <w:rPr>
          <w:rFonts w:ascii="Arial Narrow" w:hAnsi="Arial Narrow" w:cs="Tahoma"/>
          <w:sz w:val="28"/>
          <w:szCs w:val="28"/>
        </w:rPr>
        <w:t xml:space="preserve"> de fondo</w:t>
      </w:r>
      <w:r w:rsidR="00BA0884">
        <w:rPr>
          <w:rFonts w:ascii="Arial Narrow" w:hAnsi="Arial Narrow" w:cs="Tahoma"/>
          <w:sz w:val="28"/>
          <w:szCs w:val="28"/>
        </w:rPr>
        <w:t xml:space="preserve">: Inexistencia de la obligación, Compensación y </w:t>
      </w:r>
      <w:r>
        <w:rPr>
          <w:rFonts w:ascii="Arial Narrow" w:hAnsi="Arial Narrow" w:cs="Tahoma"/>
          <w:sz w:val="28"/>
          <w:szCs w:val="28"/>
        </w:rPr>
        <w:t>Prescripción.</w:t>
      </w:r>
    </w:p>
    <w:p w:rsidR="00AD698D" w:rsidRDefault="00AD698D" w:rsidP="00AD698D">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AD698D" w:rsidRDefault="00AD698D" w:rsidP="00AD698D">
      <w:pPr>
        <w:pStyle w:val="Sinespaciado"/>
        <w:spacing w:line="360" w:lineRule="auto"/>
      </w:pPr>
    </w:p>
    <w:p w:rsidR="001B4603" w:rsidRDefault="00AD698D" w:rsidP="00AD698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w:t>
      </w:r>
      <w:r w:rsidR="001B4603">
        <w:rPr>
          <w:rFonts w:ascii="Arial Narrow" w:hAnsi="Arial Narrow" w:cs="Tahoma"/>
          <w:color w:val="000000"/>
          <w:sz w:val="28"/>
          <w:szCs w:val="28"/>
          <w:lang w:eastAsia="es-CO"/>
        </w:rPr>
        <w:t xml:space="preserve">jueza del conocimiento puso fin a la primera instancia mediante fallo dictado el 14 de septiembre de 2017, en la que declaró parcialmente probada la excepción de inexistencia de la obligación y, no probada las demás. Ordenó a Colpensiones modificar la Resolución VPB 29774 del 6 de abril de 2015, en el sentido de indicar que el valor de la pensión de vejez del señor Roberto de Jesús Rentería es de $1`474.293 para el año 2015, </w:t>
      </w:r>
      <w:r w:rsidR="00037778">
        <w:rPr>
          <w:rFonts w:ascii="Arial Narrow" w:hAnsi="Arial Narrow" w:cs="Tahoma"/>
          <w:color w:val="000000"/>
          <w:sz w:val="28"/>
          <w:szCs w:val="28"/>
          <w:lang w:eastAsia="es-CO"/>
        </w:rPr>
        <w:t xml:space="preserve">advirtiendo que le corresponde a la entidad reconocer el mayor valor de la pensión de vejez compartida en razón de la conmutación pensional realizada a través de la Resolución 3060 de 2017. Se abstuvo de impartir condena por concepto de retroactivo pensional e intereses moratorios. Negó los demás pedimentos y condenó en costas a la entidad demandada en proporción igual al 50 %. </w:t>
      </w:r>
    </w:p>
    <w:p w:rsidR="00037778" w:rsidRPr="00037778" w:rsidRDefault="00037778" w:rsidP="00037778">
      <w:pPr>
        <w:pStyle w:val="Sinespaciado"/>
      </w:pPr>
    </w:p>
    <w:p w:rsidR="00037778" w:rsidRDefault="00037778" w:rsidP="00AD698D">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Pese a que el vocero judicial de la parte actora interpuso el recurso de </w:t>
      </w:r>
      <w:r w:rsidR="008C7B07">
        <w:rPr>
          <w:rFonts w:ascii="Arial Narrow" w:hAnsi="Arial Narrow" w:cs="Tahoma"/>
          <w:color w:val="000000"/>
          <w:sz w:val="28"/>
          <w:szCs w:val="28"/>
          <w:lang w:eastAsia="es-CO"/>
        </w:rPr>
        <w:t>alzada</w:t>
      </w:r>
      <w:r>
        <w:rPr>
          <w:rFonts w:ascii="Arial Narrow" w:hAnsi="Arial Narrow" w:cs="Tahoma"/>
          <w:color w:val="000000"/>
          <w:sz w:val="28"/>
          <w:szCs w:val="28"/>
          <w:lang w:eastAsia="es-CO"/>
        </w:rPr>
        <w:t>, el mismo fue declarado inadmisible en esta segunda instancia, por falta de sustentación.</w:t>
      </w:r>
    </w:p>
    <w:p w:rsidR="00AD698D" w:rsidRDefault="00AD698D" w:rsidP="004C4889">
      <w:pPr>
        <w:pStyle w:val="Sinespaciado"/>
        <w:spacing w:line="276" w:lineRule="auto"/>
        <w:rPr>
          <w:lang w:eastAsia="es-CO"/>
        </w:rPr>
      </w:pPr>
    </w:p>
    <w:p w:rsidR="00AD698D" w:rsidRPr="00AD7B28" w:rsidRDefault="00AD698D" w:rsidP="00AD698D">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Pr>
          <w:rFonts w:ascii="Arial Narrow" w:hAnsi="Arial Narrow" w:cs="Tahoma"/>
          <w:b/>
          <w:i/>
          <w:color w:val="000000"/>
          <w:sz w:val="28"/>
          <w:szCs w:val="28"/>
          <w:lang w:eastAsia="es-CO"/>
        </w:rPr>
        <w:t>CONSULTA</w:t>
      </w:r>
    </w:p>
    <w:p w:rsidR="00AD698D" w:rsidRPr="00037778" w:rsidRDefault="00AD698D" w:rsidP="00037778">
      <w:pPr>
        <w:pStyle w:val="Sinespaciado"/>
      </w:pPr>
    </w:p>
    <w:p w:rsidR="00AD698D" w:rsidRDefault="00AD698D" w:rsidP="00AD698D">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Teniendo en cuenta el mandato contenido en el artícul</w:t>
      </w:r>
      <w:r w:rsidR="00037778">
        <w:rPr>
          <w:rFonts w:ascii="Arial Narrow" w:hAnsi="Arial Narrow" w:cs="Arial"/>
          <w:iCs/>
          <w:sz w:val="28"/>
          <w:szCs w:val="28"/>
          <w:lang w:val="es-MX" w:eastAsia="es-MX"/>
        </w:rPr>
        <w:t xml:space="preserve">o 69 del Estatuto Instrumental </w:t>
      </w:r>
      <w:r>
        <w:rPr>
          <w:rFonts w:ascii="Arial Narrow" w:hAnsi="Arial Narrow" w:cs="Arial"/>
          <w:iCs/>
          <w:sz w:val="28"/>
          <w:szCs w:val="28"/>
          <w:lang w:val="es-MX" w:eastAsia="es-MX"/>
        </w:rPr>
        <w:t xml:space="preserve">Laboral y de la Seguridad Social, se dispuso la remisión de las diligencias a esta Sala para que se surtiera el grado jurisdiccional de consulta. </w:t>
      </w:r>
    </w:p>
    <w:p w:rsidR="00AD698D" w:rsidRPr="00B02E05" w:rsidRDefault="00AD698D" w:rsidP="00AD698D">
      <w:pPr>
        <w:pStyle w:val="Sinespaciado"/>
        <w:rPr>
          <w:lang w:eastAsia="es-CO"/>
        </w:rPr>
      </w:pPr>
    </w:p>
    <w:p w:rsidR="00AD698D" w:rsidRPr="00B02E05" w:rsidRDefault="00AD698D" w:rsidP="00AD698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AD698D" w:rsidRPr="00CA5450" w:rsidRDefault="00AD698D" w:rsidP="00CA5450">
      <w:pPr>
        <w:pStyle w:val="Sinespaciado"/>
      </w:pPr>
    </w:p>
    <w:p w:rsidR="00AD698D" w:rsidRDefault="00AD698D" w:rsidP="00AD698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AD698D" w:rsidRPr="00CA5450" w:rsidRDefault="00AD698D" w:rsidP="00CA5450">
      <w:pPr>
        <w:pStyle w:val="Sinespaciado"/>
      </w:pPr>
    </w:p>
    <w:p w:rsidR="00AD698D" w:rsidRDefault="00AD698D" w:rsidP="00AD698D">
      <w:pPr>
        <w:pStyle w:val="Sinespaciado"/>
        <w:ind w:firstLine="708"/>
        <w:jc w:val="both"/>
        <w:rPr>
          <w:rFonts w:ascii="Arial Narrow" w:hAnsi="Arial Narrow"/>
          <w:i/>
          <w:sz w:val="28"/>
          <w:szCs w:val="26"/>
        </w:rPr>
      </w:pPr>
      <w:r w:rsidRPr="00090E92">
        <w:rPr>
          <w:rFonts w:ascii="Arial Narrow" w:hAnsi="Arial Narrow"/>
          <w:i/>
          <w:sz w:val="28"/>
          <w:szCs w:val="26"/>
        </w:rPr>
        <w:t>¿</w:t>
      </w:r>
      <w:r>
        <w:rPr>
          <w:rFonts w:ascii="Arial Narrow" w:hAnsi="Arial Narrow"/>
          <w:i/>
          <w:sz w:val="28"/>
          <w:szCs w:val="26"/>
        </w:rPr>
        <w:t xml:space="preserve">Hay lugar a </w:t>
      </w:r>
      <w:proofErr w:type="spellStart"/>
      <w:r>
        <w:rPr>
          <w:rFonts w:ascii="Arial Narrow" w:hAnsi="Arial Narrow"/>
          <w:i/>
          <w:sz w:val="28"/>
          <w:szCs w:val="26"/>
        </w:rPr>
        <w:t>reliquidar</w:t>
      </w:r>
      <w:proofErr w:type="spellEnd"/>
      <w:r>
        <w:rPr>
          <w:rFonts w:ascii="Arial Narrow" w:hAnsi="Arial Narrow"/>
          <w:i/>
          <w:sz w:val="28"/>
          <w:szCs w:val="26"/>
        </w:rPr>
        <w:t xml:space="preserve"> la pensión </w:t>
      </w:r>
      <w:r w:rsidR="004C4889">
        <w:rPr>
          <w:rFonts w:ascii="Arial Narrow" w:hAnsi="Arial Narrow"/>
          <w:i/>
          <w:sz w:val="28"/>
          <w:szCs w:val="26"/>
        </w:rPr>
        <w:t xml:space="preserve">de vejez </w:t>
      </w:r>
      <w:r>
        <w:rPr>
          <w:rFonts w:ascii="Arial Narrow" w:hAnsi="Arial Narrow"/>
          <w:i/>
          <w:sz w:val="28"/>
          <w:szCs w:val="26"/>
        </w:rPr>
        <w:t>del demandante?</w:t>
      </w:r>
    </w:p>
    <w:p w:rsidR="00AD698D" w:rsidRDefault="00AD698D" w:rsidP="00AD698D">
      <w:pPr>
        <w:tabs>
          <w:tab w:val="left" w:pos="0"/>
          <w:tab w:val="left" w:pos="8647"/>
        </w:tabs>
        <w:suppressAutoHyphens/>
        <w:spacing w:line="360" w:lineRule="auto"/>
        <w:ind w:firstLine="900"/>
        <w:jc w:val="both"/>
        <w:rPr>
          <w:rFonts w:ascii="Arial Narrow" w:hAnsi="Arial Narrow" w:cs="Tahoma"/>
          <w:b/>
          <w:i/>
          <w:sz w:val="28"/>
          <w:szCs w:val="28"/>
        </w:rPr>
      </w:pPr>
    </w:p>
    <w:p w:rsidR="00AD698D" w:rsidRDefault="00AD698D" w:rsidP="00AD698D">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AD698D" w:rsidRPr="00CA5450" w:rsidRDefault="00AD698D" w:rsidP="00CA5450">
      <w:pPr>
        <w:pStyle w:val="Sinespaciado"/>
      </w:pPr>
    </w:p>
    <w:p w:rsidR="00AD698D" w:rsidRDefault="00AD698D" w:rsidP="00D1032C">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r w:rsidR="008C7B07">
        <w:rPr>
          <w:rFonts w:ascii="Arial Narrow" w:hAnsi="Arial Narrow" w:cs="Tahoma"/>
          <w:sz w:val="28"/>
          <w:szCs w:val="28"/>
        </w:rPr>
        <w:t xml:space="preserve"> </w:t>
      </w: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AD698D" w:rsidRDefault="00AD698D" w:rsidP="004C4889">
      <w:pPr>
        <w:pStyle w:val="Sinespaciado"/>
        <w:spacing w:line="360" w:lineRule="auto"/>
      </w:pPr>
    </w:p>
    <w:p w:rsidR="00AD698D" w:rsidRPr="00145342" w:rsidRDefault="00AD698D" w:rsidP="00AD698D">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Pr="00145342">
        <w:rPr>
          <w:rFonts w:ascii="Arial Narrow" w:hAnsi="Arial Narrow" w:cs="Tahoma"/>
          <w:b/>
          <w:sz w:val="28"/>
          <w:szCs w:val="28"/>
        </w:rPr>
        <w:t>. CONSIDERACIONES:</w:t>
      </w:r>
    </w:p>
    <w:p w:rsidR="00AD698D" w:rsidRPr="00DE7D03" w:rsidRDefault="00AD698D" w:rsidP="00DE7D03">
      <w:pPr>
        <w:pStyle w:val="Sinespaciado"/>
      </w:pPr>
      <w:r w:rsidRPr="00145342">
        <w:tab/>
      </w:r>
      <w:r w:rsidRPr="00145342">
        <w:tab/>
      </w:r>
    </w:p>
    <w:p w:rsidR="00AD698D" w:rsidRPr="00145342" w:rsidRDefault="00AD698D" w:rsidP="00AD698D">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AD698D" w:rsidRPr="00DE7D03" w:rsidRDefault="00AD698D" w:rsidP="00DE7D03">
      <w:pPr>
        <w:pStyle w:val="Sinespaciado"/>
      </w:pPr>
    </w:p>
    <w:p w:rsidR="00656F50" w:rsidRDefault="00656F50" w:rsidP="00656F50">
      <w:pPr>
        <w:autoSpaceDE w:val="0"/>
        <w:autoSpaceDN w:val="0"/>
        <w:adjustRightInd w:val="0"/>
        <w:spacing w:line="360" w:lineRule="auto"/>
        <w:ind w:firstLine="708"/>
        <w:jc w:val="both"/>
        <w:rPr>
          <w:rFonts w:ascii="Arial Narrow" w:hAnsi="Arial Narrow"/>
          <w:sz w:val="28"/>
          <w:szCs w:val="28"/>
        </w:rPr>
      </w:pPr>
      <w:r>
        <w:rPr>
          <w:rFonts w:ascii="Arial Narrow" w:hAnsi="Arial Narrow"/>
          <w:sz w:val="28"/>
          <w:szCs w:val="28"/>
        </w:rPr>
        <w:t>En aras de resolver la instancia</w:t>
      </w:r>
      <w:r w:rsidRPr="00272BC7">
        <w:rPr>
          <w:rFonts w:ascii="Arial Narrow" w:hAnsi="Arial Narrow"/>
          <w:sz w:val="28"/>
          <w:szCs w:val="28"/>
        </w:rPr>
        <w:t xml:space="preserve">, interesa resaltar </w:t>
      </w:r>
      <w:r>
        <w:rPr>
          <w:rFonts w:ascii="Arial Narrow" w:hAnsi="Arial Narrow"/>
          <w:sz w:val="28"/>
          <w:szCs w:val="28"/>
        </w:rPr>
        <w:t xml:space="preserve">conforme a las probanzas que militan en el plenario, </w:t>
      </w:r>
      <w:r w:rsidRPr="00272BC7">
        <w:rPr>
          <w:rFonts w:ascii="Arial Narrow" w:hAnsi="Arial Narrow"/>
          <w:sz w:val="28"/>
          <w:szCs w:val="28"/>
        </w:rPr>
        <w:t xml:space="preserve">los supuestos fácticos </w:t>
      </w:r>
      <w:r w:rsidR="008241D7">
        <w:rPr>
          <w:rFonts w:ascii="Arial Narrow" w:hAnsi="Arial Narrow"/>
          <w:sz w:val="28"/>
          <w:szCs w:val="28"/>
        </w:rPr>
        <w:t>indiscutidos</w:t>
      </w:r>
      <w:r w:rsidR="00B011E2">
        <w:rPr>
          <w:rFonts w:ascii="Arial Narrow" w:hAnsi="Arial Narrow"/>
          <w:sz w:val="28"/>
          <w:szCs w:val="28"/>
        </w:rPr>
        <w:t xml:space="preserve">. </w:t>
      </w:r>
      <w:r w:rsidRPr="00272BC7">
        <w:rPr>
          <w:rFonts w:ascii="Arial Narrow" w:hAnsi="Arial Narrow"/>
          <w:sz w:val="28"/>
          <w:szCs w:val="28"/>
        </w:rPr>
        <w:t xml:space="preserve">Ellos son: </w:t>
      </w:r>
    </w:p>
    <w:p w:rsidR="00656F50" w:rsidRPr="00DE7D03" w:rsidRDefault="00656F50" w:rsidP="00DE7D03">
      <w:pPr>
        <w:pStyle w:val="Sinespaciado"/>
      </w:pPr>
    </w:p>
    <w:p w:rsidR="00656F50" w:rsidRPr="00416072" w:rsidRDefault="00656F50" w:rsidP="00416072">
      <w:pPr>
        <w:pStyle w:val="Prrafodelista"/>
        <w:numPr>
          <w:ilvl w:val="0"/>
          <w:numId w:val="3"/>
        </w:numPr>
        <w:autoSpaceDE w:val="0"/>
        <w:autoSpaceDN w:val="0"/>
        <w:adjustRightInd w:val="0"/>
        <w:spacing w:line="360" w:lineRule="auto"/>
        <w:ind w:left="1134" w:hanging="719"/>
        <w:jc w:val="both"/>
        <w:rPr>
          <w:rFonts w:ascii="Arial Narrow" w:hAnsi="Arial Narrow" w:cs="Arial"/>
          <w:sz w:val="28"/>
          <w:szCs w:val="28"/>
          <w:lang w:val="es-CO"/>
        </w:rPr>
      </w:pPr>
      <w:r w:rsidRPr="00CA34E4">
        <w:rPr>
          <w:rFonts w:ascii="Arial Narrow" w:hAnsi="Arial Narrow" w:cs="Arial"/>
          <w:sz w:val="28"/>
          <w:szCs w:val="28"/>
          <w:lang w:val="es-CO"/>
        </w:rPr>
        <w:t>Que el Banco Cafetero S.A. en Liquidación, a través de la Resolución No.</w:t>
      </w:r>
      <w:r w:rsidR="00B011E2">
        <w:rPr>
          <w:rFonts w:ascii="Arial Narrow" w:hAnsi="Arial Narrow" w:cs="Arial"/>
          <w:sz w:val="28"/>
          <w:szCs w:val="28"/>
          <w:lang w:val="es-CO"/>
        </w:rPr>
        <w:t xml:space="preserve"> 946P del 29 de mayo de 2008</w:t>
      </w:r>
      <w:r w:rsidRPr="00CA34E4">
        <w:rPr>
          <w:rFonts w:ascii="Arial Narrow" w:hAnsi="Arial Narrow" w:cs="Arial"/>
          <w:sz w:val="28"/>
          <w:szCs w:val="28"/>
          <w:lang w:val="es-CO"/>
        </w:rPr>
        <w:t xml:space="preserve"> le reconoció al deman</w:t>
      </w:r>
      <w:r w:rsidR="00456D89">
        <w:rPr>
          <w:rFonts w:ascii="Arial Narrow" w:hAnsi="Arial Narrow" w:cs="Arial"/>
          <w:sz w:val="28"/>
          <w:szCs w:val="28"/>
          <w:lang w:val="es-CO"/>
        </w:rPr>
        <w:t>dante una pensión de jubilación</w:t>
      </w:r>
      <w:r w:rsidRPr="00CA34E4">
        <w:rPr>
          <w:rFonts w:ascii="Arial Narrow" w:hAnsi="Arial Narrow" w:cs="Arial"/>
          <w:sz w:val="28"/>
          <w:szCs w:val="28"/>
          <w:lang w:val="es-CO"/>
        </w:rPr>
        <w:t xml:space="preserve">, en </w:t>
      </w:r>
      <w:r w:rsidR="00416072">
        <w:rPr>
          <w:rFonts w:ascii="Arial Narrow" w:hAnsi="Arial Narrow" w:cs="Arial"/>
          <w:sz w:val="28"/>
          <w:szCs w:val="28"/>
          <w:lang w:val="es-CO"/>
        </w:rPr>
        <w:t xml:space="preserve">cuantía de $1`448.316 con efectos a partir del </w:t>
      </w:r>
      <w:r w:rsidR="00154027">
        <w:rPr>
          <w:rFonts w:ascii="Arial Narrow" w:hAnsi="Arial Narrow" w:cs="Arial"/>
          <w:sz w:val="28"/>
          <w:szCs w:val="28"/>
          <w:lang w:val="es-CO"/>
        </w:rPr>
        <w:t xml:space="preserve">1º de julio de 2007, </w:t>
      </w:r>
      <w:r w:rsidRPr="00416072">
        <w:rPr>
          <w:rFonts w:ascii="Arial Narrow" w:hAnsi="Arial Narrow" w:cs="Arial"/>
          <w:sz w:val="28"/>
          <w:szCs w:val="28"/>
          <w:lang w:val="es-CO"/>
        </w:rPr>
        <w:t xml:space="preserve">según documento obrante </w:t>
      </w:r>
      <w:r w:rsidR="00154027">
        <w:rPr>
          <w:rFonts w:ascii="Arial Narrow" w:hAnsi="Arial Narrow" w:cs="Arial"/>
          <w:sz w:val="28"/>
          <w:szCs w:val="28"/>
          <w:lang w:val="es-CO"/>
        </w:rPr>
        <w:t>a folio 32.</w:t>
      </w:r>
    </w:p>
    <w:p w:rsidR="00656F50" w:rsidRPr="00421501" w:rsidRDefault="00656F50" w:rsidP="00421501">
      <w:pPr>
        <w:pStyle w:val="Sinespaciado"/>
      </w:pPr>
    </w:p>
    <w:p w:rsidR="00656F50" w:rsidRPr="00256724" w:rsidRDefault="00656F50" w:rsidP="00656F50">
      <w:pPr>
        <w:pStyle w:val="Prrafodelista"/>
        <w:numPr>
          <w:ilvl w:val="0"/>
          <w:numId w:val="3"/>
        </w:numPr>
        <w:autoSpaceDE w:val="0"/>
        <w:autoSpaceDN w:val="0"/>
        <w:adjustRightInd w:val="0"/>
        <w:spacing w:line="360" w:lineRule="auto"/>
        <w:ind w:left="1134"/>
        <w:jc w:val="both"/>
        <w:rPr>
          <w:rFonts w:ascii="Arial Narrow" w:hAnsi="Arial Narrow" w:cs="Arial"/>
          <w:sz w:val="28"/>
          <w:szCs w:val="28"/>
          <w:lang w:val="es-CO"/>
        </w:rPr>
      </w:pPr>
      <w:r w:rsidRPr="005026F0">
        <w:rPr>
          <w:rFonts w:ascii="Arial Narrow" w:eastAsia="BatangChe" w:hAnsi="Arial Narrow" w:cs="Tahoma"/>
          <w:sz w:val="28"/>
          <w:szCs w:val="28"/>
        </w:rPr>
        <w:t xml:space="preserve">Que </w:t>
      </w:r>
      <w:r w:rsidR="00154027">
        <w:rPr>
          <w:rFonts w:ascii="Arial Narrow" w:eastAsia="BatangChe" w:hAnsi="Arial Narrow" w:cs="Tahoma"/>
          <w:sz w:val="28"/>
          <w:szCs w:val="28"/>
        </w:rPr>
        <w:t xml:space="preserve">en el numeral 8º de dicho acto administrativo el Banco Cafetero en liquidación se comprometió a </w:t>
      </w:r>
      <w:r w:rsidR="004D4D8B">
        <w:rPr>
          <w:rFonts w:ascii="Arial Narrow" w:eastAsia="BatangChe" w:hAnsi="Arial Narrow" w:cs="Tahoma"/>
          <w:sz w:val="28"/>
          <w:szCs w:val="28"/>
        </w:rPr>
        <w:t xml:space="preserve">seguir cotizando </w:t>
      </w:r>
      <w:r w:rsidR="00154027">
        <w:rPr>
          <w:rFonts w:ascii="Arial Narrow" w:eastAsia="BatangChe" w:hAnsi="Arial Narrow" w:cs="Tahoma"/>
          <w:sz w:val="28"/>
          <w:szCs w:val="28"/>
        </w:rPr>
        <w:t xml:space="preserve">para los riesgo de invalidez, vejez y muerte al Instituto de Seguros Sociales para efectos del reconocimiento que en esa cobertura corresponda a dicha entidad, lo que permite colegir que la </w:t>
      </w:r>
      <w:r w:rsidRPr="005026F0">
        <w:rPr>
          <w:rFonts w:ascii="Arial Narrow" w:eastAsia="BatangChe" w:hAnsi="Arial Narrow" w:cs="Tahoma"/>
          <w:sz w:val="28"/>
          <w:szCs w:val="28"/>
        </w:rPr>
        <w:t>pensión de jubilación sería compartida</w:t>
      </w:r>
      <w:r w:rsidRPr="005026F0">
        <w:rPr>
          <w:rFonts w:ascii="Arial Narrow" w:eastAsia="BatangChe" w:hAnsi="Arial Narrow" w:cs="Tahoma"/>
          <w:b/>
          <w:sz w:val="28"/>
          <w:szCs w:val="28"/>
        </w:rPr>
        <w:t xml:space="preserve"> </w:t>
      </w:r>
      <w:r w:rsidRPr="005026F0">
        <w:rPr>
          <w:rFonts w:ascii="Arial Narrow" w:eastAsia="BatangChe" w:hAnsi="Arial Narrow" w:cs="Tahoma"/>
          <w:sz w:val="28"/>
          <w:szCs w:val="28"/>
        </w:rPr>
        <w:t>con la que le reconociera el I</w:t>
      </w:r>
      <w:r w:rsidR="004D4D8B">
        <w:rPr>
          <w:rFonts w:ascii="Arial Narrow" w:eastAsia="BatangChe" w:hAnsi="Arial Narrow" w:cs="Tahoma"/>
          <w:sz w:val="28"/>
          <w:szCs w:val="28"/>
        </w:rPr>
        <w:t>SS</w:t>
      </w:r>
      <w:r w:rsidRPr="005026F0">
        <w:rPr>
          <w:rFonts w:ascii="Arial Narrow" w:eastAsia="BatangChe" w:hAnsi="Arial Narrow" w:cs="Tahoma"/>
          <w:sz w:val="28"/>
          <w:szCs w:val="28"/>
        </w:rPr>
        <w:t xml:space="preserve">, quedando a cargo del Banco Cafetero en liquidación </w:t>
      </w:r>
      <w:r>
        <w:rPr>
          <w:rFonts w:ascii="Arial Narrow" w:eastAsia="BatangChe" w:hAnsi="Arial Narrow" w:cs="Tahoma"/>
          <w:sz w:val="28"/>
          <w:szCs w:val="28"/>
        </w:rPr>
        <w:t>el pago de la diferencia</w:t>
      </w:r>
      <w:r w:rsidRPr="005026F0">
        <w:rPr>
          <w:rFonts w:ascii="Arial Narrow" w:eastAsia="BatangChe" w:hAnsi="Arial Narrow" w:cs="Tahoma"/>
          <w:sz w:val="28"/>
          <w:szCs w:val="28"/>
        </w:rPr>
        <w:t>, si existiere.</w:t>
      </w:r>
    </w:p>
    <w:p w:rsidR="00256724" w:rsidRPr="00421501" w:rsidRDefault="00256724" w:rsidP="00421501">
      <w:pPr>
        <w:pStyle w:val="Sinespaciado"/>
      </w:pPr>
    </w:p>
    <w:p w:rsidR="00656F50" w:rsidRPr="0097497E" w:rsidRDefault="00256724" w:rsidP="00EC3D1D">
      <w:pPr>
        <w:pStyle w:val="Prrafodelista"/>
        <w:numPr>
          <w:ilvl w:val="0"/>
          <w:numId w:val="3"/>
        </w:numPr>
        <w:autoSpaceDE w:val="0"/>
        <w:autoSpaceDN w:val="0"/>
        <w:adjustRightInd w:val="0"/>
        <w:spacing w:line="360" w:lineRule="auto"/>
        <w:ind w:left="1134"/>
        <w:jc w:val="both"/>
        <w:rPr>
          <w:lang w:val="es-CO"/>
        </w:rPr>
      </w:pPr>
      <w:r w:rsidRPr="00EC3D1D">
        <w:rPr>
          <w:rFonts w:ascii="Arial Narrow" w:hAnsi="Arial Narrow" w:cs="Arial"/>
          <w:sz w:val="28"/>
          <w:szCs w:val="28"/>
          <w:lang w:val="es-CO"/>
        </w:rPr>
        <w:lastRenderedPageBreak/>
        <w:t>Que a través de la Resolución No. 3060 de 2010, el ISS</w:t>
      </w:r>
      <w:r w:rsidR="0027524E" w:rsidRPr="00EC3D1D">
        <w:rPr>
          <w:rFonts w:ascii="Arial Narrow" w:hAnsi="Arial Narrow" w:cs="Arial"/>
          <w:sz w:val="28"/>
          <w:szCs w:val="28"/>
          <w:lang w:val="es-CO"/>
        </w:rPr>
        <w:t xml:space="preserve"> suscribió </w:t>
      </w:r>
      <w:r w:rsidR="00FF25FF" w:rsidRPr="00EC3D1D">
        <w:rPr>
          <w:rFonts w:ascii="Arial Narrow" w:hAnsi="Arial Narrow" w:cs="Arial"/>
          <w:sz w:val="28"/>
          <w:szCs w:val="28"/>
          <w:lang w:val="es-CO"/>
        </w:rPr>
        <w:t>contrato de aceptación de conmutación pensional con el Banco Cafetero en Liquidación, pactándose respecto del aquí demandante, una conmutación bajo la modalidad con expectativa de compartir</w:t>
      </w:r>
      <w:r w:rsidR="002365C4" w:rsidRPr="00EC3D1D">
        <w:rPr>
          <w:rFonts w:ascii="Arial Narrow" w:hAnsi="Arial Narrow" w:cs="Arial"/>
          <w:sz w:val="28"/>
          <w:szCs w:val="28"/>
          <w:lang w:val="es-CO"/>
        </w:rPr>
        <w:t xml:space="preserve"> con la </w:t>
      </w:r>
      <w:r w:rsidR="00106790" w:rsidRPr="00EC3D1D">
        <w:rPr>
          <w:rFonts w:ascii="Arial Narrow" w:hAnsi="Arial Narrow" w:cs="Arial"/>
          <w:sz w:val="28"/>
          <w:szCs w:val="28"/>
          <w:lang w:val="es-CO"/>
        </w:rPr>
        <w:t xml:space="preserve">pensión </w:t>
      </w:r>
      <w:r w:rsidR="002365C4" w:rsidRPr="00EC3D1D">
        <w:rPr>
          <w:rFonts w:ascii="Arial Narrow" w:hAnsi="Arial Narrow" w:cs="Arial"/>
          <w:sz w:val="28"/>
          <w:szCs w:val="28"/>
          <w:lang w:val="es-CO"/>
        </w:rPr>
        <w:t>que reconociera el ISS</w:t>
      </w:r>
      <w:r w:rsidR="00A9720C">
        <w:rPr>
          <w:rFonts w:ascii="Arial Narrow" w:hAnsi="Arial Narrow" w:cs="Arial"/>
          <w:sz w:val="28"/>
          <w:szCs w:val="28"/>
          <w:lang w:val="es-CO"/>
        </w:rPr>
        <w:t xml:space="preserve">, situación que condujo a que el empleador se liberara de la responsabilidad del pago de la pensión de jubilación y de las cotizaciones futuras hasta el cumplimiento de los </w:t>
      </w:r>
      <w:r w:rsidR="001B64E9">
        <w:rPr>
          <w:rFonts w:ascii="Arial Narrow" w:hAnsi="Arial Narrow" w:cs="Arial"/>
          <w:sz w:val="28"/>
          <w:szCs w:val="28"/>
          <w:lang w:val="es-CO"/>
        </w:rPr>
        <w:t>requisitos</w:t>
      </w:r>
      <w:r w:rsidR="00A9720C">
        <w:rPr>
          <w:rFonts w:ascii="Arial Narrow" w:hAnsi="Arial Narrow" w:cs="Arial"/>
          <w:sz w:val="28"/>
          <w:szCs w:val="28"/>
          <w:lang w:val="es-CO"/>
        </w:rPr>
        <w:t xml:space="preserve"> </w:t>
      </w:r>
      <w:r w:rsidR="001B64E9">
        <w:rPr>
          <w:rFonts w:ascii="Arial Narrow" w:hAnsi="Arial Narrow" w:cs="Arial"/>
          <w:sz w:val="28"/>
          <w:szCs w:val="28"/>
          <w:lang w:val="es-CO"/>
        </w:rPr>
        <w:t xml:space="preserve">legales para obtener la pensión de vejez </w:t>
      </w:r>
      <w:r w:rsidR="000A320E">
        <w:rPr>
          <w:rFonts w:ascii="Arial Narrow" w:hAnsi="Arial Narrow" w:cs="Arial"/>
          <w:sz w:val="28"/>
          <w:szCs w:val="28"/>
          <w:lang w:val="es-CO"/>
        </w:rPr>
        <w:t xml:space="preserve">legal </w:t>
      </w:r>
      <w:r w:rsidR="001B64E9">
        <w:rPr>
          <w:rFonts w:ascii="Arial Narrow" w:hAnsi="Arial Narrow" w:cs="Arial"/>
          <w:sz w:val="28"/>
          <w:szCs w:val="28"/>
          <w:lang w:val="es-CO"/>
        </w:rPr>
        <w:t>a cargo del ISS</w:t>
      </w:r>
      <w:r w:rsidR="0039521C" w:rsidRPr="00EC3D1D">
        <w:rPr>
          <w:rFonts w:ascii="Arial Narrow" w:hAnsi="Arial Narrow" w:cs="Arial"/>
          <w:sz w:val="28"/>
          <w:szCs w:val="28"/>
          <w:lang w:val="es-CO"/>
        </w:rPr>
        <w:t xml:space="preserve">, momento a partir del cual operaría la figura jurídica </w:t>
      </w:r>
      <w:r w:rsidR="00EC3D1D">
        <w:rPr>
          <w:rFonts w:ascii="Arial Narrow" w:hAnsi="Arial Narrow" w:cs="Arial"/>
          <w:sz w:val="28"/>
          <w:szCs w:val="28"/>
          <w:lang w:val="es-CO"/>
        </w:rPr>
        <w:t xml:space="preserve">de la </w:t>
      </w:r>
      <w:proofErr w:type="spellStart"/>
      <w:r w:rsidR="00EC3D1D">
        <w:rPr>
          <w:rFonts w:ascii="Arial Narrow" w:hAnsi="Arial Narrow" w:cs="Arial"/>
          <w:sz w:val="28"/>
          <w:szCs w:val="28"/>
          <w:lang w:val="es-CO"/>
        </w:rPr>
        <w:t>compartibilidad</w:t>
      </w:r>
      <w:proofErr w:type="spellEnd"/>
      <w:r w:rsidR="00EC3D1D">
        <w:rPr>
          <w:rFonts w:ascii="Arial Narrow" w:hAnsi="Arial Narrow" w:cs="Arial"/>
          <w:sz w:val="28"/>
          <w:szCs w:val="28"/>
          <w:lang w:val="es-CO"/>
        </w:rPr>
        <w:t xml:space="preserve"> pensional, quedando a cargo de</w:t>
      </w:r>
      <w:r w:rsidR="000A320E">
        <w:rPr>
          <w:rFonts w:ascii="Arial Narrow" w:hAnsi="Arial Narrow" w:cs="Arial"/>
          <w:sz w:val="28"/>
          <w:szCs w:val="28"/>
          <w:lang w:val="es-CO"/>
        </w:rPr>
        <w:t>l ISS, el pago del mayor valor, en caso de existir.</w:t>
      </w:r>
      <w:r w:rsidR="00EC3D1D">
        <w:rPr>
          <w:rFonts w:ascii="Arial Narrow" w:hAnsi="Arial Narrow" w:cs="Arial"/>
          <w:sz w:val="28"/>
          <w:szCs w:val="28"/>
          <w:lang w:val="es-CO"/>
        </w:rPr>
        <w:t xml:space="preserve"> </w:t>
      </w:r>
    </w:p>
    <w:p w:rsidR="0097497E" w:rsidRPr="0097497E" w:rsidRDefault="0097497E" w:rsidP="0097497E">
      <w:pPr>
        <w:pStyle w:val="Sinespaciado"/>
        <w:rPr>
          <w:lang w:val="es-CO"/>
        </w:rPr>
      </w:pPr>
    </w:p>
    <w:p w:rsidR="00656F50" w:rsidRDefault="00656F50" w:rsidP="00DB2435">
      <w:pPr>
        <w:pStyle w:val="Prrafodelista"/>
        <w:numPr>
          <w:ilvl w:val="0"/>
          <w:numId w:val="3"/>
        </w:numPr>
        <w:autoSpaceDE w:val="0"/>
        <w:autoSpaceDN w:val="0"/>
        <w:adjustRightInd w:val="0"/>
        <w:spacing w:line="360" w:lineRule="auto"/>
        <w:ind w:left="1134"/>
        <w:jc w:val="both"/>
        <w:rPr>
          <w:rFonts w:ascii="Arial Narrow" w:hAnsi="Arial Narrow" w:cs="Arial"/>
          <w:sz w:val="28"/>
          <w:szCs w:val="28"/>
          <w:lang w:val="es-CO"/>
        </w:rPr>
      </w:pPr>
      <w:r w:rsidRPr="008F226C">
        <w:rPr>
          <w:rFonts w:ascii="Arial Narrow" w:hAnsi="Arial Narrow" w:cs="Arial"/>
          <w:sz w:val="28"/>
          <w:szCs w:val="28"/>
          <w:lang w:val="es-CO"/>
        </w:rPr>
        <w:t xml:space="preserve">Que </w:t>
      </w:r>
      <w:r w:rsidR="008F226C">
        <w:rPr>
          <w:rFonts w:ascii="Arial Narrow" w:hAnsi="Arial Narrow" w:cs="Arial"/>
          <w:sz w:val="28"/>
          <w:szCs w:val="28"/>
          <w:lang w:val="es-CO"/>
        </w:rPr>
        <w:t>Colpensiones a</w:t>
      </w:r>
      <w:r w:rsidRPr="008F226C">
        <w:rPr>
          <w:rFonts w:ascii="Arial Narrow" w:hAnsi="Arial Narrow" w:cs="Arial"/>
          <w:sz w:val="28"/>
          <w:szCs w:val="28"/>
          <w:lang w:val="es-CO"/>
        </w:rPr>
        <w:t xml:space="preserve"> través de la Resolución </w:t>
      </w:r>
      <w:r w:rsidR="00421501" w:rsidRPr="008F226C">
        <w:rPr>
          <w:rFonts w:ascii="Arial Narrow" w:hAnsi="Arial Narrow" w:cs="Arial"/>
          <w:sz w:val="28"/>
          <w:szCs w:val="28"/>
          <w:lang w:val="es-CO"/>
        </w:rPr>
        <w:t xml:space="preserve">GNR 174722 de 2014, </w:t>
      </w:r>
      <w:r w:rsidRPr="008F226C">
        <w:rPr>
          <w:rFonts w:ascii="Arial Narrow" w:hAnsi="Arial Narrow" w:cs="Arial"/>
          <w:sz w:val="28"/>
          <w:szCs w:val="28"/>
          <w:lang w:val="es-CO"/>
        </w:rPr>
        <w:t>le reconoció al actor la pensión vitalicia de vejez con fundamento en el Acuerdo 049 de 1990, en cuantía de $1`</w:t>
      </w:r>
      <w:r w:rsidR="008F226C" w:rsidRPr="008F226C">
        <w:rPr>
          <w:rFonts w:ascii="Arial Narrow" w:hAnsi="Arial Narrow" w:cs="Arial"/>
          <w:sz w:val="28"/>
          <w:szCs w:val="28"/>
          <w:lang w:val="es-CO"/>
        </w:rPr>
        <w:t xml:space="preserve">130.183, </w:t>
      </w:r>
      <w:r w:rsidRPr="008F226C">
        <w:rPr>
          <w:rFonts w:ascii="Arial Narrow" w:hAnsi="Arial Narrow" w:cs="Arial"/>
          <w:sz w:val="28"/>
          <w:szCs w:val="28"/>
          <w:lang w:val="es-CO"/>
        </w:rPr>
        <w:t xml:space="preserve">a partir del </w:t>
      </w:r>
      <w:r w:rsidR="008F226C" w:rsidRPr="008F226C">
        <w:rPr>
          <w:rFonts w:ascii="Arial Narrow" w:hAnsi="Arial Narrow" w:cs="Arial"/>
          <w:sz w:val="28"/>
          <w:szCs w:val="28"/>
          <w:lang w:val="es-CO"/>
        </w:rPr>
        <w:t xml:space="preserve">1º de julio de 2014, </w:t>
      </w:r>
      <w:r w:rsidRPr="008F226C">
        <w:rPr>
          <w:rFonts w:ascii="Arial Narrow" w:hAnsi="Arial Narrow" w:cs="Arial"/>
          <w:sz w:val="28"/>
          <w:szCs w:val="28"/>
          <w:lang w:val="es-CO"/>
        </w:rPr>
        <w:t xml:space="preserve">liquidada con un IBL de </w:t>
      </w:r>
      <w:r w:rsidR="008F226C" w:rsidRPr="008F226C">
        <w:rPr>
          <w:rFonts w:ascii="Arial Narrow" w:hAnsi="Arial Narrow" w:cs="Arial"/>
          <w:sz w:val="28"/>
          <w:szCs w:val="28"/>
          <w:lang w:val="es-CO"/>
        </w:rPr>
        <w:t xml:space="preserve">1`225.759 </w:t>
      </w:r>
      <w:r w:rsidRPr="008F226C">
        <w:rPr>
          <w:rFonts w:ascii="Arial Narrow" w:hAnsi="Arial Narrow" w:cs="Arial"/>
          <w:sz w:val="28"/>
          <w:szCs w:val="28"/>
          <w:lang w:val="es-CO"/>
        </w:rPr>
        <w:t xml:space="preserve">y una tasa de remplazo del </w:t>
      </w:r>
      <w:r w:rsidR="008F226C" w:rsidRPr="008F226C">
        <w:rPr>
          <w:rFonts w:ascii="Arial Narrow" w:hAnsi="Arial Narrow" w:cs="Arial"/>
          <w:sz w:val="28"/>
          <w:szCs w:val="28"/>
          <w:lang w:val="es-CO"/>
        </w:rPr>
        <w:t>90</w:t>
      </w:r>
      <w:r w:rsidR="008F226C">
        <w:rPr>
          <w:rFonts w:ascii="Arial Narrow" w:hAnsi="Arial Narrow" w:cs="Arial"/>
          <w:sz w:val="28"/>
          <w:szCs w:val="28"/>
          <w:lang w:val="es-CO"/>
        </w:rPr>
        <w:t xml:space="preserve">%. </w:t>
      </w:r>
    </w:p>
    <w:p w:rsidR="008F226C" w:rsidRPr="008F226C" w:rsidRDefault="008F226C" w:rsidP="008F226C">
      <w:pPr>
        <w:pStyle w:val="Sinespaciado"/>
        <w:rPr>
          <w:lang w:val="es-CO"/>
        </w:rPr>
      </w:pPr>
    </w:p>
    <w:p w:rsidR="00FC426D" w:rsidRPr="00FC426D" w:rsidRDefault="004B0A9B" w:rsidP="00FC426D">
      <w:pPr>
        <w:pStyle w:val="Prrafodelista"/>
        <w:numPr>
          <w:ilvl w:val="0"/>
          <w:numId w:val="3"/>
        </w:numPr>
        <w:autoSpaceDE w:val="0"/>
        <w:autoSpaceDN w:val="0"/>
        <w:adjustRightInd w:val="0"/>
        <w:spacing w:line="360" w:lineRule="auto"/>
        <w:ind w:left="1134"/>
        <w:jc w:val="both"/>
        <w:rPr>
          <w:rFonts w:ascii="Arial Narrow" w:hAnsi="Arial Narrow" w:cs="Arial"/>
          <w:color w:val="FF0000"/>
          <w:sz w:val="28"/>
          <w:szCs w:val="28"/>
          <w:lang w:val="es-CO"/>
        </w:rPr>
      </w:pPr>
      <w:r>
        <w:rPr>
          <w:rFonts w:ascii="Arial Narrow" w:hAnsi="Arial Narrow" w:cs="Arial"/>
          <w:sz w:val="28"/>
          <w:szCs w:val="28"/>
          <w:lang w:val="es-CO"/>
        </w:rPr>
        <w:t xml:space="preserve">Que dicho acto administrativo fue modificado por </w:t>
      </w:r>
      <w:r w:rsidR="008F226C">
        <w:rPr>
          <w:rFonts w:ascii="Arial Narrow" w:hAnsi="Arial Narrow" w:cs="Arial"/>
          <w:sz w:val="28"/>
          <w:szCs w:val="28"/>
          <w:lang w:val="es-CO"/>
        </w:rPr>
        <w:t xml:space="preserve">Resolución </w:t>
      </w:r>
      <w:r w:rsidR="000313E0">
        <w:rPr>
          <w:rFonts w:ascii="Arial Narrow" w:hAnsi="Arial Narrow" w:cs="Arial"/>
          <w:sz w:val="28"/>
          <w:szCs w:val="28"/>
          <w:lang w:val="es-CO"/>
        </w:rPr>
        <w:t>VPB 2977</w:t>
      </w:r>
      <w:r w:rsidR="00D40DD7">
        <w:rPr>
          <w:rFonts w:ascii="Arial Narrow" w:hAnsi="Arial Narrow" w:cs="Arial"/>
          <w:sz w:val="28"/>
          <w:szCs w:val="28"/>
          <w:lang w:val="es-CO"/>
        </w:rPr>
        <w:t xml:space="preserve">4 DE 2015, </w:t>
      </w:r>
      <w:r>
        <w:rPr>
          <w:rFonts w:ascii="Arial Narrow" w:hAnsi="Arial Narrow" w:cs="Arial"/>
          <w:sz w:val="28"/>
          <w:szCs w:val="28"/>
          <w:lang w:val="es-CO"/>
        </w:rPr>
        <w:t xml:space="preserve">ordenándose </w:t>
      </w:r>
      <w:r w:rsidR="0065298B">
        <w:rPr>
          <w:rFonts w:ascii="Arial Narrow" w:hAnsi="Arial Narrow" w:cs="Arial"/>
          <w:sz w:val="28"/>
          <w:szCs w:val="28"/>
          <w:lang w:val="es-CO"/>
        </w:rPr>
        <w:t>incluir la pensión de vejez de carácter compartida en la nómina de pensionados y</w:t>
      </w:r>
      <w:r>
        <w:rPr>
          <w:rFonts w:ascii="Arial Narrow" w:hAnsi="Arial Narrow" w:cs="Arial"/>
          <w:sz w:val="28"/>
          <w:szCs w:val="28"/>
          <w:lang w:val="es-CO"/>
        </w:rPr>
        <w:t xml:space="preserve"> </w:t>
      </w:r>
      <w:r w:rsidR="0065298B">
        <w:rPr>
          <w:rFonts w:ascii="Arial Narrow" w:hAnsi="Arial Narrow" w:cs="Arial"/>
          <w:sz w:val="28"/>
          <w:szCs w:val="28"/>
          <w:lang w:val="es-CO"/>
        </w:rPr>
        <w:t xml:space="preserve">a </w:t>
      </w:r>
      <w:r>
        <w:rPr>
          <w:rFonts w:ascii="Arial Narrow" w:hAnsi="Arial Narrow" w:cs="Arial"/>
          <w:sz w:val="28"/>
          <w:szCs w:val="28"/>
          <w:lang w:val="es-CO"/>
        </w:rPr>
        <w:t xml:space="preserve">cancelar </w:t>
      </w:r>
      <w:r w:rsidR="0065298B">
        <w:rPr>
          <w:rFonts w:ascii="Arial Narrow" w:hAnsi="Arial Narrow" w:cs="Arial"/>
          <w:sz w:val="28"/>
          <w:szCs w:val="28"/>
          <w:lang w:val="es-CO"/>
        </w:rPr>
        <w:t xml:space="preserve">el mayor valor a cargo de la </w:t>
      </w:r>
      <w:r w:rsidR="00D40DD7">
        <w:rPr>
          <w:rFonts w:ascii="Arial Narrow" w:hAnsi="Arial Narrow" w:cs="Arial"/>
          <w:sz w:val="28"/>
          <w:szCs w:val="28"/>
          <w:lang w:val="es-CO"/>
        </w:rPr>
        <w:t>conmutación</w:t>
      </w:r>
      <w:r>
        <w:rPr>
          <w:rFonts w:ascii="Arial Narrow" w:hAnsi="Arial Narrow" w:cs="Arial"/>
          <w:sz w:val="28"/>
          <w:szCs w:val="28"/>
          <w:lang w:val="es-CO"/>
        </w:rPr>
        <w:t xml:space="preserve"> pensional, </w:t>
      </w:r>
      <w:proofErr w:type="spellStart"/>
      <w:r>
        <w:rPr>
          <w:rFonts w:ascii="Arial Narrow" w:hAnsi="Arial Narrow" w:cs="Arial"/>
          <w:sz w:val="28"/>
          <w:szCs w:val="28"/>
          <w:lang w:val="es-CO"/>
        </w:rPr>
        <w:t>reliquidando</w:t>
      </w:r>
      <w:proofErr w:type="spellEnd"/>
      <w:r>
        <w:rPr>
          <w:rFonts w:ascii="Arial Narrow" w:hAnsi="Arial Narrow" w:cs="Arial"/>
          <w:sz w:val="28"/>
          <w:szCs w:val="28"/>
          <w:lang w:val="es-CO"/>
        </w:rPr>
        <w:t xml:space="preserve"> la prestación en cuantía de $1`155.045 a partir del</w:t>
      </w:r>
      <w:r w:rsidR="008241D7">
        <w:rPr>
          <w:rFonts w:ascii="Arial Narrow" w:hAnsi="Arial Narrow" w:cs="Arial"/>
          <w:sz w:val="28"/>
          <w:szCs w:val="28"/>
          <w:lang w:val="es-CO"/>
        </w:rPr>
        <w:t xml:space="preserve"> </w:t>
      </w:r>
      <w:r>
        <w:rPr>
          <w:rFonts w:ascii="Arial Narrow" w:hAnsi="Arial Narrow" w:cs="Arial"/>
          <w:sz w:val="28"/>
          <w:szCs w:val="28"/>
          <w:lang w:val="es-CO"/>
        </w:rPr>
        <w:t xml:space="preserve">1º de abril de 2015. </w:t>
      </w:r>
    </w:p>
    <w:p w:rsidR="00FC426D" w:rsidRPr="00FC426D" w:rsidRDefault="00FC426D" w:rsidP="00287DF9">
      <w:pPr>
        <w:pStyle w:val="Sinespaciado"/>
        <w:rPr>
          <w:lang w:val="es-CO"/>
        </w:rPr>
      </w:pPr>
    </w:p>
    <w:p w:rsidR="00C57860" w:rsidRPr="00E932E1" w:rsidRDefault="00FC426D" w:rsidP="00456D89">
      <w:pPr>
        <w:autoSpaceDE w:val="0"/>
        <w:autoSpaceDN w:val="0"/>
        <w:adjustRightInd w:val="0"/>
        <w:spacing w:line="360" w:lineRule="auto"/>
        <w:ind w:firstLine="414"/>
        <w:jc w:val="both"/>
        <w:rPr>
          <w:rFonts w:ascii="Arial Narrow" w:hAnsi="Arial Narrow" w:cs="Arial"/>
          <w:sz w:val="28"/>
          <w:szCs w:val="28"/>
          <w:lang w:val="es-CO"/>
        </w:rPr>
      </w:pPr>
      <w:r w:rsidRPr="00E932E1">
        <w:rPr>
          <w:rFonts w:ascii="Arial Narrow" w:hAnsi="Arial Narrow" w:cs="Arial"/>
          <w:sz w:val="28"/>
          <w:szCs w:val="28"/>
          <w:lang w:val="es-CO"/>
        </w:rPr>
        <w:t>De</w:t>
      </w:r>
      <w:r w:rsidR="00456D89" w:rsidRPr="00E932E1">
        <w:rPr>
          <w:rFonts w:ascii="Arial Narrow" w:hAnsi="Arial Narrow" w:cs="Arial"/>
          <w:sz w:val="28"/>
          <w:szCs w:val="28"/>
          <w:lang w:val="es-CO"/>
        </w:rPr>
        <w:t xml:space="preserve"> lo anterior, puede colegirse que desde la expedición del acto administrativo que reconoció el derecho a la pensión de jubilación extralegal, se reseñó que dicha pensi</w:t>
      </w:r>
      <w:r w:rsidR="00E3355E" w:rsidRPr="00E932E1">
        <w:rPr>
          <w:rFonts w:ascii="Arial Narrow" w:hAnsi="Arial Narrow" w:cs="Arial"/>
          <w:sz w:val="28"/>
          <w:szCs w:val="28"/>
          <w:lang w:val="es-CO"/>
        </w:rPr>
        <w:t>ón serí</w:t>
      </w:r>
      <w:r w:rsidR="00456D89" w:rsidRPr="00E932E1">
        <w:rPr>
          <w:rFonts w:ascii="Arial Narrow" w:hAnsi="Arial Narrow" w:cs="Arial"/>
          <w:sz w:val="28"/>
          <w:szCs w:val="28"/>
          <w:lang w:val="es-CO"/>
        </w:rPr>
        <w:t xml:space="preserve">a compartida con la </w:t>
      </w:r>
      <w:r w:rsidR="00DA3E3C" w:rsidRPr="00E932E1">
        <w:rPr>
          <w:rFonts w:ascii="Arial Narrow" w:hAnsi="Arial Narrow" w:cs="Arial"/>
          <w:sz w:val="28"/>
          <w:szCs w:val="28"/>
          <w:lang w:val="es-CO"/>
        </w:rPr>
        <w:t xml:space="preserve">que reconociera </w:t>
      </w:r>
      <w:r w:rsidR="00456D89" w:rsidRPr="00E932E1">
        <w:rPr>
          <w:rFonts w:ascii="Arial Narrow" w:hAnsi="Arial Narrow" w:cs="Arial"/>
          <w:sz w:val="28"/>
          <w:szCs w:val="28"/>
          <w:lang w:val="es-CO"/>
        </w:rPr>
        <w:t xml:space="preserve">el ISS, una vez </w:t>
      </w:r>
      <w:r w:rsidR="00DA3E3C" w:rsidRPr="00E932E1">
        <w:rPr>
          <w:rFonts w:ascii="Arial Narrow" w:hAnsi="Arial Narrow" w:cs="Arial"/>
          <w:sz w:val="28"/>
          <w:szCs w:val="28"/>
          <w:lang w:val="es-CO"/>
        </w:rPr>
        <w:t xml:space="preserve">se acreditaran </w:t>
      </w:r>
      <w:r w:rsidR="00456D89" w:rsidRPr="00E932E1">
        <w:rPr>
          <w:rFonts w:ascii="Arial Narrow" w:hAnsi="Arial Narrow" w:cs="Arial"/>
          <w:sz w:val="28"/>
          <w:szCs w:val="28"/>
          <w:lang w:val="es-CO"/>
        </w:rPr>
        <w:t xml:space="preserve">los requisitos </w:t>
      </w:r>
      <w:r w:rsidR="00287DF9">
        <w:rPr>
          <w:rFonts w:ascii="Arial Narrow" w:hAnsi="Arial Narrow" w:cs="Arial"/>
          <w:sz w:val="28"/>
          <w:szCs w:val="28"/>
          <w:lang w:val="es-CO"/>
        </w:rPr>
        <w:t>legales</w:t>
      </w:r>
      <w:r w:rsidR="004D589F" w:rsidRPr="00E932E1">
        <w:rPr>
          <w:rFonts w:ascii="Arial Narrow" w:hAnsi="Arial Narrow" w:cs="Arial"/>
          <w:sz w:val="28"/>
          <w:szCs w:val="28"/>
          <w:lang w:val="es-CO"/>
        </w:rPr>
        <w:t>,</w:t>
      </w:r>
      <w:r w:rsidR="00E3355E" w:rsidRPr="00E932E1">
        <w:rPr>
          <w:rFonts w:ascii="Arial Narrow" w:hAnsi="Arial Narrow" w:cs="Arial"/>
          <w:sz w:val="28"/>
          <w:szCs w:val="28"/>
          <w:lang w:val="es-CO"/>
        </w:rPr>
        <w:t xml:space="preserve"> luego</w:t>
      </w:r>
      <w:r w:rsidR="00DA3E3C" w:rsidRPr="00E932E1">
        <w:rPr>
          <w:rFonts w:ascii="Arial Narrow" w:hAnsi="Arial Narrow" w:cs="Arial"/>
          <w:sz w:val="28"/>
          <w:szCs w:val="28"/>
          <w:lang w:val="es-CO"/>
        </w:rPr>
        <w:t xml:space="preserve"> entonces</w:t>
      </w:r>
      <w:r w:rsidR="00E3355E" w:rsidRPr="00E932E1">
        <w:rPr>
          <w:rFonts w:ascii="Arial Narrow" w:hAnsi="Arial Narrow" w:cs="Arial"/>
          <w:sz w:val="28"/>
          <w:szCs w:val="28"/>
          <w:lang w:val="es-CO"/>
        </w:rPr>
        <w:t xml:space="preserve">, </w:t>
      </w:r>
      <w:r w:rsidR="00BC50EC">
        <w:rPr>
          <w:rFonts w:ascii="Arial Narrow" w:hAnsi="Arial Narrow" w:cs="Arial"/>
          <w:sz w:val="28"/>
          <w:szCs w:val="28"/>
          <w:lang w:val="es-CO"/>
        </w:rPr>
        <w:t xml:space="preserve">improcedente era insistir </w:t>
      </w:r>
      <w:r w:rsidR="004D589F" w:rsidRPr="00E932E1">
        <w:rPr>
          <w:rFonts w:ascii="Arial Narrow" w:hAnsi="Arial Narrow" w:cs="Arial"/>
          <w:sz w:val="28"/>
          <w:szCs w:val="28"/>
          <w:lang w:val="es-CO"/>
        </w:rPr>
        <w:t xml:space="preserve">en el reconocimiento de </w:t>
      </w:r>
      <w:r w:rsidR="00EA7626" w:rsidRPr="00E932E1">
        <w:rPr>
          <w:rFonts w:ascii="Arial Narrow" w:hAnsi="Arial Narrow" w:cs="Arial"/>
          <w:sz w:val="28"/>
          <w:szCs w:val="28"/>
          <w:lang w:val="es-CO"/>
        </w:rPr>
        <w:t>una</w:t>
      </w:r>
      <w:r w:rsidR="004D589F" w:rsidRPr="00E932E1">
        <w:rPr>
          <w:rFonts w:ascii="Arial Narrow" w:hAnsi="Arial Narrow" w:cs="Arial"/>
          <w:sz w:val="28"/>
          <w:szCs w:val="28"/>
          <w:lang w:val="es-CO"/>
        </w:rPr>
        <w:t xml:space="preserve"> pensi</w:t>
      </w:r>
      <w:r w:rsidR="00C57860" w:rsidRPr="00E932E1">
        <w:rPr>
          <w:rFonts w:ascii="Arial Narrow" w:hAnsi="Arial Narrow" w:cs="Arial"/>
          <w:sz w:val="28"/>
          <w:szCs w:val="28"/>
          <w:lang w:val="es-CO"/>
        </w:rPr>
        <w:t xml:space="preserve">ón de vejez </w:t>
      </w:r>
      <w:r w:rsidR="00EA7626" w:rsidRPr="00E932E1">
        <w:rPr>
          <w:rFonts w:ascii="Arial Narrow" w:hAnsi="Arial Narrow" w:cs="Arial"/>
          <w:sz w:val="28"/>
          <w:szCs w:val="28"/>
          <w:lang w:val="es-CO"/>
        </w:rPr>
        <w:t>adiciona</w:t>
      </w:r>
      <w:r w:rsidR="00ED15AC" w:rsidRPr="00E932E1">
        <w:rPr>
          <w:rFonts w:ascii="Arial Narrow" w:hAnsi="Arial Narrow" w:cs="Arial"/>
          <w:sz w:val="28"/>
          <w:szCs w:val="28"/>
          <w:lang w:val="es-CO"/>
        </w:rPr>
        <w:t>l a la de jubilación extralegal</w:t>
      </w:r>
      <w:r w:rsidR="00EA7626" w:rsidRPr="00E932E1">
        <w:rPr>
          <w:rFonts w:ascii="Arial Narrow" w:hAnsi="Arial Narrow" w:cs="Arial"/>
          <w:sz w:val="28"/>
          <w:szCs w:val="28"/>
          <w:lang w:val="es-CO"/>
        </w:rPr>
        <w:t xml:space="preserve">, </w:t>
      </w:r>
      <w:r w:rsidR="00ED15AC" w:rsidRPr="00E932E1">
        <w:rPr>
          <w:rFonts w:ascii="Arial Narrow" w:hAnsi="Arial Narrow" w:cs="Arial"/>
          <w:sz w:val="28"/>
          <w:szCs w:val="28"/>
          <w:lang w:val="es-CO"/>
        </w:rPr>
        <w:t>pues</w:t>
      </w:r>
      <w:r w:rsidR="00EA7626" w:rsidRPr="00E932E1">
        <w:rPr>
          <w:rFonts w:ascii="Arial Narrow" w:hAnsi="Arial Narrow" w:cs="Arial"/>
          <w:sz w:val="28"/>
          <w:szCs w:val="28"/>
          <w:lang w:val="es-CO"/>
        </w:rPr>
        <w:t xml:space="preserve"> </w:t>
      </w:r>
      <w:r w:rsidR="00ED15AC" w:rsidRPr="00E932E1">
        <w:rPr>
          <w:rFonts w:ascii="Arial Narrow" w:hAnsi="Arial Narrow" w:cs="Arial"/>
          <w:sz w:val="28"/>
          <w:szCs w:val="28"/>
          <w:lang w:val="es-CO"/>
        </w:rPr>
        <w:t xml:space="preserve">esta </w:t>
      </w:r>
      <w:r w:rsidR="00EA7626" w:rsidRPr="00E932E1">
        <w:rPr>
          <w:rFonts w:ascii="Arial Narrow" w:hAnsi="Arial Narrow" w:cs="Arial"/>
          <w:sz w:val="28"/>
          <w:szCs w:val="28"/>
          <w:lang w:val="es-CO"/>
        </w:rPr>
        <w:t>no era compatible con la de vejez a cargo del ISS, dad</w:t>
      </w:r>
      <w:r w:rsidR="00ED15AC" w:rsidRPr="00E932E1">
        <w:rPr>
          <w:rFonts w:ascii="Arial Narrow" w:hAnsi="Arial Narrow" w:cs="Arial"/>
          <w:sz w:val="28"/>
          <w:szCs w:val="28"/>
          <w:lang w:val="es-CO"/>
        </w:rPr>
        <w:t xml:space="preserve">o que </w:t>
      </w:r>
      <w:r w:rsidR="00A01141">
        <w:rPr>
          <w:rFonts w:ascii="Arial Narrow" w:hAnsi="Arial Narrow" w:cs="Arial"/>
          <w:sz w:val="28"/>
          <w:szCs w:val="28"/>
          <w:lang w:val="es-CO"/>
        </w:rPr>
        <w:t xml:space="preserve">la </w:t>
      </w:r>
      <w:proofErr w:type="spellStart"/>
      <w:r w:rsidR="00BC50EC">
        <w:rPr>
          <w:rFonts w:ascii="Arial Narrow" w:hAnsi="Arial Narrow" w:cs="Arial"/>
          <w:sz w:val="28"/>
          <w:szCs w:val="28"/>
          <w:lang w:val="es-CO"/>
        </w:rPr>
        <w:t>causación</w:t>
      </w:r>
      <w:proofErr w:type="spellEnd"/>
      <w:r w:rsidR="00BC50EC">
        <w:rPr>
          <w:rFonts w:ascii="Arial Narrow" w:hAnsi="Arial Narrow" w:cs="Arial"/>
          <w:sz w:val="28"/>
          <w:szCs w:val="28"/>
          <w:lang w:val="es-CO"/>
        </w:rPr>
        <w:t xml:space="preserve"> de la misma se dio co</w:t>
      </w:r>
      <w:r w:rsidR="00EA7626" w:rsidRPr="00E932E1">
        <w:rPr>
          <w:rFonts w:ascii="Arial Narrow" w:hAnsi="Arial Narrow" w:cs="Arial"/>
          <w:sz w:val="28"/>
          <w:szCs w:val="28"/>
          <w:lang w:val="es-CO"/>
        </w:rPr>
        <w:t>n posterioridad al Decreto 1879 de</w:t>
      </w:r>
      <w:r w:rsidR="00F70FBD">
        <w:rPr>
          <w:rFonts w:ascii="Arial Narrow" w:hAnsi="Arial Narrow" w:cs="Arial"/>
          <w:sz w:val="28"/>
          <w:szCs w:val="28"/>
          <w:lang w:val="es-CO"/>
        </w:rPr>
        <w:t xml:space="preserve"> 1985 aprobado por el Acuerdo 029 de ese mismo año.</w:t>
      </w:r>
    </w:p>
    <w:p w:rsidR="00C57860" w:rsidRPr="00287DF9" w:rsidRDefault="00C57860" w:rsidP="00287DF9">
      <w:pPr>
        <w:pStyle w:val="Sinespaciado"/>
      </w:pPr>
    </w:p>
    <w:p w:rsidR="00B21615" w:rsidRPr="000A6BCC" w:rsidRDefault="00287DF9" w:rsidP="00456D89">
      <w:pPr>
        <w:autoSpaceDE w:val="0"/>
        <w:autoSpaceDN w:val="0"/>
        <w:adjustRightInd w:val="0"/>
        <w:spacing w:line="360" w:lineRule="auto"/>
        <w:ind w:firstLine="414"/>
        <w:jc w:val="both"/>
        <w:rPr>
          <w:rFonts w:ascii="Arial Narrow" w:hAnsi="Arial Narrow" w:cs="Arial"/>
          <w:sz w:val="28"/>
          <w:szCs w:val="28"/>
          <w:lang w:val="es-CO"/>
        </w:rPr>
      </w:pPr>
      <w:r w:rsidRPr="000A6BCC">
        <w:rPr>
          <w:rFonts w:ascii="Arial Narrow" w:hAnsi="Arial Narrow" w:cs="Arial"/>
          <w:sz w:val="28"/>
          <w:szCs w:val="28"/>
          <w:lang w:val="es-CO"/>
        </w:rPr>
        <w:t xml:space="preserve">Así las cosas, acertado resulta el razonamiento de la a-quo al indicar que para la </w:t>
      </w:r>
      <w:r w:rsidR="002971F7" w:rsidRPr="000A6BCC">
        <w:rPr>
          <w:rFonts w:ascii="Arial Narrow" w:hAnsi="Arial Narrow" w:cs="Arial"/>
          <w:sz w:val="28"/>
          <w:szCs w:val="28"/>
          <w:lang w:val="es-CO"/>
        </w:rPr>
        <w:t>re</w:t>
      </w:r>
      <w:r w:rsidRPr="000A6BCC">
        <w:rPr>
          <w:rFonts w:ascii="Arial Narrow" w:hAnsi="Arial Narrow" w:cs="Arial"/>
          <w:sz w:val="28"/>
          <w:szCs w:val="28"/>
          <w:lang w:val="es-CO"/>
        </w:rPr>
        <w:t xml:space="preserve">liquidación de la pensión de vejez legal a cargo del </w:t>
      </w:r>
      <w:proofErr w:type="spellStart"/>
      <w:r w:rsidRPr="000A6BCC">
        <w:rPr>
          <w:rFonts w:ascii="Arial Narrow" w:hAnsi="Arial Narrow" w:cs="Arial"/>
          <w:sz w:val="28"/>
          <w:szCs w:val="28"/>
          <w:lang w:val="es-CO"/>
        </w:rPr>
        <w:t>ISS</w:t>
      </w:r>
      <w:proofErr w:type="spellEnd"/>
      <w:r w:rsidRPr="000A6BCC">
        <w:rPr>
          <w:rFonts w:ascii="Arial Narrow" w:hAnsi="Arial Narrow" w:cs="Arial"/>
          <w:sz w:val="28"/>
          <w:szCs w:val="28"/>
          <w:lang w:val="es-CO"/>
        </w:rPr>
        <w:t xml:space="preserve"> hoy Colpensiones, era menester computar la totalidad de semanas cotizadas al </w:t>
      </w:r>
      <w:r w:rsidR="002B6818" w:rsidRPr="000A6BCC">
        <w:rPr>
          <w:rFonts w:ascii="Arial Narrow" w:hAnsi="Arial Narrow" w:cs="Arial"/>
          <w:sz w:val="28"/>
          <w:szCs w:val="28"/>
          <w:lang w:val="es-CO"/>
        </w:rPr>
        <w:t xml:space="preserve">sistema pensional, sin </w:t>
      </w:r>
      <w:r w:rsidR="009A31B2" w:rsidRPr="000A6BCC">
        <w:rPr>
          <w:rFonts w:ascii="Arial Narrow" w:hAnsi="Arial Narrow" w:cs="Arial"/>
          <w:sz w:val="28"/>
          <w:szCs w:val="28"/>
          <w:lang w:val="es-CO"/>
        </w:rPr>
        <w:t xml:space="preserve">distinción </w:t>
      </w:r>
      <w:r w:rsidR="002971F7" w:rsidRPr="000A6BCC">
        <w:rPr>
          <w:rFonts w:ascii="Arial Narrow" w:hAnsi="Arial Narrow" w:cs="Arial"/>
          <w:sz w:val="28"/>
          <w:szCs w:val="28"/>
          <w:lang w:val="es-CO"/>
        </w:rPr>
        <w:t xml:space="preserve">de </w:t>
      </w:r>
      <w:r w:rsidR="009A31B2" w:rsidRPr="000A6BCC">
        <w:rPr>
          <w:rFonts w:ascii="Arial Narrow" w:hAnsi="Arial Narrow" w:cs="Arial"/>
          <w:sz w:val="28"/>
          <w:szCs w:val="28"/>
          <w:lang w:val="es-CO"/>
        </w:rPr>
        <w:t xml:space="preserve">los aportes </w:t>
      </w:r>
      <w:r w:rsidR="002971F7" w:rsidRPr="000A6BCC">
        <w:rPr>
          <w:rFonts w:ascii="Arial Narrow" w:hAnsi="Arial Narrow" w:cs="Arial"/>
          <w:sz w:val="28"/>
          <w:szCs w:val="28"/>
          <w:lang w:val="es-CO"/>
        </w:rPr>
        <w:t xml:space="preserve">efectuados por </w:t>
      </w:r>
      <w:r w:rsidR="009A31B2" w:rsidRPr="000A6BCC">
        <w:rPr>
          <w:rFonts w:ascii="Arial Narrow" w:hAnsi="Arial Narrow" w:cs="Arial"/>
          <w:sz w:val="28"/>
          <w:szCs w:val="28"/>
          <w:lang w:val="es-CO"/>
        </w:rPr>
        <w:t>empleador Banco Cafetero en Liquidaci</w:t>
      </w:r>
      <w:r w:rsidR="000A6BCC" w:rsidRPr="000A6BCC">
        <w:rPr>
          <w:rFonts w:ascii="Arial Narrow" w:hAnsi="Arial Narrow" w:cs="Arial"/>
          <w:sz w:val="28"/>
          <w:szCs w:val="28"/>
          <w:lang w:val="es-CO"/>
        </w:rPr>
        <w:t>ón</w:t>
      </w:r>
      <w:r w:rsidR="00C21253">
        <w:rPr>
          <w:rFonts w:ascii="Arial Narrow" w:hAnsi="Arial Narrow" w:cs="Arial"/>
          <w:sz w:val="28"/>
          <w:szCs w:val="28"/>
          <w:lang w:val="es-CO"/>
        </w:rPr>
        <w:t xml:space="preserve">, y </w:t>
      </w:r>
      <w:r w:rsidR="00C21253">
        <w:rPr>
          <w:rFonts w:ascii="Arial Narrow" w:hAnsi="Arial Narrow" w:cs="Arial"/>
          <w:sz w:val="28"/>
          <w:szCs w:val="28"/>
          <w:lang w:val="es-CO"/>
        </w:rPr>
        <w:lastRenderedPageBreak/>
        <w:t>los sufragados por el propio demandante como independiente, o realizados por terceros por cuenta de este, antes o después de la vinculación que tuvo con el banco</w:t>
      </w:r>
      <w:r w:rsidR="000A6BCC" w:rsidRPr="000A6BCC">
        <w:rPr>
          <w:rFonts w:ascii="Arial Narrow" w:hAnsi="Arial Narrow" w:cs="Arial"/>
          <w:sz w:val="28"/>
          <w:szCs w:val="28"/>
          <w:lang w:val="es-CO"/>
        </w:rPr>
        <w:t xml:space="preserve">. </w:t>
      </w:r>
    </w:p>
    <w:p w:rsidR="002633E2" w:rsidRPr="001909F9" w:rsidRDefault="002633E2" w:rsidP="001909F9">
      <w:pPr>
        <w:pStyle w:val="Sinespaciado"/>
      </w:pPr>
    </w:p>
    <w:p w:rsidR="00AD698D" w:rsidRDefault="00AD698D" w:rsidP="0088318D">
      <w:pPr>
        <w:pStyle w:val="Textoindependiente"/>
        <w:spacing w:line="360" w:lineRule="auto"/>
        <w:ind w:firstLine="414"/>
        <w:rPr>
          <w:rFonts w:ascii="Arial Narrow" w:hAnsi="Arial Narrow"/>
          <w:sz w:val="28"/>
          <w:szCs w:val="28"/>
          <w:lang w:val="es-CO"/>
        </w:rPr>
      </w:pPr>
      <w:r w:rsidRPr="0088318D">
        <w:rPr>
          <w:rFonts w:ascii="Arial Narrow" w:hAnsi="Arial Narrow"/>
          <w:sz w:val="28"/>
          <w:szCs w:val="28"/>
          <w:lang w:val="es-CO"/>
        </w:rPr>
        <w:t xml:space="preserve">Para establecer el valor de una pensión otorgada por el régimen de prima media con prestación definida, es indispensable determinar qué norma regula la forma como se debe liquidar el IBL. </w:t>
      </w:r>
      <w:r w:rsidR="0088318D">
        <w:rPr>
          <w:rFonts w:ascii="Arial Narrow" w:hAnsi="Arial Narrow"/>
          <w:sz w:val="28"/>
          <w:szCs w:val="28"/>
          <w:lang w:val="es-CO"/>
        </w:rPr>
        <w:t xml:space="preserve">En el sub-lite, </w:t>
      </w:r>
      <w:r w:rsidR="002B458D">
        <w:rPr>
          <w:rFonts w:ascii="Arial Narrow" w:hAnsi="Arial Narrow"/>
          <w:sz w:val="28"/>
          <w:szCs w:val="28"/>
          <w:lang w:val="es-CO"/>
        </w:rPr>
        <w:t xml:space="preserve">dado que al </w:t>
      </w:r>
      <w:r w:rsidR="00CD00C8">
        <w:rPr>
          <w:rFonts w:ascii="Arial Narrow" w:hAnsi="Arial Narrow"/>
          <w:sz w:val="28"/>
          <w:szCs w:val="28"/>
          <w:lang w:val="es-CO"/>
        </w:rPr>
        <w:t xml:space="preserve">actor al 1º de abril de 1994, le hacían falta más de 10 años </w:t>
      </w:r>
      <w:r w:rsidR="002B458D">
        <w:rPr>
          <w:rFonts w:ascii="Arial Narrow" w:hAnsi="Arial Narrow"/>
          <w:sz w:val="28"/>
          <w:szCs w:val="28"/>
          <w:lang w:val="es-CO"/>
        </w:rPr>
        <w:t>consolidar su derecho, la</w:t>
      </w:r>
      <w:r w:rsidRPr="0088318D">
        <w:rPr>
          <w:rFonts w:ascii="Arial Narrow" w:hAnsi="Arial Narrow"/>
          <w:sz w:val="28"/>
          <w:szCs w:val="28"/>
          <w:lang w:val="es-CO"/>
        </w:rPr>
        <w:t xml:space="preserve"> norma aplicable</w:t>
      </w:r>
      <w:r w:rsidR="002B458D">
        <w:rPr>
          <w:rFonts w:ascii="Arial Narrow" w:hAnsi="Arial Narrow"/>
          <w:sz w:val="28"/>
          <w:szCs w:val="28"/>
          <w:lang w:val="es-CO"/>
        </w:rPr>
        <w:t xml:space="preserve"> es </w:t>
      </w:r>
      <w:r w:rsidRPr="0088318D">
        <w:rPr>
          <w:rFonts w:ascii="Arial Narrow" w:hAnsi="Arial Narrow"/>
          <w:sz w:val="28"/>
          <w:szCs w:val="28"/>
          <w:lang w:val="es-CO"/>
        </w:rPr>
        <w:t>el canon 21 d</w:t>
      </w:r>
      <w:r w:rsidR="002B458D">
        <w:rPr>
          <w:rFonts w:ascii="Arial Narrow" w:hAnsi="Arial Narrow"/>
          <w:sz w:val="28"/>
          <w:szCs w:val="28"/>
          <w:lang w:val="es-CO"/>
        </w:rPr>
        <w:t>e la Ley 100/93</w:t>
      </w:r>
      <w:r w:rsidRPr="0088318D">
        <w:rPr>
          <w:rFonts w:ascii="Arial Narrow" w:hAnsi="Arial Narrow"/>
          <w:sz w:val="28"/>
          <w:szCs w:val="28"/>
          <w:lang w:val="es-CO"/>
        </w:rPr>
        <w:t>, que establece las pautas para liquidar el IBL. Se establecen dos formas para tal cometido. La primera, consistente en tomar los salarios bases sobre los cuales el afiliado cotizó en los 10 últimos años, actualizarlos anualmente y obtener de allí, como promedio ponderado, el valor de la base sobre la que se va a establecer la prestación. La segunda hipótesis que contempla la regla legal, es la de efectuar el mismo ejercicio respecto a todos los salarios sobre los que el aspirante a la pensión cotizó en toda sus vida laboral, posibilidad que solo se aplica cuando aquel cuente con un mínimo de 1.250 semanas cotizadas y siempre que el promedio así obtenido le resulte más benéfico.</w:t>
      </w:r>
    </w:p>
    <w:p w:rsidR="002B458D" w:rsidRDefault="002B458D" w:rsidP="002B458D">
      <w:pPr>
        <w:pStyle w:val="Sinespaciado"/>
        <w:rPr>
          <w:lang w:val="es-CO"/>
        </w:rPr>
      </w:pPr>
    </w:p>
    <w:p w:rsidR="002B458D" w:rsidRDefault="00F420E2" w:rsidP="002B458D">
      <w:pPr>
        <w:pStyle w:val="Prrafodelista2"/>
        <w:spacing w:after="0" w:line="360" w:lineRule="auto"/>
        <w:ind w:left="0" w:firstLine="709"/>
        <w:jc w:val="both"/>
        <w:rPr>
          <w:rFonts w:ascii="Arial Narrow" w:hAnsi="Arial Narrow" w:cs="Arial"/>
          <w:sz w:val="28"/>
          <w:szCs w:val="28"/>
        </w:rPr>
      </w:pPr>
      <w:r w:rsidRPr="00934FA1">
        <w:rPr>
          <w:rFonts w:ascii="Arial Narrow" w:hAnsi="Arial Narrow" w:cs="Arial"/>
          <w:sz w:val="28"/>
          <w:szCs w:val="28"/>
        </w:rPr>
        <w:t xml:space="preserve">Clarificada la normatividad correspondiente, ha de decirse que en el caso puntual, la liquidación del IBL efectuado </w:t>
      </w:r>
      <w:r w:rsidR="002B458D" w:rsidRPr="00934FA1">
        <w:rPr>
          <w:rFonts w:ascii="Arial Narrow" w:hAnsi="Arial Narrow" w:cs="Arial"/>
          <w:sz w:val="28"/>
          <w:szCs w:val="28"/>
        </w:rPr>
        <w:t>con el promedio de los salarios devengados en los últimos diez años, tal cual se realizó en la primera instancia,</w:t>
      </w:r>
      <w:r w:rsidRPr="00934FA1">
        <w:rPr>
          <w:rFonts w:ascii="Arial Narrow" w:hAnsi="Arial Narrow" w:cs="Arial"/>
          <w:sz w:val="28"/>
          <w:szCs w:val="28"/>
        </w:rPr>
        <w:t xml:space="preserve"> resulta más ventajosa que la efectuada por el ISS, </w:t>
      </w:r>
      <w:r w:rsidR="002B458D" w:rsidRPr="00934FA1">
        <w:rPr>
          <w:rFonts w:ascii="Arial Narrow" w:hAnsi="Arial Narrow" w:cs="Arial"/>
          <w:sz w:val="28"/>
          <w:szCs w:val="28"/>
        </w:rPr>
        <w:t xml:space="preserve">que para el presente caso se enmarcan en el lapso comprendido entre el </w:t>
      </w:r>
      <w:r w:rsidR="00BF2821" w:rsidRPr="00934FA1">
        <w:rPr>
          <w:rFonts w:ascii="Arial Narrow" w:hAnsi="Arial Narrow" w:cs="Arial"/>
          <w:sz w:val="28"/>
          <w:szCs w:val="28"/>
        </w:rPr>
        <w:t>1º de marzo de</w:t>
      </w:r>
      <w:r w:rsidRPr="00934FA1">
        <w:rPr>
          <w:rFonts w:ascii="Arial Narrow" w:hAnsi="Arial Narrow" w:cs="Arial"/>
          <w:sz w:val="28"/>
          <w:szCs w:val="28"/>
        </w:rPr>
        <w:t xml:space="preserve"> 2004 y el 31 de marzo de 2015. </w:t>
      </w:r>
      <w:r w:rsidRPr="00934FA1">
        <w:rPr>
          <w:rFonts w:ascii="Arial Narrow" w:hAnsi="Arial Narrow"/>
          <w:sz w:val="28"/>
          <w:szCs w:val="28"/>
        </w:rPr>
        <w:t xml:space="preserve">Por lo tanto, en aras de desatar el grado jurisdiccional de consulta, se verificará si la liquidación efectuada en primera instancia es acertada o no, lo que se materializa en el siguiente cuadro:  </w:t>
      </w:r>
      <w:r w:rsidRPr="00934FA1">
        <w:rPr>
          <w:rFonts w:ascii="Arial Narrow" w:hAnsi="Arial Narrow" w:cs="Arial"/>
          <w:sz w:val="28"/>
          <w:szCs w:val="28"/>
        </w:rPr>
        <w:t>S</w:t>
      </w:r>
      <w:r w:rsidR="002B458D" w:rsidRPr="00934FA1">
        <w:rPr>
          <w:rFonts w:ascii="Arial Narrow" w:hAnsi="Arial Narrow" w:cs="Arial"/>
          <w:sz w:val="28"/>
          <w:szCs w:val="28"/>
        </w:rPr>
        <w:t>e obtiene un IBL de $</w:t>
      </w:r>
      <w:r w:rsidR="00BF2821" w:rsidRPr="00934FA1">
        <w:rPr>
          <w:rFonts w:ascii="Arial Narrow" w:hAnsi="Arial Narrow" w:cs="Arial"/>
          <w:sz w:val="28"/>
          <w:szCs w:val="28"/>
        </w:rPr>
        <w:t>1`474.949</w:t>
      </w:r>
      <w:r w:rsidR="002B458D" w:rsidRPr="00934FA1">
        <w:rPr>
          <w:rFonts w:ascii="Arial Narrow" w:hAnsi="Arial Narrow" w:cs="Arial"/>
          <w:sz w:val="28"/>
          <w:szCs w:val="28"/>
        </w:rPr>
        <w:t xml:space="preserve"> que al aplicarle una tasa de remplazo del 90%, arroja una mesada inicial de $1`</w:t>
      </w:r>
      <w:r w:rsidR="00BF2821" w:rsidRPr="00934FA1">
        <w:rPr>
          <w:rFonts w:ascii="Arial Narrow" w:hAnsi="Arial Narrow" w:cs="Arial"/>
          <w:sz w:val="28"/>
          <w:szCs w:val="28"/>
        </w:rPr>
        <w:t xml:space="preserve">327.454, quantum que resulta </w:t>
      </w:r>
      <w:r w:rsidR="00E72EED">
        <w:rPr>
          <w:rFonts w:ascii="Arial Narrow" w:hAnsi="Arial Narrow" w:cs="Arial"/>
          <w:sz w:val="28"/>
          <w:szCs w:val="28"/>
        </w:rPr>
        <w:t>levemente</w:t>
      </w:r>
      <w:r w:rsidR="00BF2821" w:rsidRPr="00934FA1">
        <w:rPr>
          <w:rFonts w:ascii="Arial Narrow" w:hAnsi="Arial Narrow" w:cs="Arial"/>
          <w:sz w:val="28"/>
          <w:szCs w:val="28"/>
        </w:rPr>
        <w:t xml:space="preserve"> superior al </w:t>
      </w:r>
      <w:r w:rsidR="002B458D" w:rsidRPr="00934FA1">
        <w:rPr>
          <w:rFonts w:ascii="Arial Narrow" w:hAnsi="Arial Narrow" w:cs="Arial"/>
          <w:sz w:val="28"/>
          <w:szCs w:val="28"/>
        </w:rPr>
        <w:t>reconocido por la a-quo</w:t>
      </w:r>
      <w:r w:rsidR="00A7488E" w:rsidRPr="00934FA1">
        <w:rPr>
          <w:rFonts w:ascii="Arial Narrow" w:hAnsi="Arial Narrow" w:cs="Arial"/>
          <w:sz w:val="28"/>
          <w:szCs w:val="28"/>
        </w:rPr>
        <w:t xml:space="preserve"> en cuantía de $1`326.864, por lo que </w:t>
      </w:r>
      <w:r w:rsidR="00F11141" w:rsidRPr="00934FA1">
        <w:rPr>
          <w:rFonts w:ascii="Arial Narrow" w:hAnsi="Arial Narrow" w:cs="Arial"/>
          <w:sz w:val="28"/>
          <w:szCs w:val="28"/>
        </w:rPr>
        <w:t>se mantendrá ese</w:t>
      </w:r>
      <w:r w:rsidR="00E72EED">
        <w:rPr>
          <w:rFonts w:ascii="Arial Narrow" w:hAnsi="Arial Narrow" w:cs="Arial"/>
          <w:sz w:val="28"/>
          <w:szCs w:val="28"/>
        </w:rPr>
        <w:t xml:space="preserve"> último </w:t>
      </w:r>
      <w:r w:rsidR="00F11141" w:rsidRPr="00934FA1">
        <w:rPr>
          <w:rFonts w:ascii="Arial Narrow" w:hAnsi="Arial Narrow" w:cs="Arial"/>
          <w:sz w:val="28"/>
          <w:szCs w:val="28"/>
        </w:rPr>
        <w:t>valor e</w:t>
      </w:r>
      <w:r w:rsidR="00A7488E" w:rsidRPr="00934FA1">
        <w:rPr>
          <w:rFonts w:ascii="Arial Narrow" w:hAnsi="Arial Narrow" w:cs="Arial"/>
          <w:sz w:val="28"/>
          <w:szCs w:val="28"/>
        </w:rPr>
        <w:t>n virtud del grado jurisdiccional de consulta que</w:t>
      </w:r>
      <w:r w:rsidR="00E72EED">
        <w:rPr>
          <w:rFonts w:ascii="Arial Narrow" w:hAnsi="Arial Narrow" w:cs="Arial"/>
          <w:sz w:val="28"/>
          <w:szCs w:val="28"/>
        </w:rPr>
        <w:t xml:space="preserve"> opera en favor de Colpensiones</w:t>
      </w:r>
      <w:r w:rsidR="00F11141" w:rsidRPr="00934FA1">
        <w:rPr>
          <w:rFonts w:ascii="Arial Narrow" w:hAnsi="Arial Narrow" w:cs="Arial"/>
          <w:sz w:val="28"/>
          <w:szCs w:val="28"/>
        </w:rPr>
        <w:t>.</w:t>
      </w:r>
    </w:p>
    <w:p w:rsidR="001B0C70" w:rsidRDefault="001B0C70" w:rsidP="001F66B3">
      <w:pPr>
        <w:pStyle w:val="Sinespaciado"/>
      </w:pPr>
    </w:p>
    <w:p w:rsidR="001B0C70" w:rsidRDefault="00E72EED" w:rsidP="002B458D">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Ahora, en vista q</w:t>
      </w:r>
      <w:r w:rsidR="001F66B3">
        <w:rPr>
          <w:rFonts w:ascii="Arial Narrow" w:hAnsi="Arial Narrow" w:cs="Arial"/>
          <w:sz w:val="28"/>
          <w:szCs w:val="28"/>
        </w:rPr>
        <w:t>ue el valor de la pensión de vejez</w:t>
      </w:r>
      <w:r>
        <w:rPr>
          <w:rFonts w:ascii="Arial Narrow" w:hAnsi="Arial Narrow" w:cs="Arial"/>
          <w:sz w:val="28"/>
          <w:szCs w:val="28"/>
        </w:rPr>
        <w:t xml:space="preserve"> a cargo del ISS </w:t>
      </w:r>
      <w:r w:rsidR="001F66B3">
        <w:rPr>
          <w:rFonts w:ascii="Arial Narrow" w:hAnsi="Arial Narrow" w:cs="Arial"/>
          <w:sz w:val="28"/>
          <w:szCs w:val="28"/>
        </w:rPr>
        <w:t>es inferior a la pensión de jubilación que venía recibiendo el actor en cuantía de $</w:t>
      </w:r>
      <w:r>
        <w:rPr>
          <w:rFonts w:ascii="Arial Narrow" w:hAnsi="Arial Narrow" w:cs="Arial"/>
          <w:sz w:val="28"/>
          <w:szCs w:val="28"/>
        </w:rPr>
        <w:t>1´947.492</w:t>
      </w:r>
      <w:r w:rsidR="001F66B3">
        <w:rPr>
          <w:rFonts w:ascii="Arial Narrow" w:hAnsi="Arial Narrow" w:cs="Arial"/>
          <w:sz w:val="28"/>
          <w:szCs w:val="28"/>
        </w:rPr>
        <w:t xml:space="preserve"> para el año 2015, en virtud de la conmutación pensional </w:t>
      </w:r>
      <w:r>
        <w:rPr>
          <w:rFonts w:ascii="Arial Narrow" w:hAnsi="Arial Narrow" w:cs="Arial"/>
          <w:sz w:val="28"/>
          <w:szCs w:val="28"/>
        </w:rPr>
        <w:t xml:space="preserve">suscrita </w:t>
      </w:r>
      <w:r w:rsidR="009A18AA">
        <w:rPr>
          <w:rFonts w:ascii="Arial Narrow" w:hAnsi="Arial Narrow" w:cs="Arial"/>
          <w:sz w:val="28"/>
          <w:szCs w:val="28"/>
        </w:rPr>
        <w:t xml:space="preserve">con el Banco Cafetero, </w:t>
      </w:r>
      <w:r>
        <w:rPr>
          <w:rFonts w:ascii="Arial Narrow" w:hAnsi="Arial Narrow" w:cs="Arial"/>
          <w:sz w:val="28"/>
          <w:szCs w:val="28"/>
        </w:rPr>
        <w:t>deberá la entidad demandada cancelar el mayor valor o diferencia</w:t>
      </w:r>
      <w:r w:rsidR="00173593">
        <w:rPr>
          <w:rFonts w:ascii="Arial Narrow" w:hAnsi="Arial Narrow" w:cs="Arial"/>
          <w:sz w:val="28"/>
          <w:szCs w:val="28"/>
        </w:rPr>
        <w:t xml:space="preserve"> de la pensión compartida</w:t>
      </w:r>
      <w:r>
        <w:rPr>
          <w:rFonts w:ascii="Arial Narrow" w:hAnsi="Arial Narrow" w:cs="Arial"/>
          <w:sz w:val="28"/>
          <w:szCs w:val="28"/>
        </w:rPr>
        <w:t xml:space="preserve">, tal cual lo indicó la a-quo en la parte resolutiva de la sentencia y quedó consignado en la Resolución VPB 29774 de 2015. </w:t>
      </w:r>
    </w:p>
    <w:p w:rsidR="00A11979" w:rsidRDefault="00A11979" w:rsidP="00FF6B67">
      <w:pPr>
        <w:pStyle w:val="Sinespaciado"/>
      </w:pPr>
    </w:p>
    <w:p w:rsidR="00A11979" w:rsidRDefault="00A11979" w:rsidP="002B458D">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Por consiguiente, se confirmará la sentencia de primer grado. </w:t>
      </w:r>
    </w:p>
    <w:p w:rsidR="00A11979" w:rsidRDefault="00A11979" w:rsidP="00FF6B67">
      <w:pPr>
        <w:pStyle w:val="Sinespaciado"/>
      </w:pPr>
    </w:p>
    <w:p w:rsidR="00A11979" w:rsidRPr="00934FA1" w:rsidRDefault="00A11979" w:rsidP="002B458D">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Sin costas en esta sede, por haberse conocido en grado de consulta.</w:t>
      </w:r>
    </w:p>
    <w:p w:rsidR="009A18AA" w:rsidRDefault="009A18AA" w:rsidP="00FF6B67">
      <w:pPr>
        <w:pStyle w:val="Sinespaciado"/>
        <w:rPr>
          <w:lang w:val="es-CO"/>
        </w:rPr>
      </w:pPr>
    </w:p>
    <w:p w:rsidR="00AD698D" w:rsidRPr="00C605CD" w:rsidRDefault="00AD698D" w:rsidP="00AD698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97497E" w:rsidRDefault="0097497E" w:rsidP="0097497E">
      <w:pPr>
        <w:pStyle w:val="Sinespaciado"/>
      </w:pPr>
    </w:p>
    <w:p w:rsidR="00AD698D" w:rsidRPr="00C605CD" w:rsidRDefault="00AD698D" w:rsidP="00AD698D">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AD698D" w:rsidRPr="00C605CD" w:rsidRDefault="00AD698D" w:rsidP="00AD698D">
      <w:pPr>
        <w:pStyle w:val="Sinespaciado"/>
      </w:pPr>
    </w:p>
    <w:p w:rsidR="00AD698D" w:rsidRDefault="00FF6B67" w:rsidP="00CA5450">
      <w:pPr>
        <w:pStyle w:val="Prrafodelista"/>
        <w:numPr>
          <w:ilvl w:val="0"/>
          <w:numId w:val="2"/>
        </w:numPr>
        <w:spacing w:line="360" w:lineRule="auto"/>
        <w:ind w:left="360" w:firstLine="360"/>
        <w:jc w:val="both"/>
        <w:rPr>
          <w:rFonts w:ascii="Arial Narrow" w:hAnsi="Arial Narrow" w:cs="Arial"/>
          <w:sz w:val="28"/>
          <w:szCs w:val="28"/>
        </w:rPr>
      </w:pPr>
      <w:r w:rsidRPr="00DE7D03">
        <w:rPr>
          <w:rFonts w:ascii="Arial Narrow" w:hAnsi="Arial Narrow" w:cs="Arial"/>
          <w:b/>
          <w:i/>
          <w:sz w:val="28"/>
          <w:szCs w:val="28"/>
        </w:rPr>
        <w:t xml:space="preserve">Confirmar </w:t>
      </w:r>
      <w:r w:rsidRPr="00DE7D03">
        <w:rPr>
          <w:rFonts w:ascii="Arial Narrow" w:hAnsi="Arial Narrow" w:cs="Arial"/>
          <w:sz w:val="28"/>
          <w:szCs w:val="28"/>
        </w:rPr>
        <w:t>la s</w:t>
      </w:r>
      <w:r w:rsidR="00AD698D" w:rsidRPr="00DE7D03">
        <w:rPr>
          <w:rFonts w:ascii="Arial Narrow" w:hAnsi="Arial Narrow" w:cs="Arial"/>
          <w:sz w:val="28"/>
          <w:szCs w:val="28"/>
        </w:rPr>
        <w:t xml:space="preserve">entencia proferida el </w:t>
      </w:r>
      <w:r w:rsidRPr="00DE7D03">
        <w:rPr>
          <w:rFonts w:ascii="Arial Narrow" w:hAnsi="Arial Narrow" w:cs="Arial"/>
          <w:sz w:val="28"/>
          <w:szCs w:val="28"/>
        </w:rPr>
        <w:t>14 de septiembre de</w:t>
      </w:r>
      <w:r w:rsidR="00AD698D" w:rsidRPr="00DE7D03">
        <w:rPr>
          <w:rFonts w:ascii="Arial Narrow" w:hAnsi="Arial Narrow" w:cs="Arial"/>
          <w:sz w:val="28"/>
          <w:szCs w:val="28"/>
        </w:rPr>
        <w:t xml:space="preserve"> 2017 por el Juzgado </w:t>
      </w:r>
      <w:r w:rsidR="00DE7D03" w:rsidRPr="00DE7D03">
        <w:rPr>
          <w:rFonts w:ascii="Arial Narrow" w:hAnsi="Arial Narrow" w:cs="Arial"/>
          <w:sz w:val="28"/>
          <w:szCs w:val="28"/>
        </w:rPr>
        <w:t>Quinto</w:t>
      </w:r>
      <w:r w:rsidR="00AD698D" w:rsidRPr="00DE7D03">
        <w:rPr>
          <w:rFonts w:ascii="Arial Narrow" w:hAnsi="Arial Narrow" w:cs="Arial"/>
          <w:sz w:val="28"/>
          <w:szCs w:val="28"/>
        </w:rPr>
        <w:t xml:space="preserve"> Laboral del Circuito de Pereira, dentro del proceso ordinario laboral </w:t>
      </w:r>
      <w:r w:rsidR="00DE7D03">
        <w:rPr>
          <w:rFonts w:ascii="Arial Narrow" w:hAnsi="Arial Narrow" w:cs="Arial"/>
          <w:sz w:val="28"/>
          <w:szCs w:val="28"/>
        </w:rPr>
        <w:t xml:space="preserve">de la referencia. </w:t>
      </w:r>
    </w:p>
    <w:p w:rsidR="0097497E" w:rsidRPr="00CA5450" w:rsidRDefault="0097497E" w:rsidP="0097497E">
      <w:pPr>
        <w:pStyle w:val="Sinespaciado"/>
      </w:pPr>
    </w:p>
    <w:p w:rsidR="00AD698D" w:rsidRDefault="00AD698D" w:rsidP="00AD698D">
      <w:pPr>
        <w:pStyle w:val="Prrafodelista"/>
        <w:numPr>
          <w:ilvl w:val="0"/>
          <w:numId w:val="2"/>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sede.</w:t>
      </w:r>
    </w:p>
    <w:p w:rsidR="00AD698D" w:rsidRPr="00C605CD" w:rsidRDefault="00AD698D" w:rsidP="00AD698D">
      <w:pPr>
        <w:pStyle w:val="Sinespaciado"/>
        <w:rPr>
          <w:sz w:val="28"/>
          <w:szCs w:val="28"/>
        </w:rPr>
      </w:pPr>
    </w:p>
    <w:p w:rsidR="00AD698D" w:rsidRPr="00C605CD" w:rsidRDefault="00AD698D" w:rsidP="00AD698D">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AD698D" w:rsidRPr="00C605CD" w:rsidRDefault="00AD698D" w:rsidP="00AD698D">
      <w:pPr>
        <w:pStyle w:val="Sinespaciado"/>
        <w:rPr>
          <w:sz w:val="28"/>
          <w:szCs w:val="28"/>
          <w:lang w:val="es-ES"/>
        </w:rPr>
      </w:pPr>
    </w:p>
    <w:p w:rsidR="00AD698D" w:rsidRPr="00C605CD" w:rsidRDefault="00AD698D" w:rsidP="00AD698D">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AD698D" w:rsidRDefault="00AD698D" w:rsidP="00AD698D">
      <w:pPr>
        <w:pStyle w:val="Sinespaciado"/>
      </w:pPr>
    </w:p>
    <w:p w:rsidR="00CA5450" w:rsidRPr="00C605CD" w:rsidRDefault="00CA5450" w:rsidP="00AD698D">
      <w:pPr>
        <w:pStyle w:val="Sinespaciado"/>
      </w:pPr>
    </w:p>
    <w:p w:rsidR="00AD698D" w:rsidRPr="00A9242B" w:rsidRDefault="00AD698D" w:rsidP="00AD698D">
      <w:pPr>
        <w:ind w:firstLine="900"/>
        <w:jc w:val="both"/>
        <w:rPr>
          <w:rFonts w:ascii="Arial Narrow" w:hAnsi="Arial Narrow" w:cs="Microsoft Sans Serif"/>
          <w:bCs/>
          <w:iCs/>
          <w:sz w:val="28"/>
          <w:szCs w:val="28"/>
          <w:lang w:val="es-ES"/>
        </w:rPr>
      </w:pPr>
    </w:p>
    <w:p w:rsidR="00AD698D" w:rsidRPr="00A9242B" w:rsidRDefault="00AD698D" w:rsidP="00AD698D">
      <w:pPr>
        <w:pStyle w:val="Sinespaciado"/>
        <w:rPr>
          <w:lang w:val="es-ES"/>
        </w:rPr>
      </w:pPr>
    </w:p>
    <w:p w:rsidR="00AD698D" w:rsidRDefault="00AD698D" w:rsidP="00AD698D">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AD698D" w:rsidRPr="00A9242B" w:rsidRDefault="00AD698D" w:rsidP="00AD698D">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AD698D" w:rsidRPr="00A9242B" w:rsidRDefault="00AD698D" w:rsidP="00AD698D">
      <w:pPr>
        <w:ind w:firstLine="900"/>
        <w:jc w:val="both"/>
        <w:rPr>
          <w:rFonts w:ascii="Arial Narrow" w:hAnsi="Arial Narrow" w:cs="Microsoft Sans Serif"/>
          <w:b/>
          <w:sz w:val="28"/>
          <w:szCs w:val="28"/>
          <w:lang w:val="es-ES"/>
        </w:rPr>
      </w:pPr>
    </w:p>
    <w:p w:rsidR="00AD698D" w:rsidRDefault="00AD698D" w:rsidP="00AD698D">
      <w:pPr>
        <w:spacing w:line="360" w:lineRule="auto"/>
        <w:jc w:val="both"/>
        <w:rPr>
          <w:rFonts w:ascii="Arial Narrow" w:hAnsi="Arial Narrow" w:cs="Microsoft Sans Serif"/>
          <w:b/>
          <w:bCs/>
          <w:iCs/>
          <w:sz w:val="28"/>
          <w:szCs w:val="28"/>
          <w:lang w:val="es-ES"/>
        </w:rPr>
      </w:pPr>
    </w:p>
    <w:p w:rsidR="00AD698D" w:rsidRPr="00A9242B" w:rsidRDefault="00AD698D" w:rsidP="00AD698D">
      <w:pPr>
        <w:spacing w:line="360" w:lineRule="auto"/>
        <w:jc w:val="both"/>
        <w:rPr>
          <w:rFonts w:ascii="Arial Narrow" w:hAnsi="Arial Narrow" w:cs="Microsoft Sans Serif"/>
          <w:b/>
          <w:bCs/>
          <w:iCs/>
          <w:sz w:val="28"/>
          <w:szCs w:val="28"/>
          <w:lang w:val="es-ES"/>
        </w:rPr>
      </w:pPr>
    </w:p>
    <w:p w:rsidR="00AD698D" w:rsidRDefault="00AD698D" w:rsidP="00AD698D">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p>
    <w:p w:rsidR="00AD698D" w:rsidRPr="00A9242B" w:rsidRDefault="00AD698D" w:rsidP="00AD698D">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Magistrado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Magistrada </w:t>
      </w: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both"/>
        <w:rPr>
          <w:rFonts w:ascii="Arial Narrow" w:hAnsi="Arial Narrow" w:cs="Microsoft Sans Serif"/>
          <w:bCs/>
          <w:iCs/>
          <w:sz w:val="28"/>
          <w:szCs w:val="28"/>
          <w:lang w:val="es-ES"/>
        </w:rPr>
      </w:pPr>
    </w:p>
    <w:p w:rsidR="00AD698D" w:rsidRDefault="00AD698D" w:rsidP="00AD698D">
      <w:pPr>
        <w:pStyle w:val="Prrafodelista"/>
        <w:spacing w:line="360" w:lineRule="auto"/>
        <w:ind w:left="426"/>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ANEXO </w:t>
      </w:r>
      <w:r w:rsidR="0097497E">
        <w:rPr>
          <w:rFonts w:ascii="Arial Narrow" w:hAnsi="Arial Narrow" w:cs="Microsoft Sans Serif"/>
          <w:b/>
          <w:bCs/>
          <w:iCs/>
          <w:sz w:val="28"/>
          <w:szCs w:val="28"/>
          <w:lang w:val="es-ES"/>
        </w:rPr>
        <w:t>I</w:t>
      </w:r>
      <w:r>
        <w:rPr>
          <w:rFonts w:ascii="Arial Narrow" w:hAnsi="Arial Narrow" w:cs="Microsoft Sans Serif"/>
          <w:b/>
          <w:bCs/>
          <w:iCs/>
          <w:sz w:val="28"/>
          <w:szCs w:val="28"/>
          <w:lang w:val="es-ES"/>
        </w:rPr>
        <w:t>.</w:t>
      </w:r>
    </w:p>
    <w:p w:rsidR="00AD698D" w:rsidRDefault="00AD698D" w:rsidP="00AD698D">
      <w:pPr>
        <w:pStyle w:val="Prrafodelista"/>
        <w:spacing w:line="360" w:lineRule="auto"/>
        <w:ind w:left="426"/>
        <w:jc w:val="center"/>
        <w:rPr>
          <w:rFonts w:ascii="Arial Narrow" w:hAnsi="Arial Narrow" w:cs="Microsoft Sans Serif"/>
          <w:b/>
          <w:bCs/>
          <w:iCs/>
          <w:sz w:val="28"/>
          <w:szCs w:val="28"/>
          <w:lang w:val="es-ES"/>
        </w:rPr>
      </w:pPr>
    </w:p>
    <w:tbl>
      <w:tblPr>
        <w:tblW w:w="10486" w:type="dxa"/>
        <w:tblInd w:w="-709" w:type="dxa"/>
        <w:tblCellMar>
          <w:left w:w="70" w:type="dxa"/>
          <w:right w:w="70" w:type="dxa"/>
        </w:tblCellMar>
        <w:tblLook w:val="04A0" w:firstRow="1" w:lastRow="0" w:firstColumn="1" w:lastColumn="0" w:noHBand="0" w:noVBand="1"/>
      </w:tblPr>
      <w:tblGrid>
        <w:gridCol w:w="1180"/>
        <w:gridCol w:w="1280"/>
        <w:gridCol w:w="860"/>
        <w:gridCol w:w="780"/>
        <w:gridCol w:w="1560"/>
        <w:gridCol w:w="146"/>
        <w:gridCol w:w="1200"/>
        <w:gridCol w:w="1060"/>
        <w:gridCol w:w="1060"/>
        <w:gridCol w:w="1360"/>
      </w:tblGrid>
      <w:tr w:rsidR="0097497E" w:rsidRPr="0097497E" w:rsidTr="002A4B15">
        <w:trPr>
          <w:trHeight w:val="345"/>
        </w:trPr>
        <w:tc>
          <w:tcPr>
            <w:tcW w:w="1180" w:type="dxa"/>
            <w:tcBorders>
              <w:top w:val="nil"/>
              <w:left w:val="nil"/>
              <w:bottom w:val="nil"/>
              <w:right w:val="nil"/>
            </w:tcBorders>
            <w:shd w:val="clear" w:color="auto" w:fill="auto"/>
            <w:noWrap/>
            <w:vAlign w:val="bottom"/>
            <w:hideMark/>
          </w:tcPr>
          <w:p w:rsidR="0097497E" w:rsidRPr="0097497E" w:rsidRDefault="0097497E" w:rsidP="0097497E">
            <w:pPr>
              <w:rPr>
                <w:sz w:val="20"/>
                <w:szCs w:val="24"/>
                <w:lang w:val="es-ES"/>
              </w:rPr>
            </w:pPr>
            <w:bookmarkStart w:id="1" w:name="RANGE!A1:J27"/>
            <w:bookmarkEnd w:id="1"/>
          </w:p>
        </w:tc>
        <w:tc>
          <w:tcPr>
            <w:tcW w:w="12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8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7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5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01-jul-52</w:t>
            </w:r>
          </w:p>
        </w:tc>
      </w:tr>
      <w:tr w:rsidR="0097497E" w:rsidRPr="0097497E" w:rsidTr="002A4B15">
        <w:trPr>
          <w:trHeight w:val="345"/>
        </w:trPr>
        <w:tc>
          <w:tcPr>
            <w:tcW w:w="118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2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8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7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5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01-abr-15</w:t>
            </w:r>
          </w:p>
        </w:tc>
      </w:tr>
      <w:tr w:rsidR="0097497E" w:rsidRPr="0097497E" w:rsidTr="002A4B15">
        <w:trPr>
          <w:trHeight w:val="120"/>
        </w:trPr>
        <w:tc>
          <w:tcPr>
            <w:tcW w:w="118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2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8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7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5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20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0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0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3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r>
      <w:tr w:rsidR="0097497E" w:rsidRPr="0097497E" w:rsidTr="002A4B15">
        <w:trPr>
          <w:trHeight w:val="435"/>
        </w:trPr>
        <w:tc>
          <w:tcPr>
            <w:tcW w:w="566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HISTORIA LABORAL DEL AFILIADO</w:t>
            </w:r>
          </w:p>
        </w:tc>
        <w:tc>
          <w:tcPr>
            <w:tcW w:w="146"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b/>
                <w:bCs/>
                <w:color w:val="000000"/>
                <w:sz w:val="16"/>
                <w:szCs w:val="16"/>
                <w:lang w:val="es-ES"/>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xml:space="preserve">IPC </w:t>
            </w:r>
            <w:proofErr w:type="spellStart"/>
            <w:r w:rsidRPr="0097497E">
              <w:rPr>
                <w:rFonts w:ascii="Arial Narrow" w:hAnsi="Arial Narrow"/>
                <w:b/>
                <w:bCs/>
                <w:color w:val="000000"/>
                <w:sz w:val="16"/>
                <w:szCs w:val="16"/>
                <w:lang w:val="es-ES"/>
              </w:rPr>
              <w:t>Dane</w:t>
            </w:r>
            <w:proofErr w:type="spellEnd"/>
            <w:r w:rsidRPr="0097497E">
              <w:rPr>
                <w:rFonts w:ascii="Arial Narrow" w:hAnsi="Arial Narrow"/>
                <w:b/>
                <w:bCs/>
                <w:color w:val="000000"/>
                <w:sz w:val="16"/>
                <w:szCs w:val="16"/>
                <w:lang w:val="es-ES"/>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Promedio Salarial        (</w:t>
            </w:r>
            <w:proofErr w:type="spellStart"/>
            <w:r w:rsidRPr="0097497E">
              <w:rPr>
                <w:rFonts w:ascii="Arial Narrow" w:hAnsi="Arial Narrow"/>
                <w:b/>
                <w:bCs/>
                <w:color w:val="000000"/>
                <w:sz w:val="16"/>
                <w:szCs w:val="16"/>
                <w:lang w:val="es-ES"/>
              </w:rPr>
              <w:t>Dias</w:t>
            </w:r>
            <w:proofErr w:type="spellEnd"/>
            <w:r w:rsidRPr="0097497E">
              <w:rPr>
                <w:rFonts w:ascii="Arial Narrow" w:hAnsi="Arial Narrow"/>
                <w:b/>
                <w:bCs/>
                <w:color w:val="000000"/>
                <w:sz w:val="16"/>
                <w:szCs w:val="16"/>
                <w:lang w:val="es-ES"/>
              </w:rPr>
              <w:t xml:space="preserve"> x </w:t>
            </w:r>
            <w:proofErr w:type="spellStart"/>
            <w:r w:rsidRPr="0097497E">
              <w:rPr>
                <w:rFonts w:ascii="Arial Narrow" w:hAnsi="Arial Narrow"/>
                <w:b/>
                <w:bCs/>
                <w:color w:val="000000"/>
                <w:sz w:val="16"/>
                <w:szCs w:val="16"/>
                <w:lang w:val="es-ES"/>
              </w:rPr>
              <w:t>IBC</w:t>
            </w:r>
            <w:proofErr w:type="spellEnd"/>
            <w:r w:rsidRPr="0097497E">
              <w:rPr>
                <w:rFonts w:ascii="Arial Narrow" w:hAnsi="Arial Narrow"/>
                <w:b/>
                <w:bCs/>
                <w:color w:val="000000"/>
                <w:sz w:val="16"/>
                <w:szCs w:val="16"/>
                <w:lang w:val="es-ES"/>
              </w:rPr>
              <w:t xml:space="preserve"> actualizado/total </w:t>
            </w:r>
            <w:proofErr w:type="spellStart"/>
            <w:r w:rsidRPr="0097497E">
              <w:rPr>
                <w:rFonts w:ascii="Arial Narrow" w:hAnsi="Arial Narrow"/>
                <w:b/>
                <w:bCs/>
                <w:color w:val="000000"/>
                <w:sz w:val="16"/>
                <w:szCs w:val="16"/>
                <w:lang w:val="es-ES"/>
              </w:rPr>
              <w:t>dias</w:t>
            </w:r>
            <w:proofErr w:type="spellEnd"/>
            <w:r w:rsidRPr="0097497E">
              <w:rPr>
                <w:rFonts w:ascii="Arial Narrow" w:hAnsi="Arial Narrow"/>
                <w:b/>
                <w:bCs/>
                <w:color w:val="000000"/>
                <w:sz w:val="16"/>
                <w:szCs w:val="16"/>
                <w:lang w:val="es-ES"/>
              </w:rPr>
              <w:t>)</w:t>
            </w:r>
          </w:p>
        </w:tc>
      </w:tr>
      <w:tr w:rsidR="0097497E" w:rsidRPr="0097497E" w:rsidTr="002A4B15">
        <w:trPr>
          <w:trHeight w:val="360"/>
        </w:trPr>
        <w:tc>
          <w:tcPr>
            <w:tcW w:w="3320"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Número de días</w:t>
            </w:r>
          </w:p>
        </w:tc>
        <w:tc>
          <w:tcPr>
            <w:tcW w:w="156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Ingreso Base de Cotización</w:t>
            </w:r>
          </w:p>
        </w:tc>
        <w:tc>
          <w:tcPr>
            <w:tcW w:w="146"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b/>
                <w:bCs/>
                <w:color w:val="000000"/>
                <w:sz w:val="16"/>
                <w:szCs w:val="16"/>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r>
      <w:tr w:rsidR="0097497E" w:rsidRPr="0097497E" w:rsidTr="002A4B15">
        <w:trPr>
          <w:trHeight w:val="315"/>
        </w:trPr>
        <w:tc>
          <w:tcPr>
            <w:tcW w:w="118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Empleador</w:t>
            </w:r>
          </w:p>
        </w:tc>
        <w:tc>
          <w:tcPr>
            <w:tcW w:w="1280" w:type="dxa"/>
            <w:tcBorders>
              <w:top w:val="nil"/>
              <w:left w:val="nil"/>
              <w:bottom w:val="single" w:sz="4" w:space="0" w:color="E26B0A"/>
              <w:right w:val="single" w:sz="4" w:space="0" w:color="FF9900"/>
            </w:tcBorders>
            <w:shd w:val="clear" w:color="000000" w:fill="FFFF99"/>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Desde</w:t>
            </w:r>
          </w:p>
        </w:tc>
        <w:tc>
          <w:tcPr>
            <w:tcW w:w="860" w:type="dxa"/>
            <w:tcBorders>
              <w:top w:val="nil"/>
              <w:left w:val="nil"/>
              <w:bottom w:val="single" w:sz="4" w:space="0" w:color="E26B0A"/>
              <w:right w:val="single" w:sz="4" w:space="0" w:color="FF9900"/>
            </w:tcBorders>
            <w:shd w:val="clear" w:color="000000" w:fill="FFFF99"/>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Hasta</w:t>
            </w:r>
          </w:p>
        </w:tc>
        <w:tc>
          <w:tcPr>
            <w:tcW w:w="780" w:type="dxa"/>
            <w:vMerge/>
            <w:tcBorders>
              <w:top w:val="nil"/>
              <w:left w:val="single" w:sz="4" w:space="0" w:color="FF9900"/>
              <w:bottom w:val="single" w:sz="4" w:space="0" w:color="FF9900"/>
              <w:right w:val="single" w:sz="4"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560" w:type="dxa"/>
            <w:vMerge/>
            <w:tcBorders>
              <w:top w:val="nil"/>
              <w:left w:val="single" w:sz="4" w:space="0" w:color="FF9900"/>
              <w:bottom w:val="single" w:sz="4" w:space="0" w:color="FF9900"/>
              <w:right w:val="double" w:sz="6"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b/>
                <w:bCs/>
                <w:color w:val="000000"/>
                <w:sz w:val="16"/>
                <w:szCs w:val="16"/>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97497E" w:rsidRPr="0097497E" w:rsidRDefault="0097497E" w:rsidP="0097497E">
            <w:pPr>
              <w:rPr>
                <w:rFonts w:ascii="Arial Narrow" w:hAnsi="Arial Narrow"/>
                <w:b/>
                <w:bCs/>
                <w:color w:val="000000"/>
                <w:sz w:val="16"/>
                <w:szCs w:val="16"/>
                <w:lang w:val="es-ES"/>
              </w:rPr>
            </w:pP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single" w:sz="4" w:space="0" w:color="E26B0A"/>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01/03/2004</w:t>
            </w:r>
          </w:p>
        </w:tc>
        <w:tc>
          <w:tcPr>
            <w:tcW w:w="860" w:type="dxa"/>
            <w:tcBorders>
              <w:top w:val="single" w:sz="4" w:space="0" w:color="E26B0A"/>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31/12/2004</w:t>
            </w:r>
          </w:p>
        </w:tc>
        <w:tc>
          <w:tcPr>
            <w:tcW w:w="780" w:type="dxa"/>
            <w:tcBorders>
              <w:top w:val="nil"/>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300</w:t>
            </w:r>
          </w:p>
        </w:tc>
        <w:tc>
          <w:tcPr>
            <w:tcW w:w="1560"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$358.000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556.335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76,03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46.361,287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01/01/2005</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31/01/2005</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$358.000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527.345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80,21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4.394,538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01/02/2005</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31/12/2005</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$381.500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561.961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80,21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51.513,069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01/01/2006</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31/01/2006</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$381.500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535.941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84,10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4.466,178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01/02/2006</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31/12/2006</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$408.000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573.169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84,10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52.540,513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01/01/2007</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31/01/2007</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$408.000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548.603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87,87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4.571,694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01/02/2007</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31/07/2007</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180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$433.700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583.160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87,87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29.157,995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01/06/2008</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31/12/2008</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210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$1.531.000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1.947.703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92,87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113.616,032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01/01/2009</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31/12/2009</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$1.648.000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1.947.112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194.711,200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01/01/2010</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30/11/2010</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$1.681.000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1.947.124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102,00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178.486,350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01/03/2011</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31/12/2011</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300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$1.734.000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1.946.778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105,24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162.231,479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01/01/2012</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31/12/2012</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$1.799.000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1.947.159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109,16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194.715,876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01/01/2013</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31/12/2013</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$1.843.000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1.947.330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111,82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194.733,008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01/01/2014</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31/12/2014</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$1.879.000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1.947.744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194.774,390 </w:t>
            </w:r>
          </w:p>
        </w:tc>
      </w:tr>
      <w:tr w:rsidR="0097497E" w:rsidRPr="0097497E" w:rsidTr="002A4B15">
        <w:trPr>
          <w:trHeight w:val="315"/>
        </w:trPr>
        <w:tc>
          <w:tcPr>
            <w:tcW w:w="1180"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w:t>
            </w:r>
          </w:p>
        </w:tc>
        <w:tc>
          <w:tcPr>
            <w:tcW w:w="128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01/01/2015</w:t>
            </w:r>
          </w:p>
        </w:tc>
        <w:tc>
          <w:tcPr>
            <w:tcW w:w="860" w:type="dxa"/>
            <w:tcBorders>
              <w:top w:val="nil"/>
              <w:left w:val="nil"/>
              <w:bottom w:val="single" w:sz="4" w:space="0" w:color="E26B0A"/>
              <w:right w:val="single" w:sz="4" w:space="0" w:color="E26B0A"/>
            </w:tcBorders>
            <w:shd w:val="clear" w:color="auto" w:fill="auto"/>
            <w:noWrap/>
            <w:vAlign w:val="center"/>
            <w:hideMark/>
          </w:tcPr>
          <w:p w:rsidR="0097497E" w:rsidRPr="0097497E" w:rsidRDefault="0097497E" w:rsidP="0097497E">
            <w:pPr>
              <w:jc w:val="center"/>
              <w:rPr>
                <w:rFonts w:ascii="Arial Narrow" w:hAnsi="Arial Narrow"/>
                <w:sz w:val="16"/>
                <w:szCs w:val="16"/>
                <w:lang w:val="es-ES"/>
              </w:rPr>
            </w:pPr>
            <w:r w:rsidRPr="0097497E">
              <w:rPr>
                <w:rFonts w:ascii="Arial Narrow" w:hAnsi="Arial Narrow"/>
                <w:sz w:val="16"/>
                <w:szCs w:val="16"/>
                <w:lang w:val="es-ES"/>
              </w:rPr>
              <w:t>31/03/2015</w:t>
            </w:r>
          </w:p>
        </w:tc>
        <w:tc>
          <w:tcPr>
            <w:tcW w:w="780" w:type="dxa"/>
            <w:tcBorders>
              <w:top w:val="single" w:sz="4" w:space="0" w:color="FF9900"/>
              <w:left w:val="nil"/>
              <w:bottom w:val="single" w:sz="4" w:space="0" w:color="E26B0A"/>
              <w:right w:val="nil"/>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r w:rsidRPr="0097497E">
              <w:rPr>
                <w:rFonts w:ascii="Arial Narrow" w:hAnsi="Arial Narrow"/>
                <w:color w:val="000000"/>
                <w:sz w:val="16"/>
                <w:szCs w:val="16"/>
                <w:lang w:val="es-ES"/>
              </w:rPr>
              <w:t>$1.947.000</w:t>
            </w:r>
          </w:p>
        </w:tc>
        <w:tc>
          <w:tcPr>
            <w:tcW w:w="146" w:type="dxa"/>
            <w:tcBorders>
              <w:top w:val="nil"/>
              <w:left w:val="nil"/>
              <w:bottom w:val="nil"/>
              <w:right w:val="nil"/>
            </w:tcBorders>
            <w:shd w:val="clear" w:color="auto" w:fill="auto"/>
            <w:noWrap/>
            <w:vAlign w:val="center"/>
            <w:hideMark/>
          </w:tcPr>
          <w:p w:rsidR="0097497E" w:rsidRPr="0097497E" w:rsidRDefault="0097497E" w:rsidP="0097497E">
            <w:pPr>
              <w:jc w:val="right"/>
              <w:rPr>
                <w:rFonts w:ascii="Arial Narrow" w:hAnsi="Arial Narrow"/>
                <w:color w:val="000000"/>
                <w:sz w:val="16"/>
                <w:szCs w:val="16"/>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color w:val="000000"/>
                <w:sz w:val="16"/>
                <w:szCs w:val="16"/>
                <w:lang w:val="es-ES"/>
              </w:rPr>
            </w:pPr>
            <w:r w:rsidRPr="0097497E">
              <w:rPr>
                <w:rFonts w:ascii="Arial Narrow" w:hAnsi="Arial Narrow"/>
                <w:color w:val="000000"/>
                <w:sz w:val="16"/>
                <w:szCs w:val="16"/>
                <w:lang w:val="es-ES"/>
              </w:rPr>
              <w:t xml:space="preserve">          1.947.000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060" w:type="dxa"/>
            <w:tcBorders>
              <w:top w:val="nil"/>
              <w:left w:val="nil"/>
              <w:bottom w:val="single" w:sz="4"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48.675,000 </w:t>
            </w:r>
          </w:p>
        </w:tc>
      </w:tr>
      <w:tr w:rsidR="0097497E" w:rsidRPr="0097497E" w:rsidTr="002A4B15">
        <w:trPr>
          <w:trHeight w:val="330"/>
        </w:trPr>
        <w:tc>
          <w:tcPr>
            <w:tcW w:w="118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2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8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78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5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20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0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0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1360"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r>
      <w:tr w:rsidR="0097497E" w:rsidRPr="0097497E" w:rsidTr="002A4B15">
        <w:trPr>
          <w:trHeight w:val="345"/>
        </w:trPr>
        <w:tc>
          <w:tcPr>
            <w:tcW w:w="3320"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lastRenderedPageBreak/>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bookmarkStart w:id="2" w:name="RANGE!D25"/>
            <w:r w:rsidRPr="0097497E">
              <w:rPr>
                <w:rFonts w:ascii="Arial Narrow" w:hAnsi="Arial Narrow"/>
                <w:color w:val="000000"/>
                <w:sz w:val="16"/>
                <w:szCs w:val="16"/>
                <w:lang w:val="es-ES"/>
              </w:rPr>
              <w:t>3.600</w:t>
            </w:r>
            <w:bookmarkEnd w:id="2"/>
          </w:p>
        </w:tc>
        <w:tc>
          <w:tcPr>
            <w:tcW w:w="156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xml:space="preserve">             1.474.949 </w:t>
            </w:r>
          </w:p>
        </w:tc>
      </w:tr>
      <w:tr w:rsidR="0097497E" w:rsidRPr="0097497E" w:rsidTr="002A4B15">
        <w:trPr>
          <w:trHeight w:val="345"/>
        </w:trPr>
        <w:tc>
          <w:tcPr>
            <w:tcW w:w="332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514</w:t>
            </w:r>
          </w:p>
        </w:tc>
        <w:tc>
          <w:tcPr>
            <w:tcW w:w="156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97497E" w:rsidRPr="0097497E" w:rsidRDefault="0097497E" w:rsidP="0097497E">
            <w:pPr>
              <w:jc w:val="center"/>
              <w:rPr>
                <w:rFonts w:ascii="Arial Narrow" w:hAnsi="Arial Narrow"/>
                <w:b/>
                <w:bCs/>
                <w:sz w:val="16"/>
                <w:szCs w:val="16"/>
                <w:lang w:val="es-ES"/>
              </w:rPr>
            </w:pPr>
            <w:r w:rsidRPr="0097497E">
              <w:rPr>
                <w:rFonts w:ascii="Arial Narrow" w:hAnsi="Arial Narrow"/>
                <w:b/>
                <w:bCs/>
                <w:sz w:val="16"/>
                <w:szCs w:val="16"/>
                <w:lang w:val="es-ES"/>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97497E" w:rsidRPr="0097497E" w:rsidRDefault="0097497E" w:rsidP="0097497E">
            <w:pPr>
              <w:jc w:val="right"/>
              <w:rPr>
                <w:rFonts w:ascii="Arial Narrow" w:hAnsi="Arial Narrow"/>
                <w:b/>
                <w:bCs/>
                <w:color w:val="000000"/>
                <w:sz w:val="16"/>
                <w:szCs w:val="16"/>
                <w:lang w:val="es-ES"/>
              </w:rPr>
            </w:pPr>
            <w:bookmarkStart w:id="3" w:name="RANGE!J26"/>
            <w:r w:rsidRPr="0097497E">
              <w:rPr>
                <w:rFonts w:ascii="Arial Narrow" w:hAnsi="Arial Narrow"/>
                <w:b/>
                <w:bCs/>
                <w:color w:val="000000"/>
                <w:sz w:val="16"/>
                <w:szCs w:val="16"/>
                <w:lang w:val="es-ES"/>
              </w:rPr>
              <w:t>90%</w:t>
            </w:r>
            <w:bookmarkEnd w:id="3"/>
          </w:p>
        </w:tc>
      </w:tr>
      <w:tr w:rsidR="0097497E" w:rsidRPr="0097497E" w:rsidTr="002A4B15">
        <w:trPr>
          <w:trHeight w:val="345"/>
        </w:trPr>
        <w:tc>
          <w:tcPr>
            <w:tcW w:w="3320"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97497E" w:rsidRPr="0097497E" w:rsidRDefault="0097497E" w:rsidP="0097497E">
            <w:pPr>
              <w:jc w:val="center"/>
              <w:rPr>
                <w:rFonts w:ascii="Arial Narrow" w:hAnsi="Arial Narrow"/>
                <w:color w:val="000000"/>
                <w:sz w:val="16"/>
                <w:szCs w:val="16"/>
                <w:lang w:val="es-ES"/>
              </w:rPr>
            </w:pPr>
            <w:r w:rsidRPr="0097497E">
              <w:rPr>
                <w:rFonts w:ascii="Arial Narrow" w:hAnsi="Arial Narrow"/>
                <w:color w:val="000000"/>
                <w:sz w:val="16"/>
                <w:szCs w:val="16"/>
                <w:lang w:val="es-ES"/>
              </w:rPr>
              <w:t> </w:t>
            </w:r>
          </w:p>
        </w:tc>
        <w:tc>
          <w:tcPr>
            <w:tcW w:w="1560" w:type="dxa"/>
            <w:tcBorders>
              <w:top w:val="nil"/>
              <w:left w:val="nil"/>
              <w:bottom w:val="nil"/>
              <w:right w:val="nil"/>
            </w:tcBorders>
            <w:shd w:val="clear" w:color="auto" w:fill="auto"/>
            <w:noWrap/>
            <w:vAlign w:val="bottom"/>
            <w:hideMark/>
          </w:tcPr>
          <w:p w:rsidR="0097497E" w:rsidRPr="0097497E" w:rsidRDefault="0097497E" w:rsidP="0097497E">
            <w:pPr>
              <w:jc w:val="center"/>
              <w:rPr>
                <w:rFonts w:ascii="Arial Narrow" w:hAnsi="Arial Narrow"/>
                <w:color w:val="000000"/>
                <w:sz w:val="16"/>
                <w:szCs w:val="16"/>
                <w:lang w:val="es-ES"/>
              </w:rPr>
            </w:pPr>
          </w:p>
        </w:tc>
        <w:tc>
          <w:tcPr>
            <w:tcW w:w="146" w:type="dxa"/>
            <w:tcBorders>
              <w:top w:val="nil"/>
              <w:left w:val="nil"/>
              <w:bottom w:val="nil"/>
              <w:right w:val="nil"/>
            </w:tcBorders>
            <w:shd w:val="clear" w:color="auto" w:fill="auto"/>
            <w:noWrap/>
            <w:vAlign w:val="bottom"/>
            <w:hideMark/>
          </w:tcPr>
          <w:p w:rsidR="0097497E" w:rsidRPr="0097497E" w:rsidRDefault="0097497E" w:rsidP="0097497E">
            <w:pPr>
              <w:rPr>
                <w:sz w:val="20"/>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97497E" w:rsidRPr="0097497E" w:rsidRDefault="0097497E" w:rsidP="0097497E">
            <w:pPr>
              <w:rPr>
                <w:rFonts w:ascii="Arial Narrow" w:hAnsi="Arial Narrow"/>
                <w:b/>
                <w:bCs/>
                <w:color w:val="000000"/>
                <w:sz w:val="16"/>
                <w:szCs w:val="16"/>
                <w:lang w:val="es-ES"/>
              </w:rPr>
            </w:pPr>
            <w:r w:rsidRPr="0097497E">
              <w:rPr>
                <w:rFonts w:ascii="Arial Narrow" w:hAnsi="Arial Narrow"/>
                <w:b/>
                <w:bCs/>
                <w:color w:val="000000"/>
                <w:sz w:val="16"/>
                <w:szCs w:val="16"/>
                <w:lang w:val="es-ES"/>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97497E" w:rsidRPr="0097497E" w:rsidRDefault="0097497E" w:rsidP="0097497E">
            <w:pPr>
              <w:jc w:val="center"/>
              <w:rPr>
                <w:rFonts w:ascii="Arial Narrow" w:hAnsi="Arial Narrow"/>
                <w:b/>
                <w:bCs/>
                <w:color w:val="000000"/>
                <w:sz w:val="16"/>
                <w:szCs w:val="16"/>
                <w:lang w:val="es-ES"/>
              </w:rPr>
            </w:pPr>
            <w:r w:rsidRPr="0097497E">
              <w:rPr>
                <w:rFonts w:ascii="Arial Narrow" w:hAnsi="Arial Narrow"/>
                <w:b/>
                <w:bCs/>
                <w:color w:val="000000"/>
                <w:sz w:val="16"/>
                <w:szCs w:val="16"/>
                <w:lang w:val="es-ES"/>
              </w:rPr>
              <w:t xml:space="preserve">             1.327.454 </w:t>
            </w:r>
          </w:p>
        </w:tc>
      </w:tr>
    </w:tbl>
    <w:p w:rsidR="00C35CA1" w:rsidRDefault="00C35CA1"/>
    <w:sectPr w:rsidR="00C35CA1" w:rsidSect="00211C21">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DD" w:rsidRDefault="00455DDD" w:rsidP="00AD698D">
      <w:r>
        <w:separator/>
      </w:r>
    </w:p>
  </w:endnote>
  <w:endnote w:type="continuationSeparator" w:id="0">
    <w:p w:rsidR="00455DDD" w:rsidRDefault="00455DDD" w:rsidP="00AD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670F54"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455DDD"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670F54"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30C7">
      <w:rPr>
        <w:rStyle w:val="Nmerodepgina"/>
        <w:noProof/>
      </w:rPr>
      <w:t>9</w:t>
    </w:r>
    <w:r>
      <w:rPr>
        <w:rStyle w:val="Nmerodepgina"/>
      </w:rPr>
      <w:fldChar w:fldCharType="end"/>
    </w:r>
  </w:p>
  <w:p w:rsidR="00211C21" w:rsidRDefault="00455DDD"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DD" w:rsidRDefault="00455DDD" w:rsidP="00AD698D">
      <w:r>
        <w:separator/>
      </w:r>
    </w:p>
  </w:footnote>
  <w:footnote w:type="continuationSeparator" w:id="0">
    <w:p w:rsidR="00455DDD" w:rsidRDefault="00455DDD" w:rsidP="00AD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8D" w:rsidRPr="00AD698D" w:rsidRDefault="00670F54" w:rsidP="00211C21">
    <w:pPr>
      <w:jc w:val="both"/>
      <w:rPr>
        <w:rFonts w:ascii="Arial Narrow" w:hAnsi="Arial Narrow" w:cs="Arial"/>
        <w:bCs/>
        <w:sz w:val="16"/>
        <w:szCs w:val="16"/>
      </w:rPr>
    </w:pPr>
    <w:r w:rsidRPr="00AD698D">
      <w:rPr>
        <w:rFonts w:ascii="Arial Narrow" w:hAnsi="Arial Narrow" w:cs="Arial"/>
        <w:bCs/>
        <w:sz w:val="16"/>
        <w:szCs w:val="16"/>
      </w:rPr>
      <w:t>Radicación No: 66001-31-05-00</w:t>
    </w:r>
    <w:r w:rsidR="00AD698D" w:rsidRPr="00AD698D">
      <w:rPr>
        <w:rFonts w:ascii="Arial Narrow" w:hAnsi="Arial Narrow" w:cs="Arial"/>
        <w:bCs/>
        <w:sz w:val="16"/>
        <w:szCs w:val="16"/>
      </w:rPr>
      <w:t>5-2016-00336-01</w:t>
    </w:r>
  </w:p>
  <w:p w:rsidR="00211C21" w:rsidRPr="00AD698D" w:rsidRDefault="00AD698D" w:rsidP="00211C21">
    <w:pPr>
      <w:jc w:val="both"/>
      <w:rPr>
        <w:rFonts w:ascii="Arial Narrow" w:hAnsi="Arial Narrow" w:cs="Arial"/>
        <w:bCs/>
        <w:iCs/>
        <w:sz w:val="16"/>
        <w:szCs w:val="16"/>
      </w:rPr>
    </w:pPr>
    <w:r w:rsidRPr="00AD698D">
      <w:rPr>
        <w:rFonts w:ascii="Arial Narrow" w:hAnsi="Arial Narrow" w:cs="Arial"/>
        <w:bCs/>
        <w:sz w:val="16"/>
        <w:szCs w:val="16"/>
      </w:rPr>
      <w:t xml:space="preserve">Roberto de Jesús Rentería vs Colpensiones </w:t>
    </w:r>
  </w:p>
  <w:p w:rsidR="00211C21" w:rsidRDefault="00455D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EE4"/>
    <w:multiLevelType w:val="hybridMultilevel"/>
    <w:tmpl w:val="AF6E837E"/>
    <w:lvl w:ilvl="0" w:tplc="0070498C">
      <w:start w:val="1"/>
      <w:numFmt w:val="lowerRoman"/>
      <w:lvlText w:val="(%1)"/>
      <w:lvlJc w:val="left"/>
      <w:pPr>
        <w:ind w:left="1430" w:hanging="720"/>
      </w:pPr>
      <w:rPr>
        <w:rFonts w:ascii="Arial Narrow" w:hAnsi="Arial Narrow" w:cs="Times New Roman" w:hint="default"/>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2">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8D"/>
    <w:rsid w:val="00006BF9"/>
    <w:rsid w:val="00021F00"/>
    <w:rsid w:val="000313E0"/>
    <w:rsid w:val="00037778"/>
    <w:rsid w:val="000A320E"/>
    <w:rsid w:val="000A6BCC"/>
    <w:rsid w:val="000B5D6E"/>
    <w:rsid w:val="000D70EA"/>
    <w:rsid w:val="00106790"/>
    <w:rsid w:val="001417FE"/>
    <w:rsid w:val="00147D0D"/>
    <w:rsid w:val="00154027"/>
    <w:rsid w:val="001669B9"/>
    <w:rsid w:val="001731A3"/>
    <w:rsid w:val="00173593"/>
    <w:rsid w:val="001909F9"/>
    <w:rsid w:val="001B0C70"/>
    <w:rsid w:val="001B4603"/>
    <w:rsid w:val="001B64E9"/>
    <w:rsid w:val="001D159E"/>
    <w:rsid w:val="001F66B3"/>
    <w:rsid w:val="002365C4"/>
    <w:rsid w:val="00250C16"/>
    <w:rsid w:val="00256724"/>
    <w:rsid w:val="002633E2"/>
    <w:rsid w:val="0027524E"/>
    <w:rsid w:val="00287DF9"/>
    <w:rsid w:val="002971F7"/>
    <w:rsid w:val="002A4B15"/>
    <w:rsid w:val="002B458D"/>
    <w:rsid w:val="002B6818"/>
    <w:rsid w:val="0039521C"/>
    <w:rsid w:val="00416072"/>
    <w:rsid w:val="00421501"/>
    <w:rsid w:val="00455DDD"/>
    <w:rsid w:val="00456D89"/>
    <w:rsid w:val="004B0A9B"/>
    <w:rsid w:val="004C4889"/>
    <w:rsid w:val="004D4D8B"/>
    <w:rsid w:val="004D589F"/>
    <w:rsid w:val="00540E3A"/>
    <w:rsid w:val="00597646"/>
    <w:rsid w:val="005D6D3D"/>
    <w:rsid w:val="006028EA"/>
    <w:rsid w:val="00651340"/>
    <w:rsid w:val="0065298B"/>
    <w:rsid w:val="00656F50"/>
    <w:rsid w:val="00670F54"/>
    <w:rsid w:val="006A512E"/>
    <w:rsid w:val="006B35B0"/>
    <w:rsid w:val="006C30AC"/>
    <w:rsid w:val="00712162"/>
    <w:rsid w:val="007269AF"/>
    <w:rsid w:val="0075414B"/>
    <w:rsid w:val="00791DA6"/>
    <w:rsid w:val="00796D5D"/>
    <w:rsid w:val="008241D7"/>
    <w:rsid w:val="00825C94"/>
    <w:rsid w:val="0085035C"/>
    <w:rsid w:val="0085600C"/>
    <w:rsid w:val="0088318D"/>
    <w:rsid w:val="00890589"/>
    <w:rsid w:val="008C7B07"/>
    <w:rsid w:val="008F226C"/>
    <w:rsid w:val="00934FA1"/>
    <w:rsid w:val="0097497E"/>
    <w:rsid w:val="00994F9E"/>
    <w:rsid w:val="009A18AA"/>
    <w:rsid w:val="009A31B2"/>
    <w:rsid w:val="009B6A80"/>
    <w:rsid w:val="009E37C1"/>
    <w:rsid w:val="009E7965"/>
    <w:rsid w:val="009F76B0"/>
    <w:rsid w:val="00A01141"/>
    <w:rsid w:val="00A02935"/>
    <w:rsid w:val="00A060A4"/>
    <w:rsid w:val="00A11979"/>
    <w:rsid w:val="00A56760"/>
    <w:rsid w:val="00A7488E"/>
    <w:rsid w:val="00A9720C"/>
    <w:rsid w:val="00AD698D"/>
    <w:rsid w:val="00B011E2"/>
    <w:rsid w:val="00B16435"/>
    <w:rsid w:val="00B21615"/>
    <w:rsid w:val="00BA0884"/>
    <w:rsid w:val="00BA4E49"/>
    <w:rsid w:val="00BC3D5C"/>
    <w:rsid w:val="00BC50EC"/>
    <w:rsid w:val="00BE7032"/>
    <w:rsid w:val="00BF2821"/>
    <w:rsid w:val="00C21253"/>
    <w:rsid w:val="00C35CA1"/>
    <w:rsid w:val="00C520ED"/>
    <w:rsid w:val="00C57860"/>
    <w:rsid w:val="00C875A0"/>
    <w:rsid w:val="00CA5450"/>
    <w:rsid w:val="00CD00C8"/>
    <w:rsid w:val="00D1032C"/>
    <w:rsid w:val="00D2071F"/>
    <w:rsid w:val="00D255AA"/>
    <w:rsid w:val="00D40DD7"/>
    <w:rsid w:val="00DA3E3C"/>
    <w:rsid w:val="00DB6D02"/>
    <w:rsid w:val="00DE7D03"/>
    <w:rsid w:val="00DF330D"/>
    <w:rsid w:val="00E3355E"/>
    <w:rsid w:val="00E418FF"/>
    <w:rsid w:val="00E530E4"/>
    <w:rsid w:val="00E536BF"/>
    <w:rsid w:val="00E72326"/>
    <w:rsid w:val="00E72EED"/>
    <w:rsid w:val="00E9198B"/>
    <w:rsid w:val="00E932E1"/>
    <w:rsid w:val="00EA7626"/>
    <w:rsid w:val="00EC3D1D"/>
    <w:rsid w:val="00ED15AC"/>
    <w:rsid w:val="00ED324A"/>
    <w:rsid w:val="00F11141"/>
    <w:rsid w:val="00F130C7"/>
    <w:rsid w:val="00F420E2"/>
    <w:rsid w:val="00F47498"/>
    <w:rsid w:val="00F70FBD"/>
    <w:rsid w:val="00F80E14"/>
    <w:rsid w:val="00FC426D"/>
    <w:rsid w:val="00FF25FF"/>
    <w:rsid w:val="00FF6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105D-569D-496A-B60C-A6A7C84B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8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D698D"/>
    <w:rPr>
      <w:rFonts w:ascii="Arial" w:hAnsi="Arial" w:cs="Arial"/>
      <w:sz w:val="24"/>
      <w:lang w:val="es-ES_tradnl" w:eastAsia="es-ES"/>
    </w:rPr>
  </w:style>
  <w:style w:type="paragraph" w:styleId="Textoindependiente">
    <w:name w:val="Body Text"/>
    <w:basedOn w:val="Normal"/>
    <w:link w:val="TextoindependienteCar"/>
    <w:rsid w:val="00AD698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D698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D698D"/>
    <w:pPr>
      <w:tabs>
        <w:tab w:val="center" w:pos="4252"/>
        <w:tab w:val="right" w:pos="8504"/>
      </w:tabs>
    </w:pPr>
  </w:style>
  <w:style w:type="character" w:customStyle="1" w:styleId="PiedepginaCar">
    <w:name w:val="Pie de página Car"/>
    <w:basedOn w:val="Fuentedeprrafopredeter"/>
    <w:link w:val="Piedepgina"/>
    <w:rsid w:val="00AD698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D698D"/>
  </w:style>
  <w:style w:type="paragraph" w:styleId="Encabezado">
    <w:name w:val="header"/>
    <w:basedOn w:val="Normal"/>
    <w:link w:val="EncabezadoCar"/>
    <w:rsid w:val="00AD698D"/>
    <w:pPr>
      <w:tabs>
        <w:tab w:val="center" w:pos="4252"/>
        <w:tab w:val="right" w:pos="8504"/>
      </w:tabs>
    </w:pPr>
  </w:style>
  <w:style w:type="character" w:customStyle="1" w:styleId="EncabezadoCar">
    <w:name w:val="Encabezado Car"/>
    <w:basedOn w:val="Fuentedeprrafopredeter"/>
    <w:link w:val="Encabezado"/>
    <w:rsid w:val="00AD698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D698D"/>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AD698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D698D"/>
    <w:pPr>
      <w:ind w:left="720"/>
      <w:contextualSpacing/>
    </w:pPr>
  </w:style>
  <w:style w:type="paragraph" w:styleId="Textonotapie">
    <w:name w:val="footnote text"/>
    <w:basedOn w:val="Normal"/>
    <w:link w:val="TextonotapieCar"/>
    <w:uiPriority w:val="99"/>
    <w:semiHidden/>
    <w:unhideWhenUsed/>
    <w:rsid w:val="00656F50"/>
    <w:rPr>
      <w:sz w:val="20"/>
    </w:rPr>
  </w:style>
  <w:style w:type="character" w:customStyle="1" w:styleId="TextonotapieCar">
    <w:name w:val="Texto nota pie Car"/>
    <w:basedOn w:val="Fuentedeprrafopredeter"/>
    <w:link w:val="Textonotapie"/>
    <w:uiPriority w:val="99"/>
    <w:semiHidden/>
    <w:rsid w:val="00656F5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56F50"/>
    <w:rPr>
      <w:vertAlign w:val="superscript"/>
    </w:rPr>
  </w:style>
  <w:style w:type="paragraph" w:customStyle="1" w:styleId="Prrafodelista2">
    <w:name w:val="Párrafo de lista2"/>
    <w:basedOn w:val="Normal"/>
    <w:rsid w:val="002B458D"/>
    <w:pPr>
      <w:spacing w:after="200" w:line="276" w:lineRule="auto"/>
      <w:ind w:left="720"/>
      <w:contextualSpacing/>
    </w:pPr>
    <w:rPr>
      <w:rFonts w:ascii="Calibri" w:hAnsi="Calibri"/>
      <w:sz w:val="22"/>
      <w:szCs w:val="22"/>
      <w:lang w:val="es-CO" w:eastAsia="en-US"/>
    </w:rPr>
  </w:style>
  <w:style w:type="character" w:customStyle="1" w:styleId="SinespaciadoCar">
    <w:name w:val="Sin espaciado Car"/>
    <w:link w:val="Sinespaciado"/>
    <w:uiPriority w:val="1"/>
    <w:locked/>
    <w:rsid w:val="00147D0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dcterms:created xsi:type="dcterms:W3CDTF">2018-07-19T15:18:00Z</dcterms:created>
  <dcterms:modified xsi:type="dcterms:W3CDTF">2018-08-29T14:13:00Z</dcterms:modified>
</cp:coreProperties>
</file>