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90" w:rsidRDefault="00587C90" w:rsidP="00587C9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eastAsia="Calibri" w:hAnsi="Arial" w:cs="Arial"/>
          <w:color w:val="FF0000"/>
          <w:kern w:val="28"/>
          <w:sz w:val="18"/>
          <w:szCs w:val="18"/>
          <w:lang w:val="es-CO" w:eastAsia="fr-FR"/>
        </w:rPr>
      </w:pPr>
      <w:r w:rsidRPr="00AD53E0">
        <w:rPr>
          <w:rFonts w:ascii="Arial" w:eastAsia="Calibri" w:hAnsi="Arial" w:cs="Arial"/>
          <w:color w:val="FF0000"/>
          <w:kern w:val="28"/>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p>
    <w:p w:rsidR="00587C90" w:rsidRDefault="00587C90" w:rsidP="008066CB">
      <w:pPr>
        <w:spacing w:line="360" w:lineRule="auto"/>
        <w:jc w:val="both"/>
        <w:rPr>
          <w:rFonts w:ascii="Arial" w:eastAsia="Calibri" w:hAnsi="Arial" w:cs="Arial"/>
          <w:color w:val="FF0000"/>
          <w:kern w:val="28"/>
          <w:sz w:val="18"/>
          <w:szCs w:val="18"/>
          <w:lang w:val="es-CO" w:eastAsia="fr-FR"/>
        </w:rPr>
      </w:pPr>
    </w:p>
    <w:p w:rsidR="008066CB" w:rsidRPr="00D42372" w:rsidRDefault="008066CB" w:rsidP="00D42372">
      <w:pPr>
        <w:jc w:val="both"/>
        <w:rPr>
          <w:rFonts w:ascii="Arial" w:hAnsi="Arial" w:cs="Arial"/>
          <w:sz w:val="22"/>
          <w:szCs w:val="22"/>
        </w:rPr>
      </w:pPr>
      <w:r w:rsidRPr="00D42372">
        <w:rPr>
          <w:rFonts w:ascii="Arial" w:hAnsi="Arial" w:cs="Arial"/>
          <w:sz w:val="22"/>
          <w:szCs w:val="22"/>
        </w:rPr>
        <w:t xml:space="preserve">Providencia: </w:t>
      </w:r>
      <w:r w:rsidRPr="00D42372">
        <w:rPr>
          <w:rFonts w:ascii="Arial" w:hAnsi="Arial" w:cs="Arial"/>
          <w:sz w:val="22"/>
          <w:szCs w:val="22"/>
        </w:rPr>
        <w:tab/>
      </w:r>
      <w:r w:rsidRPr="00D42372">
        <w:rPr>
          <w:rFonts w:ascii="Arial" w:hAnsi="Arial" w:cs="Arial"/>
          <w:sz w:val="22"/>
          <w:szCs w:val="22"/>
        </w:rPr>
        <w:tab/>
      </w:r>
      <w:r w:rsidR="00D42372" w:rsidRPr="00D42372">
        <w:rPr>
          <w:rFonts w:ascii="Arial" w:hAnsi="Arial" w:cs="Arial"/>
          <w:sz w:val="22"/>
          <w:szCs w:val="22"/>
        </w:rPr>
        <w:tab/>
      </w:r>
      <w:r w:rsidRPr="00D42372">
        <w:rPr>
          <w:rFonts w:ascii="Arial" w:hAnsi="Arial" w:cs="Arial"/>
          <w:sz w:val="22"/>
          <w:szCs w:val="22"/>
        </w:rPr>
        <w:t xml:space="preserve">Sentencia </w:t>
      </w:r>
      <w:r w:rsidR="00D42372" w:rsidRPr="00D42372">
        <w:rPr>
          <w:rFonts w:ascii="Arial" w:hAnsi="Arial" w:cs="Arial"/>
          <w:sz w:val="22"/>
          <w:szCs w:val="22"/>
        </w:rPr>
        <w:t xml:space="preserve">2ª. </w:t>
      </w:r>
      <w:r w:rsidRPr="00D42372">
        <w:rPr>
          <w:rFonts w:ascii="Arial" w:hAnsi="Arial" w:cs="Arial"/>
          <w:sz w:val="22"/>
          <w:szCs w:val="22"/>
        </w:rPr>
        <w:t>Instancia</w:t>
      </w:r>
      <w:r w:rsidR="00D42372" w:rsidRPr="00D42372">
        <w:rPr>
          <w:rFonts w:ascii="Arial" w:hAnsi="Arial" w:cs="Arial"/>
          <w:sz w:val="22"/>
          <w:szCs w:val="22"/>
        </w:rPr>
        <w:t xml:space="preserve">, </w:t>
      </w:r>
      <w:r w:rsidRPr="00D42372">
        <w:rPr>
          <w:rFonts w:ascii="Arial" w:hAnsi="Arial" w:cs="Arial"/>
          <w:sz w:val="22"/>
          <w:szCs w:val="22"/>
        </w:rPr>
        <w:t xml:space="preserve"> 23 de agosto de 2018. </w:t>
      </w:r>
    </w:p>
    <w:p w:rsidR="008066CB" w:rsidRPr="00D42372" w:rsidRDefault="008066CB" w:rsidP="00D42372">
      <w:pPr>
        <w:jc w:val="both"/>
        <w:rPr>
          <w:rFonts w:ascii="Arial" w:hAnsi="Arial" w:cs="Arial"/>
          <w:bCs/>
          <w:iCs/>
          <w:sz w:val="22"/>
          <w:szCs w:val="22"/>
        </w:rPr>
      </w:pPr>
      <w:r w:rsidRPr="00D42372">
        <w:rPr>
          <w:rFonts w:ascii="Arial" w:hAnsi="Arial" w:cs="Arial"/>
          <w:bCs/>
          <w:sz w:val="22"/>
          <w:szCs w:val="22"/>
        </w:rPr>
        <w:t xml:space="preserve">Radicación No: </w:t>
      </w:r>
      <w:r w:rsidRPr="00D42372">
        <w:rPr>
          <w:rFonts w:ascii="Arial" w:hAnsi="Arial" w:cs="Arial"/>
          <w:bCs/>
          <w:sz w:val="22"/>
          <w:szCs w:val="22"/>
        </w:rPr>
        <w:tab/>
        <w:t xml:space="preserve">      </w:t>
      </w:r>
      <w:r w:rsidRPr="00D42372">
        <w:rPr>
          <w:rFonts w:ascii="Arial" w:hAnsi="Arial" w:cs="Arial"/>
          <w:bCs/>
          <w:sz w:val="22"/>
          <w:szCs w:val="22"/>
        </w:rPr>
        <w:tab/>
        <w:t>66001-31-05-001-2016-00087-01</w:t>
      </w:r>
    </w:p>
    <w:p w:rsidR="008066CB" w:rsidRPr="00D42372" w:rsidRDefault="008066CB" w:rsidP="00D42372">
      <w:pPr>
        <w:jc w:val="both"/>
        <w:rPr>
          <w:rFonts w:ascii="Arial" w:hAnsi="Arial" w:cs="Arial"/>
          <w:iCs/>
          <w:sz w:val="22"/>
          <w:szCs w:val="22"/>
        </w:rPr>
      </w:pPr>
      <w:r w:rsidRPr="00D42372">
        <w:rPr>
          <w:rFonts w:ascii="Arial" w:hAnsi="Arial" w:cs="Arial"/>
          <w:bCs/>
          <w:iCs/>
          <w:sz w:val="22"/>
          <w:szCs w:val="22"/>
        </w:rPr>
        <w:t>Proceso:</w:t>
      </w:r>
      <w:r w:rsidRPr="00D42372">
        <w:rPr>
          <w:rFonts w:ascii="Arial" w:hAnsi="Arial" w:cs="Arial"/>
          <w:iCs/>
          <w:sz w:val="22"/>
          <w:szCs w:val="22"/>
        </w:rPr>
        <w:t xml:space="preserve"> </w:t>
      </w:r>
      <w:r w:rsidRPr="00D42372">
        <w:rPr>
          <w:rFonts w:ascii="Arial" w:hAnsi="Arial" w:cs="Arial"/>
          <w:iCs/>
          <w:sz w:val="22"/>
          <w:szCs w:val="22"/>
        </w:rPr>
        <w:tab/>
      </w:r>
      <w:r w:rsidRPr="00D42372">
        <w:rPr>
          <w:rFonts w:ascii="Arial" w:hAnsi="Arial" w:cs="Arial"/>
          <w:iCs/>
          <w:sz w:val="22"/>
          <w:szCs w:val="22"/>
        </w:rPr>
        <w:tab/>
      </w:r>
      <w:r w:rsidRPr="00D42372">
        <w:rPr>
          <w:rFonts w:ascii="Arial" w:hAnsi="Arial" w:cs="Arial"/>
          <w:iCs/>
          <w:sz w:val="22"/>
          <w:szCs w:val="22"/>
        </w:rPr>
        <w:tab/>
        <w:t>Ordinario Laboral.</w:t>
      </w:r>
    </w:p>
    <w:p w:rsidR="008066CB" w:rsidRPr="00D42372" w:rsidRDefault="008066CB" w:rsidP="00D42372">
      <w:pPr>
        <w:ind w:firstLine="6"/>
        <w:jc w:val="both"/>
        <w:rPr>
          <w:rFonts w:ascii="Arial" w:hAnsi="Arial" w:cs="Arial"/>
          <w:bCs/>
          <w:sz w:val="22"/>
          <w:szCs w:val="22"/>
        </w:rPr>
      </w:pPr>
      <w:r w:rsidRPr="00D42372">
        <w:rPr>
          <w:rFonts w:ascii="Arial" w:hAnsi="Arial" w:cs="Arial"/>
          <w:iCs/>
          <w:sz w:val="22"/>
          <w:szCs w:val="22"/>
        </w:rPr>
        <w:t xml:space="preserve">Demandante:     </w:t>
      </w:r>
      <w:r w:rsidRPr="00D42372">
        <w:rPr>
          <w:rFonts w:ascii="Arial" w:hAnsi="Arial" w:cs="Arial"/>
          <w:iCs/>
          <w:sz w:val="22"/>
          <w:szCs w:val="22"/>
        </w:rPr>
        <w:tab/>
      </w:r>
      <w:r w:rsidRPr="00D42372">
        <w:rPr>
          <w:rFonts w:ascii="Arial" w:hAnsi="Arial" w:cs="Arial"/>
          <w:iCs/>
          <w:sz w:val="22"/>
          <w:szCs w:val="22"/>
        </w:rPr>
        <w:tab/>
        <w:t xml:space="preserve">Ramiro Arango Pinzón   </w:t>
      </w:r>
    </w:p>
    <w:p w:rsidR="008066CB" w:rsidRPr="00D42372" w:rsidRDefault="008066CB" w:rsidP="00D42372">
      <w:pPr>
        <w:ind w:firstLine="6"/>
        <w:jc w:val="both"/>
        <w:rPr>
          <w:rFonts w:ascii="Arial" w:hAnsi="Arial" w:cs="Arial"/>
          <w:bCs/>
          <w:sz w:val="22"/>
          <w:szCs w:val="22"/>
        </w:rPr>
      </w:pPr>
      <w:r w:rsidRPr="00D42372">
        <w:rPr>
          <w:rFonts w:ascii="Arial" w:hAnsi="Arial" w:cs="Arial"/>
          <w:bCs/>
          <w:sz w:val="22"/>
          <w:szCs w:val="22"/>
        </w:rPr>
        <w:t xml:space="preserve">Demandado:            </w:t>
      </w:r>
      <w:r w:rsidRPr="00D42372">
        <w:rPr>
          <w:rFonts w:ascii="Arial" w:hAnsi="Arial" w:cs="Arial"/>
          <w:bCs/>
          <w:sz w:val="22"/>
          <w:szCs w:val="22"/>
        </w:rPr>
        <w:tab/>
      </w:r>
      <w:r w:rsidRPr="00D42372">
        <w:rPr>
          <w:rFonts w:ascii="Arial" w:hAnsi="Arial" w:cs="Arial"/>
          <w:bCs/>
          <w:sz w:val="22"/>
          <w:szCs w:val="22"/>
        </w:rPr>
        <w:tab/>
        <w:t>Colpensiones</w:t>
      </w:r>
    </w:p>
    <w:p w:rsidR="008066CB" w:rsidRPr="00D42372" w:rsidRDefault="008066CB" w:rsidP="00D42372">
      <w:pPr>
        <w:jc w:val="both"/>
        <w:rPr>
          <w:rFonts w:ascii="Arial" w:hAnsi="Arial" w:cs="Arial"/>
          <w:sz w:val="22"/>
          <w:szCs w:val="22"/>
        </w:rPr>
      </w:pPr>
      <w:r w:rsidRPr="00D42372">
        <w:rPr>
          <w:rFonts w:ascii="Arial" w:hAnsi="Arial" w:cs="Arial"/>
          <w:sz w:val="22"/>
          <w:szCs w:val="22"/>
        </w:rPr>
        <w:t xml:space="preserve">Juzgado de origen:     </w:t>
      </w:r>
      <w:r w:rsidRPr="00D42372">
        <w:rPr>
          <w:rFonts w:ascii="Arial" w:hAnsi="Arial" w:cs="Arial"/>
          <w:sz w:val="22"/>
          <w:szCs w:val="22"/>
        </w:rPr>
        <w:tab/>
        <w:t>Primero Laboral del Circuito de Pereira.</w:t>
      </w:r>
    </w:p>
    <w:p w:rsidR="008066CB" w:rsidRPr="00D42372" w:rsidRDefault="008066CB" w:rsidP="00D42372">
      <w:pPr>
        <w:jc w:val="both"/>
        <w:rPr>
          <w:rFonts w:ascii="Arial" w:hAnsi="Arial" w:cs="Arial"/>
          <w:iCs/>
          <w:sz w:val="22"/>
          <w:szCs w:val="22"/>
        </w:rPr>
      </w:pPr>
      <w:r w:rsidRPr="00D42372">
        <w:rPr>
          <w:rFonts w:ascii="Arial" w:hAnsi="Arial" w:cs="Arial"/>
          <w:iCs/>
          <w:sz w:val="22"/>
          <w:szCs w:val="22"/>
        </w:rPr>
        <w:t xml:space="preserve">Magistrado Ponente:     </w:t>
      </w:r>
      <w:r w:rsidRPr="00D42372">
        <w:rPr>
          <w:rFonts w:ascii="Arial" w:hAnsi="Arial" w:cs="Arial"/>
          <w:iCs/>
          <w:sz w:val="22"/>
          <w:szCs w:val="22"/>
        </w:rPr>
        <w:tab/>
        <w:t>Francisco Javier Tamayo Tabares.</w:t>
      </w:r>
    </w:p>
    <w:p w:rsidR="00D42372" w:rsidRPr="00D42372" w:rsidRDefault="00D42372" w:rsidP="00D42372">
      <w:pPr>
        <w:spacing w:before="20" w:after="20"/>
        <w:ind w:left="2124" w:hanging="2124"/>
        <w:jc w:val="both"/>
        <w:rPr>
          <w:rFonts w:ascii="Arial" w:hAnsi="Arial" w:cs="Arial"/>
          <w:bCs/>
          <w:sz w:val="22"/>
          <w:szCs w:val="22"/>
        </w:rPr>
      </w:pPr>
    </w:p>
    <w:p w:rsidR="008066CB" w:rsidRPr="00D42372" w:rsidRDefault="008066CB" w:rsidP="00D42372">
      <w:pPr>
        <w:ind w:left="2127" w:hanging="2127"/>
        <w:jc w:val="both"/>
        <w:rPr>
          <w:rFonts w:ascii="Arial" w:hAnsi="Arial" w:cs="Arial"/>
          <w:bCs/>
          <w:i/>
          <w:color w:val="FF0000"/>
          <w:sz w:val="22"/>
          <w:szCs w:val="22"/>
        </w:rPr>
      </w:pPr>
      <w:bookmarkStart w:id="0" w:name="_GoBack"/>
      <w:bookmarkEnd w:id="0"/>
    </w:p>
    <w:p w:rsidR="0083155C" w:rsidRPr="00D42372" w:rsidRDefault="0083155C" w:rsidP="00D42372">
      <w:pPr>
        <w:jc w:val="both"/>
        <w:rPr>
          <w:rFonts w:ascii="Arial" w:hAnsi="Arial" w:cs="Arial"/>
          <w:b/>
          <w:sz w:val="22"/>
          <w:szCs w:val="22"/>
          <w:lang w:val="es-CO" w:eastAsia="fr-FR"/>
        </w:rPr>
      </w:pPr>
      <w:r w:rsidRPr="00D42372">
        <w:rPr>
          <w:rFonts w:ascii="Arial" w:hAnsi="Arial" w:cs="Arial"/>
          <w:b/>
          <w:sz w:val="22"/>
          <w:szCs w:val="22"/>
          <w:lang w:val="es-CO" w:eastAsia="fr-FR"/>
        </w:rPr>
        <w:t xml:space="preserve">Temas: </w:t>
      </w:r>
      <w:r w:rsidRPr="00D42372">
        <w:rPr>
          <w:rFonts w:ascii="Arial" w:hAnsi="Arial" w:cs="Arial"/>
          <w:b/>
          <w:sz w:val="22"/>
          <w:szCs w:val="22"/>
          <w:lang w:val="es-CO" w:eastAsia="fr-FR"/>
        </w:rPr>
        <w:tab/>
      </w:r>
      <w:r w:rsidRPr="00D42372">
        <w:rPr>
          <w:rFonts w:ascii="Arial" w:hAnsi="Arial" w:cs="Arial"/>
          <w:b/>
          <w:sz w:val="22"/>
          <w:szCs w:val="22"/>
          <w:lang w:val="es-CO" w:eastAsia="fr-FR"/>
        </w:rPr>
        <w:tab/>
        <w:t>PENSIÓN DE VEJEZ / INCREMENTOS PENSIONALES –Naturaleza jurídica- / ACUERDO 049 / NO HACEN PARTE DE LA PENSIÓN DE VEJEZ O INVALIDEZ / PRESCRIPCIÓN / DEBEN EXIGIRSE DENTRO DE LOS 3 AÑOS SIGUIENTES AL RECONOCIMIENTO PENSIONAL / CONFIRMA / NIEGA /</w:t>
      </w:r>
    </w:p>
    <w:p w:rsidR="0083155C" w:rsidRPr="00D42372" w:rsidRDefault="0083155C" w:rsidP="00D42372">
      <w:pPr>
        <w:jc w:val="both"/>
        <w:rPr>
          <w:rFonts w:ascii="Arial" w:hAnsi="Arial" w:cs="Arial"/>
          <w:b/>
          <w:sz w:val="22"/>
          <w:szCs w:val="22"/>
          <w:lang w:val="es-CO" w:eastAsia="fr-FR"/>
        </w:rPr>
      </w:pPr>
    </w:p>
    <w:p w:rsidR="00D42372" w:rsidRPr="00D42372" w:rsidRDefault="00D42372" w:rsidP="00D42372">
      <w:pPr>
        <w:jc w:val="both"/>
        <w:rPr>
          <w:rFonts w:ascii="Arial" w:hAnsi="Arial" w:cs="Arial"/>
          <w:b/>
          <w:sz w:val="22"/>
          <w:szCs w:val="22"/>
          <w:lang w:val="es-CO" w:eastAsia="fr-FR"/>
        </w:rPr>
      </w:pPr>
    </w:p>
    <w:p w:rsidR="00D42372" w:rsidRPr="00D42372" w:rsidRDefault="00D42372" w:rsidP="00D42372">
      <w:pPr>
        <w:pStyle w:val="Textoindependiente"/>
        <w:rPr>
          <w:sz w:val="22"/>
        </w:rPr>
      </w:pPr>
      <w:r w:rsidRPr="00D42372">
        <w:rPr>
          <w:sz w:val="22"/>
        </w:rPr>
        <w:t>En el caso puntual, se tiene que al señor Ramiro Arango Pinzón se le reconoció su pensión de vejez mediante Resolución No. 2957 de 2000, con efectos a partir del 1º de diciembre de esa anualidad y cuyo fundamento legal lo fue el Acuerdo 049 de 1990. Existe además en el infolio prueba documental idónea que acredita el vínculo marital del actor con la señora Lucy Trujillo Jaramillo, el cual data desde el 22 de mayo de 1965 –fl.25-- sin que exista nota alguna que desdiga de la existencia del vínculo.</w:t>
      </w:r>
    </w:p>
    <w:p w:rsidR="00D42372" w:rsidRPr="00D42372" w:rsidRDefault="00D42372" w:rsidP="00D42372">
      <w:pPr>
        <w:pStyle w:val="Sinespaciado"/>
        <w:rPr>
          <w:rFonts w:ascii="Arial" w:hAnsi="Arial" w:cs="Arial"/>
          <w:sz w:val="22"/>
          <w:szCs w:val="22"/>
        </w:rPr>
      </w:pPr>
      <w:r w:rsidRPr="00D42372">
        <w:rPr>
          <w:rFonts w:ascii="Arial" w:hAnsi="Arial" w:cs="Arial"/>
          <w:sz w:val="22"/>
          <w:szCs w:val="22"/>
        </w:rPr>
        <w:t>(…)</w:t>
      </w:r>
    </w:p>
    <w:p w:rsidR="00D42372" w:rsidRPr="00D42372" w:rsidRDefault="00D42372" w:rsidP="00D42372">
      <w:pPr>
        <w:pStyle w:val="Textoindependiente"/>
        <w:rPr>
          <w:sz w:val="22"/>
        </w:rPr>
      </w:pPr>
      <w:r w:rsidRPr="00D42372">
        <w:rPr>
          <w:sz w:val="22"/>
        </w:rPr>
        <w:t xml:space="preserve">No obstante lo anterior, el aludido derecho se encuentra claramente prescrito, conforme a los cánones 151 y 488 del </w:t>
      </w:r>
      <w:proofErr w:type="spellStart"/>
      <w:r w:rsidRPr="00D42372">
        <w:rPr>
          <w:sz w:val="22"/>
        </w:rPr>
        <w:t>CPLSS</w:t>
      </w:r>
      <w:proofErr w:type="spellEnd"/>
      <w:r w:rsidRPr="00D42372">
        <w:rPr>
          <w:sz w:val="22"/>
        </w:rPr>
        <w:t xml:space="preserve"> y del CL, pues claramente se han superado los tres años concedidos en dichos artículos para la reclamación de los mismos, puesto que la misma se elevó casi 16 años después de la exigibilidad del derecho, concretamente, el 8 de noviembre de 2016 –fl.20-, por lo que salta a la vista que total razón le asiste a la a-quo en su decisión.</w:t>
      </w:r>
    </w:p>
    <w:p w:rsidR="00D42372" w:rsidRPr="00D42372" w:rsidRDefault="00D42372" w:rsidP="00D42372">
      <w:pPr>
        <w:pStyle w:val="Sinespaciado"/>
        <w:rPr>
          <w:rFonts w:ascii="Arial" w:hAnsi="Arial" w:cs="Arial"/>
          <w:sz w:val="22"/>
          <w:szCs w:val="22"/>
        </w:rPr>
      </w:pPr>
    </w:p>
    <w:p w:rsidR="00587C90" w:rsidRDefault="00587C90" w:rsidP="00587C90">
      <w:pPr>
        <w:spacing w:line="360" w:lineRule="auto"/>
        <w:jc w:val="both"/>
        <w:rPr>
          <w:rFonts w:ascii="Arial" w:eastAsia="Calibri" w:hAnsi="Arial" w:cs="Arial"/>
          <w:color w:val="FF0000"/>
          <w:kern w:val="28"/>
          <w:sz w:val="18"/>
          <w:szCs w:val="18"/>
          <w:lang w:val="es-CO" w:eastAsia="fr-FR"/>
        </w:rPr>
      </w:pPr>
    </w:p>
    <w:p w:rsidR="00587C90" w:rsidRPr="00402979" w:rsidRDefault="00587C90" w:rsidP="00587C90">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587C90" w:rsidRDefault="00587C90" w:rsidP="008066CB">
      <w:pPr>
        <w:spacing w:line="360" w:lineRule="auto"/>
        <w:ind w:left="2127" w:hanging="1276"/>
        <w:jc w:val="both"/>
        <w:rPr>
          <w:rFonts w:ascii="Arial Narrow" w:hAnsi="Arial Narrow" w:cs="Arial"/>
          <w:b/>
          <w:sz w:val="28"/>
          <w:szCs w:val="28"/>
          <w:u w:val="single"/>
        </w:rPr>
      </w:pPr>
    </w:p>
    <w:p w:rsidR="008066CB" w:rsidRPr="00B02E05" w:rsidRDefault="008066CB" w:rsidP="008066CB">
      <w:pPr>
        <w:spacing w:line="360" w:lineRule="auto"/>
        <w:ind w:left="2127" w:hanging="1276"/>
        <w:jc w:val="both"/>
        <w:rPr>
          <w:rFonts w:ascii="Arial Narrow" w:hAnsi="Arial Narrow" w:cs="Arial"/>
          <w:b/>
          <w:sz w:val="28"/>
          <w:szCs w:val="28"/>
        </w:rPr>
      </w:pP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8066CB" w:rsidRPr="00D4418E" w:rsidRDefault="008066CB" w:rsidP="008066CB">
      <w:pPr>
        <w:pStyle w:val="Sinespaciado"/>
      </w:pPr>
    </w:p>
    <w:p w:rsidR="008066CB" w:rsidRPr="00B02E05" w:rsidRDefault="008066CB" w:rsidP="008066CB">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los </w:t>
      </w:r>
      <w:r>
        <w:rPr>
          <w:rFonts w:ascii="Arial Narrow" w:eastAsia="Calibri" w:hAnsi="Arial Narrow" w:cs="Arial"/>
          <w:sz w:val="28"/>
          <w:szCs w:val="28"/>
          <w:lang w:val="es-CO" w:eastAsia="en-US"/>
        </w:rPr>
        <w:t xml:space="preserve">veintitrés </w:t>
      </w:r>
      <w:r w:rsidRPr="00B02E05">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23</w:t>
      </w:r>
      <w:r w:rsidRPr="00B02E05">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agosto de </w:t>
      </w:r>
      <w:r w:rsidRPr="00B02E05">
        <w:rPr>
          <w:rFonts w:ascii="Arial Narrow" w:eastAsia="Calibri" w:hAnsi="Arial Narrow" w:cs="Arial"/>
          <w:sz w:val="28"/>
          <w:szCs w:val="28"/>
          <w:lang w:val="es-CO" w:eastAsia="en-US"/>
        </w:rPr>
        <w:t xml:space="preserve">dos mil </w:t>
      </w:r>
      <w:r>
        <w:rPr>
          <w:rFonts w:ascii="Arial Narrow" w:eastAsia="Calibri" w:hAnsi="Arial Narrow" w:cs="Arial"/>
          <w:sz w:val="28"/>
          <w:szCs w:val="28"/>
          <w:lang w:val="es-CO" w:eastAsia="en-US"/>
        </w:rPr>
        <w:t xml:space="preserve">dieciocho </w:t>
      </w:r>
      <w:r w:rsidRPr="00B02E05">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8</w:t>
      </w:r>
      <w:r w:rsidRPr="00B02E05">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diez y treinta de la mañana (10:30 a.m.)</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reunidos en la Sala de Audiencia la</w:t>
      </w:r>
      <w:r>
        <w:rPr>
          <w:rFonts w:ascii="Arial Narrow" w:hAnsi="Arial Narrow" w:cs="Tahoma"/>
          <w:bCs/>
          <w:color w:val="000000"/>
          <w:sz w:val="28"/>
          <w:szCs w:val="28"/>
          <w:lang w:eastAsia="es-CO"/>
        </w:rPr>
        <w:t>s</w:t>
      </w:r>
      <w:r w:rsidRPr="00B02E05">
        <w:rPr>
          <w:rFonts w:ascii="Arial Narrow" w:hAnsi="Arial Narrow" w:cs="Tahoma"/>
          <w:bCs/>
          <w:color w:val="000000"/>
          <w:sz w:val="28"/>
          <w:szCs w:val="28"/>
          <w:lang w:eastAsia="es-CO"/>
        </w:rPr>
        <w:t xml:space="preserve"> magistrada</w:t>
      </w:r>
      <w:r>
        <w:rPr>
          <w:rFonts w:ascii="Arial Narrow" w:hAnsi="Arial Narrow" w:cs="Tahoma"/>
          <w:bCs/>
          <w:color w:val="000000"/>
          <w:sz w:val="28"/>
          <w:szCs w:val="28"/>
          <w:lang w:eastAsia="es-CO"/>
        </w:rPr>
        <w:t>s</w:t>
      </w:r>
      <w:r w:rsidRPr="00B02E05">
        <w:rPr>
          <w:rFonts w:ascii="Arial Narrow" w:hAnsi="Arial Narrow" w:cs="Tahoma"/>
          <w:bCs/>
          <w:color w:val="000000"/>
          <w:sz w:val="28"/>
          <w:szCs w:val="28"/>
          <w:lang w:eastAsia="es-CO"/>
        </w:rPr>
        <w:t xml:space="preserve"> y </w:t>
      </w:r>
      <w:r>
        <w:rPr>
          <w:rFonts w:ascii="Arial Narrow" w:hAnsi="Arial Narrow" w:cs="Tahoma"/>
          <w:bCs/>
          <w:color w:val="000000"/>
          <w:sz w:val="28"/>
          <w:szCs w:val="28"/>
          <w:lang w:eastAsia="es-CO"/>
        </w:rPr>
        <w:t>el</w:t>
      </w:r>
      <w:r w:rsidRPr="00B02E05">
        <w:rPr>
          <w:rFonts w:ascii="Arial Narrow" w:hAnsi="Arial Narrow" w:cs="Tahoma"/>
          <w:bCs/>
          <w:color w:val="000000"/>
          <w:sz w:val="28"/>
          <w:szCs w:val="28"/>
          <w:lang w:eastAsia="es-CO"/>
        </w:rPr>
        <w:t xml:space="preserve"> magistrado </w:t>
      </w:r>
      <w:r>
        <w:rPr>
          <w:rFonts w:ascii="Arial Narrow" w:hAnsi="Arial Narrow" w:cs="Tahoma"/>
          <w:bCs/>
          <w:color w:val="000000"/>
          <w:sz w:val="28"/>
          <w:szCs w:val="28"/>
          <w:lang w:eastAsia="es-CO"/>
        </w:rPr>
        <w:t xml:space="preserve">que integran la </w:t>
      </w:r>
      <w:r w:rsidRPr="00B02E05">
        <w:rPr>
          <w:rFonts w:ascii="Arial Narrow" w:hAnsi="Arial Narrow" w:cs="Tahoma"/>
          <w:bCs/>
          <w:color w:val="000000"/>
          <w:sz w:val="28"/>
          <w:szCs w:val="28"/>
          <w:lang w:eastAsia="es-CO"/>
        </w:rPr>
        <w:t xml:space="preserve">Sala </w:t>
      </w:r>
      <w:r>
        <w:rPr>
          <w:rFonts w:ascii="Arial Narrow" w:hAnsi="Arial Narrow" w:cs="Tahoma"/>
          <w:bCs/>
          <w:color w:val="000000"/>
          <w:sz w:val="28"/>
          <w:szCs w:val="28"/>
          <w:lang w:eastAsia="es-CO"/>
        </w:rPr>
        <w:t xml:space="preserve">Cuarta de Decisión </w:t>
      </w:r>
      <w:r w:rsidRPr="00B02E05">
        <w:rPr>
          <w:rFonts w:ascii="Arial Narrow" w:hAnsi="Arial Narrow" w:cs="Tahoma"/>
          <w:bCs/>
          <w:color w:val="000000"/>
          <w:sz w:val="28"/>
          <w:szCs w:val="28"/>
          <w:lang w:eastAsia="es-CO"/>
        </w:rPr>
        <w:t xml:space="preserve">Laboral del Tribunal Superior de Pereira, el ponente declara formalmente abierto el acto, que tiene por objeto resolver el </w:t>
      </w:r>
      <w:r>
        <w:rPr>
          <w:rFonts w:ascii="Arial Narrow" w:hAnsi="Arial Narrow" w:cs="Tahoma"/>
          <w:bCs/>
          <w:color w:val="000000"/>
          <w:sz w:val="28"/>
          <w:szCs w:val="28"/>
          <w:lang w:eastAsia="es-CO"/>
        </w:rPr>
        <w:t xml:space="preserve">recurso de apelación propuesto por la parte demandante </w:t>
      </w:r>
      <w:r w:rsidRPr="00B02E05">
        <w:rPr>
          <w:rFonts w:ascii="Arial Narrow" w:hAnsi="Arial Narrow" w:cs="Tahoma"/>
          <w:bCs/>
          <w:color w:val="000000"/>
          <w:sz w:val="28"/>
          <w:szCs w:val="28"/>
          <w:lang w:eastAsia="es-CO"/>
        </w:rPr>
        <w:t xml:space="preserve">frente a </w:t>
      </w:r>
      <w:r w:rsidRPr="00B02E05">
        <w:rPr>
          <w:rFonts w:ascii="Arial Narrow" w:hAnsi="Arial Narrow" w:cs="Arial"/>
          <w:sz w:val="28"/>
          <w:szCs w:val="28"/>
        </w:rPr>
        <w:t>la sentencia proferida el</w:t>
      </w:r>
      <w:r>
        <w:rPr>
          <w:rFonts w:ascii="Arial Narrow" w:hAnsi="Arial Narrow" w:cs="Arial"/>
          <w:sz w:val="28"/>
          <w:szCs w:val="28"/>
        </w:rPr>
        <w:t xml:space="preserve"> 20 de noviembre de 2017 p</w:t>
      </w:r>
      <w:r w:rsidRPr="00B02E05">
        <w:rPr>
          <w:rFonts w:ascii="Arial Narrow" w:hAnsi="Arial Narrow" w:cs="Arial"/>
          <w:sz w:val="28"/>
          <w:szCs w:val="28"/>
        </w:rPr>
        <w:t xml:space="preserve">or el Juzgado </w:t>
      </w:r>
      <w:r>
        <w:rPr>
          <w:rFonts w:ascii="Arial Narrow" w:hAnsi="Arial Narrow" w:cs="Arial"/>
          <w:sz w:val="28"/>
          <w:szCs w:val="28"/>
        </w:rPr>
        <w:t xml:space="preserve">Primero  </w:t>
      </w:r>
      <w:r w:rsidRPr="00B02E05">
        <w:rPr>
          <w:rFonts w:ascii="Arial Narrow" w:hAnsi="Arial Narrow" w:cs="Arial"/>
          <w:sz w:val="28"/>
          <w:szCs w:val="28"/>
        </w:rPr>
        <w:t xml:space="preserve">Laboral del Circuito de Pereira, dentro del proceso ordinario laboral promovido por </w:t>
      </w:r>
      <w:r>
        <w:rPr>
          <w:rFonts w:ascii="Arial Narrow" w:hAnsi="Arial Narrow" w:cs="Arial"/>
          <w:b/>
          <w:i/>
          <w:iCs/>
          <w:sz w:val="28"/>
          <w:szCs w:val="28"/>
        </w:rPr>
        <w:t xml:space="preserve">Ramiro Arango Pinzón </w:t>
      </w:r>
      <w:r w:rsidRPr="00B02E05">
        <w:rPr>
          <w:rFonts w:ascii="Arial Narrow" w:hAnsi="Arial Narrow" w:cs="Arial"/>
          <w:sz w:val="28"/>
          <w:szCs w:val="28"/>
        </w:rPr>
        <w:t>contra la</w:t>
      </w:r>
      <w:r w:rsidRPr="00B02E05">
        <w:rPr>
          <w:rFonts w:ascii="Arial Narrow" w:hAnsi="Arial Narrow" w:cs="Arial"/>
          <w:b/>
          <w:sz w:val="28"/>
          <w:szCs w:val="28"/>
        </w:rPr>
        <w:t xml:space="preserve"> </w:t>
      </w:r>
      <w:r w:rsidRPr="00B02E05">
        <w:rPr>
          <w:rFonts w:ascii="Arial Narrow" w:hAnsi="Arial Narrow" w:cs="Arial"/>
          <w:b/>
          <w:i/>
          <w:sz w:val="28"/>
          <w:szCs w:val="28"/>
        </w:rPr>
        <w:t>Adminis</w:t>
      </w:r>
      <w:r>
        <w:rPr>
          <w:rFonts w:ascii="Arial Narrow" w:hAnsi="Arial Narrow" w:cs="Arial"/>
          <w:b/>
          <w:i/>
          <w:sz w:val="28"/>
          <w:szCs w:val="28"/>
        </w:rPr>
        <w:t>tradora Colombiana de Pensiones</w:t>
      </w:r>
      <w:r w:rsidRPr="00B02E05">
        <w:rPr>
          <w:rFonts w:ascii="Arial Narrow" w:hAnsi="Arial Narrow" w:cs="Arial"/>
          <w:b/>
          <w:i/>
          <w:sz w:val="28"/>
          <w:szCs w:val="28"/>
        </w:rPr>
        <w:t xml:space="preserve"> Colpensiones</w:t>
      </w:r>
      <w:r w:rsidRPr="00B02E05">
        <w:rPr>
          <w:rFonts w:ascii="Arial Narrow" w:hAnsi="Arial Narrow" w:cs="Arial"/>
          <w:b/>
          <w:sz w:val="28"/>
          <w:szCs w:val="28"/>
        </w:rPr>
        <w:t>.</w:t>
      </w:r>
    </w:p>
    <w:p w:rsidR="008066CB" w:rsidRPr="00B02E05" w:rsidRDefault="008066CB" w:rsidP="008066CB">
      <w:pPr>
        <w:pStyle w:val="Sinespaciado"/>
      </w:pPr>
    </w:p>
    <w:p w:rsidR="008066CB" w:rsidRPr="00B02E05" w:rsidRDefault="008066CB" w:rsidP="008066CB">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t>IDENTIFICACIÓN DE LOS PRESENTES:</w:t>
      </w:r>
    </w:p>
    <w:p w:rsidR="008066CB" w:rsidRPr="00B02E05" w:rsidRDefault="008066CB" w:rsidP="008066CB">
      <w:pPr>
        <w:shd w:val="clear" w:color="auto" w:fill="FFFFFF"/>
        <w:spacing w:line="360" w:lineRule="atLeast"/>
        <w:jc w:val="both"/>
        <w:rPr>
          <w:rFonts w:ascii="Arial Narrow" w:hAnsi="Arial Narrow" w:cs="Tahoma"/>
          <w:b/>
          <w:bCs/>
          <w:color w:val="000000"/>
          <w:sz w:val="28"/>
          <w:szCs w:val="28"/>
          <w:lang w:eastAsia="es-CO"/>
        </w:rPr>
      </w:pPr>
    </w:p>
    <w:p w:rsidR="008066CB" w:rsidRPr="00145342" w:rsidRDefault="008066CB" w:rsidP="008066CB">
      <w:pPr>
        <w:pStyle w:val="Prrafodelista"/>
        <w:numPr>
          <w:ilvl w:val="0"/>
          <w:numId w:val="1"/>
        </w:numPr>
        <w:spacing w:line="360" w:lineRule="auto"/>
        <w:rPr>
          <w:rFonts w:ascii="Arial Narrow" w:hAnsi="Arial Narrow" w:cs="Tahoma"/>
          <w:b/>
          <w:sz w:val="28"/>
          <w:szCs w:val="28"/>
        </w:rPr>
      </w:pPr>
      <w:r w:rsidRPr="00145342">
        <w:rPr>
          <w:rFonts w:ascii="Arial Narrow" w:hAnsi="Arial Narrow" w:cs="Tahoma"/>
          <w:b/>
          <w:i/>
          <w:sz w:val="28"/>
          <w:szCs w:val="28"/>
        </w:rPr>
        <w:lastRenderedPageBreak/>
        <w:t>INTRODUCCIÓN</w:t>
      </w:r>
    </w:p>
    <w:p w:rsidR="008066CB" w:rsidRPr="00893A2A" w:rsidRDefault="008066CB" w:rsidP="00893A2A">
      <w:pPr>
        <w:pStyle w:val="Sinespaciado"/>
      </w:pPr>
    </w:p>
    <w:p w:rsidR="008066CB" w:rsidRDefault="008066CB" w:rsidP="008066CB">
      <w:pPr>
        <w:spacing w:line="360" w:lineRule="auto"/>
        <w:ind w:firstLine="900"/>
        <w:jc w:val="both"/>
        <w:rPr>
          <w:rFonts w:ascii="Arial Narrow" w:hAnsi="Arial Narrow" w:cs="Tahoma"/>
          <w:sz w:val="28"/>
          <w:szCs w:val="28"/>
        </w:rPr>
      </w:pPr>
      <w:r>
        <w:rPr>
          <w:rFonts w:ascii="Arial Narrow" w:hAnsi="Arial Narrow" w:cs="Tahoma"/>
          <w:sz w:val="28"/>
          <w:szCs w:val="28"/>
        </w:rPr>
        <w:t xml:space="preserve">Persigue el demandante que se declare que tiene derecho a los incrementos pensionales de que trata el artículo 21 del Acuerdo 049 de 1990, por tener a cargo a su cónyuge Lucy Trujillo de Arango, y en consecuencia pide que se condene a la entidad demandada al pago de tales adendas a partir del 01 de diciembre de 2000, más la indexación de las condenas y las costas procesales a su favor.  </w:t>
      </w:r>
    </w:p>
    <w:p w:rsidR="008066CB" w:rsidRPr="00893A2A" w:rsidRDefault="008066CB" w:rsidP="00893A2A">
      <w:pPr>
        <w:pStyle w:val="Sinespaciado"/>
      </w:pPr>
    </w:p>
    <w:p w:rsidR="008066CB" w:rsidRDefault="008066CB" w:rsidP="008066CB">
      <w:pPr>
        <w:spacing w:line="360" w:lineRule="auto"/>
        <w:ind w:firstLine="900"/>
        <w:jc w:val="both"/>
        <w:rPr>
          <w:rFonts w:ascii="Arial Narrow" w:hAnsi="Arial Narrow" w:cs="Tahoma"/>
          <w:sz w:val="28"/>
          <w:szCs w:val="28"/>
        </w:rPr>
      </w:pPr>
      <w:r>
        <w:rPr>
          <w:rFonts w:ascii="Arial Narrow" w:hAnsi="Arial Narrow" w:cs="Tahoma"/>
          <w:sz w:val="28"/>
          <w:szCs w:val="28"/>
        </w:rPr>
        <w:t>Como sustento de sus pretensiones, refiere que mediante Resolución No. 002957 le fue reconocida la pensión de vejez a partir de la calenda antes referida, con fundamento en el Acuerdo 049 de 1990, aplicable en virtud del artículo 36 de la Ley 100/93; que el 22 de mayo de 1965 contrajo matrimonio con la señora Lucy Trujillo de Arango, quien depende económicamente de él, pues no trabaja ni recibe pensión o algún otro tipo de ingreso. Refiere que el 8 de noviembre de 2016 presentó ante Colpensiones solicitud para el pago de tales adendas, quedando de esa forma agotada la vía gubernativa.</w:t>
      </w:r>
    </w:p>
    <w:p w:rsidR="008066CB" w:rsidRPr="00893A2A" w:rsidRDefault="008066CB" w:rsidP="00893A2A">
      <w:pPr>
        <w:pStyle w:val="Sinespaciado"/>
      </w:pPr>
    </w:p>
    <w:p w:rsidR="008066CB" w:rsidRDefault="008066CB" w:rsidP="008066CB">
      <w:pPr>
        <w:spacing w:line="360" w:lineRule="auto"/>
        <w:ind w:firstLine="900"/>
        <w:jc w:val="both"/>
        <w:rPr>
          <w:rFonts w:ascii="Arial Narrow" w:hAnsi="Arial Narrow" w:cs="Tahoma"/>
          <w:sz w:val="28"/>
          <w:szCs w:val="28"/>
        </w:rPr>
      </w:pPr>
      <w:r>
        <w:rPr>
          <w:rFonts w:ascii="Arial Narrow" w:hAnsi="Arial Narrow" w:cs="Tahoma"/>
          <w:sz w:val="28"/>
          <w:szCs w:val="28"/>
        </w:rPr>
        <w:t xml:space="preserve">Admitida la demanda, se dio traslado a Colpensiones, quien a través de apoderada judicial allegó contestación oponiéndose a las pretensiones del gestor, al considerar que los incrementos pensionales peticionados se encuentran prescritos. En su defensa, propuso como medios exceptivos de fondo los de: “Inexistencia de la obligación demandada” y “Prescripción”.   </w:t>
      </w:r>
    </w:p>
    <w:p w:rsidR="008066CB" w:rsidRPr="00B02E05" w:rsidRDefault="008066CB" w:rsidP="008066CB">
      <w:pPr>
        <w:spacing w:line="360" w:lineRule="auto"/>
        <w:jc w:val="both"/>
        <w:rPr>
          <w:rFonts w:ascii="Arial Narrow" w:hAnsi="Arial Narrow" w:cs="Tahoma"/>
          <w:sz w:val="28"/>
          <w:szCs w:val="28"/>
        </w:rPr>
      </w:pPr>
    </w:p>
    <w:p w:rsidR="008066CB" w:rsidRDefault="008066CB" w:rsidP="008066CB">
      <w:pPr>
        <w:pStyle w:val="Prrafodelista"/>
        <w:numPr>
          <w:ilvl w:val="0"/>
          <w:numId w:val="1"/>
        </w:numPr>
        <w:jc w:val="both"/>
        <w:rPr>
          <w:rFonts w:ascii="Arial Narrow" w:hAnsi="Arial Narrow" w:cs="Tahoma"/>
          <w:b/>
          <w:i/>
          <w:sz w:val="28"/>
          <w:szCs w:val="28"/>
        </w:rPr>
      </w:pPr>
      <w:r>
        <w:rPr>
          <w:rFonts w:ascii="Arial Narrow" w:hAnsi="Arial Narrow" w:cs="Tahoma"/>
          <w:b/>
          <w:i/>
          <w:sz w:val="28"/>
          <w:szCs w:val="28"/>
        </w:rPr>
        <w:t>SENTENCIA DEL JUZGADO</w:t>
      </w:r>
    </w:p>
    <w:p w:rsidR="008066CB" w:rsidRPr="00893A2A" w:rsidRDefault="008066CB" w:rsidP="00893A2A">
      <w:pPr>
        <w:pStyle w:val="Sinespaciado"/>
        <w:spacing w:line="276" w:lineRule="auto"/>
      </w:pPr>
    </w:p>
    <w:p w:rsidR="008066CB" w:rsidRDefault="008066CB" w:rsidP="008066CB">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La jueza del conocimiento, puso fin a la primera instancia mediante fallo del </w:t>
      </w:r>
      <w:r w:rsidR="00E60E3C">
        <w:rPr>
          <w:rFonts w:ascii="Arial Narrow" w:hAnsi="Arial Narrow" w:cs="Tahoma"/>
          <w:color w:val="000000"/>
          <w:sz w:val="28"/>
          <w:szCs w:val="28"/>
          <w:lang w:eastAsia="es-CO"/>
        </w:rPr>
        <w:t xml:space="preserve">20 de noviembre de 2017, </w:t>
      </w:r>
      <w:r>
        <w:rPr>
          <w:rFonts w:ascii="Arial Narrow" w:hAnsi="Arial Narrow" w:cs="Tahoma"/>
          <w:color w:val="000000"/>
          <w:sz w:val="28"/>
          <w:szCs w:val="28"/>
          <w:lang w:eastAsia="es-CO"/>
        </w:rPr>
        <w:t xml:space="preserve">en el que indicó que los incrementos pensionales son aplicables en la actualidad y que en el caso puntual, se acreditó debidamente que el actor es pensionado de conformidad con el Acuerdo 049 de 1990, que está casado con la señora </w:t>
      </w:r>
      <w:r w:rsidR="00E60E3C">
        <w:rPr>
          <w:rFonts w:ascii="Arial Narrow" w:hAnsi="Arial Narrow" w:cs="Tahoma"/>
          <w:color w:val="000000"/>
          <w:sz w:val="28"/>
          <w:szCs w:val="28"/>
          <w:lang w:eastAsia="es-CO"/>
        </w:rPr>
        <w:t>Lucy Trujillo de Arango desde 1965</w:t>
      </w:r>
      <w:r>
        <w:rPr>
          <w:rFonts w:ascii="Arial Narrow" w:hAnsi="Arial Narrow" w:cs="Tahoma"/>
          <w:color w:val="000000"/>
          <w:sz w:val="28"/>
          <w:szCs w:val="28"/>
          <w:lang w:eastAsia="es-CO"/>
        </w:rPr>
        <w:t xml:space="preserve">, que han convivido desde tal calenda y que el demandante es el encargado de velar por el sostenimiento económico de ella. Sin embargo, estima que el paso del tiempo ha extinto los mismos, dado que el derecho se hizo exigible el 01 de </w:t>
      </w:r>
      <w:r w:rsidR="00E60E3C">
        <w:rPr>
          <w:rFonts w:ascii="Arial Narrow" w:hAnsi="Arial Narrow" w:cs="Tahoma"/>
          <w:color w:val="000000"/>
          <w:sz w:val="28"/>
          <w:szCs w:val="28"/>
          <w:lang w:eastAsia="es-CO"/>
        </w:rPr>
        <w:t>diciembre de 2000</w:t>
      </w:r>
      <w:r>
        <w:rPr>
          <w:rFonts w:ascii="Arial Narrow" w:hAnsi="Arial Narrow" w:cs="Tahoma"/>
          <w:color w:val="000000"/>
          <w:sz w:val="28"/>
          <w:szCs w:val="28"/>
          <w:lang w:eastAsia="es-CO"/>
        </w:rPr>
        <w:t xml:space="preserve"> y apenas se reclamó en el año 2016. Por tal motivo y al tener los incrementos una naturaleza diferente al de la pensión, debieron haberse reclamado en los tres años siguientes a su exigibilidad.</w:t>
      </w:r>
    </w:p>
    <w:p w:rsidR="008066CB" w:rsidRPr="00893A2A" w:rsidRDefault="008066CB" w:rsidP="00893A2A">
      <w:pPr>
        <w:pStyle w:val="Sinespaciado"/>
      </w:pPr>
    </w:p>
    <w:p w:rsidR="008066CB" w:rsidRDefault="008066CB" w:rsidP="008066CB">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Por ende, negó las pretensiones de la demanda e impuso costas a la parte actora.</w:t>
      </w:r>
    </w:p>
    <w:p w:rsidR="008066CB" w:rsidRDefault="008066CB" w:rsidP="008066CB">
      <w:pPr>
        <w:pStyle w:val="Sinespaciado"/>
        <w:spacing w:line="276" w:lineRule="auto"/>
        <w:rPr>
          <w:lang w:eastAsia="es-CO"/>
        </w:rPr>
      </w:pPr>
    </w:p>
    <w:p w:rsidR="008066CB" w:rsidRPr="00845BCF" w:rsidRDefault="008066CB" w:rsidP="008066CB">
      <w:pPr>
        <w:shd w:val="clear" w:color="auto" w:fill="FFFFFF"/>
        <w:spacing w:line="360" w:lineRule="auto"/>
        <w:ind w:firstLine="851"/>
        <w:jc w:val="both"/>
        <w:rPr>
          <w:rFonts w:ascii="Arial Narrow" w:hAnsi="Arial Narrow" w:cs="Tahoma"/>
          <w:b/>
          <w:i/>
          <w:sz w:val="28"/>
          <w:szCs w:val="28"/>
          <w:lang w:eastAsia="es-CO"/>
        </w:rPr>
      </w:pPr>
      <w:r w:rsidRPr="00845BCF">
        <w:rPr>
          <w:rFonts w:ascii="Arial Narrow" w:hAnsi="Arial Narrow" w:cs="Tahoma"/>
          <w:b/>
          <w:i/>
          <w:sz w:val="28"/>
          <w:szCs w:val="28"/>
          <w:lang w:eastAsia="es-CO"/>
        </w:rPr>
        <w:t>III. APELACIÓN</w:t>
      </w:r>
    </w:p>
    <w:p w:rsidR="008066CB" w:rsidRPr="00845BCF" w:rsidRDefault="008066CB" w:rsidP="008066CB">
      <w:pPr>
        <w:pStyle w:val="Sinespaciado"/>
        <w:rPr>
          <w:lang w:eastAsia="es-CO"/>
        </w:rPr>
      </w:pPr>
    </w:p>
    <w:p w:rsidR="008066CB" w:rsidRDefault="008066CB" w:rsidP="008066CB">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sidRPr="00845BCF">
        <w:rPr>
          <w:rFonts w:ascii="Arial Narrow" w:hAnsi="Arial Narrow" w:cs="Arial"/>
          <w:iCs/>
          <w:sz w:val="28"/>
          <w:szCs w:val="28"/>
          <w:lang w:val="es-MX" w:eastAsia="es-MX"/>
        </w:rPr>
        <w:t>La apoderada de la parte actora est</w:t>
      </w:r>
      <w:r w:rsidR="00D23008">
        <w:rPr>
          <w:rFonts w:ascii="Arial Narrow" w:hAnsi="Arial Narrow" w:cs="Arial"/>
          <w:iCs/>
          <w:sz w:val="28"/>
          <w:szCs w:val="28"/>
          <w:lang w:val="es-MX" w:eastAsia="es-MX"/>
        </w:rPr>
        <w:t>uvo inconforme con la decisión anterior</w:t>
      </w:r>
      <w:r w:rsidRPr="00845BCF">
        <w:rPr>
          <w:rFonts w:ascii="Arial Narrow" w:hAnsi="Arial Narrow" w:cs="Arial"/>
          <w:iCs/>
          <w:sz w:val="28"/>
          <w:szCs w:val="28"/>
          <w:lang w:val="es-MX" w:eastAsia="es-MX"/>
        </w:rPr>
        <w:t>, por lo que interpuso y sustentó recurso de apelación, manifestando que</w:t>
      </w:r>
      <w:r w:rsidR="00D23008">
        <w:rPr>
          <w:rFonts w:ascii="Arial Narrow" w:hAnsi="Arial Narrow" w:cs="Arial"/>
          <w:iCs/>
          <w:sz w:val="28"/>
          <w:szCs w:val="28"/>
          <w:lang w:val="es-MX" w:eastAsia="es-MX"/>
        </w:rPr>
        <w:t xml:space="preserve"> el derecho a la pensión o los incrementos que por ley se derivan de esta son imprescriptibles, pues la prescripci</w:t>
      </w:r>
      <w:r w:rsidR="00976A3C">
        <w:rPr>
          <w:rFonts w:ascii="Arial Narrow" w:hAnsi="Arial Narrow" w:cs="Arial"/>
          <w:iCs/>
          <w:sz w:val="28"/>
          <w:szCs w:val="28"/>
          <w:lang w:val="es-MX" w:eastAsia="es-MX"/>
        </w:rPr>
        <w:t>ón só</w:t>
      </w:r>
      <w:r w:rsidR="00D23008">
        <w:rPr>
          <w:rFonts w:ascii="Arial Narrow" w:hAnsi="Arial Narrow" w:cs="Arial"/>
          <w:iCs/>
          <w:sz w:val="28"/>
          <w:szCs w:val="28"/>
          <w:lang w:val="es-MX" w:eastAsia="es-MX"/>
        </w:rPr>
        <w:t xml:space="preserve">lo es aplicable a las mesadas </w:t>
      </w:r>
      <w:r w:rsidR="00976A3C">
        <w:rPr>
          <w:rFonts w:ascii="Arial Narrow" w:hAnsi="Arial Narrow" w:cs="Arial"/>
          <w:iCs/>
          <w:sz w:val="28"/>
          <w:szCs w:val="28"/>
          <w:lang w:val="es-MX" w:eastAsia="es-MX"/>
        </w:rPr>
        <w:t xml:space="preserve">causadas </w:t>
      </w:r>
      <w:r w:rsidR="00D23008">
        <w:rPr>
          <w:rFonts w:ascii="Arial Narrow" w:hAnsi="Arial Narrow" w:cs="Arial"/>
          <w:iCs/>
          <w:sz w:val="28"/>
          <w:szCs w:val="28"/>
          <w:lang w:val="es-MX" w:eastAsia="es-MX"/>
        </w:rPr>
        <w:t xml:space="preserve">si no son reclamadas en el plazo estipulado por la ley. </w:t>
      </w:r>
      <w:r w:rsidR="00976A3C">
        <w:rPr>
          <w:rFonts w:ascii="Arial Narrow" w:hAnsi="Arial Narrow" w:cs="Arial"/>
          <w:iCs/>
          <w:sz w:val="28"/>
          <w:szCs w:val="28"/>
          <w:lang w:val="es-MX" w:eastAsia="es-MX"/>
        </w:rPr>
        <w:t xml:space="preserve">Para el efecto, trajo </w:t>
      </w:r>
      <w:r w:rsidR="00D23008">
        <w:rPr>
          <w:rFonts w:ascii="Arial Narrow" w:hAnsi="Arial Narrow" w:cs="Arial"/>
          <w:iCs/>
          <w:sz w:val="28"/>
          <w:szCs w:val="28"/>
          <w:lang w:val="es-MX" w:eastAsia="es-MX"/>
        </w:rPr>
        <w:t xml:space="preserve">a colación jurisprudencia de la Corte </w:t>
      </w:r>
      <w:r w:rsidR="00976A3C">
        <w:rPr>
          <w:rFonts w:ascii="Arial Narrow" w:hAnsi="Arial Narrow" w:cs="Arial"/>
          <w:iCs/>
          <w:sz w:val="28"/>
          <w:szCs w:val="28"/>
          <w:lang w:val="es-MX" w:eastAsia="es-MX"/>
        </w:rPr>
        <w:t xml:space="preserve">Constitucional respecto al tema, citando algunos apartes. </w:t>
      </w:r>
      <w:r w:rsidR="00D23008">
        <w:rPr>
          <w:rFonts w:ascii="Arial Narrow" w:hAnsi="Arial Narrow" w:cs="Arial"/>
          <w:iCs/>
          <w:sz w:val="28"/>
          <w:szCs w:val="28"/>
          <w:lang w:val="es-MX" w:eastAsia="es-MX"/>
        </w:rPr>
        <w:t xml:space="preserve"> </w:t>
      </w:r>
    </w:p>
    <w:p w:rsidR="00976A3C" w:rsidRPr="00AC741E" w:rsidRDefault="00976A3C" w:rsidP="008066CB">
      <w:pPr>
        <w:widowControl w:val="0"/>
        <w:autoSpaceDE w:val="0"/>
        <w:autoSpaceDN w:val="0"/>
        <w:adjustRightInd w:val="0"/>
        <w:spacing w:line="360" w:lineRule="auto"/>
        <w:ind w:firstLine="851"/>
        <w:jc w:val="both"/>
        <w:rPr>
          <w:rFonts w:ascii="Arial Narrow" w:hAnsi="Arial Narrow" w:cs="Arial"/>
          <w:iCs/>
          <w:color w:val="FF0000"/>
          <w:sz w:val="28"/>
          <w:szCs w:val="28"/>
          <w:lang w:val="es-MX" w:eastAsia="es-MX"/>
        </w:rPr>
      </w:pPr>
    </w:p>
    <w:p w:rsidR="008066CB" w:rsidRPr="00B02E05" w:rsidRDefault="008066CB" w:rsidP="008066CB">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b/>
          <w:i/>
          <w:sz w:val="28"/>
          <w:szCs w:val="28"/>
        </w:rPr>
        <w:t>Del problema jurídico.</w:t>
      </w:r>
    </w:p>
    <w:p w:rsidR="008066CB" w:rsidRPr="000A6EA4" w:rsidRDefault="008066CB" w:rsidP="008066CB">
      <w:pPr>
        <w:pStyle w:val="Sinespaciado"/>
      </w:pPr>
    </w:p>
    <w:p w:rsidR="008066CB" w:rsidRDefault="008066CB" w:rsidP="008066CB">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Pr="00B02E05">
        <w:rPr>
          <w:rFonts w:ascii="Arial Narrow" w:hAnsi="Arial Narrow" w:cs="Tahoma"/>
          <w:color w:val="000000"/>
          <w:sz w:val="28"/>
          <w:szCs w:val="28"/>
          <w:lang w:eastAsia="es-CO"/>
        </w:rPr>
        <w:t xml:space="preserve">problema jurídico </w:t>
      </w:r>
      <w:r>
        <w:rPr>
          <w:rFonts w:ascii="Arial Narrow" w:hAnsi="Arial Narrow" w:cs="Tahoma"/>
          <w:color w:val="000000"/>
          <w:sz w:val="28"/>
          <w:szCs w:val="28"/>
          <w:lang w:eastAsia="es-CO"/>
        </w:rPr>
        <w:t>el siguiente</w:t>
      </w:r>
      <w:r w:rsidRPr="00B02E05">
        <w:rPr>
          <w:rFonts w:ascii="Arial Narrow" w:hAnsi="Arial Narrow" w:cs="Tahoma"/>
          <w:color w:val="000000"/>
          <w:sz w:val="28"/>
          <w:szCs w:val="28"/>
          <w:lang w:eastAsia="es-CO"/>
        </w:rPr>
        <w:t>:</w:t>
      </w:r>
    </w:p>
    <w:p w:rsidR="008066CB" w:rsidRPr="00E715B8" w:rsidRDefault="008066CB" w:rsidP="008066CB">
      <w:pPr>
        <w:pStyle w:val="Sinespaciado"/>
      </w:pPr>
    </w:p>
    <w:p w:rsidR="008066CB" w:rsidRPr="00090E92" w:rsidRDefault="008066CB" w:rsidP="008066CB">
      <w:pPr>
        <w:pStyle w:val="Sinespaciado"/>
        <w:ind w:firstLine="708"/>
        <w:jc w:val="both"/>
        <w:rPr>
          <w:rFonts w:ascii="Arial Narrow" w:hAnsi="Arial Narrow"/>
          <w:i/>
          <w:sz w:val="28"/>
          <w:szCs w:val="26"/>
        </w:rPr>
      </w:pPr>
      <w:r w:rsidRPr="00090E92">
        <w:rPr>
          <w:rFonts w:ascii="Arial Narrow" w:hAnsi="Arial Narrow"/>
          <w:i/>
          <w:sz w:val="28"/>
          <w:szCs w:val="26"/>
        </w:rPr>
        <w:t>¿</w:t>
      </w:r>
      <w:r>
        <w:rPr>
          <w:rFonts w:ascii="Arial Narrow" w:hAnsi="Arial Narrow"/>
          <w:i/>
          <w:sz w:val="28"/>
          <w:szCs w:val="26"/>
        </w:rPr>
        <w:t>Procede la extinción del derecho a los incrementos pensionales por virtud del fenómeno de la prescripción</w:t>
      </w:r>
      <w:r w:rsidRPr="00090E92">
        <w:rPr>
          <w:rFonts w:ascii="Arial Narrow" w:hAnsi="Arial Narrow"/>
          <w:i/>
          <w:sz w:val="28"/>
          <w:szCs w:val="26"/>
        </w:rPr>
        <w:t xml:space="preserve">? </w:t>
      </w:r>
    </w:p>
    <w:p w:rsidR="008066CB" w:rsidRDefault="008066CB" w:rsidP="008066CB">
      <w:pPr>
        <w:tabs>
          <w:tab w:val="left" w:pos="0"/>
          <w:tab w:val="left" w:pos="8647"/>
        </w:tabs>
        <w:suppressAutoHyphens/>
        <w:spacing w:line="360" w:lineRule="auto"/>
        <w:ind w:firstLine="900"/>
        <w:jc w:val="both"/>
        <w:rPr>
          <w:rFonts w:ascii="Arial Narrow" w:hAnsi="Arial Narrow" w:cs="Tahoma"/>
          <w:b/>
          <w:i/>
          <w:sz w:val="28"/>
          <w:szCs w:val="28"/>
        </w:rPr>
      </w:pPr>
    </w:p>
    <w:p w:rsidR="008066CB" w:rsidRDefault="008066CB" w:rsidP="008066CB">
      <w:pPr>
        <w:tabs>
          <w:tab w:val="left" w:pos="0"/>
          <w:tab w:val="left" w:pos="8647"/>
        </w:tabs>
        <w:suppressAutoHyphens/>
        <w:spacing w:line="360" w:lineRule="auto"/>
        <w:ind w:firstLine="900"/>
        <w:jc w:val="both"/>
        <w:rPr>
          <w:rFonts w:ascii="Arial Narrow" w:hAnsi="Arial Narrow" w:cs="Tahoma"/>
          <w:sz w:val="28"/>
          <w:szCs w:val="28"/>
        </w:rPr>
      </w:pPr>
      <w:r w:rsidRPr="005E25EA">
        <w:rPr>
          <w:rFonts w:ascii="Arial Narrow" w:hAnsi="Arial Narrow" w:cs="Tahoma"/>
          <w:b/>
          <w:i/>
          <w:sz w:val="28"/>
          <w:szCs w:val="28"/>
        </w:rPr>
        <w:t>Alegatos en esta instancia</w:t>
      </w:r>
      <w:r>
        <w:rPr>
          <w:rFonts w:ascii="Arial Narrow" w:hAnsi="Arial Narrow" w:cs="Tahoma"/>
          <w:sz w:val="28"/>
          <w:szCs w:val="28"/>
        </w:rPr>
        <w:t>:</w:t>
      </w:r>
    </w:p>
    <w:p w:rsidR="008066CB" w:rsidRDefault="008066CB" w:rsidP="008066CB">
      <w:pPr>
        <w:pStyle w:val="Sinespaciado"/>
      </w:pPr>
    </w:p>
    <w:p w:rsidR="008066CB" w:rsidRDefault="008066CB" w:rsidP="008066CB">
      <w:pPr>
        <w:spacing w:line="360" w:lineRule="auto"/>
        <w:ind w:firstLine="851"/>
        <w:jc w:val="both"/>
        <w:rPr>
          <w:rFonts w:ascii="Arial Narrow" w:hAnsi="Arial Narrow" w:cs="Tahoma"/>
          <w:sz w:val="28"/>
          <w:szCs w:val="28"/>
        </w:rPr>
      </w:pPr>
      <w:r>
        <w:rPr>
          <w:rFonts w:ascii="Arial Narrow" w:hAnsi="Arial Narrow" w:cs="Tahoma"/>
          <w:sz w:val="28"/>
          <w:szCs w:val="28"/>
        </w:rPr>
        <w:t xml:space="preserve">En este estado de la diligencia y antes de que la Colegiatura, de respuesta al problema jurídico planteado, se corre traslado por el término de 8 minutos, a cada uno de los voceros judiciales de las partes asistentes a la audiencia, para que presenten sus alegatos de conclusión. Escuchadas las anteriores intervenciones que en síntesis reflejan los puntos debatidos por los integrantes de la Sala, se procede a decidir de fondo, previa las siguientes: </w:t>
      </w:r>
    </w:p>
    <w:p w:rsidR="008066CB" w:rsidRPr="00E715B8" w:rsidRDefault="008066CB" w:rsidP="00893A2A">
      <w:pPr>
        <w:pStyle w:val="Sinespaciado"/>
        <w:spacing w:line="360" w:lineRule="auto"/>
      </w:pPr>
    </w:p>
    <w:p w:rsidR="008066CB" w:rsidRDefault="008066CB" w:rsidP="008066CB">
      <w:pPr>
        <w:spacing w:line="360" w:lineRule="auto"/>
        <w:ind w:left="1418" w:hanging="578"/>
        <w:jc w:val="both"/>
        <w:rPr>
          <w:rFonts w:ascii="Arial Narrow" w:hAnsi="Arial Narrow" w:cs="Tahoma"/>
          <w:b/>
          <w:sz w:val="28"/>
          <w:szCs w:val="28"/>
        </w:rPr>
      </w:pPr>
      <w:r>
        <w:rPr>
          <w:rFonts w:ascii="Arial Narrow" w:hAnsi="Arial Narrow" w:cs="Tahoma"/>
          <w:b/>
          <w:sz w:val="28"/>
          <w:szCs w:val="28"/>
        </w:rPr>
        <w:t>IV. CONSIDERACIONES</w:t>
      </w:r>
    </w:p>
    <w:p w:rsidR="008066CB" w:rsidRPr="00893A2A" w:rsidRDefault="008066CB" w:rsidP="00893A2A">
      <w:pPr>
        <w:pStyle w:val="Sinespaciado"/>
      </w:pPr>
    </w:p>
    <w:p w:rsidR="008066CB" w:rsidRPr="00145342" w:rsidRDefault="008066CB" w:rsidP="008066CB">
      <w:pPr>
        <w:spacing w:line="360" w:lineRule="auto"/>
        <w:ind w:left="1418" w:hanging="578"/>
        <w:jc w:val="both"/>
        <w:rPr>
          <w:rFonts w:ascii="Arial Narrow" w:hAnsi="Arial Narrow" w:cs="Tahoma"/>
          <w:b/>
          <w:sz w:val="28"/>
          <w:szCs w:val="28"/>
        </w:rPr>
      </w:pPr>
      <w:r>
        <w:rPr>
          <w:rFonts w:ascii="Arial Narrow" w:hAnsi="Arial Narrow" w:cs="Tahoma"/>
          <w:b/>
          <w:sz w:val="28"/>
          <w:szCs w:val="28"/>
        </w:rPr>
        <w:t>1. Desenvolvimiento de la problemática planteada</w:t>
      </w:r>
    </w:p>
    <w:p w:rsidR="008066CB" w:rsidRPr="00893A2A" w:rsidRDefault="008066CB" w:rsidP="00893A2A">
      <w:pPr>
        <w:pStyle w:val="Sinespaciado"/>
      </w:pPr>
      <w:r w:rsidRPr="00145342">
        <w:tab/>
      </w:r>
      <w:r w:rsidRPr="00145342">
        <w:tab/>
      </w:r>
    </w:p>
    <w:p w:rsidR="00295ED5" w:rsidRDefault="008066CB" w:rsidP="00295ED5">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Son </w:t>
      </w:r>
      <w:r w:rsidRPr="00145342">
        <w:rPr>
          <w:rFonts w:ascii="Arial Narrow" w:hAnsi="Arial Narrow"/>
          <w:sz w:val="28"/>
          <w:szCs w:val="28"/>
          <w:lang w:val="es-CO"/>
        </w:rPr>
        <w:t>múltiples los pronunciamientos</w:t>
      </w:r>
      <w:r>
        <w:rPr>
          <w:rFonts w:ascii="Arial Narrow" w:hAnsi="Arial Narrow"/>
          <w:sz w:val="28"/>
          <w:szCs w:val="28"/>
          <w:lang w:val="es-CO"/>
        </w:rPr>
        <w:t xml:space="preserve"> que ha emitido e</w:t>
      </w:r>
      <w:r w:rsidRPr="00145342">
        <w:rPr>
          <w:rFonts w:ascii="Arial Narrow" w:hAnsi="Arial Narrow"/>
          <w:sz w:val="28"/>
          <w:szCs w:val="28"/>
          <w:lang w:val="es-CO"/>
        </w:rPr>
        <w:t xml:space="preserve">l máximo órgano de cierre de </w:t>
      </w:r>
      <w:r>
        <w:rPr>
          <w:rFonts w:ascii="Arial Narrow" w:hAnsi="Arial Narrow"/>
          <w:sz w:val="28"/>
          <w:szCs w:val="28"/>
          <w:lang w:val="es-CO"/>
        </w:rPr>
        <w:t>la</w:t>
      </w:r>
      <w:r w:rsidRPr="00145342">
        <w:rPr>
          <w:rFonts w:ascii="Arial Narrow" w:hAnsi="Arial Narrow"/>
          <w:sz w:val="28"/>
          <w:szCs w:val="28"/>
          <w:lang w:val="es-CO"/>
        </w:rPr>
        <w:t xml:space="preserve"> jurisdicción</w:t>
      </w:r>
      <w:r>
        <w:rPr>
          <w:rFonts w:ascii="Arial Narrow" w:hAnsi="Arial Narrow"/>
          <w:sz w:val="28"/>
          <w:szCs w:val="28"/>
          <w:lang w:val="es-CO"/>
        </w:rPr>
        <w:t xml:space="preserve"> laboral</w:t>
      </w:r>
      <w:r w:rsidRPr="00145342">
        <w:rPr>
          <w:rFonts w:ascii="Arial Narrow" w:hAnsi="Arial Narrow"/>
          <w:sz w:val="28"/>
          <w:szCs w:val="28"/>
          <w:lang w:val="es-CO"/>
        </w:rPr>
        <w:t xml:space="preserve">, tanto en sede ordinaria como de tutela, </w:t>
      </w:r>
      <w:r>
        <w:rPr>
          <w:rFonts w:ascii="Arial Narrow" w:hAnsi="Arial Narrow"/>
          <w:sz w:val="28"/>
          <w:szCs w:val="28"/>
          <w:lang w:val="es-CO"/>
        </w:rPr>
        <w:t xml:space="preserve">en los que ha señalado  que </w:t>
      </w:r>
      <w:r w:rsidRPr="00145342">
        <w:rPr>
          <w:rFonts w:ascii="Arial Narrow" w:hAnsi="Arial Narrow"/>
          <w:sz w:val="28"/>
          <w:szCs w:val="28"/>
          <w:lang w:val="es-CO"/>
        </w:rPr>
        <w:t xml:space="preserve">el incremento pensional por personas a cargo </w:t>
      </w:r>
      <w:r>
        <w:rPr>
          <w:rFonts w:ascii="Arial Narrow" w:hAnsi="Arial Narrow"/>
          <w:sz w:val="28"/>
          <w:szCs w:val="28"/>
          <w:lang w:val="es-CO"/>
        </w:rPr>
        <w:t xml:space="preserve">contenido en el artículo 21 del Acuerdo 049 de 1990, </w:t>
      </w:r>
      <w:r w:rsidRPr="00145342">
        <w:rPr>
          <w:rFonts w:ascii="Arial Narrow" w:hAnsi="Arial Narrow"/>
          <w:sz w:val="28"/>
          <w:szCs w:val="28"/>
          <w:lang w:val="es-CO"/>
        </w:rPr>
        <w:t xml:space="preserve">aún conserva vigencia con la entrada en vigor de la Ley 100 de </w:t>
      </w:r>
      <w:r w:rsidRPr="00145342">
        <w:rPr>
          <w:rFonts w:ascii="Arial Narrow" w:hAnsi="Arial Narrow"/>
          <w:sz w:val="28"/>
          <w:szCs w:val="28"/>
          <w:lang w:val="es-CO"/>
        </w:rPr>
        <w:lastRenderedPageBreak/>
        <w:t xml:space="preserve">1993, </w:t>
      </w:r>
      <w:r>
        <w:rPr>
          <w:rFonts w:ascii="Arial Narrow" w:hAnsi="Arial Narrow"/>
          <w:sz w:val="28"/>
          <w:szCs w:val="28"/>
          <w:lang w:val="es-CO"/>
        </w:rPr>
        <w:t xml:space="preserve">y que su permanencia en el ordenamiento jurídico se impone no sólo para los pensionados que acceden por derecho propio a la pensión de vejez o de invalidez con base en esa normatividad, sino también a quienes lo hacen en </w:t>
      </w:r>
      <w:r w:rsidRPr="00145342">
        <w:rPr>
          <w:rFonts w:ascii="Arial Narrow" w:hAnsi="Arial Narrow"/>
          <w:sz w:val="28"/>
          <w:szCs w:val="28"/>
          <w:lang w:val="es-CO"/>
        </w:rPr>
        <w:t>aplicación del régimen de transición, sin que, su contenido con arreglo al artículo 31 de la Ley 100 riña en forma directa o indirecta con los postulados de ésta</w:t>
      </w:r>
      <w:r>
        <w:rPr>
          <w:rFonts w:ascii="Arial Narrow" w:hAnsi="Arial Narrow"/>
          <w:sz w:val="28"/>
          <w:szCs w:val="28"/>
          <w:lang w:val="es-CO"/>
        </w:rPr>
        <w:t xml:space="preserve">, pues en contraste, </w:t>
      </w:r>
      <w:r w:rsidRPr="00145342">
        <w:rPr>
          <w:rFonts w:ascii="Arial Narrow" w:hAnsi="Arial Narrow"/>
          <w:sz w:val="28"/>
          <w:szCs w:val="28"/>
          <w:lang w:val="es-CO"/>
        </w:rPr>
        <w:t>su aplicación</w:t>
      </w:r>
      <w:r>
        <w:rPr>
          <w:rFonts w:ascii="Arial Narrow" w:hAnsi="Arial Narrow"/>
          <w:sz w:val="28"/>
          <w:szCs w:val="28"/>
          <w:lang w:val="es-CO"/>
        </w:rPr>
        <w:t xml:space="preserve"> </w:t>
      </w:r>
      <w:r w:rsidRPr="00A8470C">
        <w:rPr>
          <w:rFonts w:ascii="Arial Narrow" w:hAnsi="Arial Narrow"/>
          <w:sz w:val="28"/>
          <w:szCs w:val="28"/>
          <w:lang w:val="es-CO"/>
        </w:rPr>
        <w:t>encuentra respaldo en los artículos 48 y 53 de la Constitución Política. (Ver entre otras</w:t>
      </w:r>
      <w:r w:rsidR="00295ED5" w:rsidRPr="00A8470C">
        <w:rPr>
          <w:rFonts w:ascii="Arial Narrow" w:hAnsi="Arial Narrow"/>
          <w:sz w:val="28"/>
          <w:szCs w:val="28"/>
          <w:lang w:val="es-CO"/>
        </w:rPr>
        <w:t xml:space="preserve">, </w:t>
      </w:r>
      <w:r w:rsidR="00295ED5">
        <w:rPr>
          <w:rFonts w:ascii="Arial Narrow" w:hAnsi="Arial Narrow"/>
          <w:sz w:val="28"/>
          <w:szCs w:val="28"/>
          <w:lang w:val="es-CO"/>
        </w:rPr>
        <w:t>sentencia</w:t>
      </w:r>
      <w:r w:rsidRPr="00A8470C">
        <w:rPr>
          <w:rFonts w:ascii="Arial Narrow" w:hAnsi="Arial Narrow"/>
          <w:sz w:val="28"/>
          <w:szCs w:val="28"/>
          <w:lang w:val="es-CO"/>
        </w:rPr>
        <w:t xml:space="preserve"> </w:t>
      </w:r>
      <w:r w:rsidRPr="00A8470C">
        <w:rPr>
          <w:rFonts w:ascii="Arial Narrow" w:hAnsi="Arial Narrow"/>
          <w:sz w:val="28"/>
          <w:szCs w:val="28"/>
        </w:rPr>
        <w:t xml:space="preserve">radicado </w:t>
      </w:r>
      <w:r w:rsidRPr="00A8470C">
        <w:rPr>
          <w:rFonts w:ascii="Arial Narrow" w:hAnsi="Arial Narrow"/>
          <w:sz w:val="28"/>
          <w:szCs w:val="28"/>
          <w:lang w:val="es-ES"/>
        </w:rPr>
        <w:t>N° 5343 de 2017</w:t>
      </w:r>
      <w:r w:rsidR="00295ED5">
        <w:rPr>
          <w:rFonts w:ascii="Arial Narrow" w:hAnsi="Arial Narrow"/>
          <w:sz w:val="28"/>
          <w:szCs w:val="28"/>
          <w:lang w:val="es-ES"/>
        </w:rPr>
        <w:t xml:space="preserve"> y</w:t>
      </w:r>
      <w:r w:rsidR="00295ED5">
        <w:rPr>
          <w:rFonts w:ascii="Arial Narrow" w:hAnsi="Arial Narrow"/>
          <w:sz w:val="28"/>
          <w:szCs w:val="28"/>
        </w:rPr>
        <w:t xml:space="preserve"> 57822 del 17 de julio de 2018 de la </w:t>
      </w:r>
      <w:proofErr w:type="spellStart"/>
      <w:r w:rsidR="00295ED5">
        <w:rPr>
          <w:rFonts w:ascii="Arial Narrow" w:hAnsi="Arial Narrow"/>
          <w:sz w:val="28"/>
          <w:szCs w:val="28"/>
        </w:rPr>
        <w:t>SL</w:t>
      </w:r>
      <w:proofErr w:type="spellEnd"/>
      <w:r w:rsidR="00295ED5">
        <w:rPr>
          <w:rFonts w:ascii="Arial Narrow" w:hAnsi="Arial Narrow"/>
          <w:sz w:val="28"/>
          <w:szCs w:val="28"/>
        </w:rPr>
        <w:t xml:space="preserve"> CSJ).   </w:t>
      </w:r>
    </w:p>
    <w:p w:rsidR="008066CB" w:rsidRPr="00893A2A" w:rsidRDefault="008066CB" w:rsidP="00893A2A">
      <w:pPr>
        <w:pStyle w:val="Sinespaciado"/>
      </w:pPr>
    </w:p>
    <w:p w:rsidR="008066CB" w:rsidRPr="00845BCF" w:rsidRDefault="008066CB" w:rsidP="008066CB">
      <w:pPr>
        <w:pStyle w:val="Textoindependiente"/>
        <w:spacing w:line="360" w:lineRule="auto"/>
        <w:ind w:firstLine="851"/>
        <w:rPr>
          <w:rFonts w:ascii="Arial Narrow" w:hAnsi="Arial Narrow"/>
          <w:sz w:val="28"/>
          <w:szCs w:val="28"/>
        </w:rPr>
      </w:pPr>
      <w:r w:rsidRPr="00845BCF">
        <w:rPr>
          <w:rFonts w:ascii="Arial Narrow" w:hAnsi="Arial Narrow"/>
          <w:sz w:val="28"/>
          <w:szCs w:val="28"/>
        </w:rPr>
        <w:t xml:space="preserve">Aclarada la vigencia y aplicabilidad de los incrementos pensionales en la normatividad actual, es necesario entrar –primeramente- a analizar la naturaleza jurídica de los mismos. Tal asunto se resuelve acudiendo al artículo 22 del Acuerdo 049 de 1990, el cual dice en su tenor literal: </w:t>
      </w:r>
    </w:p>
    <w:p w:rsidR="008066CB" w:rsidRPr="00845BCF" w:rsidRDefault="008066CB" w:rsidP="008066CB">
      <w:pPr>
        <w:pStyle w:val="Textoindependiente"/>
        <w:spacing w:line="276" w:lineRule="auto"/>
        <w:ind w:firstLine="851"/>
        <w:rPr>
          <w:rFonts w:ascii="Arial Narrow" w:hAnsi="Arial Narrow"/>
          <w:i/>
          <w:sz w:val="28"/>
          <w:szCs w:val="28"/>
        </w:rPr>
      </w:pPr>
      <w:r w:rsidRPr="00845BCF">
        <w:rPr>
          <w:rFonts w:ascii="Arial Narrow" w:hAnsi="Arial Narrow"/>
          <w:i/>
          <w:sz w:val="28"/>
          <w:szCs w:val="28"/>
        </w:rPr>
        <w:t xml:space="preserve">“Los incrementos de que trata el artículo anterior </w:t>
      </w:r>
      <w:r w:rsidRPr="00A77433">
        <w:rPr>
          <w:rFonts w:ascii="Arial Narrow" w:hAnsi="Arial Narrow"/>
          <w:b/>
          <w:i/>
          <w:sz w:val="28"/>
          <w:szCs w:val="28"/>
          <w:u w:val="single"/>
        </w:rPr>
        <w:t xml:space="preserve">no forman parte integrante de la pensión de invalidez o de vejez </w:t>
      </w:r>
      <w:r w:rsidRPr="00845BCF">
        <w:rPr>
          <w:rFonts w:ascii="Arial Narrow" w:hAnsi="Arial Narrow"/>
          <w:i/>
          <w:sz w:val="28"/>
          <w:szCs w:val="28"/>
        </w:rPr>
        <w:t>que reconoce el Instituto de Seguros Sociales y el derecho a ellos subsiste mientras perduren las causas que les dieron origen”.</w:t>
      </w:r>
    </w:p>
    <w:p w:rsidR="008066CB" w:rsidRPr="00E715B8" w:rsidRDefault="008066CB" w:rsidP="008066CB">
      <w:pPr>
        <w:pStyle w:val="Sinespaciado"/>
        <w:spacing w:line="276" w:lineRule="auto"/>
      </w:pPr>
    </w:p>
    <w:p w:rsidR="008066CB" w:rsidRPr="00845BCF" w:rsidRDefault="008066CB" w:rsidP="008066CB">
      <w:pPr>
        <w:pStyle w:val="Textoindependiente"/>
        <w:spacing w:line="360" w:lineRule="auto"/>
        <w:ind w:firstLine="851"/>
        <w:rPr>
          <w:rFonts w:ascii="Arial Narrow" w:hAnsi="Arial Narrow"/>
          <w:sz w:val="28"/>
          <w:szCs w:val="28"/>
        </w:rPr>
      </w:pPr>
      <w:r>
        <w:rPr>
          <w:rFonts w:ascii="Arial Narrow" w:hAnsi="Arial Narrow"/>
          <w:sz w:val="28"/>
          <w:szCs w:val="28"/>
        </w:rPr>
        <w:t>Conforme a dicha norma</w:t>
      </w:r>
      <w:r w:rsidRPr="00845BCF">
        <w:rPr>
          <w:rFonts w:ascii="Arial Narrow" w:hAnsi="Arial Narrow"/>
          <w:sz w:val="28"/>
          <w:szCs w:val="28"/>
        </w:rPr>
        <w:t>, los incrementos</w:t>
      </w:r>
      <w:r>
        <w:rPr>
          <w:rFonts w:ascii="Arial Narrow" w:hAnsi="Arial Narrow"/>
          <w:sz w:val="28"/>
          <w:szCs w:val="28"/>
        </w:rPr>
        <w:t xml:space="preserve"> pensionales gozan de </w:t>
      </w:r>
      <w:r w:rsidRPr="00845BCF">
        <w:rPr>
          <w:rFonts w:ascii="Arial Narrow" w:hAnsi="Arial Narrow"/>
          <w:sz w:val="28"/>
          <w:szCs w:val="28"/>
        </w:rPr>
        <w:t xml:space="preserve">naturaleza distinta a la pensión de invalidez o de vejez, lo que conlleva a que no tengan los mismos atributos o características de tales pretensiones, como lo es la imprescriptibilidad, es decir la imposibilidad de que el simple paso del tiempo enerve la existencia del derecho en sí mismo. Por tanto, al tener los incrementos una naturaleza distinta a la pensión, claramente están sujetos a que el tiempo impida su reclamación coactiva. El tema ha sido abordado por la jurisprudencia de la Sala de Casación de la Corte Suprema de Justicia, </w:t>
      </w:r>
      <w:r>
        <w:rPr>
          <w:rFonts w:ascii="Arial Narrow" w:hAnsi="Arial Narrow"/>
          <w:sz w:val="28"/>
          <w:szCs w:val="28"/>
        </w:rPr>
        <w:t xml:space="preserve">la cual valga anotar, ha sido acogida de tiempo atrás por la mayoría de los integrantes de esta Corporación, </w:t>
      </w:r>
      <w:r w:rsidRPr="00845BCF">
        <w:rPr>
          <w:rFonts w:ascii="Arial Narrow" w:hAnsi="Arial Narrow"/>
          <w:sz w:val="28"/>
          <w:szCs w:val="28"/>
        </w:rPr>
        <w:t>siendo pertinente citar algunos apartes de uno de tales pronunciamientos:</w:t>
      </w:r>
    </w:p>
    <w:p w:rsidR="008066CB" w:rsidRPr="00893A2A" w:rsidRDefault="008066CB" w:rsidP="00893A2A">
      <w:pPr>
        <w:pStyle w:val="Sinespaciado"/>
      </w:pPr>
    </w:p>
    <w:p w:rsidR="008066CB" w:rsidRPr="00845BCF" w:rsidRDefault="008066CB" w:rsidP="008066CB">
      <w:pPr>
        <w:pStyle w:val="Textoindependiente"/>
        <w:ind w:firstLine="851"/>
        <w:rPr>
          <w:rFonts w:ascii="Arial Narrow" w:hAnsi="Arial Narrow"/>
          <w:i/>
          <w:sz w:val="28"/>
          <w:szCs w:val="28"/>
          <w:lang w:val="es-ES"/>
        </w:rPr>
      </w:pPr>
      <w:r w:rsidRPr="00845BCF">
        <w:rPr>
          <w:rFonts w:ascii="Arial Narrow" w:hAnsi="Arial Narrow"/>
          <w:i/>
          <w:sz w:val="28"/>
          <w:szCs w:val="28"/>
          <w:lang w:val="es-ES"/>
        </w:rPr>
        <w:t xml:space="preserve">“Al ser un hecho indiscutido que entre la fecha de reconocimiento de la pensión de vejez al actor esto es,  1º de julio de 1999, y aquella en la que reclamó el incremento pensional - 22 de julio de 2009-, transcurrió un tiempo superior a los 3 años de que tratan los artículos 151 del Código Procesal del Trabajo y 488 del procesal de la misma especialidad, no hay duda que el derecho a los incrementos por personas a cargo se encuentran prescritos, como con reiteración y uniformidad lo ha decantado esta Sala de  Casación, entre otras, en la sentencia </w:t>
      </w:r>
      <w:proofErr w:type="spellStart"/>
      <w:r w:rsidRPr="00845BCF">
        <w:rPr>
          <w:rFonts w:ascii="Arial Narrow" w:hAnsi="Arial Narrow"/>
          <w:i/>
          <w:sz w:val="28"/>
          <w:szCs w:val="28"/>
          <w:lang w:val="es-ES"/>
        </w:rPr>
        <w:t>CSJSL</w:t>
      </w:r>
      <w:proofErr w:type="spellEnd"/>
      <w:r w:rsidRPr="00845BCF">
        <w:rPr>
          <w:rFonts w:ascii="Arial Narrow" w:hAnsi="Arial Narrow"/>
          <w:i/>
          <w:sz w:val="28"/>
          <w:szCs w:val="28"/>
          <w:lang w:val="es-ES"/>
        </w:rPr>
        <w:t>, 9638-2014 del 23 jul. 2014, rad 57367, donde al resolver un asunto de similares contornos, así reflexionó:</w:t>
      </w:r>
    </w:p>
    <w:p w:rsidR="008066CB" w:rsidRPr="00845BCF" w:rsidRDefault="008066CB" w:rsidP="008066CB">
      <w:pPr>
        <w:pStyle w:val="Sinespaciado"/>
        <w:rPr>
          <w:rFonts w:ascii="Arial Narrow" w:hAnsi="Arial Narrow"/>
          <w:sz w:val="28"/>
          <w:szCs w:val="28"/>
          <w:lang w:val="es-ES"/>
        </w:rPr>
      </w:pPr>
    </w:p>
    <w:p w:rsidR="008066CB" w:rsidRPr="00845BCF" w:rsidRDefault="008066CB" w:rsidP="008066CB">
      <w:pPr>
        <w:pStyle w:val="Textoindependiente"/>
        <w:ind w:left="426" w:firstLine="851"/>
        <w:rPr>
          <w:rFonts w:ascii="Arial Narrow" w:hAnsi="Arial Narrow"/>
          <w:i/>
          <w:sz w:val="28"/>
          <w:szCs w:val="28"/>
          <w:lang w:val="es-ES"/>
        </w:rPr>
      </w:pPr>
      <w:r w:rsidRPr="00845BCF">
        <w:rPr>
          <w:rFonts w:ascii="Arial Narrow" w:hAnsi="Arial Narrow"/>
          <w:i/>
          <w:sz w:val="28"/>
          <w:szCs w:val="28"/>
          <w:lang w:val="es-ES"/>
        </w:rPr>
        <w:t xml:space="preserve">“Al confrontar los fundamentos que le sirven de soporte a la decisión acusada, observa la Corte que el sentenciador de alzada no incurrió en la </w:t>
      </w:r>
      <w:r w:rsidRPr="00845BCF">
        <w:rPr>
          <w:rFonts w:ascii="Arial Narrow" w:hAnsi="Arial Narrow"/>
          <w:i/>
          <w:sz w:val="28"/>
          <w:szCs w:val="28"/>
          <w:lang w:val="es-ES"/>
        </w:rPr>
        <w:lastRenderedPageBreak/>
        <w:t xml:space="preserve">interpretación errónea de las normas relacionadas en la proposición jurídica, al declarar la prescripción de los derechos reclamados por concepto del incremento pensional por personas a cargo, dado que la jurisprudencia de esta Sala, así lo ha adoctrinado. </w:t>
      </w:r>
    </w:p>
    <w:p w:rsidR="008066CB" w:rsidRPr="00845BCF" w:rsidRDefault="008066CB" w:rsidP="008066CB">
      <w:pPr>
        <w:pStyle w:val="Sinespaciado"/>
        <w:ind w:left="426"/>
        <w:rPr>
          <w:rFonts w:ascii="Arial Narrow" w:hAnsi="Arial Narrow"/>
          <w:sz w:val="28"/>
          <w:szCs w:val="28"/>
          <w:lang w:val="es-ES"/>
        </w:rPr>
      </w:pPr>
    </w:p>
    <w:p w:rsidR="008066CB" w:rsidRPr="00845BCF" w:rsidRDefault="008066CB" w:rsidP="008066CB">
      <w:pPr>
        <w:pStyle w:val="Textoindependiente"/>
        <w:ind w:left="426" w:firstLine="851"/>
        <w:rPr>
          <w:rFonts w:ascii="Arial Narrow" w:hAnsi="Arial Narrow"/>
          <w:i/>
          <w:sz w:val="28"/>
          <w:szCs w:val="28"/>
          <w:lang w:val="es-ES"/>
        </w:rPr>
      </w:pPr>
      <w:r w:rsidRPr="00845BCF">
        <w:rPr>
          <w:rFonts w:ascii="Arial Narrow" w:hAnsi="Arial Narrow"/>
          <w:i/>
          <w:sz w:val="28"/>
          <w:szCs w:val="28"/>
          <w:lang w:val="es-ES"/>
        </w:rPr>
        <w:t xml:space="preserve">En efecto, esta Corporación señaló en sentencia CSJ </w:t>
      </w:r>
      <w:proofErr w:type="spellStart"/>
      <w:r w:rsidRPr="00845BCF">
        <w:rPr>
          <w:rFonts w:ascii="Arial Narrow" w:hAnsi="Arial Narrow"/>
          <w:i/>
          <w:sz w:val="28"/>
          <w:szCs w:val="28"/>
          <w:lang w:val="es-ES"/>
        </w:rPr>
        <w:t>SL</w:t>
      </w:r>
      <w:proofErr w:type="spellEnd"/>
      <w:r w:rsidRPr="00845BCF">
        <w:rPr>
          <w:rFonts w:ascii="Arial Narrow" w:hAnsi="Arial Narrow"/>
          <w:i/>
          <w:sz w:val="28"/>
          <w:szCs w:val="28"/>
          <w:lang w:val="es-ES"/>
        </w:rPr>
        <w:t xml:space="preserve">, 18 sep. 2012, rad. 42300, que la calidad del pensionado es permanente y vitalicia y consecuencialmente la acción para impetrar su reconocimiento es imprescriptible. Pero igualmente ha precisado su doctrina de que una es esa condición del individuo, cuya titularidad del derecho pensional no fenece con el transcurrir del tiempo y, otra diferente los derechos derivados de ese status, tales como el pago de las mesadas pensionales o, en el caso en estudio, los incrementos reclamados, lo que en criterio de la Corte sí prescriben en los términos de los Arts. 488 del </w:t>
      </w:r>
      <w:proofErr w:type="spellStart"/>
      <w:r w:rsidRPr="00845BCF">
        <w:rPr>
          <w:rFonts w:ascii="Arial Narrow" w:hAnsi="Arial Narrow"/>
          <w:i/>
          <w:sz w:val="28"/>
          <w:szCs w:val="28"/>
          <w:lang w:val="es-ES"/>
        </w:rPr>
        <w:t>CST</w:t>
      </w:r>
      <w:proofErr w:type="spellEnd"/>
      <w:r w:rsidRPr="00845BCF">
        <w:rPr>
          <w:rFonts w:ascii="Arial Narrow" w:hAnsi="Arial Narrow"/>
          <w:i/>
          <w:sz w:val="28"/>
          <w:szCs w:val="28"/>
          <w:lang w:val="es-ES"/>
        </w:rPr>
        <w:t xml:space="preserve"> y 151 del </w:t>
      </w:r>
      <w:proofErr w:type="spellStart"/>
      <w:r w:rsidRPr="00845BCF">
        <w:rPr>
          <w:rFonts w:ascii="Arial Narrow" w:hAnsi="Arial Narrow"/>
          <w:i/>
          <w:sz w:val="28"/>
          <w:szCs w:val="28"/>
          <w:lang w:val="es-ES"/>
        </w:rPr>
        <w:t>CPT</w:t>
      </w:r>
      <w:proofErr w:type="spellEnd"/>
      <w:r w:rsidRPr="00845BCF">
        <w:rPr>
          <w:rFonts w:ascii="Arial Narrow" w:hAnsi="Arial Narrow"/>
          <w:i/>
          <w:sz w:val="28"/>
          <w:szCs w:val="28"/>
          <w:lang w:val="es-ES"/>
        </w:rPr>
        <w:t xml:space="preserve"> y de la SS. </w:t>
      </w:r>
    </w:p>
    <w:p w:rsidR="008066CB" w:rsidRPr="00845BCF" w:rsidRDefault="008066CB" w:rsidP="008066CB">
      <w:pPr>
        <w:pStyle w:val="Sinespaciado"/>
        <w:ind w:left="426"/>
        <w:rPr>
          <w:rFonts w:ascii="Arial Narrow" w:hAnsi="Arial Narrow"/>
          <w:sz w:val="28"/>
          <w:szCs w:val="28"/>
          <w:lang w:val="es-ES"/>
        </w:rPr>
      </w:pPr>
    </w:p>
    <w:p w:rsidR="008066CB" w:rsidRPr="00845BCF" w:rsidRDefault="008066CB" w:rsidP="008066CB">
      <w:pPr>
        <w:pStyle w:val="Textoindependiente"/>
        <w:ind w:left="426" w:firstLine="851"/>
        <w:rPr>
          <w:rFonts w:ascii="Arial Narrow" w:hAnsi="Arial Narrow"/>
          <w:i/>
          <w:sz w:val="28"/>
          <w:szCs w:val="28"/>
          <w:lang w:val="es-ES"/>
        </w:rPr>
      </w:pPr>
      <w:r w:rsidRPr="00845BCF">
        <w:rPr>
          <w:rFonts w:ascii="Arial Narrow" w:hAnsi="Arial Narrow"/>
          <w:i/>
          <w:sz w:val="28"/>
          <w:szCs w:val="28"/>
          <w:lang w:val="es-ES"/>
        </w:rPr>
        <w:t xml:space="preserve">Así se dijo, y ahora se reitera, en sentencia CSJ </w:t>
      </w:r>
      <w:proofErr w:type="spellStart"/>
      <w:r w:rsidRPr="00845BCF">
        <w:rPr>
          <w:rFonts w:ascii="Arial Narrow" w:hAnsi="Arial Narrow"/>
          <w:i/>
          <w:sz w:val="28"/>
          <w:szCs w:val="28"/>
          <w:lang w:val="es-ES"/>
        </w:rPr>
        <w:t>SL</w:t>
      </w:r>
      <w:proofErr w:type="spellEnd"/>
      <w:r w:rsidRPr="00845BCF">
        <w:rPr>
          <w:rFonts w:ascii="Arial Narrow" w:hAnsi="Arial Narrow"/>
          <w:i/>
          <w:sz w:val="28"/>
          <w:szCs w:val="28"/>
          <w:lang w:val="es-ES"/>
        </w:rPr>
        <w:t xml:space="preserve">, 12 dic. 2007, rad. 27923, en la que respecto a la prescripción del derecho a reclamar los incrementos por personas a cargo, se puntualizó: </w:t>
      </w:r>
    </w:p>
    <w:p w:rsidR="008066CB" w:rsidRPr="00845BCF" w:rsidRDefault="008066CB" w:rsidP="00893A2A">
      <w:pPr>
        <w:pStyle w:val="Textoindependiente"/>
        <w:ind w:left="851" w:right="335" w:firstLine="851"/>
        <w:rPr>
          <w:rFonts w:ascii="Arial Narrow" w:hAnsi="Arial Narrow"/>
          <w:i/>
          <w:sz w:val="28"/>
          <w:szCs w:val="28"/>
          <w:lang w:val="es-ES"/>
        </w:rPr>
      </w:pPr>
      <w:r w:rsidRPr="00845BCF">
        <w:rPr>
          <w:rFonts w:ascii="Arial Narrow" w:hAnsi="Arial Narrow"/>
          <w:i/>
          <w:sz w:val="28"/>
          <w:szCs w:val="28"/>
          <w:lang w:val="es-ES"/>
        </w:rPr>
        <w:t xml:space="preserve">(…) el artículo 22 del Acuerdo 049 de 1990 prevé que los incrementos por persona a cargo ‘no forman parte integrante de la pensión de invalidez o de vejez que reconoce el Instituto de Seguros Sociales’ es lógico que no pueden participar de los atributos y ventajas que el legislador ha señalado para éstas, entre ellas el de la imprescriptibilidad del estado jurídico del pensionado y que se justifican justamente por el carácter fundamental y vital de la prestación, reafirmado por la Constitución de 1991, y además por el hecho de ser de tracto sucesivo, por regla general, y de carácter vitalicio. </w:t>
      </w:r>
    </w:p>
    <w:p w:rsidR="008066CB" w:rsidRPr="00845BCF" w:rsidRDefault="008066CB" w:rsidP="00893A2A">
      <w:pPr>
        <w:pStyle w:val="Sinespaciado"/>
        <w:ind w:left="851" w:right="335"/>
        <w:rPr>
          <w:rFonts w:ascii="Arial Narrow" w:hAnsi="Arial Narrow"/>
          <w:sz w:val="28"/>
          <w:szCs w:val="28"/>
          <w:lang w:val="es-ES"/>
        </w:rPr>
      </w:pPr>
    </w:p>
    <w:p w:rsidR="008066CB" w:rsidRPr="00845BCF" w:rsidRDefault="008066CB" w:rsidP="00893A2A">
      <w:pPr>
        <w:pStyle w:val="Textoindependiente"/>
        <w:ind w:left="851" w:right="335" w:firstLine="851"/>
        <w:rPr>
          <w:rFonts w:ascii="Arial Narrow" w:hAnsi="Arial Narrow"/>
          <w:i/>
          <w:sz w:val="28"/>
          <w:szCs w:val="28"/>
          <w:lang w:val="es-ES"/>
        </w:rPr>
      </w:pPr>
      <w:r w:rsidRPr="00845BCF">
        <w:rPr>
          <w:rFonts w:ascii="Arial Narrow" w:hAnsi="Arial Narrow"/>
          <w:i/>
          <w:sz w:val="28"/>
          <w:szCs w:val="28"/>
          <w:lang w:val="es-ES"/>
        </w:rPr>
        <w:t>No puede negarse que los incrementos nacen del reconocimiento de la pensión de vejez, pero ello no quiere decir que formen parte integrante de la prestación, ni mucho menos del estado jurídico del pensionado, no sólo por la expresa disposición normativa, como ya se apuntó, sino porque se trata de una prerrogativa cuyo surgimiento no es automático frente a dicho estado, pues está condicionado al cumplimiento de unos requisitos, que pueden presentarse o no.</w:t>
      </w:r>
    </w:p>
    <w:p w:rsidR="008066CB" w:rsidRPr="00845BCF" w:rsidRDefault="008066CB" w:rsidP="00893A2A">
      <w:pPr>
        <w:pStyle w:val="Sinespaciado"/>
        <w:ind w:left="851" w:right="335"/>
        <w:rPr>
          <w:rFonts w:ascii="Arial Narrow" w:hAnsi="Arial Narrow"/>
          <w:sz w:val="28"/>
          <w:szCs w:val="28"/>
          <w:lang w:val="es-ES"/>
        </w:rPr>
      </w:pPr>
    </w:p>
    <w:p w:rsidR="008066CB" w:rsidRPr="00845BCF" w:rsidRDefault="008066CB" w:rsidP="00893A2A">
      <w:pPr>
        <w:pStyle w:val="Textoindependiente"/>
        <w:ind w:left="851" w:right="335" w:firstLine="851"/>
        <w:rPr>
          <w:rFonts w:ascii="Arial Narrow" w:hAnsi="Arial Narrow"/>
          <w:i/>
          <w:sz w:val="28"/>
          <w:szCs w:val="28"/>
          <w:lang w:val="es-ES"/>
        </w:rPr>
      </w:pPr>
      <w:r w:rsidRPr="00845BCF">
        <w:rPr>
          <w:rFonts w:ascii="Arial Narrow" w:hAnsi="Arial Narrow"/>
          <w:i/>
          <w:sz w:val="28"/>
          <w:szCs w:val="28"/>
          <w:lang w:val="es-ES"/>
        </w:rPr>
        <w:t>La alusión normativa atinente a que el derecho a los incrementos ‘subsiste mientras perduren las causas que le dieron origen’, antes que favorecer la imprescriptibilidad, obran en su contra por cuanto implícitamente parte de la hipótesis de que se trata de un derecho que no es vitalicio en tanto su persistencia requiere que se sigan dando las causas que le dieron origen, de modo que aunque, parezca redundante, la desaparición de estas provoca su extinción.</w:t>
      </w:r>
    </w:p>
    <w:p w:rsidR="008066CB" w:rsidRPr="00845BCF" w:rsidRDefault="008066CB" w:rsidP="00893A2A">
      <w:pPr>
        <w:pStyle w:val="Sinespaciado"/>
        <w:ind w:left="851" w:right="335"/>
        <w:rPr>
          <w:rFonts w:ascii="Arial Narrow" w:hAnsi="Arial Narrow"/>
          <w:sz w:val="28"/>
          <w:szCs w:val="28"/>
          <w:lang w:val="es-ES"/>
        </w:rPr>
      </w:pPr>
    </w:p>
    <w:p w:rsidR="008066CB" w:rsidRPr="00845BCF" w:rsidRDefault="008066CB" w:rsidP="00893A2A">
      <w:pPr>
        <w:pStyle w:val="Textoindependiente"/>
        <w:ind w:left="851" w:right="335" w:firstLine="851"/>
        <w:rPr>
          <w:rFonts w:ascii="Arial Narrow" w:hAnsi="Arial Narrow"/>
          <w:i/>
          <w:sz w:val="28"/>
          <w:szCs w:val="28"/>
          <w:lang w:val="es-ES"/>
        </w:rPr>
      </w:pPr>
      <w:r w:rsidRPr="00845BCF">
        <w:rPr>
          <w:rFonts w:ascii="Arial Narrow" w:hAnsi="Arial Narrow"/>
          <w:i/>
          <w:sz w:val="28"/>
          <w:szCs w:val="28"/>
          <w:lang w:val="es-ES"/>
        </w:rPr>
        <w:t xml:space="preserve">De ahí que a juicio de esta Sala bien puede aplicarse para efectos de estos incrementos la tesis de que los mismos prescriben si no se reclaman dentro de los 3 años siguientes a su exigibilidad, debiendo entenderse que son exigibles desde el momento en que se produjo el reconocimiento de la pensión de vejez o de invalidez. </w:t>
      </w:r>
    </w:p>
    <w:p w:rsidR="008066CB" w:rsidRPr="00845BCF" w:rsidRDefault="008066CB" w:rsidP="008066CB">
      <w:pPr>
        <w:pStyle w:val="Sinespaciado"/>
        <w:rPr>
          <w:rFonts w:ascii="Arial Narrow" w:hAnsi="Arial Narrow"/>
          <w:sz w:val="28"/>
          <w:szCs w:val="28"/>
          <w:lang w:val="es-ES"/>
        </w:rPr>
      </w:pPr>
    </w:p>
    <w:p w:rsidR="008066CB" w:rsidRPr="00845BCF" w:rsidRDefault="008066CB" w:rsidP="00893A2A">
      <w:pPr>
        <w:pStyle w:val="Textoindependiente"/>
        <w:ind w:left="284" w:right="193" w:firstLine="708"/>
        <w:rPr>
          <w:rFonts w:ascii="Arial Narrow" w:hAnsi="Arial Narrow"/>
          <w:i/>
          <w:sz w:val="28"/>
          <w:szCs w:val="28"/>
          <w:lang w:val="es-ES"/>
        </w:rPr>
      </w:pPr>
      <w:r w:rsidRPr="00845BCF">
        <w:rPr>
          <w:rFonts w:ascii="Arial Narrow" w:hAnsi="Arial Narrow"/>
          <w:i/>
          <w:sz w:val="28"/>
          <w:szCs w:val="28"/>
          <w:lang w:val="es-ES"/>
        </w:rPr>
        <w:t xml:space="preserve">En este orden de ideas, a la luz de la jurisprudencia citada, es razonable afirmar la extinción del derecho a incrementar la pensión en los porcentajes señalados en los artículos 21 y 22 del Acuerdo 049 de 1990, por personas a cargo, por el acaecimiento de la prescripción, al haberse cumplido el plazo trienal establecido por la ley, en la medida en que entre la fecha del reconocimiento pensional (1º de diciembre de 2004) y la reclamación administrativa (10 de julio de 2010), transcurrieron 5 años, 7 meses y 8 días.”(CSJ Sal. Cas. Laboral. Sentencia </w:t>
      </w:r>
      <w:proofErr w:type="spellStart"/>
      <w:r w:rsidRPr="00845BCF">
        <w:rPr>
          <w:rFonts w:ascii="Arial Narrow" w:hAnsi="Arial Narrow"/>
          <w:i/>
          <w:sz w:val="28"/>
          <w:szCs w:val="28"/>
          <w:lang w:val="es-ES"/>
        </w:rPr>
        <w:t>SL</w:t>
      </w:r>
      <w:proofErr w:type="spellEnd"/>
      <w:r w:rsidRPr="00845BCF">
        <w:rPr>
          <w:rFonts w:ascii="Arial Narrow" w:hAnsi="Arial Narrow"/>
          <w:i/>
          <w:sz w:val="28"/>
          <w:szCs w:val="28"/>
          <w:lang w:val="es-ES"/>
        </w:rPr>
        <w:t xml:space="preserve"> 2645ª-2016)</w:t>
      </w:r>
    </w:p>
    <w:p w:rsidR="008066CB" w:rsidRPr="00845BCF" w:rsidRDefault="008066CB" w:rsidP="008066CB">
      <w:pPr>
        <w:pStyle w:val="Sinespaciado"/>
        <w:spacing w:line="360" w:lineRule="auto"/>
      </w:pPr>
      <w:r w:rsidRPr="00845BCF">
        <w:t xml:space="preserve"> </w:t>
      </w:r>
      <w:r w:rsidRPr="00845BCF">
        <w:rPr>
          <w:i/>
        </w:rPr>
        <w:t xml:space="preserve"> </w:t>
      </w:r>
    </w:p>
    <w:p w:rsidR="008066CB" w:rsidRDefault="008066CB" w:rsidP="008066CB">
      <w:pPr>
        <w:pStyle w:val="Textoindependiente"/>
        <w:spacing w:line="360" w:lineRule="auto"/>
        <w:ind w:firstLine="851"/>
        <w:rPr>
          <w:rFonts w:ascii="Arial Narrow" w:hAnsi="Arial Narrow"/>
          <w:sz w:val="28"/>
          <w:szCs w:val="28"/>
        </w:rPr>
      </w:pPr>
      <w:r>
        <w:rPr>
          <w:rFonts w:ascii="Arial Narrow" w:hAnsi="Arial Narrow"/>
          <w:sz w:val="28"/>
          <w:szCs w:val="28"/>
        </w:rPr>
        <w:t>Acorde con esa postura, el derecho a los incrementos pensionales por persona a cargo deben ser exigidos a más tardar dentro de los tres (3) años siguientes al momento en que se adquiere el status de pensionado con fundamento en la normativa que los contiene – Acuerdo 049 de 1990, so pena de verse extinguido.</w:t>
      </w:r>
    </w:p>
    <w:p w:rsidR="008D294F" w:rsidRDefault="008D294F" w:rsidP="008066CB">
      <w:pPr>
        <w:pStyle w:val="Textoindependiente"/>
        <w:spacing w:line="360" w:lineRule="auto"/>
        <w:ind w:firstLine="851"/>
        <w:rPr>
          <w:rFonts w:ascii="Arial Narrow" w:hAnsi="Arial Narrow"/>
          <w:b/>
          <w:i/>
          <w:sz w:val="30"/>
          <w:szCs w:val="30"/>
        </w:rPr>
      </w:pPr>
    </w:p>
    <w:p w:rsidR="008066CB" w:rsidRPr="0063501C" w:rsidRDefault="008066CB" w:rsidP="008066CB">
      <w:pPr>
        <w:pStyle w:val="Textoindependiente"/>
        <w:spacing w:line="360" w:lineRule="auto"/>
        <w:ind w:firstLine="851"/>
        <w:rPr>
          <w:rFonts w:ascii="Arial Narrow" w:hAnsi="Arial Narrow"/>
          <w:b/>
          <w:i/>
          <w:sz w:val="30"/>
          <w:szCs w:val="30"/>
        </w:rPr>
      </w:pPr>
      <w:r>
        <w:rPr>
          <w:rFonts w:ascii="Arial Narrow" w:hAnsi="Arial Narrow"/>
          <w:b/>
          <w:i/>
          <w:sz w:val="30"/>
          <w:szCs w:val="30"/>
        </w:rPr>
        <w:t xml:space="preserve">2. </w:t>
      </w:r>
      <w:r w:rsidRPr="0063501C">
        <w:rPr>
          <w:rFonts w:ascii="Arial Narrow" w:hAnsi="Arial Narrow"/>
          <w:b/>
          <w:i/>
          <w:sz w:val="30"/>
          <w:szCs w:val="30"/>
        </w:rPr>
        <w:t>Caso Concreto</w:t>
      </w:r>
    </w:p>
    <w:p w:rsidR="008066CB" w:rsidRPr="00C27AE2" w:rsidRDefault="008066CB" w:rsidP="008066CB">
      <w:pPr>
        <w:pStyle w:val="Sinespaciado"/>
      </w:pPr>
    </w:p>
    <w:p w:rsidR="00153295" w:rsidRDefault="008066CB" w:rsidP="008066CB">
      <w:pPr>
        <w:pStyle w:val="Textoindependiente"/>
        <w:spacing w:line="360" w:lineRule="auto"/>
        <w:ind w:firstLine="851"/>
        <w:rPr>
          <w:rFonts w:ascii="Arial Narrow" w:hAnsi="Arial Narrow"/>
          <w:sz w:val="28"/>
          <w:szCs w:val="28"/>
        </w:rPr>
      </w:pPr>
      <w:r>
        <w:rPr>
          <w:rFonts w:ascii="Arial Narrow" w:hAnsi="Arial Narrow"/>
          <w:sz w:val="28"/>
          <w:szCs w:val="28"/>
        </w:rPr>
        <w:t xml:space="preserve">En el caso puntual, se tiene que al señor </w:t>
      </w:r>
      <w:r w:rsidR="00295ED5">
        <w:rPr>
          <w:rFonts w:ascii="Arial Narrow" w:hAnsi="Arial Narrow"/>
          <w:sz w:val="28"/>
          <w:szCs w:val="28"/>
        </w:rPr>
        <w:t xml:space="preserve">Ramiro Arango Pinzón </w:t>
      </w:r>
      <w:r>
        <w:rPr>
          <w:rFonts w:ascii="Arial Narrow" w:hAnsi="Arial Narrow"/>
          <w:sz w:val="28"/>
          <w:szCs w:val="28"/>
        </w:rPr>
        <w:t>se le reconoció su pensión de vejez mediante Resolución No.</w:t>
      </w:r>
      <w:r w:rsidR="00295ED5">
        <w:rPr>
          <w:rFonts w:ascii="Arial Narrow" w:hAnsi="Arial Narrow"/>
          <w:sz w:val="28"/>
          <w:szCs w:val="28"/>
        </w:rPr>
        <w:t xml:space="preserve"> 2957 de 2000</w:t>
      </w:r>
      <w:r>
        <w:rPr>
          <w:rFonts w:ascii="Arial Narrow" w:hAnsi="Arial Narrow"/>
          <w:sz w:val="28"/>
          <w:szCs w:val="28"/>
        </w:rPr>
        <w:t xml:space="preserve">, con efectos a partir del 1º de diciembre de esa anualidad y cuyo fundamento legal lo fue el Acuerdo 049 de 1990. Existe además en el infolio prueba documental idónea que acredita el vínculo marital del actor con la señora </w:t>
      </w:r>
      <w:r w:rsidR="00295ED5">
        <w:rPr>
          <w:rFonts w:ascii="Arial Narrow" w:hAnsi="Arial Narrow"/>
          <w:sz w:val="28"/>
          <w:szCs w:val="28"/>
        </w:rPr>
        <w:t>Lucy Trujillo Jaramillo</w:t>
      </w:r>
      <w:r>
        <w:rPr>
          <w:rFonts w:ascii="Arial Narrow" w:hAnsi="Arial Narrow"/>
          <w:sz w:val="28"/>
          <w:szCs w:val="28"/>
        </w:rPr>
        <w:t>, el cual data desde el</w:t>
      </w:r>
      <w:r w:rsidR="00295ED5">
        <w:rPr>
          <w:rFonts w:ascii="Arial Narrow" w:hAnsi="Arial Narrow"/>
          <w:sz w:val="28"/>
          <w:szCs w:val="28"/>
        </w:rPr>
        <w:t xml:space="preserve"> 22 de mayo de 1965 </w:t>
      </w:r>
      <w:r>
        <w:rPr>
          <w:rFonts w:ascii="Arial Narrow" w:hAnsi="Arial Narrow"/>
          <w:sz w:val="28"/>
          <w:szCs w:val="28"/>
        </w:rPr>
        <w:t>–f</w:t>
      </w:r>
      <w:r w:rsidR="00295ED5">
        <w:rPr>
          <w:rFonts w:ascii="Arial Narrow" w:hAnsi="Arial Narrow"/>
          <w:sz w:val="28"/>
          <w:szCs w:val="28"/>
        </w:rPr>
        <w:t>l.25-</w:t>
      </w:r>
      <w:r>
        <w:rPr>
          <w:rFonts w:ascii="Arial Narrow" w:hAnsi="Arial Narrow"/>
          <w:sz w:val="28"/>
          <w:szCs w:val="28"/>
        </w:rPr>
        <w:t xml:space="preserve">- sin que exista nota alguna que desdiga de la existencia del </w:t>
      </w:r>
      <w:r w:rsidR="00153295">
        <w:rPr>
          <w:rFonts w:ascii="Arial Narrow" w:hAnsi="Arial Narrow"/>
          <w:sz w:val="28"/>
          <w:szCs w:val="28"/>
        </w:rPr>
        <w:t>vínculo.</w:t>
      </w:r>
    </w:p>
    <w:p w:rsidR="00153295" w:rsidRDefault="00153295" w:rsidP="00153295">
      <w:pPr>
        <w:pStyle w:val="Sinespaciado"/>
        <w:spacing w:line="360" w:lineRule="auto"/>
      </w:pPr>
    </w:p>
    <w:p w:rsidR="008066CB" w:rsidRDefault="008066CB" w:rsidP="008066CB">
      <w:pPr>
        <w:pStyle w:val="Textoindependiente"/>
        <w:spacing w:line="360" w:lineRule="auto"/>
        <w:ind w:firstLine="851"/>
        <w:rPr>
          <w:rFonts w:ascii="Arial Narrow" w:hAnsi="Arial Narrow"/>
          <w:sz w:val="28"/>
          <w:szCs w:val="28"/>
        </w:rPr>
      </w:pPr>
      <w:r>
        <w:rPr>
          <w:rFonts w:ascii="Arial Narrow" w:hAnsi="Arial Narrow"/>
          <w:sz w:val="28"/>
          <w:szCs w:val="28"/>
        </w:rPr>
        <w:t>Además,</w:t>
      </w:r>
      <w:r w:rsidR="00893A2A">
        <w:rPr>
          <w:rFonts w:ascii="Arial Narrow" w:hAnsi="Arial Narrow"/>
          <w:sz w:val="28"/>
          <w:szCs w:val="28"/>
        </w:rPr>
        <w:t xml:space="preserve"> los testimonios de Iván Trujillo Jaramillo, María Melva Trujillo de Gómez (cuñados del demandante) y Juan Guillermo Contreras Salazar (</w:t>
      </w:r>
      <w:r w:rsidR="00663FDF">
        <w:rPr>
          <w:rFonts w:ascii="Arial Narrow" w:hAnsi="Arial Narrow"/>
          <w:sz w:val="28"/>
          <w:szCs w:val="28"/>
        </w:rPr>
        <w:t>yerno</w:t>
      </w:r>
      <w:r w:rsidR="00893A2A">
        <w:rPr>
          <w:rFonts w:ascii="Arial Narrow" w:hAnsi="Arial Narrow"/>
          <w:sz w:val="28"/>
          <w:szCs w:val="28"/>
        </w:rPr>
        <w:t xml:space="preserve"> del actor) dan </w:t>
      </w:r>
      <w:r>
        <w:rPr>
          <w:rFonts w:ascii="Arial Narrow" w:hAnsi="Arial Narrow"/>
          <w:sz w:val="28"/>
          <w:szCs w:val="28"/>
        </w:rPr>
        <w:t>fe de que la mencionada señora y el actor conviven y lo ha</w:t>
      </w:r>
      <w:r w:rsidR="00893A2A">
        <w:rPr>
          <w:rFonts w:ascii="Arial Narrow" w:hAnsi="Arial Narrow"/>
          <w:sz w:val="28"/>
          <w:szCs w:val="28"/>
        </w:rPr>
        <w:t xml:space="preserve">n hecho de manera </w:t>
      </w:r>
      <w:proofErr w:type="spellStart"/>
      <w:r w:rsidR="00893A2A">
        <w:rPr>
          <w:rFonts w:ascii="Arial Narrow" w:hAnsi="Arial Narrow"/>
          <w:sz w:val="28"/>
          <w:szCs w:val="28"/>
        </w:rPr>
        <w:t>initerrumpida</w:t>
      </w:r>
      <w:proofErr w:type="spellEnd"/>
      <w:r w:rsidR="00893A2A">
        <w:rPr>
          <w:rFonts w:ascii="Arial Narrow" w:hAnsi="Arial Narrow"/>
          <w:sz w:val="28"/>
          <w:szCs w:val="28"/>
        </w:rPr>
        <w:t xml:space="preserve"> desde que contrajeron nupcias, </w:t>
      </w:r>
      <w:r>
        <w:rPr>
          <w:rFonts w:ascii="Arial Narrow" w:hAnsi="Arial Narrow"/>
          <w:sz w:val="28"/>
          <w:szCs w:val="28"/>
        </w:rPr>
        <w:t xml:space="preserve">que aquella depende económicamente de éste, pues no cuenta con pensión, trabajo ni bienes que le produzcan renta, razón por la cual, ninguna duda queda acerca de que en el caso puntual el señor </w:t>
      </w:r>
      <w:r w:rsidR="00893A2A">
        <w:rPr>
          <w:rFonts w:ascii="Arial Narrow" w:hAnsi="Arial Narrow"/>
          <w:sz w:val="28"/>
          <w:szCs w:val="28"/>
        </w:rPr>
        <w:t xml:space="preserve">Ramiro Arango Pinzón, </w:t>
      </w:r>
      <w:r w:rsidR="008D294F">
        <w:rPr>
          <w:rFonts w:ascii="Arial Narrow" w:hAnsi="Arial Narrow"/>
          <w:sz w:val="28"/>
          <w:szCs w:val="28"/>
        </w:rPr>
        <w:t xml:space="preserve">es acreedor al </w:t>
      </w:r>
      <w:r>
        <w:rPr>
          <w:rFonts w:ascii="Arial Narrow" w:hAnsi="Arial Narrow"/>
          <w:sz w:val="28"/>
          <w:szCs w:val="28"/>
        </w:rPr>
        <w:t xml:space="preserve">derecho a los incrementos pensionales, los cuales se hicieron exigible desde la calenda de reconocimiento pensional. </w:t>
      </w:r>
    </w:p>
    <w:p w:rsidR="008066CB" w:rsidRPr="008D294F" w:rsidRDefault="008066CB" w:rsidP="008D294F">
      <w:pPr>
        <w:pStyle w:val="Sinespaciado"/>
      </w:pPr>
    </w:p>
    <w:p w:rsidR="008066CB" w:rsidRDefault="008066CB" w:rsidP="008066CB">
      <w:pPr>
        <w:pStyle w:val="Textoindependiente"/>
        <w:spacing w:line="360" w:lineRule="auto"/>
        <w:ind w:firstLine="851"/>
        <w:rPr>
          <w:rFonts w:ascii="Arial Narrow" w:hAnsi="Arial Narrow"/>
          <w:sz w:val="28"/>
          <w:szCs w:val="28"/>
        </w:rPr>
      </w:pPr>
      <w:r>
        <w:rPr>
          <w:rFonts w:ascii="Arial Narrow" w:hAnsi="Arial Narrow"/>
          <w:sz w:val="28"/>
          <w:szCs w:val="28"/>
        </w:rPr>
        <w:t xml:space="preserve">No obstante lo anterior, el aludido derecho se encuentra claramente prescrito, conforme a los cánones 151 y 488 del </w:t>
      </w:r>
      <w:proofErr w:type="spellStart"/>
      <w:r>
        <w:rPr>
          <w:rFonts w:ascii="Arial Narrow" w:hAnsi="Arial Narrow"/>
          <w:sz w:val="28"/>
          <w:szCs w:val="28"/>
        </w:rPr>
        <w:t>CPLSS</w:t>
      </w:r>
      <w:proofErr w:type="spellEnd"/>
      <w:r>
        <w:rPr>
          <w:rFonts w:ascii="Arial Narrow" w:hAnsi="Arial Narrow"/>
          <w:sz w:val="28"/>
          <w:szCs w:val="28"/>
        </w:rPr>
        <w:t xml:space="preserve"> y del CL, pues claramente se han superado los tres años concedidos en dichos artículos para la reclamación de los mismo</w:t>
      </w:r>
      <w:r w:rsidR="00893A2A">
        <w:rPr>
          <w:rFonts w:ascii="Arial Narrow" w:hAnsi="Arial Narrow"/>
          <w:sz w:val="28"/>
          <w:szCs w:val="28"/>
        </w:rPr>
        <w:t>s, puesto que l</w:t>
      </w:r>
      <w:r>
        <w:rPr>
          <w:rFonts w:ascii="Arial Narrow" w:hAnsi="Arial Narrow"/>
          <w:sz w:val="28"/>
          <w:szCs w:val="28"/>
        </w:rPr>
        <w:t xml:space="preserve">a misma se elevó casi </w:t>
      </w:r>
      <w:r w:rsidR="00893A2A">
        <w:rPr>
          <w:rFonts w:ascii="Arial Narrow" w:hAnsi="Arial Narrow"/>
          <w:sz w:val="28"/>
          <w:szCs w:val="28"/>
        </w:rPr>
        <w:t>16</w:t>
      </w:r>
      <w:r>
        <w:rPr>
          <w:rFonts w:ascii="Arial Narrow" w:hAnsi="Arial Narrow"/>
          <w:sz w:val="28"/>
          <w:szCs w:val="28"/>
        </w:rPr>
        <w:t xml:space="preserve"> años después de la exigibilidad</w:t>
      </w:r>
      <w:r w:rsidR="00893A2A">
        <w:rPr>
          <w:rFonts w:ascii="Arial Narrow" w:hAnsi="Arial Narrow"/>
          <w:sz w:val="28"/>
          <w:szCs w:val="28"/>
        </w:rPr>
        <w:t xml:space="preserve"> del </w:t>
      </w:r>
      <w:r w:rsidR="00893A2A">
        <w:rPr>
          <w:rFonts w:ascii="Arial Narrow" w:hAnsi="Arial Narrow"/>
          <w:sz w:val="28"/>
          <w:szCs w:val="28"/>
        </w:rPr>
        <w:lastRenderedPageBreak/>
        <w:t>derecho</w:t>
      </w:r>
      <w:r>
        <w:rPr>
          <w:rFonts w:ascii="Arial Narrow" w:hAnsi="Arial Narrow"/>
          <w:sz w:val="28"/>
          <w:szCs w:val="28"/>
        </w:rPr>
        <w:t xml:space="preserve">, concretamente, el </w:t>
      </w:r>
      <w:r w:rsidR="00893A2A">
        <w:rPr>
          <w:rFonts w:ascii="Arial Narrow" w:hAnsi="Arial Narrow"/>
          <w:sz w:val="28"/>
          <w:szCs w:val="28"/>
        </w:rPr>
        <w:t>8 de noviembre de 2016</w:t>
      </w:r>
      <w:r w:rsidR="00893A2A">
        <w:rPr>
          <w:rFonts w:ascii="Arial Narrow" w:hAnsi="Arial Narrow" w:cs="Tahoma"/>
          <w:sz w:val="28"/>
          <w:szCs w:val="28"/>
        </w:rPr>
        <w:t xml:space="preserve"> –fl.20</w:t>
      </w:r>
      <w:r>
        <w:rPr>
          <w:rFonts w:ascii="Arial Narrow" w:hAnsi="Arial Narrow" w:cs="Tahoma"/>
          <w:sz w:val="28"/>
          <w:szCs w:val="28"/>
        </w:rPr>
        <w:t>-</w:t>
      </w:r>
      <w:r>
        <w:rPr>
          <w:rFonts w:ascii="Arial Narrow" w:hAnsi="Arial Narrow"/>
          <w:sz w:val="28"/>
          <w:szCs w:val="28"/>
        </w:rPr>
        <w:t>, por lo que salta a la vista que total razón le asiste a la a-quo en su decisión.</w:t>
      </w:r>
    </w:p>
    <w:p w:rsidR="008066CB" w:rsidRDefault="008066CB" w:rsidP="00153295">
      <w:pPr>
        <w:pStyle w:val="Sinespaciado"/>
        <w:spacing w:line="360" w:lineRule="auto"/>
      </w:pPr>
    </w:p>
    <w:p w:rsidR="008066CB" w:rsidRDefault="008066CB" w:rsidP="008066CB">
      <w:pPr>
        <w:pStyle w:val="Textoindependiente"/>
        <w:spacing w:line="360" w:lineRule="auto"/>
        <w:ind w:firstLine="851"/>
        <w:rPr>
          <w:rFonts w:ascii="Arial Narrow" w:hAnsi="Arial Narrow"/>
          <w:sz w:val="28"/>
          <w:szCs w:val="28"/>
        </w:rPr>
      </w:pPr>
      <w:r>
        <w:rPr>
          <w:rFonts w:ascii="Arial Narrow" w:hAnsi="Arial Narrow"/>
          <w:sz w:val="28"/>
          <w:szCs w:val="28"/>
        </w:rPr>
        <w:t>Por lo tanto, se deberá confirmar la providencia apelada.</w:t>
      </w:r>
    </w:p>
    <w:p w:rsidR="008066CB" w:rsidRDefault="008066CB" w:rsidP="00153295">
      <w:pPr>
        <w:pStyle w:val="Sinespaciado"/>
        <w:spacing w:line="360" w:lineRule="auto"/>
      </w:pPr>
    </w:p>
    <w:p w:rsidR="008066CB" w:rsidRDefault="008066CB" w:rsidP="008066CB">
      <w:pPr>
        <w:pStyle w:val="Textoindependiente"/>
        <w:spacing w:line="360" w:lineRule="auto"/>
        <w:ind w:firstLine="851"/>
        <w:rPr>
          <w:rFonts w:ascii="Arial Narrow" w:hAnsi="Arial Narrow"/>
          <w:sz w:val="28"/>
          <w:szCs w:val="28"/>
        </w:rPr>
      </w:pPr>
      <w:r>
        <w:rPr>
          <w:rFonts w:ascii="Arial Narrow" w:hAnsi="Arial Narrow"/>
          <w:sz w:val="28"/>
          <w:szCs w:val="28"/>
        </w:rPr>
        <w:t>Las costas en esta instancia serán a cargo del apelante.</w:t>
      </w:r>
    </w:p>
    <w:p w:rsidR="008066CB" w:rsidRDefault="008066CB" w:rsidP="00153295">
      <w:pPr>
        <w:pStyle w:val="Sinespaciado"/>
        <w:spacing w:line="360" w:lineRule="auto"/>
      </w:pPr>
    </w:p>
    <w:p w:rsidR="008066CB" w:rsidRPr="00C605CD" w:rsidRDefault="008066CB" w:rsidP="008066CB">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8066CB" w:rsidRDefault="008066CB" w:rsidP="008066CB">
      <w:pPr>
        <w:pStyle w:val="Sinespaciado"/>
      </w:pPr>
    </w:p>
    <w:p w:rsidR="008066CB" w:rsidRPr="00C605CD" w:rsidRDefault="008066CB" w:rsidP="008066CB">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8066CB" w:rsidRPr="00C605CD" w:rsidRDefault="008066CB" w:rsidP="008066CB">
      <w:pPr>
        <w:pStyle w:val="Sinespaciado"/>
      </w:pPr>
    </w:p>
    <w:p w:rsidR="008066CB" w:rsidRDefault="008066CB" w:rsidP="008066CB">
      <w:pPr>
        <w:pStyle w:val="Prrafodelista"/>
        <w:numPr>
          <w:ilvl w:val="0"/>
          <w:numId w:val="2"/>
        </w:numPr>
        <w:spacing w:line="360" w:lineRule="auto"/>
        <w:ind w:left="0" w:firstLine="360"/>
        <w:jc w:val="both"/>
        <w:rPr>
          <w:rFonts w:ascii="Arial Narrow" w:hAnsi="Arial Narrow" w:cs="Arial"/>
          <w:sz w:val="28"/>
          <w:szCs w:val="28"/>
        </w:rPr>
      </w:pPr>
      <w:r>
        <w:rPr>
          <w:rFonts w:ascii="Arial Narrow" w:hAnsi="Arial Narrow" w:cs="Arial"/>
          <w:b/>
          <w:i/>
          <w:sz w:val="28"/>
          <w:szCs w:val="28"/>
        </w:rPr>
        <w:t xml:space="preserve">Confirmar </w:t>
      </w:r>
      <w:r w:rsidRPr="00C605CD">
        <w:rPr>
          <w:rFonts w:ascii="Arial Narrow" w:hAnsi="Arial Narrow" w:cs="Arial"/>
          <w:sz w:val="28"/>
          <w:szCs w:val="28"/>
        </w:rPr>
        <w:t xml:space="preserve">la sentencia proferida el </w:t>
      </w:r>
      <w:r w:rsidR="00893A2A">
        <w:rPr>
          <w:rFonts w:ascii="Arial Narrow" w:hAnsi="Arial Narrow" w:cs="Arial"/>
          <w:sz w:val="28"/>
          <w:szCs w:val="28"/>
        </w:rPr>
        <w:t xml:space="preserve">20 de noviembre de </w:t>
      </w:r>
      <w:r>
        <w:rPr>
          <w:rFonts w:ascii="Arial Narrow" w:hAnsi="Arial Narrow" w:cs="Arial"/>
          <w:sz w:val="28"/>
          <w:szCs w:val="28"/>
        </w:rPr>
        <w:t>2017</w:t>
      </w:r>
      <w:r w:rsidRPr="00C605CD">
        <w:rPr>
          <w:rFonts w:ascii="Arial Narrow" w:hAnsi="Arial Narrow" w:cs="Arial"/>
          <w:sz w:val="28"/>
          <w:szCs w:val="28"/>
        </w:rPr>
        <w:t xml:space="preserve"> por el Juzgado </w:t>
      </w:r>
      <w:r w:rsidR="00893A2A">
        <w:rPr>
          <w:rFonts w:ascii="Arial Narrow" w:hAnsi="Arial Narrow" w:cs="Arial"/>
          <w:sz w:val="28"/>
          <w:szCs w:val="28"/>
        </w:rPr>
        <w:t xml:space="preserve">Primero </w:t>
      </w:r>
      <w:r w:rsidRPr="00C605CD">
        <w:rPr>
          <w:rFonts w:ascii="Arial Narrow" w:hAnsi="Arial Narrow" w:cs="Arial"/>
          <w:sz w:val="28"/>
          <w:szCs w:val="28"/>
        </w:rPr>
        <w:t xml:space="preserve">Laboral del Circuito de Pereira, dentro del proceso ordinario laboral </w:t>
      </w:r>
      <w:r>
        <w:rPr>
          <w:rFonts w:ascii="Arial Narrow" w:hAnsi="Arial Narrow" w:cs="Arial"/>
          <w:sz w:val="28"/>
          <w:szCs w:val="28"/>
        </w:rPr>
        <w:t>de la referencia.</w:t>
      </w:r>
    </w:p>
    <w:p w:rsidR="008066CB" w:rsidRPr="00C605CD" w:rsidRDefault="008066CB" w:rsidP="008066CB">
      <w:pPr>
        <w:pStyle w:val="Sinespaciado"/>
      </w:pPr>
    </w:p>
    <w:p w:rsidR="008066CB" w:rsidRPr="00C605CD" w:rsidRDefault="008066CB" w:rsidP="008066CB">
      <w:pPr>
        <w:pStyle w:val="Prrafodelista"/>
        <w:numPr>
          <w:ilvl w:val="0"/>
          <w:numId w:val="2"/>
        </w:numPr>
        <w:spacing w:line="360" w:lineRule="auto"/>
        <w:jc w:val="both"/>
        <w:rPr>
          <w:rFonts w:ascii="Arial Narrow" w:hAnsi="Arial Narrow" w:cs="Arial"/>
          <w:sz w:val="28"/>
          <w:szCs w:val="28"/>
        </w:rPr>
      </w:pPr>
      <w:r>
        <w:rPr>
          <w:rFonts w:ascii="Arial Narrow" w:hAnsi="Arial Narrow" w:cs="Arial"/>
          <w:sz w:val="28"/>
          <w:szCs w:val="28"/>
        </w:rPr>
        <w:t>C</w:t>
      </w:r>
      <w:r w:rsidRPr="00C605CD">
        <w:rPr>
          <w:rFonts w:ascii="Arial Narrow" w:hAnsi="Arial Narrow" w:cs="Arial"/>
          <w:sz w:val="28"/>
          <w:szCs w:val="28"/>
        </w:rPr>
        <w:t>ostas en esta instancia</w:t>
      </w:r>
      <w:r>
        <w:rPr>
          <w:rFonts w:ascii="Arial Narrow" w:hAnsi="Arial Narrow" w:cs="Arial"/>
          <w:sz w:val="28"/>
          <w:szCs w:val="28"/>
        </w:rPr>
        <w:t xml:space="preserve"> a cargo del apelante</w:t>
      </w:r>
      <w:r w:rsidRPr="00C605CD">
        <w:rPr>
          <w:rFonts w:ascii="Arial Narrow" w:hAnsi="Arial Narrow" w:cs="Arial"/>
          <w:sz w:val="28"/>
          <w:szCs w:val="28"/>
        </w:rPr>
        <w:t>.</w:t>
      </w:r>
    </w:p>
    <w:p w:rsidR="008066CB" w:rsidRPr="00C605CD" w:rsidRDefault="008066CB" w:rsidP="008066CB">
      <w:pPr>
        <w:pStyle w:val="Sinespaciado"/>
        <w:rPr>
          <w:sz w:val="28"/>
          <w:szCs w:val="28"/>
        </w:rPr>
      </w:pPr>
    </w:p>
    <w:p w:rsidR="008066CB" w:rsidRPr="00C605CD" w:rsidRDefault="008066CB" w:rsidP="008066CB">
      <w:pPr>
        <w:spacing w:line="360" w:lineRule="auto"/>
        <w:ind w:firstLine="900"/>
        <w:jc w:val="both"/>
        <w:rPr>
          <w:rFonts w:ascii="Arial Narrow" w:hAnsi="Arial Narrow" w:cs="Microsoft Sans Serif"/>
          <w:b/>
          <w:bCs/>
          <w:i/>
          <w:iCs/>
          <w:sz w:val="28"/>
          <w:szCs w:val="28"/>
          <w:lang w:val="es-ES"/>
        </w:rPr>
      </w:pPr>
      <w:r w:rsidRPr="00C605CD">
        <w:rPr>
          <w:rFonts w:ascii="Arial Narrow" w:hAnsi="Arial Narrow" w:cs="Microsoft Sans Serif"/>
          <w:b/>
          <w:bCs/>
          <w:i/>
          <w:iCs/>
          <w:sz w:val="28"/>
          <w:szCs w:val="28"/>
          <w:lang w:val="es-ES"/>
        </w:rPr>
        <w:t>NOTIFÍQUESE, CÚMPLASE Y DEVUÉLVASE.</w:t>
      </w:r>
    </w:p>
    <w:p w:rsidR="008066CB" w:rsidRPr="00C605CD" w:rsidRDefault="008066CB" w:rsidP="008066CB">
      <w:pPr>
        <w:pStyle w:val="Sinespaciado"/>
        <w:rPr>
          <w:sz w:val="28"/>
          <w:szCs w:val="28"/>
          <w:lang w:val="es-ES"/>
        </w:rPr>
      </w:pPr>
    </w:p>
    <w:p w:rsidR="008066CB" w:rsidRPr="00C605CD" w:rsidRDefault="008066CB" w:rsidP="008066CB">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La anterior decisión queda notificada en estrados.</w:t>
      </w:r>
    </w:p>
    <w:p w:rsidR="008066CB" w:rsidRPr="00C605CD" w:rsidRDefault="008066CB" w:rsidP="008066CB">
      <w:pPr>
        <w:pStyle w:val="Sinespaciado"/>
      </w:pPr>
    </w:p>
    <w:p w:rsidR="008066CB" w:rsidRPr="00A9242B" w:rsidRDefault="008066CB" w:rsidP="008066CB">
      <w:pPr>
        <w:pStyle w:val="Sinespaciado"/>
        <w:spacing w:line="360" w:lineRule="auto"/>
        <w:rPr>
          <w:lang w:val="es-ES"/>
        </w:rPr>
      </w:pPr>
    </w:p>
    <w:p w:rsidR="008066CB" w:rsidRPr="00A9242B" w:rsidRDefault="008066CB" w:rsidP="008066CB">
      <w:pPr>
        <w:ind w:firstLine="900"/>
        <w:jc w:val="both"/>
        <w:rPr>
          <w:rFonts w:ascii="Arial Narrow" w:hAnsi="Arial Narrow" w:cs="Microsoft Sans Serif"/>
          <w:bCs/>
          <w:iCs/>
          <w:sz w:val="28"/>
          <w:szCs w:val="28"/>
          <w:lang w:val="es-ES"/>
        </w:rPr>
      </w:pPr>
    </w:p>
    <w:p w:rsidR="008066CB" w:rsidRPr="00A9242B" w:rsidRDefault="008066CB" w:rsidP="008066CB">
      <w:pPr>
        <w:pStyle w:val="Sinespaciado"/>
        <w:rPr>
          <w:lang w:val="es-ES"/>
        </w:rPr>
      </w:pPr>
    </w:p>
    <w:p w:rsidR="008066CB" w:rsidRDefault="008066CB" w:rsidP="008066CB">
      <w:pPr>
        <w:ind w:firstLine="900"/>
        <w:jc w:val="center"/>
        <w:rPr>
          <w:rFonts w:ascii="Arial Narrow" w:hAnsi="Arial Narrow" w:cs="Microsoft Sans Serif"/>
          <w:b/>
          <w:bCs/>
          <w:iCs/>
          <w:sz w:val="28"/>
          <w:szCs w:val="28"/>
          <w:lang w:val="es-ES"/>
        </w:rPr>
      </w:pPr>
      <w:r w:rsidRPr="00A9242B">
        <w:rPr>
          <w:rFonts w:ascii="Arial Narrow" w:hAnsi="Arial Narrow" w:cs="Microsoft Sans Serif"/>
          <w:b/>
          <w:bCs/>
          <w:iCs/>
          <w:sz w:val="28"/>
          <w:szCs w:val="28"/>
          <w:lang w:val="es-ES"/>
        </w:rPr>
        <w:t>FRANCISCO JAVIER TAMAYO TABARES</w:t>
      </w:r>
    </w:p>
    <w:p w:rsidR="008066CB" w:rsidRPr="00A9242B" w:rsidRDefault="008066CB" w:rsidP="008066CB">
      <w:pPr>
        <w:ind w:firstLine="900"/>
        <w:jc w:val="center"/>
        <w:rPr>
          <w:rFonts w:ascii="Arial Narrow" w:hAnsi="Arial Narrow" w:cs="Microsoft Sans Serif"/>
          <w:bCs/>
          <w:iCs/>
          <w:sz w:val="28"/>
          <w:szCs w:val="28"/>
          <w:lang w:val="es-ES"/>
        </w:rPr>
      </w:pPr>
      <w:r w:rsidRPr="00A9242B">
        <w:rPr>
          <w:rFonts w:ascii="Arial Narrow" w:hAnsi="Arial Narrow" w:cs="Microsoft Sans Serif"/>
          <w:bCs/>
          <w:iCs/>
          <w:sz w:val="28"/>
          <w:szCs w:val="28"/>
          <w:lang w:val="es-ES"/>
        </w:rPr>
        <w:t>Magistrado Ponente</w:t>
      </w:r>
    </w:p>
    <w:p w:rsidR="008066CB" w:rsidRPr="00A9242B" w:rsidRDefault="008066CB" w:rsidP="008066CB">
      <w:pPr>
        <w:ind w:firstLine="900"/>
        <w:jc w:val="both"/>
        <w:rPr>
          <w:rFonts w:ascii="Arial Narrow" w:hAnsi="Arial Narrow" w:cs="Microsoft Sans Serif"/>
          <w:b/>
          <w:sz w:val="28"/>
          <w:szCs w:val="28"/>
          <w:lang w:val="es-ES"/>
        </w:rPr>
      </w:pPr>
    </w:p>
    <w:p w:rsidR="008066CB" w:rsidRPr="00A9242B" w:rsidRDefault="008066CB" w:rsidP="008066CB">
      <w:pPr>
        <w:spacing w:line="360" w:lineRule="auto"/>
        <w:jc w:val="both"/>
        <w:rPr>
          <w:rFonts w:ascii="Arial Narrow" w:hAnsi="Arial Narrow" w:cs="Microsoft Sans Serif"/>
          <w:b/>
          <w:bCs/>
          <w:iCs/>
          <w:sz w:val="28"/>
          <w:szCs w:val="28"/>
          <w:lang w:val="es-ES"/>
        </w:rPr>
      </w:pPr>
    </w:p>
    <w:p w:rsidR="008066CB" w:rsidRDefault="008066CB" w:rsidP="008066CB">
      <w:pPr>
        <w:spacing w:line="360" w:lineRule="auto"/>
        <w:jc w:val="both"/>
        <w:rPr>
          <w:rFonts w:ascii="Arial Narrow" w:hAnsi="Arial Narrow" w:cs="Microsoft Sans Serif"/>
          <w:b/>
          <w:bCs/>
          <w:iCs/>
          <w:sz w:val="28"/>
          <w:szCs w:val="28"/>
          <w:lang w:val="es-ES"/>
        </w:rPr>
      </w:pPr>
    </w:p>
    <w:p w:rsidR="008066CB" w:rsidRPr="00A9242B" w:rsidRDefault="008066CB" w:rsidP="008066CB">
      <w:pPr>
        <w:spacing w:line="360" w:lineRule="auto"/>
        <w:jc w:val="both"/>
        <w:rPr>
          <w:rFonts w:ascii="Arial Narrow" w:hAnsi="Arial Narrow" w:cs="Microsoft Sans Serif"/>
          <w:b/>
          <w:bCs/>
          <w:iCs/>
          <w:sz w:val="28"/>
          <w:szCs w:val="28"/>
          <w:lang w:val="es-ES"/>
        </w:rPr>
      </w:pPr>
    </w:p>
    <w:p w:rsidR="008066CB" w:rsidRDefault="008066CB" w:rsidP="008066CB">
      <w:pPr>
        <w:jc w:val="both"/>
        <w:rPr>
          <w:rFonts w:ascii="Arial Narrow" w:hAnsi="Arial Narrow" w:cs="Microsoft Sans Serif"/>
          <w:sz w:val="28"/>
          <w:szCs w:val="28"/>
          <w:lang w:val="es-ES"/>
        </w:rPr>
      </w:pPr>
      <w:r w:rsidRPr="00A9242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OLGA LUCIA HOYOS </w:t>
      </w:r>
      <w:proofErr w:type="spellStart"/>
      <w:r>
        <w:rPr>
          <w:rFonts w:ascii="Arial Narrow" w:hAnsi="Arial Narrow" w:cs="Microsoft Sans Serif"/>
          <w:b/>
          <w:bCs/>
          <w:iCs/>
          <w:sz w:val="28"/>
          <w:szCs w:val="28"/>
          <w:lang w:val="es-ES"/>
        </w:rPr>
        <w:t>SEPULVEDA</w:t>
      </w:r>
      <w:proofErr w:type="spellEnd"/>
      <w:r w:rsidRPr="00A9242B">
        <w:rPr>
          <w:rFonts w:ascii="Arial Narrow" w:hAnsi="Arial Narrow" w:cs="Microsoft Sans Serif"/>
          <w:sz w:val="28"/>
          <w:szCs w:val="28"/>
          <w:lang w:val="es-ES"/>
        </w:rPr>
        <w:t xml:space="preserve"> </w:t>
      </w:r>
    </w:p>
    <w:p w:rsidR="008066CB" w:rsidRPr="00A9242B" w:rsidRDefault="008066CB" w:rsidP="008066CB">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Magistrada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w:t>
      </w:r>
      <w:proofErr w:type="spellStart"/>
      <w:r>
        <w:rPr>
          <w:rFonts w:ascii="Arial Narrow" w:hAnsi="Arial Narrow" w:cs="Microsoft Sans Serif"/>
          <w:sz w:val="28"/>
          <w:szCs w:val="28"/>
          <w:lang w:val="es-ES"/>
        </w:rPr>
        <w:t>Magistrada</w:t>
      </w:r>
      <w:proofErr w:type="spellEnd"/>
      <w:r>
        <w:rPr>
          <w:rFonts w:ascii="Arial Narrow" w:hAnsi="Arial Narrow" w:cs="Microsoft Sans Serif"/>
          <w:sz w:val="28"/>
          <w:szCs w:val="28"/>
          <w:lang w:val="es-ES"/>
        </w:rPr>
        <w:t xml:space="preserve"> </w:t>
      </w:r>
    </w:p>
    <w:p w:rsidR="008066CB" w:rsidRPr="00C605CD" w:rsidRDefault="008066CB" w:rsidP="008066CB">
      <w:pPr>
        <w:pStyle w:val="Prrafodelista"/>
        <w:spacing w:line="360" w:lineRule="auto"/>
        <w:ind w:left="426"/>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ab/>
      </w:r>
      <w:r>
        <w:rPr>
          <w:rFonts w:ascii="Arial Narrow" w:hAnsi="Arial Narrow" w:cs="Microsoft Sans Serif"/>
          <w:bCs/>
          <w:iCs/>
          <w:sz w:val="28"/>
          <w:szCs w:val="28"/>
          <w:lang w:val="es-ES"/>
        </w:rPr>
        <w:t xml:space="preserve">       - Salva voto-</w:t>
      </w:r>
      <w:r w:rsidRPr="00C605CD">
        <w:rPr>
          <w:rFonts w:ascii="Arial Narrow" w:hAnsi="Arial Narrow" w:cs="Microsoft Sans Serif"/>
          <w:bCs/>
          <w:iCs/>
          <w:sz w:val="28"/>
          <w:szCs w:val="28"/>
          <w:lang w:val="es-ES"/>
        </w:rPr>
        <w:t xml:space="preserve"> </w:t>
      </w:r>
    </w:p>
    <w:p w:rsidR="008066CB" w:rsidRDefault="008066CB" w:rsidP="008066CB">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 xml:space="preserve">                                           </w:t>
      </w:r>
    </w:p>
    <w:p w:rsidR="008066CB" w:rsidRPr="00A9242B" w:rsidRDefault="008066CB" w:rsidP="008066CB">
      <w:pPr>
        <w:ind w:firstLine="900"/>
        <w:jc w:val="both"/>
        <w:rPr>
          <w:rFonts w:ascii="Arial Narrow" w:hAnsi="Arial Narrow" w:cs="Microsoft Sans Serif"/>
          <w:bCs/>
          <w:iCs/>
          <w:sz w:val="28"/>
          <w:szCs w:val="28"/>
          <w:lang w:val="es-ES"/>
        </w:rPr>
      </w:pPr>
    </w:p>
    <w:p w:rsidR="008066CB" w:rsidRPr="00A9242B" w:rsidRDefault="008066CB" w:rsidP="008066CB">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8066CB" w:rsidRDefault="008066CB" w:rsidP="008066CB">
      <w:pPr>
        <w:ind w:firstLine="900"/>
        <w:jc w:val="center"/>
      </w:pPr>
      <w:r w:rsidRPr="00A9242B">
        <w:rPr>
          <w:rFonts w:ascii="Arial Narrow" w:hAnsi="Arial Narrow" w:cs="Microsoft Sans Serif"/>
          <w:iCs/>
          <w:sz w:val="28"/>
          <w:szCs w:val="28"/>
          <w:lang w:val="es-ES"/>
        </w:rPr>
        <w:t>Secretari</w:t>
      </w:r>
      <w:r>
        <w:rPr>
          <w:rFonts w:ascii="Arial Narrow" w:hAnsi="Arial Narrow" w:cs="Microsoft Sans Serif"/>
          <w:iCs/>
          <w:sz w:val="28"/>
          <w:szCs w:val="28"/>
          <w:lang w:val="es-ES"/>
        </w:rPr>
        <w:t>o</w:t>
      </w:r>
    </w:p>
    <w:p w:rsidR="00336379" w:rsidRDefault="00336379"/>
    <w:sectPr w:rsidR="00336379" w:rsidSect="00211C21">
      <w:headerReference w:type="default" r:id="rId7"/>
      <w:footerReference w:type="even" r:id="rId8"/>
      <w:footerReference w:type="default" r:id="rId9"/>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CF2" w:rsidRDefault="00316CF2" w:rsidP="008066CB">
      <w:r>
        <w:separator/>
      </w:r>
    </w:p>
  </w:endnote>
  <w:endnote w:type="continuationSeparator" w:id="0">
    <w:p w:rsidR="00316CF2" w:rsidRDefault="00316CF2" w:rsidP="0080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427315"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C21" w:rsidRDefault="00316CF2"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427315"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42372">
      <w:rPr>
        <w:rStyle w:val="Nmerodepgina"/>
        <w:noProof/>
      </w:rPr>
      <w:t>1</w:t>
    </w:r>
    <w:r>
      <w:rPr>
        <w:rStyle w:val="Nmerodepgina"/>
      </w:rPr>
      <w:fldChar w:fldCharType="end"/>
    </w:r>
  </w:p>
  <w:p w:rsidR="00211C21" w:rsidRDefault="00316CF2" w:rsidP="00211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CF2" w:rsidRDefault="00316CF2" w:rsidP="008066CB">
      <w:r>
        <w:separator/>
      </w:r>
    </w:p>
  </w:footnote>
  <w:footnote w:type="continuationSeparator" w:id="0">
    <w:p w:rsidR="00316CF2" w:rsidRDefault="00316CF2" w:rsidP="00806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CB" w:rsidRDefault="00427315" w:rsidP="00211C21">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8066CB">
      <w:rPr>
        <w:rFonts w:ascii="Arial" w:hAnsi="Arial" w:cs="Arial"/>
        <w:bCs/>
        <w:i/>
        <w:sz w:val="16"/>
        <w:szCs w:val="16"/>
      </w:rPr>
      <w:t>1-2016-00087-01</w:t>
    </w:r>
  </w:p>
  <w:p w:rsidR="00211C21" w:rsidRPr="00BD0CC8" w:rsidRDefault="008066CB" w:rsidP="00211C21">
    <w:pPr>
      <w:jc w:val="both"/>
      <w:rPr>
        <w:rFonts w:ascii="Arial" w:hAnsi="Arial" w:cs="Arial"/>
        <w:bCs/>
        <w:i/>
        <w:iCs/>
        <w:sz w:val="16"/>
        <w:szCs w:val="16"/>
      </w:rPr>
    </w:pPr>
    <w:r>
      <w:rPr>
        <w:rFonts w:ascii="Arial" w:hAnsi="Arial" w:cs="Arial"/>
        <w:bCs/>
        <w:i/>
        <w:sz w:val="16"/>
        <w:szCs w:val="16"/>
      </w:rPr>
      <w:t>Ramiro Arango Pinzón vs. C</w:t>
    </w:r>
    <w:r w:rsidR="00427315">
      <w:rPr>
        <w:rFonts w:ascii="Arial" w:hAnsi="Arial" w:cs="Arial"/>
        <w:bCs/>
        <w:i/>
        <w:sz w:val="16"/>
        <w:szCs w:val="16"/>
      </w:rPr>
      <w:t>olpensiones</w:t>
    </w:r>
  </w:p>
  <w:p w:rsidR="00211C21" w:rsidRDefault="00316C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CB"/>
    <w:rsid w:val="00153295"/>
    <w:rsid w:val="00295ED5"/>
    <w:rsid w:val="00316CF2"/>
    <w:rsid w:val="00336379"/>
    <w:rsid w:val="00427315"/>
    <w:rsid w:val="00587C90"/>
    <w:rsid w:val="00663FDF"/>
    <w:rsid w:val="008066CB"/>
    <w:rsid w:val="0083155C"/>
    <w:rsid w:val="008862E5"/>
    <w:rsid w:val="00893A2A"/>
    <w:rsid w:val="008D294F"/>
    <w:rsid w:val="0091460C"/>
    <w:rsid w:val="00976A3C"/>
    <w:rsid w:val="009A6701"/>
    <w:rsid w:val="00D23008"/>
    <w:rsid w:val="00D42372"/>
    <w:rsid w:val="00E60E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69FCF-F4CA-4B5A-99E8-BDF70B04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C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8066CB"/>
    <w:rPr>
      <w:rFonts w:ascii="Arial" w:hAnsi="Arial" w:cs="Arial"/>
      <w:sz w:val="24"/>
      <w:lang w:val="es-ES_tradnl" w:eastAsia="es-ES"/>
    </w:rPr>
  </w:style>
  <w:style w:type="paragraph" w:styleId="Textoindependiente">
    <w:name w:val="Body Text"/>
    <w:basedOn w:val="Normal"/>
    <w:link w:val="TextoindependienteCar"/>
    <w:rsid w:val="008066CB"/>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8066CB"/>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8066CB"/>
    <w:pPr>
      <w:tabs>
        <w:tab w:val="center" w:pos="4252"/>
        <w:tab w:val="right" w:pos="8504"/>
      </w:tabs>
    </w:pPr>
  </w:style>
  <w:style w:type="character" w:customStyle="1" w:styleId="PiedepginaCar">
    <w:name w:val="Pie de página Car"/>
    <w:basedOn w:val="Fuentedeprrafopredeter"/>
    <w:link w:val="Piedepgina"/>
    <w:rsid w:val="008066C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066CB"/>
  </w:style>
  <w:style w:type="paragraph" w:styleId="Encabezado">
    <w:name w:val="header"/>
    <w:basedOn w:val="Normal"/>
    <w:link w:val="EncabezadoCar"/>
    <w:rsid w:val="008066CB"/>
    <w:pPr>
      <w:tabs>
        <w:tab w:val="center" w:pos="4252"/>
        <w:tab w:val="right" w:pos="8504"/>
      </w:tabs>
    </w:pPr>
  </w:style>
  <w:style w:type="character" w:customStyle="1" w:styleId="EncabezadoCar">
    <w:name w:val="Encabezado Car"/>
    <w:basedOn w:val="Fuentedeprrafopredeter"/>
    <w:link w:val="Encabezado"/>
    <w:rsid w:val="008066CB"/>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8066CB"/>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8066CB"/>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806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2387</Words>
  <Characters>13134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9</cp:revision>
  <dcterms:created xsi:type="dcterms:W3CDTF">2018-08-10T14:21:00Z</dcterms:created>
  <dcterms:modified xsi:type="dcterms:W3CDTF">2018-10-01T12:18:00Z</dcterms:modified>
</cp:coreProperties>
</file>