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125A56" w:rsidRPr="00125A56" w:rsidRDefault="00125A56" w:rsidP="00125A56">
      <w:pPr>
        <w:jc w:val="both"/>
        <w:rPr>
          <w:rFonts w:ascii="Arial" w:hAnsi="Arial" w:cs="Arial"/>
          <w:sz w:val="20"/>
          <w:szCs w:val="20"/>
        </w:rPr>
      </w:pPr>
      <w:r w:rsidRPr="00125A56">
        <w:rPr>
          <w:rFonts w:ascii="Arial" w:hAnsi="Arial" w:cs="Arial"/>
          <w:sz w:val="20"/>
          <w:szCs w:val="20"/>
        </w:rPr>
        <w:t>Providencia:</w:t>
      </w:r>
      <w:r w:rsidRPr="00125A56">
        <w:rPr>
          <w:rFonts w:ascii="Arial" w:hAnsi="Arial" w:cs="Arial"/>
          <w:sz w:val="20"/>
          <w:szCs w:val="20"/>
        </w:rPr>
        <w:tab/>
      </w:r>
      <w:r w:rsidRPr="00125A56">
        <w:rPr>
          <w:rFonts w:ascii="Arial" w:hAnsi="Arial" w:cs="Arial"/>
          <w:sz w:val="20"/>
          <w:szCs w:val="20"/>
        </w:rPr>
        <w:tab/>
        <w:t>Sentencia de Segunda Instancia, 12 de diciembre de 2018</w:t>
      </w:r>
    </w:p>
    <w:p w:rsidR="00125A56" w:rsidRPr="00125A56" w:rsidRDefault="00125A56" w:rsidP="00125A56">
      <w:pPr>
        <w:jc w:val="both"/>
        <w:rPr>
          <w:rFonts w:ascii="Arial" w:hAnsi="Arial" w:cs="Arial"/>
          <w:sz w:val="20"/>
          <w:szCs w:val="20"/>
        </w:rPr>
      </w:pPr>
      <w:r w:rsidRPr="00125A56">
        <w:rPr>
          <w:rFonts w:ascii="Arial" w:hAnsi="Arial" w:cs="Arial"/>
          <w:sz w:val="20"/>
          <w:szCs w:val="20"/>
        </w:rPr>
        <w:t>Radicación No:</w:t>
      </w:r>
      <w:r w:rsidRPr="00125A56">
        <w:rPr>
          <w:rFonts w:ascii="Arial" w:hAnsi="Arial" w:cs="Arial"/>
          <w:sz w:val="20"/>
          <w:szCs w:val="20"/>
        </w:rPr>
        <w:tab/>
      </w:r>
      <w:r w:rsidRPr="00125A56">
        <w:rPr>
          <w:rFonts w:ascii="Arial" w:hAnsi="Arial" w:cs="Arial"/>
          <w:sz w:val="20"/>
          <w:szCs w:val="20"/>
        </w:rPr>
        <w:tab/>
        <w:t>66001-31-05-004-2017-00077-01</w:t>
      </w:r>
    </w:p>
    <w:p w:rsidR="00125A56" w:rsidRPr="00125A56" w:rsidRDefault="00125A56" w:rsidP="00125A56">
      <w:pPr>
        <w:jc w:val="both"/>
        <w:rPr>
          <w:rFonts w:ascii="Arial" w:hAnsi="Arial" w:cs="Arial"/>
          <w:sz w:val="20"/>
          <w:szCs w:val="20"/>
        </w:rPr>
      </w:pPr>
      <w:r w:rsidRPr="00125A56">
        <w:rPr>
          <w:rFonts w:ascii="Arial" w:hAnsi="Arial" w:cs="Arial"/>
          <w:sz w:val="20"/>
          <w:szCs w:val="20"/>
        </w:rPr>
        <w:t>Proceso:</w:t>
      </w:r>
      <w:r w:rsidRPr="00125A56">
        <w:rPr>
          <w:rFonts w:ascii="Arial" w:hAnsi="Arial" w:cs="Arial"/>
          <w:sz w:val="20"/>
          <w:szCs w:val="20"/>
        </w:rPr>
        <w:tab/>
      </w:r>
      <w:r w:rsidRPr="00125A56">
        <w:rPr>
          <w:rFonts w:ascii="Arial" w:hAnsi="Arial" w:cs="Arial"/>
          <w:sz w:val="20"/>
          <w:szCs w:val="20"/>
        </w:rPr>
        <w:tab/>
        <w:t>Ordinario Laboral</w:t>
      </w:r>
    </w:p>
    <w:p w:rsidR="00125A56" w:rsidRPr="00125A56" w:rsidRDefault="00125A56" w:rsidP="00125A56">
      <w:pPr>
        <w:jc w:val="both"/>
        <w:rPr>
          <w:rFonts w:ascii="Arial" w:hAnsi="Arial" w:cs="Arial"/>
          <w:sz w:val="20"/>
          <w:szCs w:val="20"/>
        </w:rPr>
      </w:pPr>
      <w:r w:rsidRPr="00125A56">
        <w:rPr>
          <w:rFonts w:ascii="Arial" w:hAnsi="Arial" w:cs="Arial"/>
          <w:sz w:val="20"/>
          <w:szCs w:val="20"/>
        </w:rPr>
        <w:t>Demandante</w:t>
      </w:r>
      <w:r>
        <w:rPr>
          <w:rFonts w:ascii="Arial" w:hAnsi="Arial" w:cs="Arial"/>
          <w:sz w:val="20"/>
          <w:szCs w:val="20"/>
        </w:rPr>
        <w:t>:</w:t>
      </w:r>
      <w:r w:rsidRPr="00125A56">
        <w:rPr>
          <w:rFonts w:ascii="Arial" w:hAnsi="Arial" w:cs="Arial"/>
          <w:sz w:val="20"/>
          <w:szCs w:val="20"/>
        </w:rPr>
        <w:tab/>
      </w:r>
      <w:r w:rsidRPr="00125A56">
        <w:rPr>
          <w:rFonts w:ascii="Arial" w:hAnsi="Arial" w:cs="Arial"/>
          <w:sz w:val="20"/>
          <w:szCs w:val="20"/>
        </w:rPr>
        <w:tab/>
      </w:r>
      <w:r w:rsidR="003C59A8">
        <w:rPr>
          <w:rFonts w:ascii="Arial" w:hAnsi="Arial" w:cs="Arial"/>
          <w:sz w:val="20"/>
          <w:szCs w:val="20"/>
        </w:rPr>
        <w:t>Ronald Alan Perry</w:t>
      </w:r>
    </w:p>
    <w:p w:rsidR="00125A56" w:rsidRPr="00125A56" w:rsidRDefault="00125A56" w:rsidP="00125A56">
      <w:pPr>
        <w:jc w:val="both"/>
        <w:rPr>
          <w:rFonts w:ascii="Arial" w:hAnsi="Arial" w:cs="Arial"/>
          <w:sz w:val="20"/>
          <w:szCs w:val="20"/>
        </w:rPr>
      </w:pPr>
      <w:r w:rsidRPr="00125A56">
        <w:rPr>
          <w:rFonts w:ascii="Arial" w:hAnsi="Arial" w:cs="Arial"/>
          <w:sz w:val="20"/>
          <w:szCs w:val="20"/>
        </w:rPr>
        <w:t>Demandado:</w:t>
      </w:r>
      <w:r w:rsidRPr="00125A56">
        <w:rPr>
          <w:rFonts w:ascii="Arial" w:hAnsi="Arial" w:cs="Arial"/>
          <w:sz w:val="20"/>
          <w:szCs w:val="20"/>
        </w:rPr>
        <w:tab/>
      </w:r>
      <w:r w:rsidRPr="00125A56">
        <w:rPr>
          <w:rFonts w:ascii="Arial" w:hAnsi="Arial" w:cs="Arial"/>
          <w:sz w:val="20"/>
          <w:szCs w:val="20"/>
        </w:rPr>
        <w:tab/>
        <w:t>Colpensiones y Protección S</w:t>
      </w:r>
      <w:r w:rsidR="003C59A8">
        <w:rPr>
          <w:rFonts w:ascii="Arial" w:hAnsi="Arial" w:cs="Arial"/>
          <w:sz w:val="20"/>
          <w:szCs w:val="20"/>
        </w:rPr>
        <w:t>.</w:t>
      </w:r>
      <w:r w:rsidRPr="00125A56">
        <w:rPr>
          <w:rFonts w:ascii="Arial" w:hAnsi="Arial" w:cs="Arial"/>
          <w:sz w:val="20"/>
          <w:szCs w:val="20"/>
        </w:rPr>
        <w:t>A</w:t>
      </w:r>
      <w:r w:rsidR="003C59A8">
        <w:rPr>
          <w:rFonts w:ascii="Arial" w:hAnsi="Arial" w:cs="Arial"/>
          <w:sz w:val="20"/>
          <w:szCs w:val="20"/>
        </w:rPr>
        <w:t>.</w:t>
      </w:r>
    </w:p>
    <w:p w:rsidR="00125A56" w:rsidRPr="00125A56" w:rsidRDefault="00125A56" w:rsidP="00125A56">
      <w:pPr>
        <w:jc w:val="both"/>
        <w:rPr>
          <w:rFonts w:ascii="Arial" w:hAnsi="Arial" w:cs="Arial"/>
          <w:sz w:val="20"/>
          <w:szCs w:val="20"/>
        </w:rPr>
      </w:pPr>
      <w:r w:rsidRPr="00125A56">
        <w:rPr>
          <w:rFonts w:ascii="Arial" w:hAnsi="Arial" w:cs="Arial"/>
          <w:sz w:val="20"/>
          <w:szCs w:val="20"/>
        </w:rPr>
        <w:t>Juzgado de origen:</w:t>
      </w:r>
      <w:r w:rsidRPr="00125A56">
        <w:rPr>
          <w:rFonts w:ascii="Arial" w:hAnsi="Arial" w:cs="Arial"/>
          <w:sz w:val="20"/>
          <w:szCs w:val="20"/>
        </w:rPr>
        <w:tab/>
        <w:t>Cuarto Laboral del Circuito de Pereira</w:t>
      </w:r>
    </w:p>
    <w:p w:rsidR="00125A56" w:rsidRPr="00125A56" w:rsidRDefault="00125A56" w:rsidP="00125A56">
      <w:pPr>
        <w:jc w:val="both"/>
        <w:rPr>
          <w:rFonts w:ascii="Arial" w:hAnsi="Arial" w:cs="Arial"/>
          <w:sz w:val="20"/>
          <w:szCs w:val="20"/>
        </w:rPr>
      </w:pPr>
      <w:r w:rsidRPr="00125A56">
        <w:rPr>
          <w:rFonts w:ascii="Arial" w:hAnsi="Arial" w:cs="Arial"/>
          <w:sz w:val="20"/>
          <w:szCs w:val="20"/>
        </w:rPr>
        <w:t>M</w:t>
      </w:r>
      <w:r w:rsidR="003C59A8">
        <w:rPr>
          <w:rFonts w:ascii="Arial" w:hAnsi="Arial" w:cs="Arial"/>
          <w:sz w:val="20"/>
          <w:szCs w:val="20"/>
        </w:rPr>
        <w:t>agistrado Ponente:</w:t>
      </w:r>
      <w:r w:rsidRPr="00125A56">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6826EA" w:rsidRDefault="008E722C" w:rsidP="006826EA">
      <w:pPr>
        <w:autoSpaceDE w:val="0"/>
        <w:autoSpaceDN w:val="0"/>
        <w:adjustRightInd w:val="0"/>
        <w:jc w:val="both"/>
        <w:rPr>
          <w:rFonts w:ascii="Arial" w:hAnsi="Arial" w:cs="Arial"/>
          <w:b/>
          <w:bCs/>
          <w:sz w:val="20"/>
          <w:szCs w:val="18"/>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6826EA">
        <w:rPr>
          <w:rFonts w:ascii="Arial" w:hAnsi="Arial" w:cs="Arial"/>
          <w:b/>
          <w:bCs/>
          <w:sz w:val="20"/>
          <w:szCs w:val="18"/>
        </w:rPr>
        <w:t>TRASLADO DE RÉGIMEN PENSIONAL / INEFICACIA / DEBER DE INFORMACIÓN / REQUISITOS / CARGA PROBATORIA INCUMBE AL FONDO DE PENSIONES.</w:t>
      </w:r>
    </w:p>
    <w:p w:rsidR="006826EA" w:rsidRDefault="006826EA" w:rsidP="006826EA">
      <w:pPr>
        <w:jc w:val="both"/>
        <w:rPr>
          <w:rFonts w:ascii="Arial" w:hAnsi="Arial" w:cs="Arial"/>
          <w:sz w:val="20"/>
        </w:rPr>
      </w:pPr>
    </w:p>
    <w:p w:rsidR="006826EA" w:rsidRPr="001F2D4C" w:rsidRDefault="006826EA" w:rsidP="006826EA">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6826EA" w:rsidRPr="001F2D4C" w:rsidRDefault="006826EA" w:rsidP="006826EA">
      <w:pPr>
        <w:jc w:val="both"/>
        <w:rPr>
          <w:rFonts w:ascii="Arial" w:hAnsi="Arial" w:cs="Arial"/>
          <w:sz w:val="20"/>
        </w:rPr>
      </w:pPr>
    </w:p>
    <w:p w:rsidR="006826EA" w:rsidRDefault="006826EA" w:rsidP="006826EA">
      <w:pPr>
        <w:jc w:val="both"/>
        <w:rPr>
          <w:rFonts w:ascii="Arial" w:hAnsi="Arial" w:cs="Arial"/>
          <w:sz w:val="20"/>
        </w:rPr>
      </w:pPr>
      <w:r w:rsidRPr="001F2D4C">
        <w:rPr>
          <w:rFonts w:ascii="Arial" w:hAnsi="Arial" w:cs="Arial"/>
          <w:sz w:val="20"/>
        </w:rPr>
        <w:t xml:space="preserve">Lo acabado de referir toca, también, con la definición de a quién pesa la carga de demostrar tal deber de información, que como se verá corresponde en todos los casos a </w:t>
      </w:r>
      <w:r>
        <w:rPr>
          <w:rFonts w:ascii="Arial" w:hAnsi="Arial" w:cs="Arial"/>
          <w:sz w:val="20"/>
        </w:rPr>
        <w:t>la administradora de pensiones.</w:t>
      </w:r>
    </w:p>
    <w:p w:rsidR="006826EA" w:rsidRPr="00BD34C2" w:rsidRDefault="006826EA" w:rsidP="006826EA">
      <w:pPr>
        <w:jc w:val="both"/>
        <w:rPr>
          <w:rFonts w:ascii="Arial" w:hAnsi="Arial" w:cs="Arial"/>
          <w:sz w:val="20"/>
        </w:rPr>
      </w:pPr>
    </w:p>
    <w:p w:rsidR="006826EA" w:rsidRPr="001F2D4C" w:rsidRDefault="006826EA" w:rsidP="006826EA">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(Sublíneas fuera del texto)</w:t>
      </w:r>
    </w:p>
    <w:p w:rsidR="006826EA" w:rsidRPr="00BD34C2" w:rsidRDefault="006826EA" w:rsidP="006826EA">
      <w:pPr>
        <w:jc w:val="both"/>
        <w:rPr>
          <w:rFonts w:ascii="Arial" w:hAnsi="Arial" w:cs="Arial"/>
          <w:sz w:val="20"/>
        </w:rPr>
      </w:pPr>
    </w:p>
    <w:p w:rsidR="006826EA" w:rsidRPr="00BD34C2" w:rsidRDefault="006826EA" w:rsidP="006826EA">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6826EA" w:rsidRPr="00BD34C2" w:rsidRDefault="006826EA" w:rsidP="006826EA">
      <w:pPr>
        <w:jc w:val="both"/>
        <w:rPr>
          <w:rFonts w:ascii="Arial" w:hAnsi="Arial" w:cs="Arial"/>
          <w:sz w:val="20"/>
        </w:rPr>
      </w:pPr>
    </w:p>
    <w:p w:rsidR="006826EA" w:rsidRPr="00BD34C2" w:rsidRDefault="006826EA" w:rsidP="006826EA">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6826EA" w:rsidRPr="00BD34C2" w:rsidRDefault="006826EA" w:rsidP="006826EA">
      <w:pPr>
        <w:jc w:val="both"/>
        <w:rPr>
          <w:rFonts w:ascii="Arial" w:hAnsi="Arial" w:cs="Arial"/>
          <w:sz w:val="20"/>
        </w:rPr>
      </w:pPr>
    </w:p>
    <w:p w:rsidR="006826EA" w:rsidRPr="00BD34C2" w:rsidRDefault="006826EA" w:rsidP="006826EA">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6826EA" w:rsidRDefault="006826EA" w:rsidP="006826EA">
      <w:pPr>
        <w:jc w:val="both"/>
        <w:rPr>
          <w:rFonts w:ascii="Arial" w:hAnsi="Arial" w:cs="Arial"/>
          <w:sz w:val="20"/>
          <w:lang w:val="es-CO"/>
        </w:rPr>
      </w:pPr>
    </w:p>
    <w:p w:rsidR="006826EA" w:rsidRPr="007E7095" w:rsidRDefault="006826EA" w:rsidP="006826EA">
      <w:pPr>
        <w:jc w:val="both"/>
        <w:rPr>
          <w:rFonts w:ascii="Arial" w:hAnsi="Arial" w:cs="Arial"/>
          <w:sz w:val="20"/>
        </w:rPr>
      </w:pPr>
      <w:r w:rsidRPr="007E7095">
        <w:rPr>
          <w:rFonts w:ascii="Arial" w:hAnsi="Arial" w:cs="Arial"/>
          <w:sz w:val="20"/>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“prueba de la diligencia o cuidado incumbe al que ha debido emplearlo.</w:t>
      </w:r>
    </w:p>
    <w:p w:rsidR="006826EA" w:rsidRDefault="006826EA" w:rsidP="006826EA">
      <w:pPr>
        <w:jc w:val="both"/>
        <w:rPr>
          <w:rFonts w:ascii="Arial" w:hAnsi="Arial" w:cs="Arial"/>
          <w:sz w:val="20"/>
        </w:rPr>
      </w:pPr>
    </w:p>
    <w:p w:rsidR="006826EA" w:rsidRPr="00976F74" w:rsidRDefault="006826EA" w:rsidP="006826EA">
      <w:pPr>
        <w:jc w:val="both"/>
        <w:rPr>
          <w:rFonts w:ascii="Arial" w:hAnsi="Arial" w:cs="Arial"/>
          <w:b/>
          <w:color w:val="FF0000"/>
          <w:sz w:val="20"/>
        </w:rPr>
      </w:pPr>
      <w:r w:rsidRPr="00976F74">
        <w:rPr>
          <w:rFonts w:ascii="Arial" w:hAnsi="Arial" w:cs="Arial"/>
          <w:b/>
          <w:color w:val="FF0000"/>
          <w:sz w:val="20"/>
        </w:rPr>
        <w:t>SALVAMENTO DE VOTO: DOCTOR JULIO CÉSAR SALAZAR MUÑOZ</w:t>
      </w:r>
    </w:p>
    <w:p w:rsidR="006826EA" w:rsidRDefault="006826EA" w:rsidP="006826EA">
      <w:pPr>
        <w:jc w:val="both"/>
        <w:rPr>
          <w:rFonts w:ascii="Arial" w:hAnsi="Arial" w:cs="Arial"/>
          <w:sz w:val="20"/>
        </w:rPr>
      </w:pPr>
    </w:p>
    <w:p w:rsidR="006826EA" w:rsidRPr="006826EA" w:rsidRDefault="006826EA" w:rsidP="006826EA">
      <w:pPr>
        <w:jc w:val="both"/>
        <w:rPr>
          <w:rFonts w:ascii="Arial" w:hAnsi="Arial" w:cs="Arial"/>
          <w:sz w:val="20"/>
        </w:rPr>
      </w:pPr>
      <w:r w:rsidRPr="006826EA">
        <w:rPr>
          <w:rFonts w:ascii="Arial" w:hAnsi="Arial" w:cs="Arial"/>
          <w:sz w:val="20"/>
        </w:rPr>
        <w:t xml:space="preserve">Conforme con lo expuesto, más allá de afirmarse en la demanda –fls.54 a 67- que el señor Ronald Alan Perry no recibió la información suficiente que le advirtiera sobre las implicaciones que traía trasladarse del RPM al RAIS, la verdad es que no quedó demostrado que se le haya brindado información contraria a lo dispuesto en los artículos 59 y siguientes de la Ley 100 de 1993 que pudiera llevar a concluir que lo manifestado por la AFP Colmena S.A. no obedecía a lo establecido en la Ley; por el contrario, lo que se acredita en el proceso con los propios dichos del accionante, es que la asesoría brindada por el fondo privado era cierta en consideración a que efectivamente en ese régimen pensional existe la posibilidad, no la exigencia, de pensionarse anticipadamente, que el monto de la pensión depende del capital que se encuentre en la cuenta de ahorro individual con sus rendimientos y el bono pensional que se genere por los tiempos de servicios cotizados en el ISS, así como de las cotizaciones voluntarias que deseé realizar, e igualmente que los ahorros acumulados pueden ser incluidos en la masa sucesoral en caso de que el afiliado fallezca; siendo del caso recordar que la información que indicaba </w:t>
      </w:r>
      <w:r w:rsidRPr="006826EA">
        <w:rPr>
          <w:rFonts w:ascii="Arial" w:hAnsi="Arial" w:cs="Arial"/>
          <w:sz w:val="20"/>
        </w:rPr>
        <w:lastRenderedPageBreak/>
        <w:t>que el ISS se iba a liquidar, no fueron realizados por la asesora de la AFP con el fin de generar la afiliación del demandante, sino que, como lo expresó el señor Javier Vanegas Salgado, esa era una información que rondaba en los pasillos del claustro universitario.</w:t>
      </w:r>
    </w:p>
    <w:p w:rsidR="006826EA" w:rsidRPr="006826EA" w:rsidRDefault="006826EA" w:rsidP="006826EA">
      <w:pPr>
        <w:jc w:val="both"/>
        <w:rPr>
          <w:rFonts w:ascii="Arial" w:hAnsi="Arial" w:cs="Arial"/>
          <w:sz w:val="20"/>
        </w:rPr>
      </w:pPr>
    </w:p>
    <w:p w:rsidR="006826EA" w:rsidRPr="006826EA" w:rsidRDefault="006826EA" w:rsidP="006826EA">
      <w:pPr>
        <w:jc w:val="both"/>
        <w:rPr>
          <w:rFonts w:ascii="Arial" w:hAnsi="Arial" w:cs="Arial"/>
          <w:sz w:val="20"/>
        </w:rPr>
      </w:pPr>
      <w:r w:rsidRPr="006826EA">
        <w:rPr>
          <w:rFonts w:ascii="Arial" w:hAnsi="Arial" w:cs="Arial"/>
          <w:sz w:val="20"/>
        </w:rPr>
        <w:t>Es que no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el actor, ya que después de 1º de diciembre de 1999 cuando realizó la selección inicial del régimen de ahorro individual con solidaridad, decidió permanecer afiliado a ese régimen pensional.</w:t>
      </w:r>
    </w:p>
    <w:p w:rsidR="006826EA" w:rsidRPr="006826EA" w:rsidRDefault="006826EA" w:rsidP="006826EA">
      <w:pPr>
        <w:jc w:val="both"/>
        <w:rPr>
          <w:rFonts w:ascii="Arial" w:hAnsi="Arial" w:cs="Arial"/>
          <w:sz w:val="20"/>
        </w:rPr>
      </w:pPr>
    </w:p>
    <w:p w:rsidR="006826EA" w:rsidRPr="006826EA" w:rsidRDefault="006826EA" w:rsidP="006826EA">
      <w:pPr>
        <w:jc w:val="both"/>
        <w:rPr>
          <w:rFonts w:ascii="Arial" w:hAnsi="Arial" w:cs="Arial"/>
          <w:sz w:val="20"/>
        </w:rPr>
      </w:pPr>
      <w:r w:rsidRPr="006826EA">
        <w:rPr>
          <w:rFonts w:ascii="Arial" w:hAnsi="Arial" w:cs="Arial"/>
          <w:sz w:val="20"/>
        </w:rPr>
        <w:t>Así las cosas, al no pertenecer al régimen de transición, no haber pedido la nulidad del acto dentro de los cuatro años siguientes al mismo y al no quedar acreditado que el traslado efectuado por la actora ocurrió por un engaño en el que lo hizo incurrir la AFP y que él no hizo uso oportuno de la facultad de trasladarse, necesario resulta concluir que el acto del traslado no se puede pregonar nulo ni mucho menos resulta ineficaz, motivo por el que se debió revocar en su integridad la sentencia proferida por el Juzgado Cuarto Laboral del Circuito el 7 de noviembre de 2017.</w:t>
      </w:r>
    </w:p>
    <w:p w:rsidR="005761C8" w:rsidRPr="006826EA" w:rsidRDefault="005761C8" w:rsidP="006826EA">
      <w:pPr>
        <w:jc w:val="both"/>
        <w:rPr>
          <w:rFonts w:ascii="Arial" w:hAnsi="Arial" w:cs="Arial"/>
          <w:sz w:val="20"/>
        </w:rPr>
      </w:pPr>
    </w:p>
    <w:p w:rsidR="009050FA" w:rsidRPr="009050FA" w:rsidRDefault="009050FA" w:rsidP="009050FA">
      <w:pPr>
        <w:jc w:val="both"/>
        <w:rPr>
          <w:rFonts w:ascii="Arial" w:hAnsi="Arial" w:cs="Arial"/>
          <w:sz w:val="20"/>
          <w:szCs w:val="20"/>
        </w:rPr>
      </w:pPr>
    </w:p>
    <w:p w:rsidR="009050FA" w:rsidRDefault="009050FA" w:rsidP="009050FA">
      <w:pPr>
        <w:jc w:val="both"/>
        <w:rPr>
          <w:rFonts w:ascii="Arial" w:hAnsi="Arial" w:cs="Arial"/>
          <w:sz w:val="20"/>
          <w:szCs w:val="20"/>
        </w:rPr>
      </w:pPr>
    </w:p>
    <w:p w:rsidR="003C59A8" w:rsidRPr="00C33D74" w:rsidRDefault="003C59A8" w:rsidP="003C59A8">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3C59A8" w:rsidRPr="00C33D74" w:rsidRDefault="003C59A8" w:rsidP="003C59A8">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6BBA8C8A" wp14:editId="6EAE8876">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3C59A8" w:rsidRPr="00C33D74" w:rsidRDefault="003C59A8" w:rsidP="003C59A8">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3C59A8" w:rsidRPr="003C59A8" w:rsidRDefault="003C59A8" w:rsidP="003C59A8">
      <w:pPr>
        <w:spacing w:line="288" w:lineRule="auto"/>
        <w:jc w:val="both"/>
        <w:rPr>
          <w:rFonts w:ascii="Arial Narrow" w:hAnsi="Arial Narrow" w:cs="Arial"/>
          <w:sz w:val="26"/>
          <w:szCs w:val="26"/>
        </w:rPr>
      </w:pPr>
    </w:p>
    <w:p w:rsidR="00243152" w:rsidRPr="003C59A8" w:rsidRDefault="00243152" w:rsidP="003C59A8">
      <w:pPr>
        <w:autoSpaceDE w:val="0"/>
        <w:autoSpaceDN w:val="0"/>
        <w:adjustRightInd w:val="0"/>
        <w:spacing w:line="288" w:lineRule="auto"/>
        <w:ind w:left="2127" w:hanging="2127"/>
        <w:jc w:val="both"/>
        <w:rPr>
          <w:rFonts w:ascii="Arial Narrow" w:hAnsi="Arial Narrow"/>
          <w:sz w:val="26"/>
          <w:szCs w:val="26"/>
        </w:rPr>
      </w:pPr>
    </w:p>
    <w:p w:rsidR="00243152" w:rsidRPr="003C59A8" w:rsidRDefault="00243152" w:rsidP="003C59A8">
      <w:pPr>
        <w:spacing w:line="288" w:lineRule="auto"/>
        <w:ind w:firstLine="840"/>
        <w:rPr>
          <w:rFonts w:ascii="Arial Narrow" w:hAnsi="Arial Narrow" w:cs="Arial"/>
          <w:b/>
          <w:sz w:val="26"/>
          <w:szCs w:val="26"/>
        </w:rPr>
      </w:pPr>
      <w:r w:rsidRPr="003C59A8">
        <w:rPr>
          <w:rFonts w:ascii="Arial Narrow" w:hAnsi="Arial Narrow" w:cs="Arial"/>
          <w:b/>
          <w:sz w:val="26"/>
          <w:szCs w:val="26"/>
          <w:u w:val="single"/>
        </w:rPr>
        <w:t>AUDIENCIA PÚBLICA</w:t>
      </w:r>
      <w:r w:rsidRPr="003C59A8">
        <w:rPr>
          <w:rFonts w:ascii="Arial Narrow" w:hAnsi="Arial Narrow" w:cs="Arial"/>
          <w:b/>
          <w:sz w:val="26"/>
          <w:szCs w:val="26"/>
        </w:rPr>
        <w:t xml:space="preserve">: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851"/>
        <w:jc w:val="both"/>
        <w:rPr>
          <w:rFonts w:ascii="Arial Narrow" w:hAnsi="Arial Narrow" w:cs="Arial"/>
          <w:bCs/>
          <w:iCs/>
          <w:sz w:val="26"/>
          <w:szCs w:val="26"/>
        </w:rPr>
      </w:pPr>
      <w:r w:rsidRPr="003C59A8">
        <w:rPr>
          <w:rFonts w:ascii="Arial Narrow" w:eastAsia="Calibri" w:hAnsi="Arial Narrow" w:cs="Arial"/>
          <w:sz w:val="26"/>
          <w:szCs w:val="26"/>
          <w:lang w:val="es-CO" w:eastAsia="en-US"/>
        </w:rPr>
        <w:t xml:space="preserve">En Pereira, a los doce (12) días del mes de diciembre de dos mil dieciocho (2018), siendo las dos y veinte de la tarde (2:20 p.m.), </w:t>
      </w:r>
      <w:r w:rsidRPr="003C59A8">
        <w:rPr>
          <w:rFonts w:ascii="Arial Narrow" w:hAnsi="Arial Narrow" w:cs="Tahoma"/>
          <w:bCs/>
          <w:sz w:val="26"/>
          <w:szCs w:val="26"/>
          <w:lang w:eastAsia="es-CO"/>
        </w:rPr>
        <w:t xml:space="preserve">reunidos en la </w:t>
      </w:r>
      <w:r w:rsidRPr="003C59A8">
        <w:rPr>
          <w:rFonts w:ascii="Arial Narrow" w:hAnsi="Arial Narrow" w:cs="Tahoma"/>
          <w:bCs/>
          <w:color w:val="000000"/>
          <w:sz w:val="26"/>
          <w:szCs w:val="26"/>
          <w:lang w:eastAsia="es-CO"/>
        </w:rPr>
        <w:t>Sala de Audiencia la magistrada y los magistrados de la Sala Tercera de Decisión Laboral del Tribunal Superior de Pereira, el ponente declara abierto el acto, que tiene por objeto resolver el recurso de apelación interpuesto por la parte demandada contra la sentencia proferida el 7 de noviembre de 2017 por el J</w:t>
      </w:r>
      <w:r w:rsidRPr="003C59A8">
        <w:rPr>
          <w:rFonts w:ascii="Arial Narrow" w:hAnsi="Arial Narrow" w:cs="Arial"/>
          <w:sz w:val="26"/>
          <w:szCs w:val="26"/>
        </w:rPr>
        <w:t xml:space="preserve">uzgado Cuarto Laboral del Circuito de Pereira, dentro del proceso ordinario laboral promovido por </w:t>
      </w:r>
      <w:r w:rsidRPr="003C59A8">
        <w:rPr>
          <w:rFonts w:ascii="Arial Narrow" w:hAnsi="Arial Narrow" w:cs="Arial"/>
          <w:b/>
          <w:sz w:val="26"/>
          <w:szCs w:val="26"/>
        </w:rPr>
        <w:t xml:space="preserve">Ronald Alan Perry </w:t>
      </w:r>
      <w:r w:rsidRPr="003C59A8">
        <w:rPr>
          <w:rFonts w:ascii="Arial Narrow" w:hAnsi="Arial Narrow" w:cs="Arial"/>
          <w:sz w:val="26"/>
          <w:szCs w:val="26"/>
        </w:rPr>
        <w:t xml:space="preserve">contra la </w:t>
      </w:r>
      <w:r w:rsidRPr="003C59A8">
        <w:rPr>
          <w:rFonts w:ascii="Arial Narrow" w:hAnsi="Arial Narrow" w:cs="Arial"/>
          <w:b/>
          <w:sz w:val="26"/>
          <w:szCs w:val="26"/>
        </w:rPr>
        <w:t xml:space="preserve">Administradora Colombiana de Pensiones </w:t>
      </w:r>
      <w:r w:rsidRPr="003C59A8">
        <w:rPr>
          <w:rFonts w:ascii="Arial Narrow" w:hAnsi="Arial Narrow" w:cs="Arial"/>
          <w:b/>
          <w:bCs/>
          <w:sz w:val="26"/>
          <w:szCs w:val="26"/>
        </w:rPr>
        <w:t xml:space="preserve">Colpensiones </w:t>
      </w:r>
      <w:r w:rsidRPr="003C59A8">
        <w:rPr>
          <w:rFonts w:ascii="Arial Narrow" w:hAnsi="Arial Narrow" w:cs="Arial"/>
          <w:bCs/>
          <w:sz w:val="26"/>
          <w:szCs w:val="26"/>
        </w:rPr>
        <w:t>y la</w:t>
      </w:r>
      <w:r w:rsidRPr="003C59A8">
        <w:rPr>
          <w:rFonts w:ascii="Arial Narrow" w:hAnsi="Arial Narrow" w:cs="Arial"/>
          <w:b/>
          <w:bCs/>
          <w:sz w:val="26"/>
          <w:szCs w:val="26"/>
        </w:rPr>
        <w:t xml:space="preserve"> AFP Protección  S.A.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hd w:val="clear" w:color="auto" w:fill="FFFFFF"/>
        <w:spacing w:line="288" w:lineRule="auto"/>
        <w:ind w:firstLine="708"/>
        <w:jc w:val="both"/>
        <w:rPr>
          <w:rFonts w:ascii="Arial Narrow" w:hAnsi="Arial Narrow" w:cs="Tahoma"/>
          <w:b/>
          <w:bCs/>
          <w:color w:val="000000"/>
          <w:sz w:val="26"/>
          <w:szCs w:val="26"/>
          <w:lang w:eastAsia="es-CO"/>
        </w:rPr>
      </w:pPr>
      <w:r w:rsidRPr="003C59A8">
        <w:rPr>
          <w:rFonts w:ascii="Arial Narrow" w:hAnsi="Arial Narrow" w:cs="Tahoma"/>
          <w:b/>
          <w:bCs/>
          <w:color w:val="000000"/>
          <w:sz w:val="26"/>
          <w:szCs w:val="26"/>
          <w:lang w:eastAsia="es-CO"/>
        </w:rPr>
        <w:t>IDENTIFICACIÓN DE LOS PRESENTES:</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3C59A8">
        <w:rPr>
          <w:rFonts w:ascii="Arial Narrow" w:hAnsi="Arial Narrow" w:cs="Tahoma"/>
          <w:b/>
          <w:bCs/>
          <w:color w:val="000000"/>
          <w:sz w:val="26"/>
          <w:szCs w:val="26"/>
          <w:lang w:eastAsia="es-CO"/>
        </w:rPr>
        <w:t>INTRODUCCIÓN</w:t>
      </w:r>
    </w:p>
    <w:p w:rsidR="00243152" w:rsidRPr="003C59A8" w:rsidRDefault="00243152" w:rsidP="003C59A8">
      <w:pPr>
        <w:pStyle w:val="Prrafodelista"/>
        <w:shd w:val="clear" w:color="auto" w:fill="FFFFFF"/>
        <w:spacing w:line="288" w:lineRule="auto"/>
        <w:ind w:left="1428"/>
        <w:jc w:val="both"/>
        <w:rPr>
          <w:rFonts w:ascii="Arial Narrow" w:hAnsi="Arial Narrow" w:cs="Tahoma"/>
          <w:b/>
          <w:bCs/>
          <w:color w:val="000000"/>
          <w:sz w:val="26"/>
          <w:szCs w:val="26"/>
          <w:lang w:eastAsia="es-CO"/>
        </w:rPr>
      </w:pPr>
    </w:p>
    <w:p w:rsidR="00243152" w:rsidRPr="003C59A8" w:rsidRDefault="00243152" w:rsidP="003C59A8">
      <w:pPr>
        <w:shd w:val="clear" w:color="auto" w:fill="FFFFFF"/>
        <w:spacing w:line="288" w:lineRule="auto"/>
        <w:ind w:firstLine="708"/>
        <w:jc w:val="both"/>
        <w:rPr>
          <w:rFonts w:ascii="Arial Narrow" w:hAnsi="Arial Narrow"/>
          <w:sz w:val="26"/>
          <w:szCs w:val="26"/>
        </w:rPr>
      </w:pPr>
      <w:r w:rsidRPr="003C59A8">
        <w:rPr>
          <w:rFonts w:ascii="Arial Narrow" w:hAnsi="Arial Narrow" w:cs="Tahoma"/>
          <w:bCs/>
          <w:sz w:val="26"/>
          <w:szCs w:val="26"/>
          <w:lang w:eastAsia="es-CO"/>
        </w:rPr>
        <w:t xml:space="preserve">De manera previa, se pone en conocimiento de las partes la documental aportada por las entidades demandadas en respuesta al requerimiento que hiciere esta Sala mediante autos del 9 de agosto y  26 de octubre de los corrientes, para que manifiesten lo que estimen pertinente. </w:t>
      </w:r>
    </w:p>
    <w:p w:rsidR="00243152" w:rsidRPr="003C59A8" w:rsidRDefault="00243152" w:rsidP="003C59A8">
      <w:pPr>
        <w:pStyle w:val="Sinespaciado"/>
        <w:spacing w:line="288" w:lineRule="auto"/>
        <w:rPr>
          <w:rFonts w:ascii="Arial Narrow" w:hAnsi="Arial Narrow"/>
          <w:color w:val="FF0000"/>
          <w:sz w:val="26"/>
          <w:szCs w:val="26"/>
        </w:rPr>
      </w:pPr>
    </w:p>
    <w:p w:rsidR="00243152" w:rsidRDefault="00243152" w:rsidP="003C59A8">
      <w:pPr>
        <w:spacing w:line="288" w:lineRule="auto"/>
        <w:ind w:firstLine="708"/>
        <w:jc w:val="both"/>
        <w:rPr>
          <w:rFonts w:ascii="Arial Narrow" w:hAnsi="Arial Narrow" w:cs="Arial"/>
          <w:sz w:val="26"/>
          <w:szCs w:val="26"/>
        </w:rPr>
      </w:pPr>
      <w:r w:rsidRPr="003C59A8">
        <w:rPr>
          <w:rFonts w:ascii="Arial Narrow" w:hAnsi="Arial Narrow" w:cs="Arial"/>
          <w:sz w:val="26"/>
          <w:szCs w:val="26"/>
        </w:rPr>
        <w:lastRenderedPageBreak/>
        <w:t>Los pormenores de este litigio son: Pretende el demandante que se declare la nulidad o la ineficacia del traslado al régimen de ahorro individual con solidaridad efectuado en el año 2000 a través de la AFP Santander hoy Protección S.A., y en consecuencia, se ordene a esta entidad, a girar a favor de Colpensiones el monto que se encuentre en la cuenta de ahorro individual, y a pagar las costas del proceso a su favor.</w:t>
      </w:r>
    </w:p>
    <w:p w:rsidR="00520483" w:rsidRPr="003C59A8" w:rsidRDefault="00520483" w:rsidP="003C59A8">
      <w:pPr>
        <w:spacing w:line="288" w:lineRule="auto"/>
        <w:ind w:firstLine="708"/>
        <w:jc w:val="both"/>
        <w:rPr>
          <w:rFonts w:ascii="Arial Narrow" w:hAnsi="Arial Narrow" w:cs="Arial"/>
          <w:sz w:val="26"/>
          <w:szCs w:val="26"/>
        </w:rPr>
      </w:pPr>
    </w:p>
    <w:p w:rsidR="00243152" w:rsidRPr="003C59A8" w:rsidRDefault="00243152" w:rsidP="003C59A8">
      <w:pPr>
        <w:pStyle w:val="Sinespaciado"/>
        <w:spacing w:line="288" w:lineRule="auto"/>
        <w:jc w:val="both"/>
        <w:rPr>
          <w:rFonts w:ascii="Arial Narrow" w:hAnsi="Arial Narrow" w:cs="Arial"/>
          <w:sz w:val="26"/>
          <w:szCs w:val="26"/>
        </w:rPr>
      </w:pPr>
      <w:r w:rsidRPr="003C59A8">
        <w:rPr>
          <w:rFonts w:ascii="Arial Narrow" w:hAnsi="Arial Narrow"/>
          <w:sz w:val="26"/>
          <w:szCs w:val="26"/>
        </w:rPr>
        <w:t xml:space="preserve"> </w:t>
      </w:r>
      <w:r w:rsidRPr="003C59A8">
        <w:rPr>
          <w:rFonts w:ascii="Arial Narrow" w:hAnsi="Arial Narrow" w:cs="Tahoma"/>
          <w:sz w:val="26"/>
          <w:szCs w:val="26"/>
        </w:rPr>
        <w:tab/>
        <w:t xml:space="preserve">Como fundamento a esos pedimentos expone que se vinculó al régimen de prima media administrado por el antiguo ISS hoy Colpensiones el 7 de julio de 1995; que </w:t>
      </w:r>
      <w:r w:rsidRPr="003C59A8">
        <w:rPr>
          <w:rFonts w:ascii="Arial Narrow" w:hAnsi="Arial Narrow" w:cs="Arial"/>
          <w:sz w:val="26"/>
          <w:szCs w:val="26"/>
        </w:rPr>
        <w:t xml:space="preserve">el 1º de diciembre de 1999 suscribió formulario de vinculación a la AFP Santander S.A., trasladándose al régimen de ahorro individual con solidaridad; que dicha entidad no le brindó la información idónea que le permitiera tomar una decisión informada, ni le ofreció proyecciones de su expectativa pensional en ambos  regímenes pensionales. Indica que a partir del año 2013 la AFP Protección S.A. asumió todas las obligaciones adquiridas por la AFP Santander S.A. al haber sido absorbida; que el 10 de febrero de 2016 le comunicó a la AFP demandada el interés de trasladarse del RAIS al RPM, situación que reiteró el 9 de noviembre de 2016, empero que, esas solicitudes fueron resueltas negativamente el 16 de noviembre de 2016. Aduce que el 12 de febrero de 2016 diligenció formulario de afiliación a Colpensiones, el cual fue negado bajo el argumento que le faltaban menos de 10 años para acceder al derecho pensional; que el 3 de noviembre de 2016 solicitó las proyecciones de la mesada pensional que eventualmente podría devengar a los 60 y a los 62 años, sin embargo, en respuesta del 30 de noviembre de 2016 se le informó que no era posible realizar el cálculo debido a que en la oficina de bonos pensionales se evidenciaba un error.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708"/>
        <w:jc w:val="both"/>
        <w:rPr>
          <w:rFonts w:ascii="Arial Narrow" w:hAnsi="Arial Narrow" w:cs="Tahoma"/>
          <w:sz w:val="26"/>
          <w:szCs w:val="26"/>
        </w:rPr>
      </w:pPr>
      <w:r w:rsidRPr="003C59A8">
        <w:rPr>
          <w:rFonts w:ascii="Arial Narrow" w:hAnsi="Arial Narrow" w:cs="Tahoma"/>
          <w:sz w:val="26"/>
          <w:szCs w:val="26"/>
        </w:rPr>
        <w:t>En su oportuna contestación, Colpensiones y Protección S.A., se opusieron a las pretensiones y formularon en su defensa distintos medios exceptivos de fondo, tales como: “</w:t>
      </w:r>
      <w:r w:rsidRPr="003C59A8">
        <w:rPr>
          <w:rFonts w:ascii="Arial Narrow" w:hAnsi="Arial Narrow" w:cs="Arial"/>
          <w:sz w:val="26"/>
          <w:szCs w:val="26"/>
        </w:rPr>
        <w:t xml:space="preserve">Inexistencia de la obligación”, “Buena fe”, “Imposibilidad jurídica para cumplir con las obligaciones pretendidas”, </w:t>
      </w:r>
      <w:r w:rsidRPr="003C59A8">
        <w:rPr>
          <w:rFonts w:ascii="Arial Narrow" w:hAnsi="Arial Narrow" w:cs="Tahoma"/>
          <w:sz w:val="26"/>
          <w:szCs w:val="26"/>
        </w:rPr>
        <w:t xml:space="preserve">“Validez de la afiliación”, “Inexistencia de vicios del consentimiento”, “Prescripción”, “Buena fe” y “Caducidad de la acción”, fls.107 y 118.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708"/>
        <w:jc w:val="both"/>
        <w:rPr>
          <w:rFonts w:ascii="Arial Narrow" w:hAnsi="Arial Narrow" w:cs="Arial"/>
          <w:sz w:val="26"/>
          <w:szCs w:val="26"/>
        </w:rPr>
      </w:pPr>
      <w:r w:rsidRPr="003C59A8">
        <w:rPr>
          <w:rFonts w:ascii="Arial Narrow" w:hAnsi="Arial Narrow" w:cs="Tahoma"/>
          <w:sz w:val="26"/>
          <w:szCs w:val="26"/>
        </w:rPr>
        <w:t xml:space="preserve">La jueza del conocimiento, en sentencia del 7 de noviembre de 2017 accedió a las pretensiones de la demanda, al considerar que la AFP demandada no acreditó el cumplimiento al deber de información frene al demandante al momento del traslado de régimen pensional.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708"/>
        <w:jc w:val="both"/>
        <w:rPr>
          <w:rFonts w:ascii="Arial Narrow" w:hAnsi="Arial Narrow" w:cs="Arial"/>
          <w:sz w:val="26"/>
          <w:szCs w:val="26"/>
        </w:rPr>
      </w:pPr>
      <w:r w:rsidRPr="003C59A8">
        <w:rPr>
          <w:rFonts w:ascii="Arial Narrow" w:hAnsi="Arial Narrow" w:cs="Tahoma"/>
          <w:sz w:val="26"/>
          <w:szCs w:val="26"/>
        </w:rPr>
        <w:t xml:space="preserve">Inconforme, </w:t>
      </w:r>
      <w:r w:rsidRPr="003C59A8">
        <w:rPr>
          <w:rFonts w:ascii="Arial Narrow" w:hAnsi="Arial Narrow" w:cs="Arial"/>
          <w:sz w:val="26"/>
          <w:szCs w:val="26"/>
        </w:rPr>
        <w:t xml:space="preserve">el vocero de la parte demandada se alzó contra la decisión en orden a que se revoque  y se le absuelva de las pretensiones, para lo cual enfiló su recurso en que el demandante no es beneficiario del régimen de transición consagrado en el </w:t>
      </w:r>
      <w:r w:rsidR="00D066CF" w:rsidRPr="003C59A8">
        <w:rPr>
          <w:rFonts w:ascii="Arial Narrow" w:hAnsi="Arial Narrow" w:cs="Arial"/>
          <w:sz w:val="26"/>
          <w:szCs w:val="26"/>
        </w:rPr>
        <w:t>artículo</w:t>
      </w:r>
      <w:r w:rsidRPr="003C59A8">
        <w:rPr>
          <w:rFonts w:ascii="Arial Narrow" w:hAnsi="Arial Narrow" w:cs="Arial"/>
          <w:sz w:val="26"/>
          <w:szCs w:val="26"/>
        </w:rPr>
        <w:t xml:space="preserve"> 36 de la Ley 100/93, y por ende, ninguna expectativa pensional o perjuicio pudo haberle ocasionado el traslado al RAIS. Estimó además que las costas procesales deben igualmente ser impuestas a cargo de Colpensiones.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uppressAutoHyphens/>
        <w:spacing w:line="288" w:lineRule="auto"/>
        <w:ind w:firstLine="708"/>
        <w:jc w:val="both"/>
        <w:rPr>
          <w:rFonts w:ascii="Arial Narrow" w:hAnsi="Arial Narrow" w:cs="Arial"/>
          <w:spacing w:val="-2"/>
          <w:sz w:val="26"/>
          <w:szCs w:val="26"/>
        </w:rPr>
      </w:pPr>
      <w:r w:rsidRPr="003C59A8">
        <w:rPr>
          <w:rFonts w:ascii="Arial Narrow" w:hAnsi="Arial Narrow" w:cs="Arial"/>
          <w:spacing w:val="-2"/>
          <w:sz w:val="26"/>
          <w:szCs w:val="26"/>
        </w:rPr>
        <w:t xml:space="preserve">Nota: Por lo reglado en el inciso final del artículo 280 del Código General del Proceso, de aplicación por la integración normativa autorizada por el artículo 145 del Código de Procedimiento </w:t>
      </w:r>
      <w:r w:rsidRPr="003C59A8">
        <w:rPr>
          <w:rFonts w:ascii="Arial Narrow" w:hAnsi="Arial Narrow" w:cs="Arial"/>
          <w:spacing w:val="-2"/>
          <w:sz w:val="26"/>
          <w:szCs w:val="26"/>
        </w:rPr>
        <w:lastRenderedPageBreak/>
        <w:t xml:space="preserve">Laboral y de la Seguridad Social, no es necesario que la Sala se extienda en mayores prolegómenos de este litigio, más cuando son ampliamente conocidos por las partes. </w:t>
      </w:r>
    </w:p>
    <w:p w:rsidR="00243152" w:rsidRPr="003C59A8" w:rsidRDefault="00243152" w:rsidP="003C59A8">
      <w:pPr>
        <w:suppressAutoHyphens/>
        <w:spacing w:line="288" w:lineRule="auto"/>
        <w:ind w:firstLine="708"/>
        <w:jc w:val="both"/>
        <w:rPr>
          <w:rFonts w:ascii="Arial Narrow" w:hAnsi="Arial Narrow" w:cs="Arial"/>
          <w:spacing w:val="-2"/>
          <w:sz w:val="26"/>
          <w:szCs w:val="26"/>
        </w:rPr>
      </w:pPr>
    </w:p>
    <w:p w:rsidR="00243152" w:rsidRPr="003C59A8" w:rsidRDefault="00243152" w:rsidP="003C59A8">
      <w:pPr>
        <w:shd w:val="clear" w:color="auto" w:fill="FFFFFF"/>
        <w:tabs>
          <w:tab w:val="left" w:pos="5197"/>
        </w:tabs>
        <w:spacing w:line="288" w:lineRule="auto"/>
        <w:ind w:firstLine="851"/>
        <w:jc w:val="both"/>
        <w:rPr>
          <w:rFonts w:ascii="Arial Narrow" w:hAnsi="Arial Narrow" w:cs="Tahoma"/>
          <w:b/>
          <w:i/>
          <w:sz w:val="26"/>
          <w:szCs w:val="26"/>
        </w:rPr>
      </w:pPr>
      <w:r w:rsidRPr="003C59A8">
        <w:rPr>
          <w:rFonts w:ascii="Arial Narrow" w:hAnsi="Arial Narrow" w:cs="Tahoma"/>
          <w:b/>
          <w:i/>
          <w:sz w:val="26"/>
          <w:szCs w:val="26"/>
        </w:rPr>
        <w:t>Del problema jurídico.</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3C59A8">
        <w:rPr>
          <w:rFonts w:ascii="Arial Narrow" w:hAnsi="Arial Narrow" w:cs="Tahoma"/>
          <w:color w:val="000000"/>
          <w:sz w:val="26"/>
          <w:szCs w:val="26"/>
          <w:lang w:eastAsia="es-CO"/>
        </w:rPr>
        <w:t>Visto el recuento anterior, la Sala formula el problema jurídico en los siguientes términos:</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900"/>
        <w:jc w:val="both"/>
        <w:rPr>
          <w:rFonts w:ascii="Arial Narrow" w:hAnsi="Arial Narrow" w:cs="Tahoma"/>
          <w:i/>
          <w:sz w:val="26"/>
          <w:szCs w:val="26"/>
        </w:rPr>
      </w:pPr>
      <w:r w:rsidRPr="003C59A8">
        <w:rPr>
          <w:rFonts w:ascii="Arial Narrow" w:hAnsi="Arial Narrow" w:cs="Tahoma"/>
          <w:i/>
          <w:sz w:val="26"/>
          <w:szCs w:val="26"/>
        </w:rPr>
        <w:t>¿Acertó la a-quo al declarar la ineficacia del traslado de régimen pensional que el actor efectuó a la AFP Colmena AIG hoy Protección SA, el 1º de diciembre de 1999, efectivo a partir del mes siguiente?</w:t>
      </w:r>
    </w:p>
    <w:p w:rsidR="00243152" w:rsidRPr="003C59A8" w:rsidRDefault="00243152" w:rsidP="003C59A8">
      <w:pPr>
        <w:spacing w:line="288" w:lineRule="auto"/>
        <w:ind w:firstLine="900"/>
        <w:jc w:val="both"/>
        <w:rPr>
          <w:rFonts w:ascii="Arial Narrow" w:hAnsi="Arial Narrow" w:cs="Tahoma"/>
          <w:i/>
          <w:sz w:val="26"/>
          <w:szCs w:val="26"/>
        </w:rPr>
      </w:pPr>
    </w:p>
    <w:p w:rsidR="00243152" w:rsidRPr="003C59A8" w:rsidRDefault="00243152" w:rsidP="003C59A8">
      <w:pPr>
        <w:tabs>
          <w:tab w:val="left" w:pos="0"/>
          <w:tab w:val="left" w:pos="8647"/>
        </w:tabs>
        <w:suppressAutoHyphens/>
        <w:spacing w:line="288" w:lineRule="auto"/>
        <w:ind w:firstLine="900"/>
        <w:jc w:val="both"/>
        <w:rPr>
          <w:rFonts w:ascii="Arial Narrow" w:hAnsi="Arial Narrow" w:cs="Tahoma"/>
          <w:sz w:val="26"/>
          <w:szCs w:val="26"/>
        </w:rPr>
      </w:pPr>
      <w:r w:rsidRPr="003C59A8">
        <w:rPr>
          <w:rFonts w:ascii="Arial Narrow" w:hAnsi="Arial Narrow" w:cs="Tahoma"/>
          <w:b/>
          <w:i/>
          <w:sz w:val="26"/>
          <w:szCs w:val="26"/>
        </w:rPr>
        <w:t>Alegatos en esta instancia</w:t>
      </w:r>
      <w:r w:rsidRPr="003C59A8">
        <w:rPr>
          <w:rFonts w:ascii="Arial Narrow" w:hAnsi="Arial Narrow" w:cs="Tahoma"/>
          <w:sz w:val="26"/>
          <w:szCs w:val="26"/>
        </w:rPr>
        <w:t>:</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851"/>
        <w:jc w:val="both"/>
        <w:rPr>
          <w:rFonts w:ascii="Arial Narrow" w:hAnsi="Arial Narrow" w:cs="Tahoma"/>
          <w:sz w:val="26"/>
          <w:szCs w:val="26"/>
        </w:rPr>
      </w:pPr>
      <w:r w:rsidRPr="003C59A8">
        <w:rPr>
          <w:rFonts w:ascii="Arial Narrow" w:hAnsi="Arial Narrow" w:cs="Tahoma"/>
          <w:sz w:val="26"/>
          <w:szCs w:val="26"/>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243152" w:rsidRPr="003C59A8" w:rsidRDefault="00243152" w:rsidP="003C59A8">
      <w:pPr>
        <w:spacing w:line="288" w:lineRule="auto"/>
        <w:ind w:firstLine="851"/>
        <w:jc w:val="both"/>
        <w:rPr>
          <w:rFonts w:ascii="Arial Narrow" w:hAnsi="Arial Narrow" w:cs="Tahoma"/>
          <w:sz w:val="26"/>
          <w:szCs w:val="26"/>
        </w:rPr>
      </w:pPr>
    </w:p>
    <w:p w:rsidR="00243152" w:rsidRPr="003C59A8" w:rsidRDefault="00243152" w:rsidP="003C59A8">
      <w:pPr>
        <w:pStyle w:val="Sinespaciado"/>
        <w:spacing w:line="288" w:lineRule="auto"/>
        <w:ind w:firstLine="708"/>
        <w:jc w:val="both"/>
        <w:rPr>
          <w:rFonts w:ascii="Arial Narrow" w:hAnsi="Arial Narrow"/>
          <w:b/>
          <w:sz w:val="26"/>
          <w:szCs w:val="26"/>
        </w:rPr>
      </w:pPr>
      <w:r w:rsidRPr="003C59A8">
        <w:rPr>
          <w:rFonts w:ascii="Arial Narrow" w:hAnsi="Arial Narrow"/>
          <w:b/>
          <w:sz w:val="26"/>
          <w:szCs w:val="26"/>
        </w:rPr>
        <w:t>III. CONSIDERACIONES:</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Sinespaciado"/>
        <w:numPr>
          <w:ilvl w:val="1"/>
          <w:numId w:val="2"/>
        </w:numPr>
        <w:spacing w:line="288" w:lineRule="auto"/>
        <w:jc w:val="both"/>
        <w:rPr>
          <w:rFonts w:ascii="Arial Narrow" w:hAnsi="Arial Narrow"/>
          <w:b/>
          <w:i/>
          <w:sz w:val="26"/>
          <w:szCs w:val="26"/>
          <w:lang w:eastAsia="en-US"/>
        </w:rPr>
      </w:pPr>
      <w:r w:rsidRPr="003C59A8">
        <w:rPr>
          <w:rFonts w:ascii="Arial Narrow" w:hAnsi="Arial Narrow"/>
          <w:b/>
          <w:i/>
          <w:sz w:val="26"/>
          <w:szCs w:val="26"/>
          <w:lang w:eastAsia="en-US"/>
        </w:rPr>
        <w:t>Desenvolvimiento de la problemática planteada</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
        <w:spacing w:line="288" w:lineRule="auto"/>
        <w:ind w:firstLine="708"/>
        <w:rPr>
          <w:rFonts w:ascii="Arial Narrow" w:hAnsi="Arial Narrow"/>
          <w:szCs w:val="26"/>
          <w:lang w:eastAsia="en-US"/>
        </w:rPr>
      </w:pPr>
      <w:r w:rsidRPr="003C59A8">
        <w:rPr>
          <w:rFonts w:ascii="Arial Narrow" w:hAnsi="Arial Narrow"/>
          <w:szCs w:val="26"/>
          <w:lang w:eastAsia="en-US"/>
        </w:rPr>
        <w:t>Para resolver la instancia, a propósito del recurso interpuesto,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1999, para ingresar al régimen de ahorro individual con solidaridad.</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
        <w:spacing w:line="288" w:lineRule="auto"/>
        <w:ind w:firstLine="708"/>
        <w:rPr>
          <w:rFonts w:ascii="Arial Narrow" w:hAnsi="Arial Narrow"/>
          <w:szCs w:val="26"/>
          <w:lang w:eastAsia="en-US"/>
        </w:rPr>
      </w:pPr>
      <w:r w:rsidRPr="003C59A8">
        <w:rPr>
          <w:rFonts w:ascii="Arial Narrow" w:hAnsi="Arial Narrow"/>
          <w:szCs w:val="26"/>
          <w:lang w:eastAsia="en-US"/>
        </w:rPr>
        <w:t>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lit. b) de la Ley 100 de 1993, que a la letra reza:</w:t>
      </w:r>
    </w:p>
    <w:p w:rsidR="00243152" w:rsidRPr="003C59A8" w:rsidRDefault="00243152" w:rsidP="003C59A8">
      <w:pPr>
        <w:pStyle w:val="Sinespaciado"/>
        <w:spacing w:line="288" w:lineRule="auto"/>
        <w:rPr>
          <w:rFonts w:ascii="Arial Narrow" w:hAnsi="Arial Narrow"/>
          <w:sz w:val="26"/>
          <w:szCs w:val="26"/>
          <w:lang w:eastAsia="en-US"/>
        </w:rPr>
      </w:pPr>
    </w:p>
    <w:p w:rsidR="00243152" w:rsidRPr="00520483" w:rsidRDefault="00243152" w:rsidP="00520483">
      <w:pPr>
        <w:pStyle w:val="Textoindependiente"/>
        <w:spacing w:line="240" w:lineRule="auto"/>
        <w:ind w:left="708"/>
        <w:rPr>
          <w:rFonts w:ascii="Arial Narrow" w:hAnsi="Arial Narrow"/>
          <w:sz w:val="24"/>
          <w:szCs w:val="26"/>
          <w:lang w:eastAsia="en-US"/>
        </w:rPr>
      </w:pPr>
      <w:r w:rsidRPr="00520483">
        <w:rPr>
          <w:rFonts w:ascii="Arial Narrow" w:hAnsi="Arial Narrow"/>
          <w:sz w:val="24"/>
          <w:szCs w:val="26"/>
          <w:lang w:eastAsia="en-US"/>
        </w:rPr>
        <w:t>“</w:t>
      </w:r>
      <w:r w:rsidRPr="00520483">
        <w:rPr>
          <w:rFonts w:ascii="Arial Narrow" w:hAnsi="Arial Narrow"/>
          <w:i/>
          <w:sz w:val="24"/>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r w:rsidRPr="00520483">
        <w:rPr>
          <w:rFonts w:ascii="Arial Narrow" w:hAnsi="Arial Narrow"/>
          <w:sz w:val="24"/>
          <w:szCs w:val="26"/>
          <w:lang w:eastAsia="en-US"/>
        </w:rPr>
        <w:t>”.</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
        <w:spacing w:line="288" w:lineRule="auto"/>
        <w:ind w:firstLine="708"/>
        <w:rPr>
          <w:rFonts w:ascii="Arial Narrow" w:hAnsi="Arial Narrow"/>
          <w:szCs w:val="26"/>
          <w:lang w:eastAsia="en-US"/>
        </w:rPr>
      </w:pPr>
      <w:r w:rsidRPr="003C59A8">
        <w:rPr>
          <w:rFonts w:ascii="Arial Narrow" w:hAnsi="Arial Narrow"/>
          <w:szCs w:val="26"/>
          <w:lang w:eastAsia="en-US"/>
        </w:rPr>
        <w:t>A su turno, la disposición a la que se remite la norma anterior, reza:</w:t>
      </w:r>
    </w:p>
    <w:p w:rsidR="00243152" w:rsidRPr="003C59A8" w:rsidRDefault="00243152" w:rsidP="003C59A8">
      <w:pPr>
        <w:pStyle w:val="Sinespaciado"/>
        <w:spacing w:line="288" w:lineRule="auto"/>
        <w:rPr>
          <w:rFonts w:ascii="Arial Narrow" w:hAnsi="Arial Narrow"/>
          <w:sz w:val="26"/>
          <w:szCs w:val="26"/>
        </w:rPr>
      </w:pPr>
    </w:p>
    <w:p w:rsidR="00243152" w:rsidRPr="00520483" w:rsidRDefault="00243152" w:rsidP="00520483">
      <w:pPr>
        <w:pStyle w:val="Textoindependiente"/>
        <w:spacing w:line="240" w:lineRule="auto"/>
        <w:ind w:left="708"/>
        <w:rPr>
          <w:rFonts w:ascii="Arial Narrow" w:hAnsi="Arial Narrow"/>
          <w:sz w:val="24"/>
          <w:szCs w:val="26"/>
          <w:lang w:eastAsia="en-US"/>
        </w:rPr>
      </w:pPr>
      <w:r w:rsidRPr="00520483">
        <w:rPr>
          <w:rFonts w:ascii="Arial Narrow" w:hAnsi="Arial Narrow"/>
          <w:sz w:val="24"/>
          <w:szCs w:val="26"/>
          <w:lang w:eastAsia="en-US"/>
        </w:rPr>
        <w:t>“</w:t>
      </w:r>
      <w:r w:rsidRPr="00520483">
        <w:rPr>
          <w:rFonts w:ascii="Arial Narrow" w:hAnsi="Arial Narrow"/>
          <w:i/>
          <w:sz w:val="24"/>
          <w:szCs w:val="26"/>
          <w:lang w:eastAsia="en-US"/>
        </w:rPr>
        <w:t xml:space="preserve">ARTICULO. 271.-Sanciones para el empleador. El empleador, y en general cualquier persona natural o jurídica que impida o atente en cualquier forma contra el derecho del trabajador a su </w:t>
      </w:r>
      <w:r w:rsidRPr="00520483">
        <w:rPr>
          <w:rFonts w:ascii="Arial Narrow" w:hAnsi="Arial Narrow"/>
          <w:i/>
          <w:sz w:val="24"/>
          <w:szCs w:val="26"/>
          <w:lang w:eastAsia="en-US"/>
        </w:rPr>
        <w:lastRenderedPageBreak/>
        <w:t>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r w:rsidRPr="00520483">
        <w:rPr>
          <w:rFonts w:ascii="Arial Narrow" w:hAnsi="Arial Narrow"/>
          <w:sz w:val="24"/>
          <w:szCs w:val="26"/>
          <w:lang w:eastAsia="en-US"/>
        </w:rPr>
        <w:t>.”</w:t>
      </w:r>
    </w:p>
    <w:p w:rsidR="00243152" w:rsidRPr="003C59A8" w:rsidRDefault="00243152" w:rsidP="003C59A8">
      <w:pPr>
        <w:pStyle w:val="Sinespaciado"/>
        <w:spacing w:line="288" w:lineRule="auto"/>
        <w:rPr>
          <w:rFonts w:ascii="Arial Narrow" w:hAnsi="Arial Narrow"/>
          <w:sz w:val="26"/>
          <w:szCs w:val="26"/>
          <w:lang w:eastAsia="en-US"/>
        </w:rPr>
      </w:pPr>
    </w:p>
    <w:p w:rsidR="00243152" w:rsidRPr="003C59A8" w:rsidRDefault="00243152" w:rsidP="003C59A8">
      <w:pPr>
        <w:pStyle w:val="Textoindependiente"/>
        <w:spacing w:line="288" w:lineRule="auto"/>
        <w:ind w:firstLine="708"/>
        <w:rPr>
          <w:rFonts w:ascii="Arial Narrow" w:hAnsi="Arial Narrow"/>
          <w:szCs w:val="26"/>
          <w:lang w:eastAsia="en-US"/>
        </w:rPr>
      </w:pPr>
      <w:r w:rsidRPr="003C59A8">
        <w:rPr>
          <w:rFonts w:ascii="Arial Narrow" w:hAnsi="Arial Narrow"/>
          <w:szCs w:val="26"/>
          <w:lang w:eastAsia="en-US"/>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243152" w:rsidRPr="003C59A8" w:rsidRDefault="00243152" w:rsidP="003C59A8">
      <w:pPr>
        <w:pStyle w:val="Sinespaciado"/>
        <w:spacing w:line="288" w:lineRule="auto"/>
        <w:rPr>
          <w:rFonts w:ascii="Arial Narrow" w:hAnsi="Arial Narrow"/>
          <w:sz w:val="26"/>
          <w:szCs w:val="26"/>
          <w:lang w:eastAsia="en-US"/>
        </w:rPr>
      </w:pPr>
    </w:p>
    <w:p w:rsidR="00243152" w:rsidRPr="003C59A8" w:rsidRDefault="00243152" w:rsidP="003C59A8">
      <w:pPr>
        <w:pStyle w:val="Textoindependiente"/>
        <w:spacing w:line="288" w:lineRule="auto"/>
        <w:ind w:firstLine="708"/>
        <w:rPr>
          <w:rFonts w:ascii="Arial Narrow" w:hAnsi="Arial Narrow"/>
          <w:szCs w:val="26"/>
          <w:lang w:eastAsia="en-US"/>
        </w:rPr>
      </w:pPr>
      <w:r w:rsidRPr="003C59A8">
        <w:rPr>
          <w:rFonts w:ascii="Arial Narrow" w:hAnsi="Arial Narrow"/>
          <w:szCs w:val="26"/>
          <w:lang w:eastAsia="en-US"/>
        </w:rPr>
        <w:t>Lo acabado de referir toca, también, con la definición de a quién pesa la carga de demostrar tal deber de información, que como se verá corresponde en todos los casos a la administradora de pensiones.</w:t>
      </w:r>
    </w:p>
    <w:p w:rsidR="00243152" w:rsidRPr="003C59A8" w:rsidRDefault="00243152" w:rsidP="003C59A8">
      <w:pPr>
        <w:pStyle w:val="Sinespaciado"/>
        <w:spacing w:line="288" w:lineRule="auto"/>
        <w:rPr>
          <w:rFonts w:ascii="Arial Narrow" w:hAnsi="Arial Narrow"/>
          <w:sz w:val="26"/>
          <w:szCs w:val="26"/>
          <w:lang w:eastAsia="en-US"/>
        </w:rPr>
      </w:pPr>
    </w:p>
    <w:p w:rsidR="00243152" w:rsidRPr="003C59A8" w:rsidRDefault="00243152" w:rsidP="003C59A8">
      <w:pPr>
        <w:pStyle w:val="Textoindependiente"/>
        <w:spacing w:line="288" w:lineRule="auto"/>
        <w:ind w:firstLine="708"/>
        <w:rPr>
          <w:rFonts w:ascii="Arial Narrow" w:hAnsi="Arial Narrow"/>
          <w:i/>
          <w:szCs w:val="26"/>
          <w:lang w:eastAsia="en-US"/>
        </w:rPr>
      </w:pPr>
      <w:r w:rsidRPr="003C59A8">
        <w:rPr>
          <w:rFonts w:ascii="Arial Narrow" w:hAnsi="Arial Narrow"/>
          <w:szCs w:val="26"/>
          <w:lang w:eastAsia="en-US"/>
        </w:rPr>
        <w:t xml:space="preserve">En efecto, el órgano de cierre de la especialidad laboral ha sido enfático desde su pronunciamiento del 9 de septiembre de 2008, radicación 31989, en sostener que las administradoras de pensiones están obligadas, entre otras cosas: </w:t>
      </w:r>
      <w:r w:rsidRPr="00520483">
        <w:rPr>
          <w:rFonts w:ascii="Arial Narrow" w:hAnsi="Arial Narrow"/>
          <w:sz w:val="24"/>
          <w:szCs w:val="26"/>
          <w:lang w:val="es-ES"/>
        </w:rPr>
        <w:t>“</w:t>
      </w:r>
      <w:r w:rsidRPr="00520483">
        <w:rPr>
          <w:rFonts w:ascii="Arial Narrow" w:hAnsi="Arial Narrow"/>
          <w:i/>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520483">
        <w:rPr>
          <w:rFonts w:ascii="Arial Narrow" w:hAnsi="Arial Narrow"/>
          <w:i/>
          <w:sz w:val="24"/>
          <w:szCs w:val="26"/>
          <w:u w:val="single"/>
          <w:lang w:val="es-ES"/>
        </w:rPr>
        <w:t>se ha de estimar con una vara de rigor superior a la que se utiliza frente a las obligaciones entre particulares</w:t>
      </w:r>
      <w:r w:rsidRPr="003C59A8">
        <w:rPr>
          <w:rFonts w:ascii="Arial Narrow" w:hAnsi="Arial Narrow"/>
          <w:i/>
          <w:szCs w:val="26"/>
          <w:lang w:val="es-ES"/>
        </w:rPr>
        <w:t>”. (sublíneas fuera del texto).</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708"/>
        <w:rPr>
          <w:rFonts w:ascii="Arial Narrow" w:hAnsi="Arial Narrow"/>
          <w:sz w:val="26"/>
          <w:szCs w:val="26"/>
          <w:lang w:val="es-ES"/>
        </w:rPr>
      </w:pPr>
      <w:r w:rsidRPr="003C59A8">
        <w:rPr>
          <w:rFonts w:ascii="Arial Narrow" w:hAnsi="Arial Narrow"/>
          <w:sz w:val="26"/>
          <w:szCs w:val="26"/>
          <w:lang w:val="es-ES"/>
        </w:rPr>
        <w:t>Y concretamente en relación con el deber de información a sus posibles afiliados acerca del contenido e impacto de tal afiliación, decantó lo siguiente:</w:t>
      </w:r>
    </w:p>
    <w:p w:rsidR="00243152" w:rsidRPr="003C59A8" w:rsidRDefault="00243152" w:rsidP="003C59A8">
      <w:pPr>
        <w:pStyle w:val="Sinespaciado"/>
        <w:spacing w:line="288" w:lineRule="auto"/>
        <w:rPr>
          <w:rFonts w:ascii="Arial Narrow" w:hAnsi="Arial Narrow"/>
          <w:sz w:val="26"/>
          <w:szCs w:val="26"/>
        </w:rPr>
      </w:pPr>
    </w:p>
    <w:p w:rsidR="00243152" w:rsidRPr="00520483" w:rsidRDefault="00243152" w:rsidP="00520483">
      <w:pPr>
        <w:autoSpaceDE w:val="0"/>
        <w:autoSpaceDN w:val="0"/>
        <w:adjustRightInd w:val="0"/>
        <w:ind w:left="708" w:firstLine="706"/>
        <w:jc w:val="both"/>
        <w:rPr>
          <w:rFonts w:ascii="Arial Narrow" w:hAnsi="Arial Narrow" w:cs="Comic Sans MS"/>
          <w:i/>
          <w:szCs w:val="26"/>
        </w:rPr>
      </w:pPr>
      <w:r w:rsidRPr="00520483">
        <w:rPr>
          <w:rFonts w:ascii="Arial Narrow" w:hAnsi="Arial Narrow" w:cs="Comic Sans MS"/>
          <w:szCs w:val="26"/>
        </w:rPr>
        <w:t>“</w:t>
      </w:r>
      <w:r w:rsidRPr="00520483">
        <w:rPr>
          <w:rFonts w:ascii="Arial Narrow" w:hAnsi="Arial Narrow" w:cs="Comic Sans MS"/>
          <w:i/>
          <w:szCs w:val="26"/>
        </w:rPr>
        <w:t xml:space="preserve">La información debe comprender todas las etapas del proceso, desde la antesala de la afiliación hasta la determinación de las condiciones para el disfrute pensional. </w:t>
      </w:r>
    </w:p>
    <w:p w:rsidR="00243152" w:rsidRPr="00520483" w:rsidRDefault="00243152" w:rsidP="00520483">
      <w:pPr>
        <w:autoSpaceDE w:val="0"/>
        <w:autoSpaceDN w:val="0"/>
        <w:adjustRightInd w:val="0"/>
        <w:ind w:firstLine="709"/>
        <w:jc w:val="both"/>
        <w:rPr>
          <w:rFonts w:ascii="Arial Narrow" w:hAnsi="Arial Narrow" w:cs="Comic Sans MS"/>
          <w:i/>
          <w:szCs w:val="26"/>
        </w:rPr>
      </w:pPr>
    </w:p>
    <w:p w:rsidR="00243152" w:rsidRPr="00520483" w:rsidRDefault="00243152" w:rsidP="00520483">
      <w:pPr>
        <w:autoSpaceDE w:val="0"/>
        <w:autoSpaceDN w:val="0"/>
        <w:adjustRightInd w:val="0"/>
        <w:ind w:left="708" w:firstLine="706"/>
        <w:jc w:val="both"/>
        <w:rPr>
          <w:rFonts w:ascii="Arial Narrow" w:hAnsi="Arial Narrow" w:cs="Comic Sans MS"/>
          <w:szCs w:val="26"/>
        </w:rPr>
      </w:pPr>
      <w:r w:rsidRPr="00520483">
        <w:rPr>
          <w:rFonts w:ascii="Arial Narrow" w:hAnsi="Arial Narrow" w:cs="Comic Sans MS"/>
          <w:i/>
          <w:szCs w:val="26"/>
        </w:rPr>
        <w:t>“Las administradoras de pensiones tienen el deber de proporcionar a sus interesados una información completa y comprensible, a la medida de la asimetría que se ha de salvar entre un administrador experto y un afiliado lego, en materias de alta complejidad</w:t>
      </w:r>
      <w:r w:rsidRPr="00520483">
        <w:rPr>
          <w:rFonts w:ascii="Arial Narrow" w:hAnsi="Arial Narrow" w:cs="Comic Sans MS"/>
          <w:szCs w:val="26"/>
        </w:rPr>
        <w:t>”.</w:t>
      </w:r>
    </w:p>
    <w:p w:rsidR="00243152" w:rsidRPr="003C59A8" w:rsidRDefault="00243152" w:rsidP="003C59A8">
      <w:pPr>
        <w:pStyle w:val="Sinespaciado"/>
        <w:spacing w:line="288" w:lineRule="auto"/>
        <w:rPr>
          <w:rFonts w:ascii="Arial Narrow" w:hAnsi="Arial Narrow"/>
          <w:sz w:val="26"/>
          <w:szCs w:val="26"/>
        </w:rPr>
      </w:pPr>
      <w:r w:rsidRPr="003C59A8">
        <w:rPr>
          <w:rFonts w:ascii="Arial Narrow" w:hAnsi="Arial Narrow"/>
          <w:sz w:val="26"/>
          <w:szCs w:val="26"/>
        </w:rPr>
        <w:tab/>
      </w:r>
    </w:p>
    <w:p w:rsidR="00243152" w:rsidRPr="003C59A8" w:rsidRDefault="00243152" w:rsidP="003C59A8">
      <w:pPr>
        <w:pStyle w:val="Textoindependiente31"/>
        <w:spacing w:line="288" w:lineRule="auto"/>
        <w:ind w:firstLine="708"/>
        <w:rPr>
          <w:rFonts w:ascii="Arial Narrow" w:hAnsi="Arial Narrow"/>
          <w:sz w:val="26"/>
          <w:szCs w:val="26"/>
          <w:lang w:val="es-ES"/>
        </w:rPr>
      </w:pPr>
      <w:r w:rsidRPr="003C59A8">
        <w:rPr>
          <w:rFonts w:ascii="Arial Narrow" w:hAnsi="Arial Narrow"/>
          <w:sz w:val="26"/>
          <w:szCs w:val="26"/>
          <w:lang w:val="es-ES"/>
        </w:rPr>
        <w:t>Además, expuso que:</w:t>
      </w:r>
    </w:p>
    <w:p w:rsidR="00243152" w:rsidRPr="003C59A8" w:rsidRDefault="00243152" w:rsidP="003C59A8">
      <w:pPr>
        <w:pStyle w:val="Sinespaciado"/>
        <w:spacing w:line="288" w:lineRule="auto"/>
        <w:rPr>
          <w:rFonts w:ascii="Arial Narrow" w:hAnsi="Arial Narrow"/>
          <w:sz w:val="26"/>
          <w:szCs w:val="26"/>
        </w:rPr>
      </w:pPr>
      <w:r w:rsidRPr="003C59A8">
        <w:rPr>
          <w:rFonts w:ascii="Arial Narrow" w:hAnsi="Arial Narrow"/>
          <w:sz w:val="26"/>
          <w:szCs w:val="26"/>
        </w:rPr>
        <w:tab/>
      </w:r>
    </w:p>
    <w:p w:rsidR="00243152" w:rsidRPr="00520483" w:rsidRDefault="00243152" w:rsidP="00520483">
      <w:pPr>
        <w:pStyle w:val="Textoindependiente31"/>
        <w:spacing w:line="240" w:lineRule="auto"/>
        <w:ind w:left="708" w:firstLine="851"/>
        <w:rPr>
          <w:rFonts w:ascii="Arial Narrow" w:hAnsi="Arial Narrow"/>
          <w:sz w:val="24"/>
          <w:szCs w:val="26"/>
          <w:lang w:val="es-ES"/>
        </w:rPr>
      </w:pPr>
      <w:r w:rsidRPr="00520483">
        <w:rPr>
          <w:rFonts w:ascii="Arial Narrow" w:hAnsi="Arial Narrow"/>
          <w:i/>
          <w:sz w:val="24"/>
          <w:szCs w:val="26"/>
          <w:lang w:val="es-ES"/>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520483">
        <w:rPr>
          <w:rFonts w:ascii="Arial Narrow" w:hAnsi="Arial Narrow"/>
          <w:sz w:val="24"/>
          <w:szCs w:val="26"/>
          <w:lang w:val="es-ES"/>
        </w:rPr>
        <w:t xml:space="preserve">.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708"/>
        <w:rPr>
          <w:rFonts w:ascii="Arial Narrow" w:hAnsi="Arial Narrow"/>
          <w:sz w:val="26"/>
          <w:szCs w:val="26"/>
          <w:lang w:val="es-ES"/>
        </w:rPr>
      </w:pPr>
      <w:r w:rsidRPr="003C59A8">
        <w:rPr>
          <w:rFonts w:ascii="Arial Narrow" w:hAnsi="Arial Narrow"/>
          <w:sz w:val="26"/>
          <w:szCs w:val="26"/>
          <w:lang w:val="es-ES"/>
        </w:rPr>
        <w:t>Agrega la ameritada providencia:</w:t>
      </w:r>
    </w:p>
    <w:p w:rsidR="00243152" w:rsidRPr="003C59A8" w:rsidRDefault="00243152" w:rsidP="003C59A8">
      <w:pPr>
        <w:pStyle w:val="Sinespaciado"/>
        <w:spacing w:line="288" w:lineRule="auto"/>
        <w:rPr>
          <w:rFonts w:ascii="Arial Narrow" w:hAnsi="Arial Narrow"/>
          <w:sz w:val="26"/>
          <w:szCs w:val="26"/>
        </w:rPr>
      </w:pPr>
    </w:p>
    <w:p w:rsidR="00243152" w:rsidRPr="00520483" w:rsidRDefault="00243152" w:rsidP="00520483">
      <w:pPr>
        <w:pStyle w:val="Textoindependiente31"/>
        <w:spacing w:line="240" w:lineRule="auto"/>
        <w:ind w:left="708" w:firstLine="851"/>
        <w:rPr>
          <w:rFonts w:ascii="Arial Narrow" w:hAnsi="Arial Narrow"/>
          <w:i/>
          <w:sz w:val="24"/>
          <w:szCs w:val="26"/>
          <w:lang w:val="es-ES"/>
        </w:rPr>
      </w:pPr>
      <w:r w:rsidRPr="00520483">
        <w:rPr>
          <w:rFonts w:ascii="Arial Narrow" w:hAnsi="Arial Narrow"/>
          <w:sz w:val="24"/>
          <w:szCs w:val="26"/>
          <w:lang w:val="es-ES"/>
        </w:rPr>
        <w:t>“</w:t>
      </w:r>
      <w:r w:rsidRPr="00520483">
        <w:rPr>
          <w:rFonts w:ascii="Arial Narrow" w:hAnsi="Arial Narrow"/>
          <w:i/>
          <w:sz w:val="24"/>
          <w:szCs w:val="26"/>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851"/>
        <w:rPr>
          <w:rFonts w:ascii="Arial Narrow" w:hAnsi="Arial Narrow" w:cs="Arial"/>
          <w:i/>
          <w:sz w:val="26"/>
          <w:szCs w:val="26"/>
          <w:lang w:val="es-ES"/>
        </w:rPr>
      </w:pPr>
      <w:r w:rsidRPr="003C59A8">
        <w:rPr>
          <w:rFonts w:ascii="Arial Narrow" w:hAnsi="Arial Narrow"/>
          <w:sz w:val="26"/>
          <w:szCs w:val="26"/>
          <w:lang w:val="es-ES"/>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w:t>
      </w:r>
      <w:r w:rsidRPr="003C59A8">
        <w:rPr>
          <w:rFonts w:ascii="Arial Narrow" w:hAnsi="Arial Narrow"/>
          <w:i/>
          <w:sz w:val="26"/>
          <w:szCs w:val="26"/>
          <w:lang w:val="es-ES"/>
        </w:rPr>
        <w:t>se ha de estimar con una vara de rigor superior a la que se utiliza frente a las obligaciones entre particulares</w:t>
      </w:r>
      <w:r w:rsidRPr="003C59A8">
        <w:rPr>
          <w:rFonts w:ascii="Arial Narrow" w:hAnsi="Arial Narrow"/>
          <w:sz w:val="26"/>
          <w:szCs w:val="26"/>
          <w:lang w:val="es-ES"/>
        </w:rPr>
        <w:t xml:space="preserve">”,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w:t>
      </w:r>
      <w:r w:rsidRPr="003C59A8">
        <w:rPr>
          <w:rFonts w:ascii="Arial Narrow" w:hAnsi="Arial Narrow" w:cs="Arial"/>
          <w:i/>
          <w:sz w:val="26"/>
          <w:szCs w:val="26"/>
          <w:lang w:val="es-ES"/>
        </w:rPr>
        <w:t>“prueba de la diligencia o cuidado incumbe al que ha debido emplearlo.</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autoSpaceDE w:val="0"/>
        <w:autoSpaceDN w:val="0"/>
        <w:adjustRightInd w:val="0"/>
        <w:spacing w:line="288" w:lineRule="auto"/>
        <w:ind w:firstLine="708"/>
        <w:jc w:val="both"/>
        <w:rPr>
          <w:rFonts w:ascii="Arial Narrow" w:hAnsi="Arial Narrow" w:cs="Comic Sans MS"/>
          <w:sz w:val="26"/>
          <w:szCs w:val="26"/>
        </w:rPr>
      </w:pPr>
      <w:r w:rsidRPr="003C59A8">
        <w:rPr>
          <w:rFonts w:ascii="Arial Narrow" w:hAnsi="Arial Narrow" w:cs="Comic Sans MS"/>
          <w:sz w:val="26"/>
          <w:szCs w:val="26"/>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709"/>
        <w:jc w:val="both"/>
        <w:rPr>
          <w:rFonts w:ascii="Arial Narrow" w:hAnsi="Arial Narrow" w:cs="Comic Sans MS"/>
          <w:sz w:val="26"/>
          <w:szCs w:val="26"/>
        </w:rPr>
      </w:pPr>
      <w:r w:rsidRPr="003C59A8">
        <w:rPr>
          <w:rFonts w:ascii="Arial Narrow" w:hAnsi="Arial Narrow" w:cs="Comic Sans MS"/>
          <w:sz w:val="26"/>
          <w:szCs w:val="26"/>
        </w:rPr>
        <w:t xml:space="preserve">Idéntica perspectiva se ofrece en la sentencia SL12136 de 2014, radicación 46.292, la que en su parte pertinente reza: </w:t>
      </w:r>
    </w:p>
    <w:p w:rsidR="00243152" w:rsidRPr="00520483" w:rsidRDefault="00243152" w:rsidP="00520483">
      <w:pPr>
        <w:pStyle w:val="Sinespaciado"/>
        <w:rPr>
          <w:rFonts w:ascii="Arial Narrow" w:hAnsi="Arial Narrow"/>
          <w:sz w:val="24"/>
          <w:szCs w:val="26"/>
        </w:rPr>
      </w:pPr>
    </w:p>
    <w:p w:rsidR="00243152" w:rsidRPr="00520483" w:rsidRDefault="00243152" w:rsidP="00520483">
      <w:pPr>
        <w:ind w:firstLine="709"/>
        <w:jc w:val="both"/>
        <w:rPr>
          <w:rFonts w:ascii="Arial Narrow" w:hAnsi="Arial Narrow"/>
          <w:i/>
          <w:szCs w:val="26"/>
          <w:shd w:val="clear" w:color="auto" w:fill="FFFFFF"/>
        </w:rPr>
      </w:pPr>
      <w:r w:rsidRPr="00520483">
        <w:rPr>
          <w:rFonts w:ascii="Arial Narrow" w:hAnsi="Arial Narrow" w:cs="Comic Sans MS"/>
          <w:szCs w:val="26"/>
        </w:rPr>
        <w:t xml:space="preserve"> “</w:t>
      </w:r>
      <w:r w:rsidRPr="00520483">
        <w:rPr>
          <w:rFonts w:ascii="Arial Narrow" w:hAnsi="Arial Narrow"/>
          <w:i/>
          <w:szCs w:val="26"/>
          <w:shd w:val="clear" w:color="auto" w:fill="FFFFFF"/>
        </w:rPr>
        <w:t>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243152" w:rsidRPr="00520483" w:rsidRDefault="00243152" w:rsidP="00520483">
      <w:pPr>
        <w:pStyle w:val="Sinespaciado"/>
        <w:rPr>
          <w:rFonts w:ascii="Arial Narrow" w:hAnsi="Arial Narrow"/>
          <w:sz w:val="24"/>
          <w:szCs w:val="26"/>
        </w:rPr>
      </w:pPr>
    </w:p>
    <w:p w:rsidR="00243152" w:rsidRPr="00520483" w:rsidRDefault="00243152" w:rsidP="00520483">
      <w:pPr>
        <w:ind w:firstLine="709"/>
        <w:jc w:val="both"/>
        <w:rPr>
          <w:rFonts w:ascii="Arial Narrow" w:hAnsi="Arial Narrow"/>
          <w:i/>
          <w:szCs w:val="26"/>
          <w:shd w:val="clear" w:color="auto" w:fill="FFFFFF"/>
        </w:rPr>
      </w:pPr>
      <w:r w:rsidRPr="00520483">
        <w:rPr>
          <w:rFonts w:ascii="Arial Narrow" w:hAnsi="Arial Narrow"/>
          <w:i/>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243152" w:rsidRPr="00520483" w:rsidRDefault="00243152" w:rsidP="00520483">
      <w:pPr>
        <w:pStyle w:val="Sinespaciado"/>
        <w:rPr>
          <w:rFonts w:ascii="Arial Narrow" w:hAnsi="Arial Narrow"/>
          <w:sz w:val="24"/>
          <w:szCs w:val="26"/>
        </w:rPr>
      </w:pPr>
    </w:p>
    <w:p w:rsidR="00243152" w:rsidRPr="00520483" w:rsidRDefault="00243152" w:rsidP="00520483">
      <w:pPr>
        <w:autoSpaceDE w:val="0"/>
        <w:autoSpaceDN w:val="0"/>
        <w:adjustRightInd w:val="0"/>
        <w:ind w:firstLine="708"/>
        <w:jc w:val="both"/>
        <w:rPr>
          <w:rFonts w:ascii="Arial Narrow" w:hAnsi="Arial Narrow" w:cs="Comic Sans MS"/>
          <w:szCs w:val="26"/>
        </w:rPr>
      </w:pPr>
      <w:r w:rsidRPr="00520483">
        <w:rPr>
          <w:rFonts w:ascii="Arial Narrow" w:hAnsi="Arial Narrow" w:cs="Comic Sans MS"/>
          <w:szCs w:val="26"/>
        </w:rPr>
        <w:t>…</w:t>
      </w:r>
      <w:r w:rsidRPr="00520483">
        <w:rPr>
          <w:rFonts w:ascii="Arial Narrow" w:hAnsi="Arial Narrow" w:cs="Comic Sans MS"/>
          <w:i/>
          <w:szCs w:val="26"/>
        </w:rPr>
        <w:t>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sidRPr="00520483">
        <w:rPr>
          <w:rFonts w:ascii="Arial Narrow" w:hAnsi="Arial Narrow" w:cs="Comic Sans MS"/>
          <w:szCs w:val="26"/>
        </w:rPr>
        <w:t xml:space="preserve">”.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851"/>
        <w:rPr>
          <w:rFonts w:ascii="Arial Narrow" w:hAnsi="Arial Narrow"/>
          <w:sz w:val="26"/>
          <w:szCs w:val="26"/>
          <w:lang w:val="es-ES"/>
        </w:rPr>
      </w:pPr>
      <w:r w:rsidRPr="003C59A8">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w:t>
      </w:r>
      <w:r w:rsidRPr="003C59A8">
        <w:rPr>
          <w:rFonts w:ascii="Arial Narrow" w:hAnsi="Arial Narrow"/>
          <w:sz w:val="26"/>
          <w:szCs w:val="26"/>
          <w:lang w:val="es-ES"/>
        </w:rPr>
        <w:lastRenderedPageBreak/>
        <w:t xml:space="preserve">100/93, amén de los artículos 97 y 98 del Estatuto Orgánico del Sistema Financiero y que se refuerza con la regla establecida en el artículo 1604 C.C.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851"/>
        <w:rPr>
          <w:rFonts w:ascii="Arial Narrow" w:hAnsi="Arial Narrow"/>
          <w:sz w:val="26"/>
          <w:szCs w:val="26"/>
          <w:lang w:val="es-ES"/>
        </w:rPr>
      </w:pPr>
      <w:r w:rsidRPr="003C59A8">
        <w:rPr>
          <w:rFonts w:ascii="Arial Narrow" w:hAnsi="Arial Narrow"/>
          <w:sz w:val="26"/>
          <w:szCs w:val="26"/>
          <w:lang w:val="es-ES"/>
        </w:rPr>
        <w:t>Solo que si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851"/>
        <w:rPr>
          <w:rFonts w:ascii="Arial Narrow" w:hAnsi="Arial Narrow"/>
          <w:sz w:val="26"/>
          <w:szCs w:val="26"/>
          <w:lang w:val="es-ES"/>
        </w:rPr>
      </w:pPr>
      <w:r w:rsidRPr="003C59A8">
        <w:rPr>
          <w:rFonts w:ascii="Arial Narrow" w:hAnsi="Arial Narrow"/>
          <w:sz w:val="26"/>
          <w:szCs w:val="26"/>
          <w:lang w:val="es-ES"/>
        </w:rPr>
        <w:t xml:space="preserve">Esto por cuanto, también, el deber de información no se agota exclusivamente al momento de la afiliación, sino que este permea </w:t>
      </w:r>
      <w:r w:rsidRPr="003C59A8">
        <w:rPr>
          <w:rFonts w:ascii="Arial Narrow" w:hAnsi="Arial Narrow"/>
          <w:i/>
          <w:sz w:val="26"/>
          <w:szCs w:val="26"/>
          <w:lang w:val="es-ES"/>
        </w:rPr>
        <w:t>“todas las etapas del proceso, desde la antesala de la afiliación hasta la determinación de las condiciones para el disfrute pensional</w:t>
      </w:r>
      <w:r w:rsidRPr="003C59A8">
        <w:rPr>
          <w:rFonts w:ascii="Arial Narrow" w:hAnsi="Arial Narrow"/>
          <w:sz w:val="26"/>
          <w:szCs w:val="26"/>
          <w:lang w:val="es-ES"/>
        </w:rPr>
        <w:t>”.</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851"/>
        <w:rPr>
          <w:rFonts w:ascii="Arial Narrow" w:hAnsi="Arial Narrow"/>
          <w:sz w:val="26"/>
          <w:szCs w:val="26"/>
          <w:lang w:val="es-ES"/>
        </w:rPr>
      </w:pPr>
      <w:r w:rsidRPr="003C59A8">
        <w:rPr>
          <w:rFonts w:ascii="Arial Narrow" w:hAnsi="Arial Narrow"/>
          <w:sz w:val="26"/>
          <w:szCs w:val="26"/>
          <w:lang w:val="es-ES"/>
        </w:rPr>
        <w:t xml:space="preserve">En suma, el deber de asesoría, implica que la información sea </w:t>
      </w:r>
      <w:r w:rsidRPr="003C59A8">
        <w:rPr>
          <w:rFonts w:ascii="Arial Narrow" w:hAnsi="Arial Narrow"/>
          <w:b/>
          <w:sz w:val="26"/>
          <w:szCs w:val="26"/>
          <w:lang w:val="es-ES"/>
        </w:rPr>
        <w:t>cierta, suficiente y oportuna</w:t>
      </w:r>
      <w:r w:rsidRPr="003C59A8">
        <w:rPr>
          <w:rFonts w:ascii="Arial Narrow" w:hAnsi="Arial Narrow"/>
          <w:sz w:val="26"/>
          <w:szCs w:val="26"/>
          <w:lang w:val="es-ES"/>
        </w:rPr>
        <w:t xml:space="preserve"> respecto a cada uno de los regímenes pensionales, con una adecuada explicación de las ventajas y desventajas en cada uno de ellos, sin que ello pueda limitarse a la suscripción del formulario de afiliación. Sólo el cumplimiento de estos tres requisitos, garantizará –entonces- que el afiliado pueda decidir de manera clara y transparente cuál régimen pensional se ajusta a sus condiciones propias y a sus expectativas, eligiendo razonadamente el que le otorgue mejores o mayores beneficios.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851"/>
        <w:rPr>
          <w:rFonts w:ascii="Arial Narrow" w:hAnsi="Arial Narrow"/>
          <w:sz w:val="26"/>
          <w:szCs w:val="26"/>
          <w:lang w:val="es-ES"/>
        </w:rPr>
      </w:pPr>
      <w:r w:rsidRPr="003C59A8">
        <w:rPr>
          <w:rFonts w:ascii="Arial Narrow" w:hAnsi="Arial Narrow"/>
          <w:sz w:val="26"/>
          <w:szCs w:val="26"/>
          <w:lang w:val="es-ES"/>
        </w:rPr>
        <w:t xml:space="preserve">La información es cierta cuando refleja que no existen dudas sobre aspectos legales de obligatorio conocimiento, es decir, es verdadera y sustentada en la realidad objetiva, sin que sea sesgada pretenciosa o arbitraria. Es suficiente, cuando logra concretar en el afiliado el conocimiento más amplio sobre las características del sistema, los productos y condiciones de cada sistema pensional, ubicándolo en su realidad y en sus expectativas, conociendo las ventajas y desventajas de uno y otro régimen, y es oportuna, cuando es transmitida en los momentos que deben ser, a fin de buscar una libertad contractual transparente, con decisiones a tiempo y con la mayor garantía en cuanto a los beneficios que pueda recibir. </w:t>
      </w:r>
    </w:p>
    <w:p w:rsidR="00243152" w:rsidRPr="003C59A8" w:rsidRDefault="00243152" w:rsidP="003C59A8">
      <w:pPr>
        <w:pStyle w:val="NormalWeb"/>
        <w:spacing w:line="288" w:lineRule="auto"/>
        <w:ind w:firstLine="708"/>
        <w:jc w:val="both"/>
        <w:rPr>
          <w:rFonts w:ascii="Arial Narrow" w:hAnsi="Arial Narrow" w:cs="Arial"/>
          <w:sz w:val="26"/>
          <w:szCs w:val="26"/>
          <w:shd w:val="clear" w:color="auto" w:fill="FFFFFF"/>
        </w:rPr>
      </w:pPr>
      <w:r w:rsidRPr="003C59A8">
        <w:rPr>
          <w:rFonts w:ascii="Arial Narrow" w:hAnsi="Arial Narrow" w:cs="Arial"/>
          <w:sz w:val="26"/>
          <w:szCs w:val="26"/>
          <w:shd w:val="clear" w:color="auto" w:fill="FFFFFF"/>
        </w:rPr>
        <w:t xml:space="preserve">En el sub-lite, se tiene que si bien el </w:t>
      </w:r>
      <w:r w:rsidRPr="003C59A8">
        <w:rPr>
          <w:rFonts w:ascii="Arial Narrow" w:hAnsi="Arial Narrow" w:cs="Arial"/>
          <w:iCs/>
          <w:color w:val="000000"/>
          <w:sz w:val="26"/>
          <w:szCs w:val="26"/>
          <w:shd w:val="clear" w:color="auto" w:fill="FFFFFF"/>
        </w:rPr>
        <w:t xml:space="preserve">demandante no era beneficiario del régimen de </w:t>
      </w:r>
      <w:r w:rsidRPr="003C59A8">
        <w:rPr>
          <w:rFonts w:ascii="Arial Narrow" w:hAnsi="Arial Narrow" w:cs="Arial"/>
          <w:iCs/>
          <w:sz w:val="26"/>
          <w:szCs w:val="26"/>
          <w:shd w:val="clear" w:color="auto" w:fill="FFFFFF"/>
        </w:rPr>
        <w:t xml:space="preserve">transición que prevé el artículo 36 de la Ley 100/93, como quiera que a la entrada en vigencia del nuevo sistema general de pensiones contaba con 39 años de edad, al haber nacido el 6 de enero de 1955, y según resumen de información laboral emitido por la Oficina de Bonos Pensionales del Ministerio de Hacienda y Crédito Público , ver folio 141, acreditaba  204.29 semanas, lo cierto es que indistintamente de ello, a la AFP Colmena AIG hoy Protección S.A., le correspondía acreditar que cumplió el deber de suministrar </w:t>
      </w:r>
      <w:r w:rsidRPr="003C59A8">
        <w:rPr>
          <w:rFonts w:ascii="Arial Narrow" w:hAnsi="Arial Narrow" w:cs="Arial"/>
          <w:color w:val="000000"/>
          <w:sz w:val="26"/>
          <w:szCs w:val="26"/>
          <w:shd w:val="clear" w:color="auto" w:fill="FFFFFF"/>
        </w:rPr>
        <w:t xml:space="preserve">la información suficiente y completa al afiliado, acerca de la implicaciones del cambio de régimen pensional, demostrar la prueba de la diligencia y cuidado, so pena de calificarse de ineficaz dicho tránsito, sin embargo, ningún elemento de prueba enlistó con tal propósito, puesto que se limitó a aportar pruebas documentales que únicamente dan cuenta de la afiliación del actor a esa entidad y de las </w:t>
      </w:r>
      <w:r w:rsidRPr="003C59A8">
        <w:rPr>
          <w:rFonts w:ascii="Arial Narrow" w:hAnsi="Arial Narrow" w:cs="Arial"/>
          <w:color w:val="000000"/>
          <w:sz w:val="26"/>
          <w:szCs w:val="26"/>
          <w:shd w:val="clear" w:color="auto" w:fill="FFFFFF"/>
        </w:rPr>
        <w:lastRenderedPageBreak/>
        <w:t xml:space="preserve">cotizaciones que efectuó, según se constata con los documentos obrantes a folios 133 a 145, </w:t>
      </w:r>
      <w:r w:rsidRPr="003C59A8">
        <w:rPr>
          <w:rFonts w:ascii="Arial Narrow" w:hAnsi="Arial Narrow" w:cs="Arial"/>
          <w:sz w:val="26"/>
          <w:szCs w:val="26"/>
          <w:shd w:val="clear" w:color="auto" w:fill="FFFFFF"/>
        </w:rPr>
        <w:t>sin que ello sea prueba suficiente, “</w:t>
      </w:r>
      <w:r w:rsidRPr="003C59A8">
        <w:rPr>
          <w:rFonts w:ascii="Arial Narrow" w:hAnsi="Arial Narrow"/>
          <w:i/>
          <w:sz w:val="26"/>
          <w:szCs w:val="26"/>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Pr="003C59A8">
        <w:rPr>
          <w:rFonts w:ascii="Arial Narrow" w:hAnsi="Arial Narrow" w:cs="Arial"/>
          <w:sz w:val="26"/>
          <w:szCs w:val="26"/>
          <w:shd w:val="clear" w:color="auto" w:fill="FFFFFF"/>
        </w:rPr>
        <w:t xml:space="preserve">  </w:t>
      </w:r>
    </w:p>
    <w:p w:rsidR="00243152" w:rsidRPr="003C59A8" w:rsidRDefault="00243152" w:rsidP="003C59A8">
      <w:pPr>
        <w:pStyle w:val="NormalWeb"/>
        <w:spacing w:line="288" w:lineRule="auto"/>
        <w:ind w:firstLine="708"/>
        <w:jc w:val="both"/>
        <w:rPr>
          <w:rFonts w:ascii="Arial Narrow" w:hAnsi="Arial Narrow" w:cs="Comic Sans MS"/>
          <w:sz w:val="26"/>
          <w:szCs w:val="26"/>
        </w:rPr>
      </w:pPr>
      <w:r w:rsidRPr="003C59A8">
        <w:rPr>
          <w:rFonts w:ascii="Arial Narrow" w:hAnsi="Arial Narrow" w:cs="Comic Sans MS"/>
          <w:sz w:val="26"/>
          <w:szCs w:val="26"/>
        </w:rPr>
        <w:t xml:space="preserve">En cuanto a las pruebas testimoniales, se escucharon las declaraciones María Cristina Giraldo y Javier Vanegas Salgado. La primera, manifestó que desconoce cuáles fueron los motivos que llevaron al demandante a trasladarse de régimen pensional, puesto que apenas hace un par de años tuvo conocimiento de ello. El segundo, en calidad de compañero de labores del demandante, refirió que en su momento todas las administradora de pensiones que los visitaban a la Universidad daban similar información a los trabajadores, la cual estaba relacionada básicamente con la posibilidad de pensionarse en forma anticipada, que el ISS desaparecería y que los dineros de cada afiliado entrarían a una cuenta de ahorro individual y no en una bolsa común. Refirió que con el paso del tiempo las personas que habían efectuado el traslado se dieron cuenta que habían tomado una decisión equivocada y buscaron la posibilidad de retornar al RPM. </w:t>
      </w:r>
    </w:p>
    <w:p w:rsidR="00243152" w:rsidRPr="003C59A8" w:rsidRDefault="00243152" w:rsidP="003C59A8">
      <w:pPr>
        <w:pStyle w:val="NormalWeb"/>
        <w:spacing w:line="288" w:lineRule="auto"/>
        <w:ind w:firstLine="708"/>
        <w:jc w:val="both"/>
        <w:rPr>
          <w:rFonts w:ascii="Arial Narrow" w:hAnsi="Arial Narrow" w:cs="Comic Sans MS"/>
          <w:sz w:val="26"/>
          <w:szCs w:val="26"/>
        </w:rPr>
      </w:pPr>
      <w:r w:rsidRPr="003C59A8">
        <w:rPr>
          <w:rFonts w:ascii="Arial Narrow" w:hAnsi="Arial Narrow" w:cs="Comic Sans MS"/>
          <w:sz w:val="26"/>
          <w:szCs w:val="26"/>
        </w:rPr>
        <w:t xml:space="preserve">Por su parte, el demandante informó en el interrogatorio de parte que absolvió que al momento de efectuar el traslado de régimen pensional, la asesora de Colmena AIG  le indicó que los ahorros estarían en una cuenta individual, donde produciría rendimientos de acuerdo a los movimientos del mercado; que podría pensionarse anticipadamente; que el capital ahorrado era heredable, que podía hacer aportes voluntarios con el fin de incrementar el capital ahorrado y que podría eventualmente recibir un bono pensional. </w:t>
      </w:r>
    </w:p>
    <w:p w:rsidR="00243152" w:rsidRPr="003C59A8" w:rsidRDefault="00243152" w:rsidP="003C59A8">
      <w:pPr>
        <w:autoSpaceDE w:val="0"/>
        <w:autoSpaceDN w:val="0"/>
        <w:adjustRightInd w:val="0"/>
        <w:spacing w:line="288" w:lineRule="auto"/>
        <w:ind w:firstLine="708"/>
        <w:jc w:val="both"/>
        <w:rPr>
          <w:rFonts w:ascii="Arial Narrow" w:hAnsi="Arial Narrow" w:cs="Comic Sans MS"/>
          <w:sz w:val="26"/>
          <w:szCs w:val="26"/>
        </w:rPr>
      </w:pPr>
      <w:r w:rsidRPr="003C59A8">
        <w:rPr>
          <w:rFonts w:ascii="Arial Narrow" w:hAnsi="Arial Narrow" w:cs="Comic Sans MS"/>
          <w:sz w:val="26"/>
          <w:szCs w:val="26"/>
        </w:rPr>
        <w:t xml:space="preserve">Esa fragmentaria información, lo que demuestra es el reforzamiento de la falta del deber que se le enrostra a la demandada privada, en la medida en que, no documentó su deber, individualizando los medios que utilizó para ello, puesto que se itera, no basta la simple expresión genérica, dado que la administradora debe poner de manifiesto de manera clara y suficiente, la información acerca de los efectos que le acarreaba al afiliado (a) el cambio de régimen,  y suficientemente, al afiliado, acerca de los efectos que acarreaba el cambio de régimen, so pena de que pueda declararse ineficaz ese tránsito.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autoSpaceDE w:val="0"/>
        <w:autoSpaceDN w:val="0"/>
        <w:adjustRightInd w:val="0"/>
        <w:spacing w:line="288" w:lineRule="auto"/>
        <w:ind w:firstLine="708"/>
        <w:jc w:val="both"/>
        <w:rPr>
          <w:rFonts w:ascii="Arial Narrow" w:hAnsi="Arial Narrow" w:cs="Segoe UI"/>
          <w:sz w:val="26"/>
          <w:szCs w:val="26"/>
          <w:shd w:val="clear" w:color="auto" w:fill="FFFFFF"/>
        </w:rPr>
      </w:pPr>
      <w:r w:rsidRPr="003C59A8">
        <w:rPr>
          <w:rFonts w:ascii="Arial Narrow" w:hAnsi="Arial Narrow" w:cs="Segoe UI"/>
          <w:sz w:val="26"/>
          <w:szCs w:val="26"/>
          <w:shd w:val="clear" w:color="auto" w:fill="FFFFFF"/>
        </w:rPr>
        <w:t xml:space="preserve">No se trata de rendirle culto a las formas, o escritos, como si la única prueba admisible fuera la escrita, erigiendo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erigen como un hilo </w:t>
      </w:r>
      <w:r w:rsidRPr="003C59A8">
        <w:rPr>
          <w:rFonts w:ascii="Arial Narrow" w:hAnsi="Arial Narrow" w:cs="Segoe UI"/>
          <w:sz w:val="26"/>
          <w:szCs w:val="26"/>
          <w:shd w:val="clear" w:color="auto" w:fill="FFFFFF"/>
        </w:rPr>
        <w:lastRenderedPageBreak/>
        <w:t>conductor, que le lleve al juez el convencimiento de que al usuario se le dispensó la información adecuada y precisa, en aras de hacer la mejor elección.</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autoSpaceDE w:val="0"/>
        <w:autoSpaceDN w:val="0"/>
        <w:adjustRightInd w:val="0"/>
        <w:spacing w:line="288" w:lineRule="auto"/>
        <w:ind w:firstLine="708"/>
        <w:jc w:val="both"/>
        <w:rPr>
          <w:rFonts w:ascii="Arial Narrow" w:hAnsi="Arial Narrow" w:cs="Comic Sans MS"/>
          <w:sz w:val="26"/>
          <w:szCs w:val="26"/>
        </w:rPr>
      </w:pPr>
      <w:r w:rsidRPr="003C59A8">
        <w:rPr>
          <w:rFonts w:ascii="Arial Narrow" w:hAnsi="Arial Narrow" w:cs="Comic Sans MS"/>
          <w:sz w:val="26"/>
          <w:szCs w:val="26"/>
        </w:rPr>
        <w:t xml:space="preserve">De otra parte, cabe agregar que las entidades demandadas –Protección SA y Colpensiones- en cumplimiento al decreto oficioso de pruebas que realizó esta Colegiatura el 9 de agosto y 26 de octubre de 2018, allegaron la proyección de la mesada pensional del señor Ronald Alan Perry en uno u otro régimen pensional, de donde se infiere que el actor, de haber permanecido en el RPM administrado por Colpensiones, alcanzaría a la fecha una mesada pensional de $3`199.747, al paso que en el RAIS no cuenta con el capital necesario en su cuenta de ahorro individual para acceder a una mesada mínima, y aun si se tuvieran en cuenta las semanas que según indicio son válidas para bono pensional, puesto que la entidad administradora aduce que existe un error en la historia laboral que impide corroborar su existencia, lo cierto es que el actor eventualmente podría acceder únicamente a la garantía de pensión mínima, ver fls.45 y ss. cdno. 2ª Inst.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autoSpaceDE w:val="0"/>
        <w:autoSpaceDN w:val="0"/>
        <w:adjustRightInd w:val="0"/>
        <w:spacing w:line="288" w:lineRule="auto"/>
        <w:ind w:firstLine="708"/>
        <w:jc w:val="both"/>
        <w:rPr>
          <w:rFonts w:ascii="Arial Narrow" w:hAnsi="Arial Narrow" w:cs="Comic Sans MS"/>
          <w:sz w:val="26"/>
          <w:szCs w:val="26"/>
        </w:rPr>
      </w:pPr>
      <w:r w:rsidRPr="003C59A8">
        <w:rPr>
          <w:rFonts w:ascii="Arial Narrow" w:hAnsi="Arial Narrow" w:cs="Comic Sans MS"/>
          <w:sz w:val="26"/>
          <w:szCs w:val="26"/>
        </w:rPr>
        <w:t xml:space="preserve">De igual manera, la diferencia abismal entre un cálculo y otro, no obedece a las variaciones en el mercado de valores del que se hace depender los ahorros en el RAIS, en orden a justificar que si se cumplió con el deber de información a cargo del fondo privado, por cuanto como lo refiere un caracterizado vocero del sector financiero: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520483">
      <w:pPr>
        <w:autoSpaceDE w:val="0"/>
        <w:autoSpaceDN w:val="0"/>
        <w:adjustRightInd w:val="0"/>
        <w:ind w:firstLine="709"/>
        <w:jc w:val="both"/>
        <w:rPr>
          <w:rFonts w:ascii="Arial Narrow" w:hAnsi="Arial Narrow" w:cs="Comic Sans MS"/>
          <w:sz w:val="26"/>
          <w:szCs w:val="26"/>
        </w:rPr>
      </w:pPr>
      <w:r w:rsidRPr="00520483">
        <w:rPr>
          <w:rFonts w:ascii="Arial Narrow" w:hAnsi="Arial Narrow"/>
          <w:i/>
          <w:szCs w:val="26"/>
        </w:rPr>
        <w:t xml:space="preserve">“Con la misma velocidad con que cayeron las cotizaciones cambiarias temporalmente, en los meses posteriores se han recuperado hacia sus valores más fundamentales. De esta manera, la tendencia debería ser hacia retornos reales positivos del orden del 4 al 6 % anual en las pensiones obligatorias (donde cabe aclarar que se trata de valores netos de la inflación y de los pagos que se hacen a las AFP y a las aseguradoras, siendo estos pagos iguales a los que se hacen en el régimen público de Colpensiones). </w:t>
      </w:r>
      <w:r w:rsidRPr="00520483">
        <w:rPr>
          <w:rFonts w:ascii="MS Gothic" w:eastAsia="MS Gothic" w:hAnsi="MS Gothic" w:cs="MS Gothic" w:hint="eastAsia"/>
          <w:i/>
          <w:szCs w:val="26"/>
        </w:rPr>
        <w:t>  </w:t>
      </w:r>
      <w:r w:rsidRPr="00520483">
        <w:rPr>
          <w:rFonts w:ascii="Arial Narrow" w:hAnsi="Arial Narrow"/>
          <w:i/>
          <w:szCs w:val="26"/>
        </w:rPr>
        <w:t>M</w:t>
      </w:r>
      <w:r w:rsidRPr="00520483">
        <w:rPr>
          <w:rFonts w:ascii="Arial Narrow" w:hAnsi="Arial Narrow" w:cs="Arial Narrow"/>
          <w:i/>
          <w:szCs w:val="26"/>
        </w:rPr>
        <w:t>á</w:t>
      </w:r>
      <w:r w:rsidRPr="00520483">
        <w:rPr>
          <w:rFonts w:ascii="Arial Narrow" w:hAnsi="Arial Narrow"/>
          <w:i/>
          <w:szCs w:val="26"/>
        </w:rPr>
        <w:t>s a</w:t>
      </w:r>
      <w:r w:rsidRPr="00520483">
        <w:rPr>
          <w:rFonts w:ascii="Arial Narrow" w:hAnsi="Arial Narrow" w:cs="Arial Narrow"/>
          <w:i/>
          <w:szCs w:val="26"/>
        </w:rPr>
        <w:t>ú</w:t>
      </w:r>
      <w:r w:rsidRPr="00520483">
        <w:rPr>
          <w:rFonts w:ascii="Arial Narrow" w:hAnsi="Arial Narrow"/>
          <w:i/>
          <w:szCs w:val="26"/>
        </w:rPr>
        <w:t>n, durante el periodo de vigencia del ahorro privado pensional en Colombia (1995-2018), el retorno real hist</w:t>
      </w:r>
      <w:r w:rsidRPr="00520483">
        <w:rPr>
          <w:rFonts w:ascii="Arial Narrow" w:hAnsi="Arial Narrow" w:cs="Arial Narrow"/>
          <w:i/>
          <w:szCs w:val="26"/>
        </w:rPr>
        <w:t>ó</w:t>
      </w:r>
      <w:r w:rsidRPr="00520483">
        <w:rPr>
          <w:rFonts w:ascii="Arial Narrow" w:hAnsi="Arial Narrow"/>
          <w:i/>
          <w:szCs w:val="26"/>
        </w:rPr>
        <w:t xml:space="preserve">rico ha sido un satisfactorio 8 % anual, lo cual ha permitido ofrecer una tasa de reemplazo ( TR = pensión / contribución) con valores del 50 %-60 % (similares a las observadas en países de la Ocde) y sin generar ningún tipo de faltantes fiscales”. </w:t>
      </w:r>
      <w:r w:rsidRPr="003C59A8">
        <w:rPr>
          <w:rFonts w:ascii="Arial Narrow" w:hAnsi="Arial Narrow"/>
          <w:i/>
          <w:sz w:val="26"/>
          <w:szCs w:val="26"/>
        </w:rPr>
        <w:t>(Sergio Clavijo, Director de Anif, 27 de mayo de 2018 publicación del diario El Espectador).</w:t>
      </w:r>
    </w:p>
    <w:p w:rsidR="00243152" w:rsidRPr="003C59A8" w:rsidRDefault="00243152" w:rsidP="003C59A8">
      <w:pPr>
        <w:autoSpaceDE w:val="0"/>
        <w:autoSpaceDN w:val="0"/>
        <w:adjustRightInd w:val="0"/>
        <w:spacing w:line="288" w:lineRule="auto"/>
        <w:ind w:firstLine="708"/>
        <w:jc w:val="both"/>
        <w:rPr>
          <w:rFonts w:ascii="Arial Narrow" w:hAnsi="Arial Narrow" w:cs="Comic Sans MS"/>
          <w:sz w:val="26"/>
          <w:szCs w:val="26"/>
        </w:rPr>
      </w:pPr>
    </w:p>
    <w:p w:rsidR="00243152" w:rsidRDefault="00243152" w:rsidP="003C59A8">
      <w:pPr>
        <w:autoSpaceDE w:val="0"/>
        <w:autoSpaceDN w:val="0"/>
        <w:adjustRightInd w:val="0"/>
        <w:spacing w:line="288" w:lineRule="auto"/>
        <w:ind w:firstLine="708"/>
        <w:jc w:val="both"/>
        <w:rPr>
          <w:rFonts w:ascii="Arial Narrow" w:hAnsi="Arial Narrow" w:cs="Segoe UI"/>
          <w:sz w:val="26"/>
          <w:szCs w:val="26"/>
          <w:shd w:val="clear" w:color="auto" w:fill="FFFFFF"/>
        </w:rPr>
      </w:pPr>
      <w:r w:rsidRPr="003C59A8">
        <w:rPr>
          <w:rFonts w:ascii="Arial Narrow" w:hAnsi="Arial Narrow" w:cs="Segoe UI"/>
          <w:sz w:val="26"/>
          <w:szCs w:val="26"/>
          <w:shd w:val="clear" w:color="auto" w:fill="FFFFFF"/>
        </w:rPr>
        <w:t xml:space="preserve">De igual suerte, otro comentarista de la academia pone en evidencia la falta de información </w:t>
      </w:r>
      <w:r w:rsidR="00D066CF" w:rsidRPr="003C59A8">
        <w:rPr>
          <w:rFonts w:ascii="Arial Narrow" w:hAnsi="Arial Narrow" w:cs="Segoe UI"/>
          <w:sz w:val="26"/>
          <w:szCs w:val="26"/>
          <w:shd w:val="clear" w:color="auto" w:fill="FFFFFF"/>
        </w:rPr>
        <w:t>acerca</w:t>
      </w:r>
      <w:r w:rsidRPr="003C59A8">
        <w:rPr>
          <w:rFonts w:ascii="Arial Narrow" w:hAnsi="Arial Narrow" w:cs="Segoe UI"/>
          <w:sz w:val="26"/>
          <w:szCs w:val="26"/>
          <w:shd w:val="clear" w:color="auto" w:fill="FFFFFF"/>
        </w:rPr>
        <w:t xml:space="preserve"> de las estrategias de inversión, o de que estas puedan ser escogidas por el afiliado, dentro del abanico de posibilidades que el fondo tendría el deber de informar. Al efecto apuntó en un artículo de prensa</w:t>
      </w:r>
      <w:r w:rsidR="00520483">
        <w:rPr>
          <w:rFonts w:ascii="Arial Narrow" w:hAnsi="Arial Narrow" w:cs="Segoe UI"/>
          <w:sz w:val="26"/>
          <w:szCs w:val="26"/>
          <w:shd w:val="clear" w:color="auto" w:fill="FFFFFF"/>
        </w:rPr>
        <w:t>:</w:t>
      </w:r>
    </w:p>
    <w:p w:rsidR="00520483" w:rsidRPr="003C59A8" w:rsidRDefault="00520483" w:rsidP="003C59A8">
      <w:pPr>
        <w:autoSpaceDE w:val="0"/>
        <w:autoSpaceDN w:val="0"/>
        <w:adjustRightInd w:val="0"/>
        <w:spacing w:line="288" w:lineRule="auto"/>
        <w:ind w:firstLine="708"/>
        <w:jc w:val="both"/>
        <w:rPr>
          <w:rFonts w:ascii="Arial Narrow" w:hAnsi="Arial Narrow"/>
          <w:sz w:val="26"/>
          <w:szCs w:val="26"/>
        </w:rPr>
      </w:pPr>
    </w:p>
    <w:p w:rsidR="00243152" w:rsidRPr="00520483" w:rsidRDefault="00243152" w:rsidP="00520483">
      <w:pPr>
        <w:ind w:firstLine="708"/>
        <w:jc w:val="both"/>
        <w:rPr>
          <w:rFonts w:ascii="Arial Narrow" w:hAnsi="Arial Narrow"/>
          <w:i/>
          <w:szCs w:val="26"/>
        </w:rPr>
      </w:pPr>
      <w:r w:rsidRPr="00520483">
        <w:rPr>
          <w:rFonts w:ascii="Arial Narrow" w:hAnsi="Arial Narrow"/>
          <w:i/>
          <w:szCs w:val="26"/>
        </w:rPr>
        <w:t>“Hice el ejercicio y comparé la estrategia “moderada” de los fondos colombianos con una estrategia de riesgo moderado que suelen recomendar los analistas financieros: 60% en el índice S&amp;P500 y 40% en bonos del tesoro de los Estados Unidos. No es el portafolio más representativo posible del mercado mundial, pero se acerca bastante, y sobre todo se acerca más de lo que lo hacen los fondos de pensiones colombianos.</w:t>
      </w:r>
    </w:p>
    <w:p w:rsidR="00243152" w:rsidRPr="00520483" w:rsidRDefault="00243152" w:rsidP="00520483">
      <w:pPr>
        <w:pStyle w:val="Sinespaciado"/>
        <w:rPr>
          <w:rFonts w:ascii="Arial Narrow" w:hAnsi="Arial Narrow"/>
          <w:sz w:val="24"/>
          <w:szCs w:val="26"/>
        </w:rPr>
      </w:pPr>
    </w:p>
    <w:p w:rsidR="00243152" w:rsidRPr="003C59A8" w:rsidRDefault="00243152" w:rsidP="00520483">
      <w:pPr>
        <w:ind w:firstLine="708"/>
        <w:jc w:val="both"/>
        <w:rPr>
          <w:rFonts w:ascii="Arial Narrow" w:hAnsi="Arial Narrow"/>
          <w:i/>
          <w:sz w:val="26"/>
          <w:szCs w:val="26"/>
        </w:rPr>
      </w:pPr>
      <w:r w:rsidRPr="00520483">
        <w:rPr>
          <w:rFonts w:ascii="Arial Narrow" w:hAnsi="Arial Narrow"/>
          <w:i/>
          <w:szCs w:val="26"/>
        </w:rPr>
        <w:t xml:space="preserve">El resultado es que el retorno promedio en pesos de los fondos privados de pensiones entre 1994 (año en que entraron en funcionamiento) y 2017 fue de un 11,80% anual. Por otro lado, la estrategia alternativa dio (también en pesos) un retorno del 12,76% anual. O sea, si uno contribuyó 10 millones a principios de 1994 a un fondo colombiano, a finales de 2017 tenía 145 millones, mientras que con la estrategia alternativa la inversión inicial se habría convertido en 178 millones. Más aún, si uno hubiera podido seguir una estrategia de mayor riesgo pero de todas formas razonable (es decir, invertir el 100% </w:t>
      </w:r>
      <w:r w:rsidRPr="00520483">
        <w:rPr>
          <w:rFonts w:ascii="Arial Narrow" w:hAnsi="Arial Narrow"/>
          <w:i/>
          <w:szCs w:val="26"/>
        </w:rPr>
        <w:lastRenderedPageBreak/>
        <w:t xml:space="preserve">en el S&amp;P500), hoy tendría 337 millones” </w:t>
      </w:r>
      <w:r w:rsidRPr="003C59A8">
        <w:rPr>
          <w:rFonts w:ascii="Arial Narrow" w:hAnsi="Arial Narrow"/>
          <w:sz w:val="26"/>
          <w:szCs w:val="26"/>
        </w:rPr>
        <w:t>(Luis Carlos Reyes Ph. D., profesor universitario de Economía, en su publicación en el diario  El Espectador, el 10 de mayo de 2018)</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Sinespaciado"/>
        <w:spacing w:line="288" w:lineRule="auto"/>
        <w:ind w:firstLine="708"/>
        <w:jc w:val="both"/>
        <w:rPr>
          <w:rFonts w:ascii="Arial Narrow" w:hAnsi="Arial Narrow" w:cs="Arial"/>
          <w:color w:val="000000"/>
          <w:sz w:val="26"/>
          <w:szCs w:val="26"/>
          <w:shd w:val="clear" w:color="auto" w:fill="FFFFFF"/>
        </w:rPr>
      </w:pPr>
      <w:r w:rsidRPr="003C59A8">
        <w:rPr>
          <w:rFonts w:ascii="Arial Narrow" w:hAnsi="Arial Narrow" w:cs="Segoe UI"/>
          <w:color w:val="212121"/>
          <w:sz w:val="26"/>
          <w:szCs w:val="26"/>
        </w:rPr>
        <w:t>De lo anterior, se</w:t>
      </w:r>
      <w:r w:rsidRPr="003C59A8">
        <w:rPr>
          <w:rFonts w:ascii="Arial Narrow" w:hAnsi="Arial Narrow" w:cs="Segoe UI"/>
          <w:color w:val="212121"/>
          <w:sz w:val="26"/>
          <w:szCs w:val="26"/>
          <w:shd w:val="clear" w:color="auto" w:fill="FFFFFF"/>
        </w:rPr>
        <w:t xml:space="preserve"> concluye, entonces, que al actor no se le brindó la información </w:t>
      </w:r>
      <w:r w:rsidRPr="003C59A8">
        <w:rPr>
          <w:rFonts w:ascii="Arial Narrow" w:hAnsi="Arial Narrow" w:cs="Arial"/>
          <w:color w:val="000000"/>
          <w:sz w:val="26"/>
          <w:szCs w:val="26"/>
          <w:shd w:val="clear" w:color="auto" w:fill="FFFFFF"/>
        </w:rPr>
        <w:t xml:space="preserve">suficiente respecto a lo que más le convenía, a fin de que tomara una decisión razonada; que no se le proporcionó una adecuada orientación de lo más benéfico a su situación pensional, ilustrándolo en forma suficiente y dando a conocer las diferentes alternativas, documentándolo sobre los efectos que acarreaba el cambio de régimen, todo lo anterior en ejercicio del deber de información y, de buen consejo que le asiste a las entidades administradoras.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708"/>
        <w:rPr>
          <w:rFonts w:ascii="Arial Narrow" w:hAnsi="Arial Narrow" w:cs="Arial"/>
          <w:color w:val="000000"/>
          <w:sz w:val="26"/>
          <w:szCs w:val="26"/>
          <w:shd w:val="clear" w:color="auto" w:fill="FFFFFF"/>
          <w:lang w:val="es-ES"/>
        </w:rPr>
      </w:pPr>
      <w:r w:rsidRPr="003C59A8">
        <w:rPr>
          <w:rFonts w:ascii="Arial Narrow" w:hAnsi="Arial Narrow" w:cs="Arial"/>
          <w:sz w:val="26"/>
          <w:szCs w:val="26"/>
          <w:lang w:val="es-ES"/>
        </w:rPr>
        <w:t xml:space="preserve">De suerte que, </w:t>
      </w:r>
      <w:r w:rsidRPr="003C59A8">
        <w:rPr>
          <w:rFonts w:ascii="Arial Narrow" w:hAnsi="Arial Narrow" w:cs="Arial"/>
          <w:color w:val="000000"/>
          <w:sz w:val="26"/>
          <w:szCs w:val="26"/>
          <w:shd w:val="clear" w:color="auto" w:fill="FFFFFF"/>
          <w:lang w:val="es-ES"/>
        </w:rPr>
        <w:t>acertada resulta la decisión de la a-quo de declarar la ineficacia del traslado de régimen pensional efectuado por el actor en el año 1999, con la consecuencia ineludible de la afiliación vigente al régimen de prima media con prestación definida, administrado actualmente por Colpensiones; así mismo, acierta al determinar que el fondo privado accionado debe autorizar el retorno del afiliado al régimen de prima media con prestación definida y adelantar las gestiones pertinentes para trasladar con destino a Colpensiones la totalidad del capital acumulado en la  cuenta de ahorro individual, con sus respectivos rendimientos, saldos, frutos e intereses.</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
        <w:spacing w:line="288" w:lineRule="auto"/>
        <w:ind w:firstLine="708"/>
        <w:rPr>
          <w:rFonts w:ascii="Arial Narrow" w:hAnsi="Arial Narrow" w:cs="Arial"/>
          <w:szCs w:val="26"/>
          <w:shd w:val="clear" w:color="auto" w:fill="FFFFFF"/>
          <w:lang w:val="es-ES"/>
        </w:rPr>
      </w:pPr>
      <w:r w:rsidRPr="003C59A8">
        <w:rPr>
          <w:rFonts w:ascii="Arial Narrow" w:hAnsi="Arial Narrow" w:cs="Arial"/>
          <w:szCs w:val="26"/>
          <w:shd w:val="clear" w:color="auto" w:fill="FFFFFF"/>
          <w:lang w:val="es-ES"/>
        </w:rPr>
        <w:t xml:space="preserve">No obstante, es necesario adicionar la providencia, en orden a otorgarle al fondo privado accionado el término de un (1) mes contado a partir de la ejecutoria de esta sentencia, para adelantar las gestiones enunciadas anteriormente. </w:t>
      </w:r>
    </w:p>
    <w:p w:rsidR="00243152" w:rsidRPr="003C59A8" w:rsidRDefault="00243152" w:rsidP="003C59A8">
      <w:pPr>
        <w:pStyle w:val="Sinespaciado"/>
        <w:spacing w:line="288" w:lineRule="auto"/>
        <w:rPr>
          <w:rFonts w:ascii="Arial Narrow" w:hAnsi="Arial Narrow"/>
          <w:color w:val="FF0000"/>
          <w:sz w:val="26"/>
          <w:szCs w:val="26"/>
        </w:rPr>
      </w:pPr>
    </w:p>
    <w:p w:rsidR="00243152" w:rsidRPr="003C59A8" w:rsidRDefault="00243152" w:rsidP="003C59A8">
      <w:pPr>
        <w:pStyle w:val="Textoindependiente31"/>
        <w:spacing w:line="288" w:lineRule="auto"/>
        <w:ind w:firstLine="708"/>
        <w:rPr>
          <w:rFonts w:ascii="Arial Narrow" w:hAnsi="Arial Narrow" w:cs="Arial"/>
          <w:sz w:val="26"/>
          <w:szCs w:val="26"/>
          <w:lang w:val="es-ES"/>
        </w:rPr>
      </w:pPr>
      <w:r w:rsidRPr="003C59A8">
        <w:rPr>
          <w:rFonts w:ascii="Arial Narrow" w:hAnsi="Arial Narrow" w:cs="Arial"/>
          <w:sz w:val="26"/>
          <w:szCs w:val="26"/>
          <w:lang w:val="es-ES"/>
        </w:rPr>
        <w:t xml:space="preserve">En torno al segundo ataque, encaminado a que se imponga a cargo de Colpensiones el pago de costas procesales por haberse opuesto a las pretensiones del gestor de esta litis, es preciso indicar que tal pedimento no tiene vocación de prosperidad, en primer lugar, porque la decisión que se profiere tiene su fuente en la falta al deber de información en que incurrió la administradora de fondos privado al momento de efectuar el traslado de régimen pensional. Y segundo, porque la negativa de Colpensiones frente a la solicitud de traslado del demandante se hizo conforme al ordenamiento jurídico aplicable, según el cual el cambio de régimen pensional no procede cuando el afiliado se encuentra a diez años o menos de cumplir el requisito de edad para pensionarse (artículo 2º Ley 797 de 2002).  Luego entonces, Colpensiones negó la solicitud de traslado conforme a la ley.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708"/>
        <w:rPr>
          <w:rFonts w:ascii="Arial Narrow" w:hAnsi="Arial Narrow" w:cs="Arial"/>
          <w:sz w:val="26"/>
          <w:szCs w:val="26"/>
          <w:lang w:val="es-ES"/>
        </w:rPr>
      </w:pPr>
      <w:r w:rsidRPr="003C59A8">
        <w:rPr>
          <w:rFonts w:ascii="Arial Narrow" w:hAnsi="Arial Narrow" w:cs="Arial"/>
          <w:sz w:val="26"/>
          <w:szCs w:val="26"/>
          <w:lang w:val="es-ES"/>
        </w:rPr>
        <w:t xml:space="preserve">Por ende, tampoco prospera este segmento de la apelación.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
        <w:spacing w:line="288" w:lineRule="auto"/>
        <w:ind w:firstLine="708"/>
        <w:rPr>
          <w:rFonts w:ascii="Arial Narrow" w:hAnsi="Arial Narrow" w:cs="Arial"/>
          <w:szCs w:val="26"/>
          <w:shd w:val="clear" w:color="auto" w:fill="FFFFFF"/>
          <w:lang w:val="es-ES"/>
        </w:rPr>
      </w:pPr>
      <w:r w:rsidRPr="003C59A8">
        <w:rPr>
          <w:rFonts w:ascii="Arial Narrow" w:hAnsi="Arial Narrow" w:cs="Arial"/>
          <w:szCs w:val="26"/>
          <w:shd w:val="clear" w:color="auto" w:fill="FFFFFF"/>
          <w:lang w:val="es-ES"/>
        </w:rPr>
        <w:t>Con lo expuesto, quedan resueltos en su integridad los puntos de inconformidad propuesto</w:t>
      </w:r>
      <w:r w:rsidR="00D066CF">
        <w:rPr>
          <w:rFonts w:ascii="Arial Narrow" w:hAnsi="Arial Narrow" w:cs="Arial"/>
          <w:szCs w:val="26"/>
          <w:shd w:val="clear" w:color="auto" w:fill="FFFFFF"/>
          <w:lang w:val="es-ES"/>
        </w:rPr>
        <w:t>s</w:t>
      </w:r>
      <w:r w:rsidRPr="003C59A8">
        <w:rPr>
          <w:rFonts w:ascii="Arial Narrow" w:hAnsi="Arial Narrow" w:cs="Arial"/>
          <w:szCs w:val="26"/>
          <w:shd w:val="clear" w:color="auto" w:fill="FFFFFF"/>
          <w:lang w:val="es-ES"/>
        </w:rPr>
        <w:t xml:space="preserve"> por la entidad recurrente, así como el grado jurisdiccional de consulta en favor de Colpensiones.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708"/>
        <w:rPr>
          <w:rFonts w:ascii="Arial Narrow" w:hAnsi="Arial Narrow" w:cs="Arial"/>
          <w:sz w:val="26"/>
          <w:szCs w:val="26"/>
          <w:lang w:val="es-ES"/>
        </w:rPr>
      </w:pPr>
      <w:r w:rsidRPr="003C59A8">
        <w:rPr>
          <w:rFonts w:ascii="Arial Narrow" w:hAnsi="Arial Narrow" w:cs="Arial"/>
          <w:sz w:val="26"/>
          <w:szCs w:val="26"/>
          <w:lang w:val="es-ES"/>
        </w:rPr>
        <w:t xml:space="preserve">Costas en esta instancia a cargo del fondo privado y en favor del actor y de Colpensiones.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Prrafodelista1"/>
        <w:spacing w:after="0" w:line="288" w:lineRule="auto"/>
        <w:ind w:left="0" w:firstLine="709"/>
        <w:jc w:val="both"/>
        <w:rPr>
          <w:rFonts w:ascii="Arial Narrow" w:hAnsi="Arial Narrow"/>
          <w:sz w:val="26"/>
          <w:szCs w:val="26"/>
        </w:rPr>
      </w:pPr>
      <w:r w:rsidRPr="003C59A8">
        <w:rPr>
          <w:rFonts w:ascii="Arial Narrow" w:hAnsi="Arial Narrow"/>
          <w:sz w:val="26"/>
          <w:szCs w:val="26"/>
        </w:rPr>
        <w:lastRenderedPageBreak/>
        <w:t xml:space="preserve">En mérito de lo expuesto, el </w:t>
      </w:r>
      <w:r w:rsidRPr="003C59A8">
        <w:rPr>
          <w:rFonts w:ascii="Arial Narrow" w:hAnsi="Arial Narrow"/>
          <w:i/>
          <w:sz w:val="26"/>
          <w:szCs w:val="26"/>
        </w:rPr>
        <w:t>Tribunal Superior del Distrito Judicial de Pereira - Risaralda, Sala Tercera de Decisión Laboral,</w:t>
      </w:r>
      <w:r w:rsidRPr="003C59A8">
        <w:rPr>
          <w:rFonts w:ascii="Arial Narrow" w:hAnsi="Arial Narrow"/>
          <w:sz w:val="26"/>
          <w:szCs w:val="26"/>
        </w:rPr>
        <w:t xml:space="preserve"> administrando justicia en nombre de la República y por autoridad de la ley,</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jc w:val="center"/>
        <w:rPr>
          <w:rFonts w:ascii="Arial Narrow" w:hAnsi="Arial Narrow" w:cs="Arial"/>
          <w:b/>
          <w:sz w:val="26"/>
          <w:szCs w:val="26"/>
        </w:rPr>
      </w:pPr>
      <w:r w:rsidRPr="003C59A8">
        <w:rPr>
          <w:rFonts w:ascii="Arial Narrow" w:hAnsi="Arial Narrow" w:cs="Arial"/>
          <w:b/>
          <w:sz w:val="26"/>
          <w:szCs w:val="26"/>
        </w:rPr>
        <w:t>FALLA</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708"/>
        <w:jc w:val="both"/>
        <w:rPr>
          <w:rFonts w:ascii="Arial Narrow" w:hAnsi="Arial Narrow" w:cs="Arial"/>
          <w:sz w:val="26"/>
          <w:szCs w:val="26"/>
        </w:rPr>
      </w:pPr>
      <w:r w:rsidRPr="003C59A8">
        <w:rPr>
          <w:rFonts w:ascii="Arial Narrow" w:hAnsi="Arial Narrow" w:cs="Arial"/>
          <w:b/>
          <w:sz w:val="26"/>
          <w:szCs w:val="26"/>
        </w:rPr>
        <w:t xml:space="preserve">1. Confirmar </w:t>
      </w:r>
      <w:r w:rsidRPr="003C59A8">
        <w:rPr>
          <w:rFonts w:ascii="Arial Narrow" w:hAnsi="Arial Narrow" w:cs="Arial"/>
          <w:sz w:val="26"/>
          <w:szCs w:val="26"/>
        </w:rPr>
        <w:t xml:space="preserve">la sentencia proferida el 7 de noviembre de 2017 por el Juzgado Cuarto Laboral del Circuito de esta ciudad, dentro del proceso de la referencia, </w:t>
      </w:r>
      <w:r w:rsidRPr="003C59A8">
        <w:rPr>
          <w:rFonts w:ascii="Arial Narrow" w:hAnsi="Arial Narrow" w:cs="Arial"/>
          <w:b/>
          <w:sz w:val="26"/>
          <w:szCs w:val="26"/>
        </w:rPr>
        <w:t>Adicionándola</w:t>
      </w:r>
      <w:r w:rsidRPr="003C59A8">
        <w:rPr>
          <w:rFonts w:ascii="Arial Narrow" w:hAnsi="Arial Narrow" w:cs="Arial"/>
          <w:sz w:val="26"/>
          <w:szCs w:val="26"/>
        </w:rPr>
        <w:t xml:space="preserve"> en orden a otorgarle a la AFP Protección S.A. el término de un (1) mes para realizar todas las gestiones pertinentes para el traslado del demandante, incluido el traslado de los aportes efectuados en la cuenta de ahorro individual, con sus respectivos rendimientos.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Textoindependiente31"/>
        <w:spacing w:line="288" w:lineRule="auto"/>
        <w:ind w:firstLine="708"/>
        <w:rPr>
          <w:rFonts w:ascii="Arial Narrow" w:hAnsi="Arial Narrow" w:cs="Arial"/>
          <w:sz w:val="26"/>
          <w:szCs w:val="26"/>
          <w:lang w:val="es-ES"/>
        </w:rPr>
      </w:pPr>
      <w:r w:rsidRPr="003C59A8">
        <w:rPr>
          <w:rFonts w:ascii="Arial Narrow" w:hAnsi="Arial Narrow" w:cs="Arial"/>
          <w:b/>
          <w:sz w:val="26"/>
          <w:szCs w:val="26"/>
        </w:rPr>
        <w:t>2</w:t>
      </w:r>
      <w:r w:rsidRPr="003C59A8">
        <w:rPr>
          <w:rFonts w:ascii="Arial Narrow" w:hAnsi="Arial Narrow" w:cs="Arial"/>
          <w:sz w:val="26"/>
          <w:szCs w:val="26"/>
        </w:rPr>
        <w:t xml:space="preserve">. </w:t>
      </w:r>
      <w:r w:rsidRPr="003C59A8">
        <w:rPr>
          <w:rFonts w:ascii="Arial Narrow" w:hAnsi="Arial Narrow" w:cs="Arial"/>
          <w:sz w:val="26"/>
          <w:szCs w:val="26"/>
          <w:lang w:val="es-ES"/>
        </w:rPr>
        <w:t xml:space="preserve">Costas en esta instancia a cargo del fondo privado y en favor del actor y de Colpensiones.  </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900"/>
        <w:jc w:val="both"/>
        <w:rPr>
          <w:rFonts w:ascii="Arial Narrow" w:hAnsi="Arial Narrow" w:cs="Microsoft Sans Serif"/>
          <w:bCs/>
          <w:i/>
          <w:iCs/>
          <w:sz w:val="26"/>
          <w:szCs w:val="26"/>
        </w:rPr>
      </w:pPr>
      <w:r w:rsidRPr="003C59A8">
        <w:rPr>
          <w:rFonts w:ascii="Arial Narrow" w:hAnsi="Arial Narrow" w:cs="Microsoft Sans Serif"/>
          <w:bCs/>
          <w:i/>
          <w:iCs/>
          <w:sz w:val="26"/>
          <w:szCs w:val="26"/>
        </w:rPr>
        <w:t>NOTIFÍQUESE, CÚMPLASE Y DEVUÉLVASE.</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900"/>
        <w:jc w:val="both"/>
        <w:rPr>
          <w:rFonts w:ascii="Arial Narrow" w:hAnsi="Arial Narrow" w:cs="Microsoft Sans Serif"/>
          <w:bCs/>
          <w:iCs/>
          <w:sz w:val="26"/>
          <w:szCs w:val="26"/>
        </w:rPr>
      </w:pPr>
      <w:r w:rsidRPr="003C59A8">
        <w:rPr>
          <w:rFonts w:ascii="Arial Narrow" w:hAnsi="Arial Narrow" w:cs="Microsoft Sans Serif"/>
          <w:bCs/>
          <w:iCs/>
          <w:sz w:val="26"/>
          <w:szCs w:val="26"/>
        </w:rPr>
        <w:t>La anterior decisión queda notificada en estrados.</w:t>
      </w: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pStyle w:val="Sinespaciado"/>
        <w:spacing w:line="288" w:lineRule="auto"/>
        <w:rPr>
          <w:rFonts w:ascii="Arial Narrow" w:hAnsi="Arial Narrow"/>
          <w:sz w:val="26"/>
          <w:szCs w:val="26"/>
        </w:rPr>
      </w:pPr>
    </w:p>
    <w:p w:rsidR="00243152" w:rsidRPr="003C59A8" w:rsidRDefault="00243152" w:rsidP="003C59A8">
      <w:pPr>
        <w:spacing w:line="288" w:lineRule="auto"/>
        <w:ind w:firstLine="900"/>
        <w:jc w:val="center"/>
        <w:rPr>
          <w:rFonts w:ascii="Arial Narrow" w:hAnsi="Arial Narrow" w:cs="Microsoft Sans Serif"/>
          <w:b/>
          <w:bCs/>
          <w:iCs/>
          <w:sz w:val="26"/>
          <w:szCs w:val="26"/>
        </w:rPr>
      </w:pPr>
    </w:p>
    <w:p w:rsidR="00243152" w:rsidRPr="003C59A8" w:rsidRDefault="00243152" w:rsidP="003C59A8">
      <w:pPr>
        <w:spacing w:line="288" w:lineRule="auto"/>
        <w:ind w:firstLine="900"/>
        <w:jc w:val="center"/>
        <w:rPr>
          <w:rFonts w:ascii="Arial Narrow" w:hAnsi="Arial Narrow" w:cs="Microsoft Sans Serif"/>
          <w:b/>
          <w:bCs/>
          <w:iCs/>
          <w:sz w:val="26"/>
          <w:szCs w:val="26"/>
        </w:rPr>
      </w:pPr>
      <w:r w:rsidRPr="003C59A8">
        <w:rPr>
          <w:rFonts w:ascii="Arial Narrow" w:hAnsi="Arial Narrow" w:cs="Microsoft Sans Serif"/>
          <w:b/>
          <w:bCs/>
          <w:iCs/>
          <w:sz w:val="26"/>
          <w:szCs w:val="26"/>
        </w:rPr>
        <w:t>FRANCISCO JAVIER TAMAYO TABARES</w:t>
      </w:r>
    </w:p>
    <w:p w:rsidR="00243152" w:rsidRPr="003C59A8" w:rsidRDefault="00243152" w:rsidP="003C59A8">
      <w:pPr>
        <w:spacing w:line="288" w:lineRule="auto"/>
        <w:ind w:firstLine="900"/>
        <w:jc w:val="center"/>
        <w:rPr>
          <w:rFonts w:ascii="Arial Narrow" w:hAnsi="Arial Narrow" w:cs="Microsoft Sans Serif"/>
          <w:bCs/>
          <w:iCs/>
          <w:sz w:val="26"/>
          <w:szCs w:val="26"/>
        </w:rPr>
      </w:pPr>
      <w:r w:rsidRPr="003C59A8">
        <w:rPr>
          <w:rFonts w:ascii="Arial Narrow" w:hAnsi="Arial Narrow" w:cs="Microsoft Sans Serif"/>
          <w:bCs/>
          <w:iCs/>
          <w:sz w:val="26"/>
          <w:szCs w:val="26"/>
        </w:rPr>
        <w:t>Magistrado Ponente</w:t>
      </w:r>
    </w:p>
    <w:p w:rsidR="00243152" w:rsidRPr="003C59A8" w:rsidRDefault="00243152" w:rsidP="003C59A8">
      <w:pPr>
        <w:spacing w:line="288" w:lineRule="auto"/>
        <w:ind w:firstLine="900"/>
        <w:jc w:val="both"/>
        <w:rPr>
          <w:rFonts w:ascii="Arial Narrow" w:hAnsi="Arial Narrow" w:cs="Microsoft Sans Serif"/>
          <w:sz w:val="26"/>
          <w:szCs w:val="26"/>
        </w:rPr>
      </w:pPr>
    </w:p>
    <w:p w:rsidR="00243152" w:rsidRPr="003C59A8" w:rsidRDefault="00243152" w:rsidP="003C59A8">
      <w:pPr>
        <w:spacing w:line="288" w:lineRule="auto"/>
        <w:jc w:val="both"/>
        <w:rPr>
          <w:rFonts w:ascii="Arial Narrow" w:hAnsi="Arial Narrow" w:cs="Microsoft Sans Serif"/>
          <w:bCs/>
          <w:iCs/>
          <w:sz w:val="26"/>
          <w:szCs w:val="26"/>
        </w:rPr>
      </w:pPr>
    </w:p>
    <w:p w:rsidR="00243152" w:rsidRPr="003C59A8" w:rsidRDefault="00243152" w:rsidP="003C59A8">
      <w:pPr>
        <w:spacing w:line="288" w:lineRule="auto"/>
        <w:jc w:val="both"/>
        <w:rPr>
          <w:rFonts w:ascii="Arial Narrow" w:hAnsi="Arial Narrow" w:cs="Microsoft Sans Serif"/>
          <w:bCs/>
          <w:iCs/>
          <w:sz w:val="26"/>
          <w:szCs w:val="26"/>
        </w:rPr>
      </w:pPr>
    </w:p>
    <w:p w:rsidR="00243152" w:rsidRPr="003C59A8" w:rsidRDefault="00243152" w:rsidP="003C59A8">
      <w:pPr>
        <w:spacing w:line="288" w:lineRule="auto"/>
        <w:jc w:val="both"/>
        <w:rPr>
          <w:rFonts w:ascii="Arial Narrow" w:hAnsi="Arial Narrow" w:cs="Microsoft Sans Serif"/>
          <w:b/>
          <w:bCs/>
          <w:iCs/>
          <w:sz w:val="26"/>
          <w:szCs w:val="26"/>
        </w:rPr>
      </w:pPr>
      <w:r w:rsidRPr="003C59A8">
        <w:rPr>
          <w:rFonts w:ascii="Arial Narrow" w:hAnsi="Arial Narrow" w:cs="Microsoft Sans Serif"/>
          <w:b/>
          <w:bCs/>
          <w:iCs/>
          <w:sz w:val="26"/>
          <w:szCs w:val="26"/>
        </w:rPr>
        <w:t>ANA LUCIA CAICEDO CALDERÓN</w:t>
      </w:r>
      <w:r w:rsidR="003C59A8">
        <w:rPr>
          <w:rFonts w:ascii="Arial Narrow" w:hAnsi="Arial Narrow" w:cs="Microsoft Sans Serif"/>
          <w:b/>
          <w:bCs/>
          <w:iCs/>
          <w:sz w:val="26"/>
          <w:szCs w:val="26"/>
        </w:rPr>
        <w:tab/>
      </w:r>
      <w:r w:rsidR="003C59A8">
        <w:rPr>
          <w:rFonts w:ascii="Arial Narrow" w:hAnsi="Arial Narrow" w:cs="Microsoft Sans Serif"/>
          <w:b/>
          <w:bCs/>
          <w:iCs/>
          <w:sz w:val="26"/>
          <w:szCs w:val="26"/>
        </w:rPr>
        <w:tab/>
      </w:r>
      <w:r w:rsidR="003C59A8">
        <w:rPr>
          <w:rFonts w:ascii="Arial Narrow" w:hAnsi="Arial Narrow" w:cs="Microsoft Sans Serif"/>
          <w:b/>
          <w:bCs/>
          <w:iCs/>
          <w:sz w:val="26"/>
          <w:szCs w:val="26"/>
        </w:rPr>
        <w:tab/>
      </w:r>
      <w:r w:rsidR="003C59A8">
        <w:rPr>
          <w:rFonts w:ascii="Arial Narrow" w:hAnsi="Arial Narrow" w:cs="Microsoft Sans Serif"/>
          <w:b/>
          <w:bCs/>
          <w:iCs/>
          <w:sz w:val="26"/>
          <w:szCs w:val="26"/>
        </w:rPr>
        <w:tab/>
      </w:r>
      <w:r w:rsidRPr="003C59A8">
        <w:rPr>
          <w:rFonts w:ascii="Arial Narrow" w:hAnsi="Arial Narrow" w:cs="Microsoft Sans Serif"/>
          <w:b/>
          <w:bCs/>
          <w:iCs/>
          <w:sz w:val="26"/>
          <w:szCs w:val="26"/>
        </w:rPr>
        <w:t xml:space="preserve">JULIO CESAR SALAZAR MUÑOZ </w:t>
      </w:r>
    </w:p>
    <w:p w:rsidR="00243152" w:rsidRPr="003C59A8" w:rsidRDefault="00243152" w:rsidP="003C59A8">
      <w:pPr>
        <w:spacing w:line="288" w:lineRule="auto"/>
        <w:jc w:val="both"/>
        <w:rPr>
          <w:rFonts w:ascii="Arial Narrow" w:hAnsi="Arial Narrow" w:cs="Microsoft Sans Serif"/>
          <w:bCs/>
          <w:iCs/>
          <w:sz w:val="26"/>
          <w:szCs w:val="26"/>
        </w:rPr>
      </w:pPr>
      <w:r w:rsidRPr="003C59A8">
        <w:rPr>
          <w:rFonts w:ascii="Arial Narrow" w:hAnsi="Arial Narrow" w:cs="Microsoft Sans Serif"/>
          <w:bCs/>
          <w:iCs/>
          <w:sz w:val="26"/>
          <w:szCs w:val="26"/>
        </w:rPr>
        <w:t xml:space="preserve">                  Magistrada</w:t>
      </w:r>
      <w:r w:rsidR="003C59A8">
        <w:rPr>
          <w:rFonts w:ascii="Arial Narrow" w:hAnsi="Arial Narrow" w:cs="Microsoft Sans Serif"/>
          <w:bCs/>
          <w:iCs/>
          <w:sz w:val="26"/>
          <w:szCs w:val="26"/>
        </w:rPr>
        <w:tab/>
      </w:r>
      <w:r w:rsidR="003C59A8">
        <w:rPr>
          <w:rFonts w:ascii="Arial Narrow" w:hAnsi="Arial Narrow" w:cs="Microsoft Sans Serif"/>
          <w:bCs/>
          <w:iCs/>
          <w:sz w:val="26"/>
          <w:szCs w:val="26"/>
        </w:rPr>
        <w:tab/>
      </w:r>
      <w:r w:rsidR="003C59A8">
        <w:rPr>
          <w:rFonts w:ascii="Arial Narrow" w:hAnsi="Arial Narrow" w:cs="Microsoft Sans Serif"/>
          <w:bCs/>
          <w:iCs/>
          <w:sz w:val="26"/>
          <w:szCs w:val="26"/>
        </w:rPr>
        <w:tab/>
      </w:r>
      <w:r w:rsidR="003C59A8">
        <w:rPr>
          <w:rFonts w:ascii="Arial Narrow" w:hAnsi="Arial Narrow" w:cs="Microsoft Sans Serif"/>
          <w:bCs/>
          <w:iCs/>
          <w:sz w:val="26"/>
          <w:szCs w:val="26"/>
        </w:rPr>
        <w:tab/>
      </w:r>
      <w:r w:rsidR="003C59A8">
        <w:rPr>
          <w:rFonts w:ascii="Arial Narrow" w:hAnsi="Arial Narrow" w:cs="Microsoft Sans Serif"/>
          <w:bCs/>
          <w:iCs/>
          <w:sz w:val="26"/>
          <w:szCs w:val="26"/>
        </w:rPr>
        <w:tab/>
      </w:r>
      <w:r w:rsidR="003C59A8">
        <w:rPr>
          <w:rFonts w:ascii="Arial Narrow" w:hAnsi="Arial Narrow" w:cs="Microsoft Sans Serif"/>
          <w:bCs/>
          <w:iCs/>
          <w:sz w:val="26"/>
          <w:szCs w:val="26"/>
        </w:rPr>
        <w:tab/>
      </w:r>
      <w:r w:rsidR="003C59A8">
        <w:rPr>
          <w:rFonts w:ascii="Arial Narrow" w:hAnsi="Arial Narrow" w:cs="Microsoft Sans Serif"/>
          <w:bCs/>
          <w:iCs/>
          <w:sz w:val="26"/>
          <w:szCs w:val="26"/>
        </w:rPr>
        <w:tab/>
        <w:t xml:space="preserve">        </w:t>
      </w:r>
      <w:r w:rsidRPr="003C59A8">
        <w:rPr>
          <w:rFonts w:ascii="Arial Narrow" w:hAnsi="Arial Narrow" w:cs="Microsoft Sans Serif"/>
          <w:bCs/>
          <w:iCs/>
          <w:sz w:val="26"/>
          <w:szCs w:val="26"/>
        </w:rPr>
        <w:t>Magistrado</w:t>
      </w:r>
    </w:p>
    <w:p w:rsidR="009050FA" w:rsidRDefault="00243152" w:rsidP="003C59A8">
      <w:pPr>
        <w:spacing w:line="288" w:lineRule="auto"/>
        <w:jc w:val="both"/>
        <w:rPr>
          <w:rFonts w:ascii="Arial Narrow" w:hAnsi="Arial Narrow" w:cs="Microsoft Sans Serif"/>
          <w:bCs/>
          <w:iCs/>
          <w:sz w:val="26"/>
          <w:szCs w:val="26"/>
        </w:rPr>
      </w:pPr>
      <w:r w:rsidRPr="003C59A8">
        <w:rPr>
          <w:rFonts w:ascii="Arial Narrow" w:hAnsi="Arial Narrow" w:cs="Microsoft Sans Serif"/>
          <w:bCs/>
          <w:iCs/>
          <w:sz w:val="26"/>
          <w:szCs w:val="26"/>
        </w:rPr>
        <w:tab/>
      </w:r>
      <w:r w:rsidRPr="003C59A8">
        <w:rPr>
          <w:rFonts w:ascii="Arial Narrow" w:hAnsi="Arial Narrow" w:cs="Microsoft Sans Serif"/>
          <w:bCs/>
          <w:iCs/>
          <w:sz w:val="26"/>
          <w:szCs w:val="26"/>
        </w:rPr>
        <w:tab/>
      </w:r>
      <w:r w:rsidRPr="003C59A8">
        <w:rPr>
          <w:rFonts w:ascii="Arial Narrow" w:hAnsi="Arial Narrow" w:cs="Microsoft Sans Serif"/>
          <w:bCs/>
          <w:iCs/>
          <w:sz w:val="26"/>
          <w:szCs w:val="26"/>
        </w:rPr>
        <w:tab/>
      </w:r>
      <w:r w:rsidRPr="003C59A8">
        <w:rPr>
          <w:rFonts w:ascii="Arial Narrow" w:hAnsi="Arial Narrow" w:cs="Microsoft Sans Serif"/>
          <w:bCs/>
          <w:iCs/>
          <w:sz w:val="26"/>
          <w:szCs w:val="26"/>
        </w:rPr>
        <w:tab/>
      </w:r>
      <w:r w:rsidRPr="003C59A8">
        <w:rPr>
          <w:rFonts w:ascii="Arial Narrow" w:hAnsi="Arial Narrow" w:cs="Microsoft Sans Serif"/>
          <w:bCs/>
          <w:iCs/>
          <w:sz w:val="26"/>
          <w:szCs w:val="26"/>
        </w:rPr>
        <w:tab/>
      </w:r>
      <w:r w:rsidRPr="003C59A8">
        <w:rPr>
          <w:rFonts w:ascii="Arial Narrow" w:hAnsi="Arial Narrow" w:cs="Microsoft Sans Serif"/>
          <w:bCs/>
          <w:iCs/>
          <w:sz w:val="26"/>
          <w:szCs w:val="26"/>
        </w:rPr>
        <w:tab/>
      </w:r>
      <w:r w:rsidR="003C59A8">
        <w:rPr>
          <w:rFonts w:ascii="Arial Narrow" w:hAnsi="Arial Narrow" w:cs="Microsoft Sans Serif"/>
          <w:bCs/>
          <w:iCs/>
          <w:sz w:val="26"/>
          <w:szCs w:val="26"/>
        </w:rPr>
        <w:tab/>
      </w:r>
      <w:r w:rsidR="003C59A8">
        <w:rPr>
          <w:rFonts w:ascii="Arial Narrow" w:hAnsi="Arial Narrow" w:cs="Microsoft Sans Serif"/>
          <w:bCs/>
          <w:iCs/>
          <w:sz w:val="26"/>
          <w:szCs w:val="26"/>
        </w:rPr>
        <w:tab/>
      </w:r>
      <w:r w:rsidR="003C59A8">
        <w:rPr>
          <w:rFonts w:ascii="Arial Narrow" w:hAnsi="Arial Narrow" w:cs="Microsoft Sans Serif"/>
          <w:bCs/>
          <w:iCs/>
          <w:sz w:val="26"/>
          <w:szCs w:val="26"/>
        </w:rPr>
        <w:tab/>
      </w:r>
      <w:r w:rsidRPr="003C59A8">
        <w:rPr>
          <w:rFonts w:ascii="Arial Narrow" w:hAnsi="Arial Narrow" w:cs="Microsoft Sans Serif"/>
          <w:bCs/>
          <w:iCs/>
          <w:sz w:val="26"/>
          <w:szCs w:val="26"/>
        </w:rPr>
        <w:t xml:space="preserve">        Salva voto</w:t>
      </w:r>
    </w:p>
    <w:p w:rsidR="009601B8" w:rsidRDefault="009601B8" w:rsidP="003C59A8">
      <w:pPr>
        <w:spacing w:line="288" w:lineRule="auto"/>
        <w:jc w:val="both"/>
        <w:rPr>
          <w:rFonts w:ascii="Arial Narrow" w:hAnsi="Arial Narrow" w:cs="Microsoft Sans Serif"/>
          <w:bCs/>
          <w:iCs/>
          <w:sz w:val="26"/>
          <w:szCs w:val="26"/>
        </w:rPr>
      </w:pPr>
    </w:p>
    <w:p w:rsidR="009601B8" w:rsidRDefault="009601B8">
      <w:pPr>
        <w:rPr>
          <w:rFonts w:ascii="Arial Narrow" w:hAnsi="Arial Narrow" w:cs="Microsoft Sans Serif"/>
          <w:bCs/>
          <w:iCs/>
          <w:sz w:val="26"/>
          <w:szCs w:val="26"/>
        </w:rPr>
      </w:pPr>
      <w:r>
        <w:rPr>
          <w:rFonts w:ascii="Arial Narrow" w:hAnsi="Arial Narrow" w:cs="Microsoft Sans Serif"/>
          <w:bCs/>
          <w:iCs/>
          <w:sz w:val="26"/>
          <w:szCs w:val="26"/>
        </w:rPr>
        <w:br w:type="page"/>
      </w:r>
    </w:p>
    <w:p w:rsidR="009601B8" w:rsidRPr="00D066CF" w:rsidRDefault="009601B8" w:rsidP="00D066CF">
      <w:pPr>
        <w:pStyle w:val="a"/>
        <w:jc w:val="both"/>
        <w:rPr>
          <w:rFonts w:ascii="Arial" w:hAnsi="Arial" w:cs="Arial"/>
          <w:b w:val="0"/>
          <w:szCs w:val="18"/>
        </w:rPr>
      </w:pPr>
      <w:r w:rsidRPr="00D066CF">
        <w:rPr>
          <w:rFonts w:ascii="Arial" w:hAnsi="Arial" w:cs="Arial"/>
          <w:b w:val="0"/>
          <w:szCs w:val="18"/>
        </w:rPr>
        <w:lastRenderedPageBreak/>
        <w:t>Radicación Nro. :</w:t>
      </w:r>
      <w:r w:rsidRPr="00D066CF">
        <w:rPr>
          <w:rFonts w:ascii="Arial" w:hAnsi="Arial" w:cs="Arial"/>
          <w:b w:val="0"/>
          <w:szCs w:val="18"/>
        </w:rPr>
        <w:tab/>
      </w:r>
      <w:r w:rsidRPr="00D066CF">
        <w:rPr>
          <w:rFonts w:ascii="Arial" w:hAnsi="Arial" w:cs="Arial"/>
          <w:b w:val="0"/>
          <w:szCs w:val="18"/>
        </w:rPr>
        <w:tab/>
      </w:r>
      <w:r w:rsidRPr="00D066CF">
        <w:rPr>
          <w:rFonts w:ascii="Arial" w:hAnsi="Arial" w:cs="Arial"/>
          <w:b w:val="0"/>
          <w:szCs w:val="18"/>
          <w:lang w:val="es-CO"/>
        </w:rPr>
        <w:t>66001-31-05-004-2017-00077-01</w:t>
      </w:r>
    </w:p>
    <w:p w:rsidR="009601B8" w:rsidRPr="00D066CF" w:rsidRDefault="009601B8" w:rsidP="00D066CF">
      <w:pPr>
        <w:pStyle w:val="a"/>
        <w:jc w:val="both"/>
        <w:rPr>
          <w:rFonts w:ascii="Arial" w:hAnsi="Arial" w:cs="Arial"/>
          <w:b w:val="0"/>
          <w:szCs w:val="18"/>
        </w:rPr>
      </w:pPr>
      <w:r w:rsidRPr="00D066CF">
        <w:rPr>
          <w:rFonts w:ascii="Arial" w:hAnsi="Arial" w:cs="Arial"/>
          <w:b w:val="0"/>
          <w:szCs w:val="18"/>
        </w:rPr>
        <w:t>Proceso:</w:t>
      </w:r>
      <w:r w:rsidRPr="00D066CF">
        <w:rPr>
          <w:rFonts w:ascii="Arial" w:hAnsi="Arial" w:cs="Arial"/>
          <w:b w:val="0"/>
          <w:szCs w:val="18"/>
        </w:rPr>
        <w:tab/>
      </w:r>
      <w:r w:rsidRPr="00D066CF">
        <w:rPr>
          <w:rFonts w:ascii="Arial" w:hAnsi="Arial" w:cs="Arial"/>
          <w:b w:val="0"/>
          <w:szCs w:val="18"/>
        </w:rPr>
        <w:tab/>
      </w:r>
      <w:r w:rsidRPr="00D066CF">
        <w:rPr>
          <w:rFonts w:ascii="Arial" w:hAnsi="Arial" w:cs="Arial"/>
          <w:b w:val="0"/>
          <w:szCs w:val="18"/>
        </w:rPr>
        <w:tab/>
        <w:t>Ordinario</w:t>
      </w:r>
    </w:p>
    <w:p w:rsidR="00D066CF" w:rsidRPr="00D066CF" w:rsidRDefault="009601B8" w:rsidP="00D066CF">
      <w:pPr>
        <w:pStyle w:val="a"/>
        <w:jc w:val="both"/>
        <w:rPr>
          <w:rFonts w:ascii="Arial" w:hAnsi="Arial" w:cs="Arial"/>
          <w:b w:val="0"/>
          <w:szCs w:val="18"/>
        </w:rPr>
      </w:pPr>
      <w:r w:rsidRPr="00D066CF">
        <w:rPr>
          <w:rFonts w:ascii="Arial" w:hAnsi="Arial" w:cs="Arial"/>
          <w:b w:val="0"/>
          <w:szCs w:val="18"/>
        </w:rPr>
        <w:t>Demandante:</w:t>
      </w:r>
      <w:r w:rsidRPr="00D066CF">
        <w:rPr>
          <w:rFonts w:ascii="Arial" w:hAnsi="Arial" w:cs="Arial"/>
          <w:b w:val="0"/>
          <w:szCs w:val="18"/>
        </w:rPr>
        <w:tab/>
      </w:r>
      <w:r w:rsidRPr="00D066CF">
        <w:rPr>
          <w:rFonts w:ascii="Arial" w:hAnsi="Arial" w:cs="Arial"/>
          <w:b w:val="0"/>
          <w:szCs w:val="18"/>
        </w:rPr>
        <w:tab/>
      </w:r>
      <w:r w:rsidRPr="00D066CF">
        <w:rPr>
          <w:rFonts w:ascii="Arial" w:hAnsi="Arial" w:cs="Arial"/>
          <w:b w:val="0"/>
          <w:szCs w:val="18"/>
        </w:rPr>
        <w:tab/>
        <w:t>Ronald Alan Perry</w:t>
      </w:r>
    </w:p>
    <w:p w:rsidR="009601B8" w:rsidRPr="00D066CF" w:rsidRDefault="009601B8" w:rsidP="00D066CF">
      <w:pPr>
        <w:pStyle w:val="a"/>
        <w:jc w:val="both"/>
        <w:rPr>
          <w:rFonts w:ascii="Arial" w:hAnsi="Arial" w:cs="Arial"/>
          <w:b w:val="0"/>
          <w:szCs w:val="18"/>
        </w:rPr>
      </w:pPr>
      <w:r w:rsidRPr="00D066CF">
        <w:rPr>
          <w:rFonts w:ascii="Arial" w:hAnsi="Arial" w:cs="Arial"/>
          <w:b w:val="0"/>
          <w:szCs w:val="18"/>
        </w:rPr>
        <w:t>Demandado:</w:t>
      </w:r>
      <w:r w:rsidR="00D066CF">
        <w:rPr>
          <w:rFonts w:ascii="Arial" w:hAnsi="Arial" w:cs="Arial"/>
          <w:b w:val="0"/>
          <w:szCs w:val="18"/>
        </w:rPr>
        <w:tab/>
      </w:r>
      <w:r w:rsidR="00D066CF">
        <w:rPr>
          <w:rFonts w:ascii="Arial" w:hAnsi="Arial" w:cs="Arial"/>
          <w:b w:val="0"/>
          <w:szCs w:val="18"/>
        </w:rPr>
        <w:tab/>
      </w:r>
      <w:r w:rsidRPr="00D066CF">
        <w:rPr>
          <w:rFonts w:ascii="Arial" w:hAnsi="Arial" w:cs="Arial"/>
          <w:b w:val="0"/>
          <w:szCs w:val="18"/>
        </w:rPr>
        <w:tab/>
        <w:t>Colpensiones y otros</w:t>
      </w:r>
    </w:p>
    <w:p w:rsidR="009601B8" w:rsidRDefault="009601B8" w:rsidP="009601B8">
      <w:pPr>
        <w:jc w:val="both"/>
        <w:rPr>
          <w:rFonts w:ascii="Arial" w:hAnsi="Arial" w:cs="Arial"/>
          <w:b/>
          <w:bCs/>
          <w:sz w:val="18"/>
          <w:szCs w:val="18"/>
        </w:rPr>
      </w:pPr>
    </w:p>
    <w:p w:rsidR="009601B8" w:rsidRPr="00131469" w:rsidRDefault="009601B8" w:rsidP="009601B8">
      <w:pPr>
        <w:ind w:left="2829" w:hanging="2829"/>
        <w:jc w:val="both"/>
        <w:rPr>
          <w:rFonts w:ascii="Arial" w:hAnsi="Arial" w:cs="Arial"/>
          <w:b/>
          <w:bCs/>
          <w:sz w:val="18"/>
          <w:szCs w:val="18"/>
        </w:rPr>
      </w:pPr>
    </w:p>
    <w:p w:rsidR="009601B8" w:rsidRDefault="009601B8" w:rsidP="009601B8">
      <w:pPr>
        <w:keepNext/>
        <w:spacing w:line="360" w:lineRule="auto"/>
        <w:jc w:val="center"/>
        <w:outlineLvl w:val="2"/>
        <w:rPr>
          <w:rFonts w:ascii="Arial" w:hAnsi="Arial" w:cs="Arial"/>
          <w:b/>
          <w:lang w:val="es-ES_tradnl"/>
        </w:rPr>
      </w:pPr>
    </w:p>
    <w:p w:rsidR="009601B8" w:rsidRPr="009601B8" w:rsidRDefault="009601B8" w:rsidP="009601B8">
      <w:pPr>
        <w:keepNext/>
        <w:spacing w:line="288" w:lineRule="auto"/>
        <w:jc w:val="center"/>
        <w:outlineLvl w:val="2"/>
        <w:rPr>
          <w:rFonts w:ascii="Arial" w:hAnsi="Arial" w:cs="Arial"/>
          <w:b/>
          <w:lang w:val="es-ES_tradnl"/>
        </w:rPr>
      </w:pPr>
      <w:r w:rsidRPr="009601B8">
        <w:rPr>
          <w:rFonts w:ascii="Arial" w:hAnsi="Arial" w:cs="Arial"/>
          <w:b/>
          <w:lang w:val="es-ES_tradnl"/>
        </w:rPr>
        <w:t>TRIBUNAL SUPERIOR DEL DISTRITO JUDICIAL</w:t>
      </w:r>
    </w:p>
    <w:p w:rsidR="009601B8" w:rsidRPr="009601B8" w:rsidRDefault="009601B8" w:rsidP="009601B8">
      <w:pPr>
        <w:spacing w:line="288" w:lineRule="auto"/>
        <w:jc w:val="center"/>
        <w:rPr>
          <w:rFonts w:ascii="Arial" w:hAnsi="Arial" w:cs="Arial"/>
          <w:b/>
        </w:rPr>
      </w:pPr>
    </w:p>
    <w:p w:rsidR="009601B8" w:rsidRPr="009601B8" w:rsidRDefault="009601B8" w:rsidP="009601B8">
      <w:pPr>
        <w:spacing w:line="288" w:lineRule="auto"/>
        <w:jc w:val="center"/>
        <w:rPr>
          <w:rFonts w:ascii="Arial" w:hAnsi="Arial" w:cs="Arial"/>
          <w:b/>
        </w:rPr>
      </w:pPr>
      <w:r w:rsidRPr="009601B8">
        <w:rPr>
          <w:rFonts w:ascii="Arial" w:hAnsi="Arial" w:cs="Arial"/>
          <w:b/>
        </w:rPr>
        <w:t>SALA LABORAL</w:t>
      </w:r>
    </w:p>
    <w:p w:rsidR="009601B8" w:rsidRPr="009601B8" w:rsidRDefault="009601B8" w:rsidP="009601B8">
      <w:pPr>
        <w:spacing w:line="288" w:lineRule="auto"/>
        <w:jc w:val="center"/>
        <w:rPr>
          <w:rFonts w:ascii="Arial" w:hAnsi="Arial" w:cs="Arial"/>
          <w:b/>
          <w:lang w:val="es-ES_tradnl"/>
        </w:rPr>
      </w:pPr>
    </w:p>
    <w:p w:rsidR="009601B8" w:rsidRPr="009601B8" w:rsidRDefault="009601B8" w:rsidP="009601B8">
      <w:pPr>
        <w:spacing w:line="288" w:lineRule="auto"/>
        <w:jc w:val="center"/>
        <w:rPr>
          <w:rFonts w:ascii="Arial" w:hAnsi="Arial" w:cs="Arial"/>
          <w:b/>
          <w:lang w:val="es-ES_tradnl"/>
        </w:rPr>
      </w:pPr>
      <w:r w:rsidRPr="009601B8">
        <w:rPr>
          <w:rFonts w:ascii="Arial" w:hAnsi="Arial" w:cs="Arial"/>
          <w:b/>
          <w:lang w:val="es-ES_tradnl"/>
        </w:rPr>
        <w:t xml:space="preserve">MAGISTRADO: JULIO CÉSAR SALAZAR MUÑOZ </w:t>
      </w:r>
    </w:p>
    <w:p w:rsidR="009601B8" w:rsidRPr="009601B8" w:rsidRDefault="009601B8" w:rsidP="009601B8">
      <w:pPr>
        <w:spacing w:line="288" w:lineRule="auto"/>
        <w:rPr>
          <w:rFonts w:ascii="Arial" w:hAnsi="Arial" w:cs="Arial"/>
        </w:rPr>
      </w:pPr>
    </w:p>
    <w:p w:rsidR="009601B8" w:rsidRPr="009601B8" w:rsidRDefault="009601B8" w:rsidP="009601B8">
      <w:pPr>
        <w:spacing w:line="288" w:lineRule="auto"/>
        <w:jc w:val="center"/>
        <w:rPr>
          <w:rFonts w:ascii="Arial" w:hAnsi="Arial" w:cs="Arial"/>
          <w:b/>
          <w:lang w:val="es-ES_tradnl"/>
        </w:rPr>
      </w:pPr>
    </w:p>
    <w:p w:rsidR="009601B8" w:rsidRPr="009601B8" w:rsidRDefault="009601B8" w:rsidP="009601B8">
      <w:pPr>
        <w:spacing w:line="288" w:lineRule="auto"/>
        <w:jc w:val="center"/>
        <w:rPr>
          <w:rFonts w:ascii="Arial" w:hAnsi="Arial" w:cs="Arial"/>
          <w:b/>
          <w:lang w:val="es-ES_tradnl"/>
        </w:rPr>
      </w:pPr>
      <w:r w:rsidRPr="009601B8">
        <w:rPr>
          <w:rFonts w:ascii="Arial" w:hAnsi="Arial" w:cs="Arial"/>
          <w:b/>
          <w:lang w:val="es-ES_tradnl"/>
        </w:rPr>
        <w:t>Diciembre 12 de 2018</w:t>
      </w:r>
    </w:p>
    <w:p w:rsidR="009601B8" w:rsidRPr="009601B8" w:rsidRDefault="009601B8" w:rsidP="009601B8">
      <w:pPr>
        <w:spacing w:line="288" w:lineRule="auto"/>
        <w:jc w:val="center"/>
        <w:rPr>
          <w:rFonts w:ascii="Arial" w:hAnsi="Arial" w:cs="Arial"/>
          <w:b/>
          <w:lang w:val="es-ES_tradnl"/>
        </w:rPr>
      </w:pPr>
    </w:p>
    <w:p w:rsidR="009601B8" w:rsidRPr="009601B8" w:rsidRDefault="009601B8" w:rsidP="009601B8">
      <w:pPr>
        <w:spacing w:line="288" w:lineRule="auto"/>
        <w:jc w:val="center"/>
        <w:rPr>
          <w:rFonts w:ascii="Arial" w:hAnsi="Arial" w:cs="Arial"/>
          <w:b/>
          <w:lang w:val="es-ES_tradnl"/>
        </w:rPr>
      </w:pPr>
    </w:p>
    <w:p w:rsidR="009601B8" w:rsidRPr="009601B8" w:rsidRDefault="009601B8" w:rsidP="009601B8">
      <w:pPr>
        <w:spacing w:line="288" w:lineRule="auto"/>
        <w:jc w:val="center"/>
        <w:rPr>
          <w:rFonts w:ascii="Arial" w:hAnsi="Arial" w:cs="Arial"/>
          <w:b/>
          <w:lang w:val="es-ES_tradnl"/>
        </w:rPr>
      </w:pPr>
      <w:r w:rsidRPr="009601B8">
        <w:rPr>
          <w:rFonts w:ascii="Arial" w:hAnsi="Arial" w:cs="Arial"/>
          <w:b/>
          <w:lang w:val="es-ES_tradnl"/>
        </w:rPr>
        <w:t>SALVAMENTO DE VOTO</w:t>
      </w:r>
    </w:p>
    <w:p w:rsidR="009601B8" w:rsidRPr="009601B8" w:rsidRDefault="009601B8" w:rsidP="009601B8">
      <w:pPr>
        <w:suppressAutoHyphens/>
        <w:spacing w:line="288" w:lineRule="auto"/>
        <w:jc w:val="both"/>
        <w:rPr>
          <w:rFonts w:ascii="Arial" w:hAnsi="Arial" w:cs="Arial"/>
          <w:lang w:val="es-ES_tradnl"/>
        </w:rPr>
      </w:pPr>
    </w:p>
    <w:p w:rsidR="009601B8" w:rsidRPr="009601B8" w:rsidRDefault="009601B8" w:rsidP="009601B8">
      <w:pPr>
        <w:suppressAutoHyphens/>
        <w:spacing w:line="288" w:lineRule="auto"/>
        <w:jc w:val="both"/>
        <w:rPr>
          <w:rFonts w:ascii="Arial" w:hAnsi="Arial" w:cs="Arial"/>
          <w:spacing w:val="-2"/>
          <w:lang w:val="es-ES_tradnl"/>
        </w:rPr>
      </w:pPr>
    </w:p>
    <w:p w:rsidR="009601B8" w:rsidRPr="009601B8" w:rsidRDefault="009601B8" w:rsidP="009601B8">
      <w:pPr>
        <w:suppressAutoHyphens/>
        <w:spacing w:line="288" w:lineRule="auto"/>
        <w:jc w:val="both"/>
        <w:rPr>
          <w:rFonts w:ascii="Arial" w:hAnsi="Arial" w:cs="Arial"/>
          <w:spacing w:val="-2"/>
          <w:lang w:val="es-ES_tradnl"/>
        </w:rPr>
      </w:pPr>
      <w:r w:rsidRPr="009601B8">
        <w:rPr>
          <w:rFonts w:ascii="Arial" w:hAnsi="Arial" w:cs="Arial"/>
          <w:spacing w:val="-2"/>
          <w:lang w:val="es-ES_tradnl"/>
        </w:rPr>
        <w:t>Tal como lo propuse en la ponencia que presenté inicialmente, considero que la sentencia del juzgado de conocimiento proferida el 28 de noviembre de 2018 que otorgó las pretensiones de la demanda, debió ser revocada.</w:t>
      </w:r>
    </w:p>
    <w:p w:rsidR="009601B8" w:rsidRPr="009601B8" w:rsidRDefault="009601B8" w:rsidP="009601B8">
      <w:pPr>
        <w:spacing w:line="288" w:lineRule="auto"/>
        <w:jc w:val="both"/>
        <w:rPr>
          <w:rFonts w:ascii="Arial" w:hAnsi="Arial" w:cs="Arial"/>
          <w:b/>
        </w:rPr>
      </w:pPr>
    </w:p>
    <w:p w:rsidR="009601B8" w:rsidRPr="009601B8" w:rsidRDefault="009601B8" w:rsidP="009601B8">
      <w:pPr>
        <w:suppressAutoHyphens/>
        <w:spacing w:line="288" w:lineRule="auto"/>
        <w:jc w:val="both"/>
        <w:rPr>
          <w:rFonts w:ascii="Arial" w:hAnsi="Arial" w:cs="Arial"/>
          <w:spacing w:val="-2"/>
          <w:lang w:val="es-ES_tradnl"/>
        </w:rPr>
      </w:pPr>
      <w:r w:rsidRPr="009601B8">
        <w:rPr>
          <w:rFonts w:ascii="Arial" w:hAnsi="Arial" w:cs="Arial"/>
          <w:spacing w:val="-2"/>
          <w:lang w:val="es-ES_tradnl"/>
        </w:rPr>
        <w:t>Los argumentos que sustentan mi alejamiento de lo decidido por la mayoría en esta segunda instancia se basan en los siguientes supuestos jurídicos y análisis del caso concreto:</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ind w:right="51"/>
        <w:jc w:val="both"/>
        <w:rPr>
          <w:rFonts w:ascii="Arial" w:hAnsi="Arial" w:cs="Arial"/>
          <w:b/>
          <w:iCs/>
          <w:lang w:val="es-ES_tradnl"/>
        </w:rPr>
      </w:pPr>
      <w:r w:rsidRPr="009601B8">
        <w:rPr>
          <w:rFonts w:ascii="Arial" w:hAnsi="Arial" w:cs="Arial"/>
          <w:b/>
          <w:iCs/>
          <w:lang w:val="es-ES_tradnl"/>
        </w:rPr>
        <w:t xml:space="preserve">JURISPRUDENCIA VIGENTE SOBRE LA INEFICACIA DE LA </w:t>
      </w:r>
      <w:r w:rsidR="00D066CF" w:rsidRPr="009601B8">
        <w:rPr>
          <w:rFonts w:ascii="Arial" w:hAnsi="Arial" w:cs="Arial"/>
          <w:b/>
          <w:iCs/>
          <w:lang w:val="es-ES_tradnl"/>
        </w:rPr>
        <w:t>AFILIACIÓN</w:t>
      </w:r>
      <w:r w:rsidRPr="009601B8">
        <w:rPr>
          <w:rFonts w:ascii="Arial" w:hAnsi="Arial" w:cs="Arial"/>
          <w:b/>
          <w:iCs/>
          <w:lang w:val="es-ES_tradnl"/>
        </w:rPr>
        <w:t xml:space="preserve"> AL </w:t>
      </w:r>
      <w:r w:rsidR="00D066CF" w:rsidRPr="009601B8">
        <w:rPr>
          <w:rFonts w:ascii="Arial" w:hAnsi="Arial" w:cs="Arial"/>
          <w:b/>
          <w:iCs/>
          <w:lang w:val="es-ES_tradnl"/>
        </w:rPr>
        <w:t>RÉGIMEN</w:t>
      </w:r>
      <w:r w:rsidRPr="009601B8">
        <w:rPr>
          <w:rFonts w:ascii="Arial" w:hAnsi="Arial" w:cs="Arial"/>
          <w:b/>
          <w:iCs/>
          <w:lang w:val="es-ES_tradnl"/>
        </w:rPr>
        <w:t xml:space="preserve"> DE AHORRO INDIVIDUAL CON SOLIDARIDAD.</w:t>
      </w:r>
    </w:p>
    <w:p w:rsidR="009601B8" w:rsidRPr="009601B8" w:rsidRDefault="009601B8" w:rsidP="009601B8">
      <w:pPr>
        <w:spacing w:line="288" w:lineRule="auto"/>
        <w:ind w:right="51"/>
        <w:jc w:val="both"/>
        <w:rPr>
          <w:rFonts w:ascii="Arial" w:hAnsi="Arial" w:cs="Arial"/>
          <w:b/>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 xml:space="preserve">La Sala de Casación Laboral mediante sentencia SL12136 de 3 de septiembre de 2014 radicación Nº 46.292 con ponencia de la Magistrada Elsy del Pilar Cuello Calderón, frente al tema de la ineficacia del traslado señaló que cuando se trate de </w:t>
      </w:r>
      <w:r w:rsidRPr="009601B8">
        <w:rPr>
          <w:rFonts w:ascii="Arial" w:hAnsi="Arial" w:cs="Arial"/>
          <w:b/>
          <w:iCs/>
          <w:lang w:val="es-ES_tradnl"/>
        </w:rPr>
        <w:t>afiliados beneficiarios del régimen de transición</w:t>
      </w:r>
      <w:r w:rsidRPr="009601B8">
        <w:rPr>
          <w:rFonts w:ascii="Arial" w:hAnsi="Arial" w:cs="Arial"/>
          <w:iCs/>
          <w:lang w:val="es-ES_tradnl"/>
        </w:rPr>
        <w:t xml:space="preserve"> establecido en el artículo 36 de la Ley 100 de 1993, resulta perentorio establecer si la respectiva administradora procedió a la afiliación en términos de eficacia, informándole las consecuencias que le traería el traslado, que no es otra diferente que la de la pérdida del régimen transicional; lo cual explicó en los siguientes términos:</w:t>
      </w:r>
    </w:p>
    <w:p w:rsidR="009601B8" w:rsidRPr="009601B8" w:rsidRDefault="009601B8" w:rsidP="009601B8">
      <w:pPr>
        <w:spacing w:line="288" w:lineRule="auto"/>
        <w:ind w:right="51"/>
        <w:jc w:val="both"/>
        <w:rPr>
          <w:rFonts w:ascii="Arial" w:hAnsi="Arial" w:cs="Arial"/>
          <w:iCs/>
          <w:lang w:val="es-ES_tradnl"/>
        </w:rPr>
      </w:pPr>
    </w:p>
    <w:p w:rsidR="009601B8" w:rsidRPr="00D066CF" w:rsidRDefault="009601B8" w:rsidP="00D066CF">
      <w:pPr>
        <w:ind w:left="567" w:right="567"/>
        <w:jc w:val="both"/>
        <w:rPr>
          <w:rFonts w:ascii="Arial" w:hAnsi="Arial" w:cs="Arial"/>
          <w:i/>
          <w:iCs/>
          <w:sz w:val="22"/>
          <w:lang w:val="es-ES_tradnl"/>
        </w:rPr>
      </w:pPr>
      <w:r w:rsidRPr="00D066CF">
        <w:rPr>
          <w:rFonts w:ascii="Arial" w:hAnsi="Arial" w:cs="Arial"/>
          <w:i/>
          <w:iCs/>
          <w:sz w:val="22"/>
          <w:lang w:val="es-ES_tradnl"/>
        </w:rPr>
        <w:t xml:space="preserve">“El juez no puede pasar inadvertidas falencias informativas, menos considerar que ello no es de su resorte, pues es claro que cuando quien acude a la jurisdicción reclama </w:t>
      </w:r>
      <w:r w:rsidRPr="00D066CF">
        <w:rPr>
          <w:rFonts w:ascii="Arial" w:hAnsi="Arial" w:cs="Arial"/>
          <w:b/>
          <w:i/>
          <w:iCs/>
          <w:sz w:val="22"/>
          <w:lang w:val="es-ES_tradnl"/>
        </w:rPr>
        <w:t>que se le respete el régimen de transición</w:t>
      </w:r>
      <w:r w:rsidRPr="00D066CF">
        <w:rPr>
          <w:rFonts w:ascii="Arial" w:hAnsi="Arial" w:cs="Arial"/>
          <w:i/>
          <w:iCs/>
          <w:sz w:val="22"/>
          <w:lang w:val="es-ES_tradnl"/>
        </w:rPr>
        <w:t>, indiscutiblemente, como se anotó, surge la perentoriedad de estudiar los elementos estructurales para que el mismo opere, es decir, debe constatar que el traslado se produjo en términos de eficacia, para luego, determinar las consecuencias propias.</w:t>
      </w:r>
    </w:p>
    <w:p w:rsidR="009601B8" w:rsidRPr="00D066CF" w:rsidRDefault="009601B8" w:rsidP="00D066CF">
      <w:pPr>
        <w:ind w:left="567" w:right="567"/>
        <w:jc w:val="both"/>
        <w:rPr>
          <w:rFonts w:ascii="Arial" w:hAnsi="Arial" w:cs="Arial"/>
          <w:i/>
          <w:iCs/>
          <w:sz w:val="22"/>
          <w:lang w:val="es-ES_tradnl"/>
        </w:rPr>
      </w:pPr>
    </w:p>
    <w:p w:rsidR="009601B8" w:rsidRPr="00D066CF" w:rsidRDefault="009601B8" w:rsidP="00D066CF">
      <w:pPr>
        <w:ind w:left="567" w:right="567"/>
        <w:jc w:val="both"/>
        <w:rPr>
          <w:rFonts w:ascii="Arial" w:hAnsi="Arial" w:cs="Arial"/>
          <w:i/>
          <w:iCs/>
          <w:sz w:val="22"/>
          <w:lang w:val="es-ES_tradnl"/>
        </w:rPr>
      </w:pPr>
      <w:r w:rsidRPr="00D066CF">
        <w:rPr>
          <w:rFonts w:ascii="Arial" w:hAnsi="Arial" w:cs="Arial"/>
          <w:b/>
          <w:i/>
          <w:iCs/>
          <w:sz w:val="22"/>
          <w:lang w:val="es-ES_tradnl"/>
        </w:rPr>
        <w:t>En ese orden se clarifica con esta decisión que cuando lo que se discuta sea el traslado de regímenes, que conlleve a la pérdida de la transición</w:t>
      </w:r>
      <w:r w:rsidRPr="00D066CF">
        <w:rPr>
          <w:rFonts w:ascii="Arial" w:hAnsi="Arial" w:cs="Arial"/>
          <w:i/>
          <w:iCs/>
          <w:sz w:val="22"/>
          <w:lang w:val="es-ES_tradnl"/>
        </w:rPr>
        <w:t xml:space="preserve">, al juzgador no solo le corresponde determinar si aquella se respeta por contar con los 15 años de servicio a la entrada de vigencia de la Ley 100 de 1993, esto es el </w:t>
      </w:r>
      <w:r w:rsidRPr="00D066CF">
        <w:rPr>
          <w:rFonts w:ascii="Arial" w:hAnsi="Arial" w:cs="Arial"/>
          <w:i/>
          <w:iCs/>
          <w:sz w:val="22"/>
          <w:lang w:val="es-ES_tradnl"/>
        </w:rPr>
        <w:lastRenderedPageBreak/>
        <w:t>1° de abril de 1994, sino que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p>
    <w:p w:rsidR="009601B8" w:rsidRPr="009601B8" w:rsidRDefault="009601B8" w:rsidP="009601B8">
      <w:pPr>
        <w:spacing w:line="288" w:lineRule="auto"/>
        <w:jc w:val="both"/>
        <w:rPr>
          <w:rFonts w:ascii="Arial" w:hAnsi="Arial" w:cs="Arial"/>
          <w:iCs/>
          <w:color w:val="FF0000"/>
          <w:lang w:val="es-ES_tradnl"/>
        </w:rPr>
      </w:pPr>
    </w:p>
    <w:p w:rsidR="009601B8" w:rsidRPr="009601B8" w:rsidRDefault="009601B8" w:rsidP="009601B8">
      <w:pPr>
        <w:spacing w:line="288" w:lineRule="auto"/>
        <w:ind w:right="51"/>
        <w:jc w:val="both"/>
        <w:rPr>
          <w:rFonts w:ascii="Arial" w:hAnsi="Arial" w:cs="Arial"/>
          <w:i/>
          <w:iCs/>
        </w:rPr>
      </w:pPr>
      <w:r w:rsidRPr="009601B8">
        <w:rPr>
          <w:rFonts w:ascii="Arial" w:hAnsi="Arial" w:cs="Arial"/>
          <w:bCs/>
          <w:iCs/>
        </w:rPr>
        <w:t xml:space="preserve">Para apoyar esa tesis de la ineficacia de los traslados entre regímenes por la pérdida del régimen de transición, la Sala de Casación laboral se apoyó en principio en el literal b del artículo 13 de la ley 100 de 1993 que dispone </w:t>
      </w:r>
      <w:r w:rsidRPr="009601B8">
        <w:rPr>
          <w:rFonts w:ascii="Arial" w:hAnsi="Arial" w:cs="Arial"/>
          <w:bCs/>
          <w:i/>
          <w:iCs/>
        </w:rPr>
        <w:t>“</w:t>
      </w:r>
      <w:r w:rsidRPr="009601B8">
        <w:rPr>
          <w:rFonts w:ascii="Arial" w:hAnsi="Arial" w:cs="Arial"/>
          <w:i/>
          <w:iCs/>
        </w:rPr>
        <w:t>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1o. del artículo 271</w:t>
      </w:r>
      <w:hyperlink r:id="rId8" w:anchor="271" w:history="1"/>
      <w:r w:rsidRPr="009601B8">
        <w:rPr>
          <w:rFonts w:ascii="Arial" w:hAnsi="Arial" w:cs="Arial"/>
          <w:i/>
          <w:iCs/>
        </w:rPr>
        <w:t> de la presente ley.”</w:t>
      </w:r>
      <w:r w:rsidRPr="009601B8">
        <w:rPr>
          <w:rFonts w:ascii="Arial" w:hAnsi="Arial" w:cs="Arial"/>
          <w:iCs/>
        </w:rPr>
        <w:t>. Este último artículo a la vez dispone que “</w:t>
      </w:r>
      <w:r w:rsidRPr="009601B8">
        <w:rPr>
          <w:rFonts w:ascii="Arial" w:hAnsi="Arial" w:cs="Arial"/>
          <w:i/>
          <w:iCs/>
        </w:rPr>
        <w:t xml:space="preserve">El empleador, y en general cualquier persona natural o jurídica </w:t>
      </w:r>
      <w:r w:rsidRPr="009601B8">
        <w:rPr>
          <w:rFonts w:ascii="Arial" w:hAnsi="Arial" w:cs="Arial"/>
          <w:b/>
          <w:i/>
          <w:iCs/>
        </w:rPr>
        <w:t>que impida o atente en cualquier forma contra el derecho del trabajador a su afiliación y selección de organismos</w:t>
      </w:r>
      <w:r w:rsidRPr="009601B8">
        <w:rPr>
          <w:rFonts w:ascii="Arial" w:hAnsi="Arial" w:cs="Arial"/>
          <w:i/>
          <w:iCs/>
        </w:rPr>
        <w:t xml:space="preserve">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El valor de estas multas se destinará al Fondo de Solidaridad Pensional o a la subcuenta de solidaridad del Fondo de Solidaridad y Garantía del Sistema General de Seguridad Social en Salud, respectivamente. La afiliación respectiva quedará sin efecto y podrá realizarse nuevamente en forma libre y espontánea por parte del trabajador.”.</w:t>
      </w:r>
    </w:p>
    <w:p w:rsidR="009601B8" w:rsidRPr="009601B8" w:rsidRDefault="009601B8" w:rsidP="009601B8">
      <w:pPr>
        <w:spacing w:line="288" w:lineRule="auto"/>
        <w:ind w:right="51"/>
        <w:jc w:val="both"/>
        <w:rPr>
          <w:rFonts w:ascii="Arial" w:hAnsi="Arial" w:cs="Arial"/>
          <w:iCs/>
        </w:rPr>
      </w:pPr>
    </w:p>
    <w:p w:rsidR="009601B8" w:rsidRPr="009601B8" w:rsidRDefault="009601B8" w:rsidP="009601B8">
      <w:pPr>
        <w:spacing w:line="288" w:lineRule="auto"/>
        <w:ind w:right="51"/>
        <w:jc w:val="both"/>
        <w:rPr>
          <w:rFonts w:ascii="Arial" w:hAnsi="Arial" w:cs="Arial"/>
          <w:iCs/>
        </w:rPr>
      </w:pPr>
      <w:r w:rsidRPr="009601B8">
        <w:rPr>
          <w:rFonts w:ascii="Arial" w:hAnsi="Arial" w:cs="Arial"/>
          <w:iCs/>
        </w:rPr>
        <w:t xml:space="preserve">Tales previsiones las concordó con el inciso 4º del artículo 36 de la ley 100 de 1993, para concluir que, </w:t>
      </w:r>
      <w:r w:rsidRPr="009601B8">
        <w:rPr>
          <w:rFonts w:ascii="Arial" w:hAnsi="Arial" w:cs="Arial"/>
          <w:b/>
          <w:iCs/>
        </w:rPr>
        <w:t>en la medida que el traslado al Régimen de prima media conlleva la pérdida de la transición</w:t>
      </w:r>
      <w:r w:rsidRPr="009601B8">
        <w:rPr>
          <w:rFonts w:ascii="Arial" w:hAnsi="Arial" w:cs="Arial"/>
          <w:iCs/>
        </w:rPr>
        <w:t xml:space="preserve"> y que el citado inciso exige expresamente que dicha decisión sea voluntaria, para la eficacia de la decisión se requiere que aparezca prueba inequívoca de </w:t>
      </w:r>
      <w:r w:rsidRPr="009601B8">
        <w:rPr>
          <w:rFonts w:ascii="Arial" w:hAnsi="Arial" w:cs="Arial"/>
          <w:b/>
          <w:iCs/>
        </w:rPr>
        <w:t>que el cambio se produjo por una decisión informada</w:t>
      </w:r>
      <w:r w:rsidRPr="009601B8">
        <w:rPr>
          <w:rFonts w:ascii="Arial" w:hAnsi="Arial" w:cs="Arial"/>
          <w:iCs/>
        </w:rPr>
        <w:t>. Al respecto, expresamente se señaló en la sentencia con rad. 46292 de 3 de septiembre de 2014:</w:t>
      </w:r>
    </w:p>
    <w:p w:rsidR="009601B8" w:rsidRPr="009601B8" w:rsidRDefault="009601B8" w:rsidP="009601B8">
      <w:pPr>
        <w:spacing w:line="288" w:lineRule="auto"/>
        <w:ind w:right="51"/>
        <w:jc w:val="both"/>
        <w:rPr>
          <w:rFonts w:ascii="Arial" w:hAnsi="Arial" w:cs="Arial"/>
          <w:iCs/>
        </w:rPr>
      </w:pPr>
    </w:p>
    <w:p w:rsidR="009601B8" w:rsidRPr="00D066CF" w:rsidRDefault="009601B8" w:rsidP="00D066CF">
      <w:pPr>
        <w:ind w:left="567" w:right="562"/>
        <w:jc w:val="both"/>
        <w:rPr>
          <w:rFonts w:ascii="Arial" w:hAnsi="Arial" w:cs="Arial"/>
          <w:i/>
          <w:iCs/>
          <w:sz w:val="22"/>
        </w:rPr>
      </w:pPr>
      <w:r w:rsidRPr="00D066CF">
        <w:rPr>
          <w:rFonts w:ascii="Arial" w:hAnsi="Arial" w:cs="Arial"/>
          <w:i/>
          <w:iCs/>
          <w:sz w:val="22"/>
        </w:rPr>
        <w:t xml:space="preserve">“…distinto del caso de quienes solo tuvieran la edad establecida en el reseñado </w:t>
      </w:r>
      <w:r w:rsidRPr="00D066CF">
        <w:rPr>
          <w:rFonts w:ascii="Arial" w:hAnsi="Arial" w:cs="Arial"/>
          <w:b/>
          <w:i/>
          <w:iCs/>
          <w:sz w:val="22"/>
        </w:rPr>
        <w:t>artículo 36 de la Ley 100 de 1993</w:t>
      </w:r>
      <w:r w:rsidRPr="00D066CF">
        <w:rPr>
          <w:rFonts w:ascii="Arial" w:hAnsi="Arial" w:cs="Arial"/>
          <w:i/>
          <w:iCs/>
          <w:sz w:val="22"/>
        </w:rPr>
        <w:t xml:space="preserve">, solo que ello parte de un supuesto evidente y es que la manifestación del traslado, como se indicó, estuviera precedida de libertad, </w:t>
      </w:r>
      <w:r w:rsidRPr="00D066CF">
        <w:rPr>
          <w:rFonts w:ascii="Arial" w:hAnsi="Arial" w:cs="Arial"/>
          <w:b/>
          <w:i/>
          <w:iCs/>
          <w:sz w:val="22"/>
        </w:rPr>
        <w:t>y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D066CF">
        <w:rPr>
          <w:rFonts w:ascii="Arial" w:hAnsi="Arial" w:cs="Arial"/>
          <w:i/>
          <w:iCs/>
          <w:sz w:val="22"/>
        </w:rPr>
        <w:t>, no solo por la entidad del derecho discutido, sino porque el Estado es garante de la prestación del servicio público obligatorio, y debe dirigirlo, controlarlo y coordinarlo, y por ello deben aplicarse las consecuencias de que no exista una decisión informada (artículos 4 y 5, Ley 100 de 1993).</w:t>
      </w:r>
    </w:p>
    <w:p w:rsidR="009601B8" w:rsidRPr="009601B8" w:rsidRDefault="009601B8" w:rsidP="009601B8">
      <w:pPr>
        <w:spacing w:line="288" w:lineRule="auto"/>
        <w:ind w:right="51"/>
        <w:jc w:val="both"/>
        <w:rPr>
          <w:rFonts w:ascii="Arial" w:hAnsi="Arial" w:cs="Arial"/>
          <w:b/>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 xml:space="preserve">Acogiendo esa línea jurisprudencial, basada –se insiste- en el perjuicio que implica la pérdida de la transición, algunas Salas de decisión Laboral de este Tribunal han venido sosteniendo que cuando está en juego la pérdida de éste por efectuarse el traslado de régimen, para evitar una decisión desfavorable, le corresponde a la </w:t>
      </w:r>
      <w:r w:rsidRPr="009601B8">
        <w:rPr>
          <w:rFonts w:ascii="Arial" w:hAnsi="Arial" w:cs="Arial"/>
          <w:iCs/>
          <w:lang w:val="es-ES_tradnl"/>
        </w:rPr>
        <w:lastRenderedPageBreak/>
        <w:t xml:space="preserve">administradora demostrar que ofreció al usuario la información necesaria para hacerle notar las consecuencias desfavorables del mismo; no obstante, cuando el afiliado </w:t>
      </w:r>
      <w:r w:rsidRPr="009601B8">
        <w:rPr>
          <w:rFonts w:ascii="Arial" w:hAnsi="Arial" w:cs="Arial"/>
          <w:b/>
          <w:iCs/>
          <w:lang w:val="es-ES_tradnl"/>
        </w:rPr>
        <w:t>no ostenta la calidad de beneficiario del régimen de transición</w:t>
      </w:r>
      <w:r w:rsidRPr="009601B8">
        <w:rPr>
          <w:rFonts w:ascii="Arial" w:hAnsi="Arial" w:cs="Arial"/>
          <w:iCs/>
          <w:lang w:val="es-ES_tradnl"/>
        </w:rPr>
        <w:t xml:space="preserve">, la carga de la prueba sobre los fundamentos que alega para pedir su nulidad  e ineficacia, está en su cabeza, advirtiéndose que no puede únicamente sostener que no fue informado sobre las consecuencias de su traslado, por cuanto debe probar sus dichos, </w:t>
      </w:r>
      <w:r w:rsidRPr="009601B8">
        <w:rPr>
          <w:rFonts w:ascii="Arial" w:hAnsi="Arial" w:cs="Arial"/>
          <w:b/>
          <w:iCs/>
          <w:lang w:val="es-ES_tradnl"/>
        </w:rPr>
        <w:t>esto, en el entendido que el solo traslado no le genera ningún perjuicio</w:t>
      </w:r>
      <w:r w:rsidRPr="009601B8">
        <w:rPr>
          <w:rFonts w:ascii="Arial" w:hAnsi="Arial" w:cs="Arial"/>
          <w:iCs/>
          <w:lang w:val="es-ES_tradnl"/>
        </w:rPr>
        <w:t>, pues en su momento, simplemente ejerció su derecho a optar por el sistema que consideró, ser el más adecuado a sus intereses y expectativas de vida futura.</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En efecto, debe resaltarse la precisión que hace la Corte en cuanto sostiene “</w:t>
      </w:r>
      <w:r w:rsidRPr="009601B8">
        <w:rPr>
          <w:rFonts w:ascii="Arial" w:hAnsi="Arial" w:cs="Arial"/>
          <w:b/>
          <w:i/>
          <w:iCs/>
          <w:u w:val="single"/>
        </w:rPr>
        <w:t>que aunque es cierto que reglas jurídicas generales aluden a que debe demostrarse la afectación de la voluntad para anular una actuación particular</w:t>
      </w:r>
      <w:r w:rsidRPr="009601B8">
        <w:rPr>
          <w:rFonts w:ascii="Arial" w:hAnsi="Arial" w:cs="Arial"/>
          <w:b/>
          <w:i/>
          <w:iCs/>
        </w:rPr>
        <w:t>, esto no puede aplicarse de la misma manera en estos particulares eventos en los que se discute la pérdida del régimen pensional</w:t>
      </w:r>
      <w:r w:rsidRPr="009601B8">
        <w:rPr>
          <w:rFonts w:ascii="Arial" w:hAnsi="Arial" w:cs="Arial"/>
          <w:iCs/>
        </w:rPr>
        <w:t xml:space="preserve">”. Afirmación que no tiene significado diferente a que, en los casos en que, por el traslado de régimen, no exista pérdida del beneficio de la transición, </w:t>
      </w:r>
      <w:r w:rsidRPr="009601B8">
        <w:rPr>
          <w:rFonts w:ascii="Arial" w:hAnsi="Arial" w:cs="Arial"/>
          <w:b/>
          <w:iCs/>
        </w:rPr>
        <w:t>las reglas que deben seguirse para restarle efectos al acto jurídico del traslado, son las de la nulidad</w:t>
      </w:r>
      <w:r w:rsidRPr="009601B8">
        <w:rPr>
          <w:rFonts w:ascii="Arial" w:hAnsi="Arial" w:cs="Arial"/>
          <w:iCs/>
        </w:rPr>
        <w:t>, que entre otras cosas, dejan la carga de la prueba en cabeza del demandante y -con un adecuado sentido de la necesidad de garantizar y ofrecer a los asociados seguridad jurídica- conllevan un término prudente para solicitarla, so pena de tenerlo por convalidado como se verá más adelante.</w:t>
      </w:r>
    </w:p>
    <w:p w:rsidR="009601B8" w:rsidRPr="009601B8" w:rsidRDefault="009601B8" w:rsidP="009601B8">
      <w:pPr>
        <w:spacing w:line="288" w:lineRule="auto"/>
        <w:jc w:val="both"/>
        <w:rPr>
          <w:rFonts w:ascii="Arial" w:hAnsi="Arial" w:cs="Arial"/>
          <w:iCs/>
          <w:color w:val="FF0000"/>
          <w:lang w:val="es-ES_tradnl"/>
        </w:rPr>
      </w:pPr>
    </w:p>
    <w:p w:rsidR="009601B8" w:rsidRPr="009601B8" w:rsidRDefault="009601B8" w:rsidP="009601B8">
      <w:pPr>
        <w:spacing w:line="288" w:lineRule="auto"/>
        <w:jc w:val="both"/>
        <w:rPr>
          <w:rFonts w:ascii="Arial" w:hAnsi="Arial" w:cs="Arial"/>
          <w:iCs/>
          <w:lang w:val="es-ES_tradnl"/>
        </w:rPr>
      </w:pPr>
      <w:r w:rsidRPr="009601B8">
        <w:rPr>
          <w:rFonts w:ascii="Arial" w:hAnsi="Arial" w:cs="Arial"/>
          <w:iCs/>
          <w:lang w:val="es-ES_tradnl"/>
        </w:rPr>
        <w:t xml:space="preserve">No obstante, en reciente sentencia de 14 de noviembre de 2018, rad. 54814, con ponencia del doctor GERARDO BOTERO ZULUAGA, la Sala de Casación Laboral parece incluir dentro de la óptica de </w:t>
      </w:r>
      <w:r w:rsidRPr="009601B8">
        <w:rPr>
          <w:rFonts w:ascii="Arial" w:hAnsi="Arial" w:cs="Arial"/>
          <w:b/>
          <w:iCs/>
          <w:lang w:val="es-ES_tradnl"/>
        </w:rPr>
        <w:t>ineficacia</w:t>
      </w:r>
      <w:r w:rsidRPr="009601B8">
        <w:rPr>
          <w:rFonts w:ascii="Arial" w:hAnsi="Arial" w:cs="Arial"/>
          <w:iCs/>
          <w:lang w:val="es-ES_tradnl"/>
        </w:rPr>
        <w:t xml:space="preserve"> del traslado por “falta de información” la de todos los afiliados, independientemente de su pertenencia o no al régimen de transición. Al respecto dice en la sentencia en cita lo siguiente:</w:t>
      </w:r>
    </w:p>
    <w:p w:rsidR="009601B8" w:rsidRPr="009601B8" w:rsidRDefault="009601B8" w:rsidP="009601B8">
      <w:pPr>
        <w:spacing w:line="288" w:lineRule="auto"/>
        <w:jc w:val="both"/>
        <w:rPr>
          <w:rFonts w:ascii="Arial" w:hAnsi="Arial" w:cs="Arial"/>
          <w:iCs/>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Cs/>
          <w:sz w:val="22"/>
          <w:lang w:val="es-ES_tradnl"/>
        </w:rPr>
        <w:t>“Ese mismo compendio normativo, en su precepto 98 indica que al ser, entre otras las AFP entidades que desarrollan actividades de interés público, deben emplear la debida diligencia en la prestación de los servicios, y que “</w:t>
      </w:r>
      <w:r w:rsidRPr="00D066CF">
        <w:rPr>
          <w:rFonts w:ascii="Arial" w:hAnsi="Arial" w:cs="Arial"/>
          <w:i/>
          <w:iCs/>
          <w:sz w:val="22"/>
          <w:lang w:val="es-ES_tradnl"/>
        </w:rPr>
        <w:t xml:space="preserve">en la celebración de las operaciones propias de su objeto dichas instituciones deberán abstenerse de convertir cláusulas que por su carácter exorbitante puedan afectar el equilibrio del contrato o dar lugar a un abuso de posición dominante”, </w:t>
      </w:r>
      <w:r w:rsidRPr="00D066CF">
        <w:rPr>
          <w:rFonts w:ascii="Arial" w:hAnsi="Arial" w:cs="Arial"/>
          <w:iCs/>
          <w:sz w:val="22"/>
          <w:lang w:val="es-ES_tradnl"/>
        </w:rPr>
        <w:t xml:space="preserve">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w:t>
      </w:r>
      <w:r w:rsidRPr="00D066CF">
        <w:rPr>
          <w:rFonts w:ascii="Arial" w:hAnsi="Arial" w:cs="Arial"/>
          <w:b/>
          <w:iCs/>
          <w:sz w:val="22"/>
          <w:lang w:val="es-ES_tradnl"/>
        </w:rPr>
        <w:t>encontrándose o no la persona en transición</w:t>
      </w:r>
      <w:r w:rsidRPr="00D066CF">
        <w:rPr>
          <w:rFonts w:ascii="Arial" w:hAnsi="Arial" w:cs="Arial"/>
          <w:iCs/>
          <w:sz w:val="22"/>
          <w:lang w:val="es-ES_tradnl"/>
        </w:rPr>
        <w:t xml:space="preserve">.” </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Hasta este momento solo se conoce este pronunciamiento sobre el tema de la ampliación de la figura de la ineficacia de traslados para afiliados que no gozan del beneficio de la transición y por ende el mismo no constituye jurisprudencia que deba seguirse, pero desde ya vale hacer las siguientes observaciones sobre el tema.</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
        </w:rPr>
      </w:pPr>
      <w:r w:rsidRPr="009601B8">
        <w:rPr>
          <w:rFonts w:ascii="Arial" w:hAnsi="Arial" w:cs="Arial"/>
          <w:b/>
        </w:rPr>
        <w:t>VALOR NORMATIVO DE LAS SENTENCIAS PROFERIDAS POR LA CORTE SUPREMA DE JUSTICIA.</w:t>
      </w:r>
    </w:p>
    <w:p w:rsidR="009601B8" w:rsidRPr="009601B8" w:rsidRDefault="009601B8" w:rsidP="009601B8">
      <w:pPr>
        <w:spacing w:line="288" w:lineRule="auto"/>
        <w:ind w:right="51"/>
        <w:jc w:val="both"/>
        <w:rPr>
          <w:rFonts w:ascii="Arial" w:hAnsi="Arial" w:cs="Arial"/>
          <w:b/>
        </w:rPr>
      </w:pPr>
    </w:p>
    <w:p w:rsidR="009601B8" w:rsidRPr="009601B8" w:rsidRDefault="009601B8" w:rsidP="009601B8">
      <w:pPr>
        <w:spacing w:line="288" w:lineRule="auto"/>
        <w:ind w:right="51"/>
        <w:jc w:val="both"/>
        <w:rPr>
          <w:rFonts w:ascii="Arial" w:hAnsi="Arial" w:cs="Arial"/>
        </w:rPr>
      </w:pPr>
      <w:r w:rsidRPr="009601B8">
        <w:rPr>
          <w:rFonts w:ascii="Arial" w:hAnsi="Arial" w:cs="Arial"/>
        </w:rPr>
        <w:lastRenderedPageBreak/>
        <w:t>La Corte Constitucional en la sentencia C-836 de 2001, al abordar el tema de doctrina probable enseñó que, a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Haciéndose así necesario que para apartarse de la doctrina probable los jueces expongan claramente la tesis vigente emanada de la Corte y la razonada argumentación  jurídica que los lleva a disentir de ésta.</w:t>
      </w:r>
    </w:p>
    <w:p w:rsidR="009601B8" w:rsidRPr="009601B8" w:rsidRDefault="009601B8" w:rsidP="009601B8">
      <w:pPr>
        <w:spacing w:line="288" w:lineRule="auto"/>
        <w:ind w:right="51"/>
        <w:jc w:val="both"/>
        <w:rPr>
          <w:rFonts w:ascii="Arial" w:hAnsi="Arial" w:cs="Arial"/>
        </w:rPr>
      </w:pPr>
    </w:p>
    <w:p w:rsidR="009601B8" w:rsidRPr="009601B8" w:rsidRDefault="009601B8" w:rsidP="009601B8">
      <w:pPr>
        <w:spacing w:line="288" w:lineRule="auto"/>
        <w:ind w:right="51"/>
        <w:jc w:val="both"/>
        <w:rPr>
          <w:rFonts w:ascii="Arial" w:hAnsi="Arial" w:cs="Arial"/>
        </w:rPr>
      </w:pPr>
      <w:r w:rsidRPr="009601B8">
        <w:rPr>
          <w:rFonts w:ascii="Arial" w:hAnsi="Arial" w:cs="Arial"/>
        </w:rPr>
        <w:t>En efecto, en la parte resolutiva de la sentencia en cita se dispuso:</w:t>
      </w:r>
    </w:p>
    <w:p w:rsidR="009601B8" w:rsidRPr="009601B8" w:rsidRDefault="009601B8" w:rsidP="009601B8">
      <w:pPr>
        <w:spacing w:line="288" w:lineRule="auto"/>
        <w:ind w:right="51"/>
        <w:jc w:val="both"/>
        <w:rPr>
          <w:rFonts w:ascii="Arial" w:hAnsi="Arial" w:cs="Aria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bCs/>
          <w:iCs/>
          <w:sz w:val="22"/>
          <w:lang w:val="es-ES_tradnl"/>
        </w:rPr>
        <w:t>“PRIMERO.- </w:t>
      </w:r>
      <w:r w:rsidRPr="00D066CF">
        <w:rPr>
          <w:rFonts w:ascii="Arial" w:hAnsi="Arial" w:cs="Arial"/>
          <w:iCs/>
          <w:sz w:val="22"/>
          <w:lang w:val="es-ES_tradnl"/>
        </w:rPr>
        <w:t>Declarar </w:t>
      </w:r>
      <w:r w:rsidRPr="00D066CF">
        <w:rPr>
          <w:rFonts w:ascii="Arial" w:hAnsi="Arial" w:cs="Arial"/>
          <w:bCs/>
          <w:iCs/>
          <w:sz w:val="22"/>
          <w:lang w:val="es-ES_tradnl"/>
        </w:rPr>
        <w:t>EXEQUIBLE</w:t>
      </w:r>
      <w:r w:rsidRPr="00D066CF">
        <w:rPr>
          <w:rFonts w:ascii="Arial" w:hAnsi="Arial" w:cs="Arial"/>
          <w:iCs/>
          <w:sz w:val="22"/>
          <w:lang w:val="es-ES_tradnl"/>
        </w:rPr>
        <w:t xml:space="preserve"> el artículo 4º de la Ley 169 de 1896, siempre y cuando se entienda que la Corte Suprema de Justicia, como juez de casación, y los demás jueces que conforman la jurisdicción ordinaria, </w:t>
      </w:r>
      <w:r w:rsidRPr="00D066CF">
        <w:rPr>
          <w:rFonts w:ascii="Arial" w:hAnsi="Arial" w:cs="Arial"/>
          <w:b/>
          <w:iCs/>
          <w:sz w:val="22"/>
          <w:lang w:val="es-ES_tradnl"/>
        </w:rPr>
        <w:t>al apartarse de la doctrina probable dictada por aquella, están obligados a exponer clara y razonadamente los fundamentos jurídicos que justifican su decisión</w:t>
      </w:r>
      <w:r w:rsidRPr="00D066CF">
        <w:rPr>
          <w:rFonts w:ascii="Arial" w:hAnsi="Arial" w:cs="Arial"/>
          <w:iCs/>
          <w:sz w:val="22"/>
          <w:lang w:val="es-ES_tradnl"/>
        </w:rPr>
        <w:t>, en los términos de los numerales 14 a 24 de la presente Sentencia.”</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b/>
          <w:iCs/>
          <w:lang w:val="es-ES_tradnl"/>
        </w:rPr>
      </w:pPr>
      <w:r w:rsidRPr="009601B8">
        <w:rPr>
          <w:rFonts w:ascii="Arial" w:hAnsi="Arial" w:cs="Arial"/>
          <w:b/>
          <w:iCs/>
          <w:lang w:val="es-ES_tradnl"/>
        </w:rPr>
        <w:t>RAZONES QUE ME LLEVAN A APARTARME DE LA PUERTA QUE ABRIÓ LA CORTE SUPREMA DE JUSTICIA EN LO RELATIVO A LA AMPLIACIÓN DE LA POSIBILIDAD DE DECLARAR LA INEFICACIA DEL TRASLADO A AFILIADOS QUE NO PERTENECEN AL RÉGIMEN DE TRANSICIÓN.</w:t>
      </w:r>
    </w:p>
    <w:p w:rsidR="009601B8" w:rsidRPr="009601B8" w:rsidRDefault="009601B8" w:rsidP="009601B8">
      <w:pPr>
        <w:spacing w:line="288" w:lineRule="auto"/>
        <w:ind w:right="51"/>
        <w:jc w:val="both"/>
        <w:rPr>
          <w:rFonts w:ascii="Arial" w:hAnsi="Arial" w:cs="Arial"/>
          <w:b/>
          <w:iCs/>
          <w:lang w:val="es-ES_tradnl"/>
        </w:rPr>
      </w:pPr>
    </w:p>
    <w:p w:rsidR="009601B8" w:rsidRPr="009601B8" w:rsidRDefault="009601B8" w:rsidP="009601B8">
      <w:pPr>
        <w:spacing w:line="288" w:lineRule="auto"/>
        <w:ind w:right="51"/>
        <w:jc w:val="both"/>
        <w:rPr>
          <w:rFonts w:ascii="Arial" w:hAnsi="Arial" w:cs="Arial"/>
          <w:b/>
          <w:iCs/>
          <w:lang w:val="es-ES_tradnl"/>
        </w:rPr>
      </w:pPr>
      <w:bookmarkStart w:id="0" w:name="13"/>
      <w:r w:rsidRPr="009601B8">
        <w:rPr>
          <w:rFonts w:ascii="Arial" w:hAnsi="Arial" w:cs="Arial"/>
          <w:b/>
          <w:bCs/>
          <w:iCs/>
        </w:rPr>
        <w:t xml:space="preserve">PRIMERA: </w:t>
      </w:r>
      <w:bookmarkEnd w:id="0"/>
      <w:r w:rsidR="00D066CF" w:rsidRPr="009601B8">
        <w:rPr>
          <w:rFonts w:ascii="Arial" w:hAnsi="Arial" w:cs="Arial"/>
          <w:b/>
          <w:iCs/>
          <w:lang w:val="es-ES_tradnl"/>
        </w:rPr>
        <w:t>REGÍMENES</w:t>
      </w:r>
      <w:r w:rsidRPr="009601B8">
        <w:rPr>
          <w:rFonts w:ascii="Arial" w:hAnsi="Arial" w:cs="Arial"/>
          <w:b/>
          <w:iCs/>
          <w:lang w:val="es-ES_tradnl"/>
        </w:rPr>
        <w:t xml:space="preserve"> PENSIONALES COEXISTENTES</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 xml:space="preserve">Es más, la promoción del nuevo sistema pensional creado por la ley 100 de 1993 se basó en la libre y sana competencia que debía existir entre las administradoras del RAIS y las del RPM. Lo cual, de ninguna manera podría ser ofrecido de aceptarse, como se está haciendo </w:t>
      </w:r>
      <w:r w:rsidRPr="009601B8">
        <w:rPr>
          <w:rFonts w:ascii="Arial" w:hAnsi="Arial" w:cs="Arial"/>
          <w:i/>
          <w:iCs/>
          <w:lang w:val="es-ES_tradnl"/>
        </w:rPr>
        <w:t>a priori,</w:t>
      </w:r>
      <w:r w:rsidRPr="009601B8">
        <w:rPr>
          <w:rFonts w:ascii="Arial" w:hAnsi="Arial" w:cs="Arial"/>
          <w:iCs/>
          <w:lang w:val="es-ES_tradnl"/>
        </w:rPr>
        <w:t xml:space="preserve"> hoy por hoy, que uno de los dos sistemas es mejor que el otro, porque eventualmente, gracias a los subsidios, en muchos eventos resulta otorgando pensiones más elevadas que el otro.</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 xml:space="preserve">Lo primero que cabe resaltar es que desde la misma denominación de los regímenes los afiliados tienen una primera oportunidad de determinar su contenido. En efecto, si se observa el artículo 31 de la ley 100 de 1993 se tiene que en él se desarrolla el concepto de “régimen de prima media </w:t>
      </w:r>
      <w:r w:rsidRPr="009601B8">
        <w:rPr>
          <w:rFonts w:ascii="Arial" w:hAnsi="Arial" w:cs="Arial"/>
          <w:b/>
          <w:iCs/>
          <w:lang w:val="es-ES_tradnl"/>
        </w:rPr>
        <w:t>con prestación definida”.</w:t>
      </w:r>
      <w:r w:rsidRPr="009601B8">
        <w:rPr>
          <w:rFonts w:ascii="Arial" w:hAnsi="Arial" w:cs="Arial"/>
          <w:iCs/>
          <w:lang w:val="es-ES_tradnl"/>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9601B8">
        <w:rPr>
          <w:rFonts w:ascii="Arial" w:hAnsi="Arial" w:cs="Arial"/>
          <w:b/>
          <w:iCs/>
          <w:lang w:val="es-ES_tradnl"/>
        </w:rPr>
        <w:t xml:space="preserve">ahorro individual, </w:t>
      </w:r>
      <w:r w:rsidRPr="009601B8">
        <w:rPr>
          <w:rFonts w:ascii="Arial" w:hAnsi="Arial" w:cs="Arial"/>
          <w:iCs/>
          <w:lang w:val="es-ES_tradnl"/>
        </w:rPr>
        <w:t xml:space="preserve">dando cuenta desde su denominación de la afectación </w:t>
      </w:r>
      <w:r w:rsidRPr="009601B8">
        <w:rPr>
          <w:rFonts w:ascii="Arial" w:hAnsi="Arial" w:cs="Arial"/>
          <w:iCs/>
          <w:lang w:val="es-ES_tradnl"/>
        </w:rPr>
        <w:lastRenderedPageBreak/>
        <w:t xml:space="preserve">de la prestación al esfuerzo personal que haga el afiliado y que para el momento de la afiliación obviamente resulta incierto, dependiendo, en un todo, su éxito, de la evolución que tengan sus aportes a futuro. </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w:t>
      </w:r>
      <w:r w:rsidRPr="009601B8">
        <w:rPr>
          <w:rFonts w:ascii="Arial" w:hAnsi="Arial" w:cs="Arial"/>
          <w:b/>
          <w:iCs/>
          <w:lang w:val="es-ES_tradnl"/>
        </w:rPr>
        <w:t>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sucesoral</w:t>
      </w:r>
      <w:r w:rsidRPr="009601B8">
        <w:rPr>
          <w:rFonts w:ascii="Arial" w:hAnsi="Arial" w:cs="Arial"/>
          <w:iCs/>
          <w:lang w:val="es-ES_tradnl"/>
        </w:rPr>
        <w:t>.</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Nótese que de todos estos beneficios se goza en el transcurso de la afiliación, como posibilidades aplicables solo a los afiliados al RAIS, mientras que los del RPM, bajo ninguna circunstancia pueden acceder a ellos por cuanto optaron con su permanencia en este por privarse de estos para tener la garantía de una prestación definida desde el principio, basada en la conformación de un fondo común que manejara recursos que permitieran hacer inversiones cuya rentabilidad sirviera para cubrir las prestaciones ofrecidas por el sistema.</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9601B8">
        <w:rPr>
          <w:rFonts w:ascii="Arial" w:hAnsi="Arial" w:cs="Arial"/>
          <w:b/>
          <w:iCs/>
          <w:lang w:val="es-ES_tradnl"/>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9601B8">
        <w:rPr>
          <w:rFonts w:ascii="Arial" w:hAnsi="Arial" w:cs="Arial"/>
          <w:iCs/>
          <w:lang w:val="es-ES_tradnl"/>
        </w:rPr>
        <w:t>, entre otras cosas porque la nueva legislación parte de la base de que existe una abierta y libre competencia entre Administradoras públicas y privadas por el mercado de la administración de los riesgos de IVM.</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b/>
          <w:iCs/>
          <w:lang w:val="es-ES_tradnl"/>
        </w:rPr>
      </w:pPr>
      <w:r w:rsidRPr="009601B8">
        <w:rPr>
          <w:rFonts w:ascii="Arial" w:hAnsi="Arial" w:cs="Arial"/>
          <w:b/>
          <w:iCs/>
          <w:lang w:val="es-ES_tradnl"/>
        </w:rPr>
        <w:t xml:space="preserve">SEGUNDO: </w:t>
      </w:r>
      <w:r w:rsidR="00D066CF" w:rsidRPr="009601B8">
        <w:rPr>
          <w:rFonts w:ascii="Arial" w:hAnsi="Arial" w:cs="Arial"/>
          <w:b/>
          <w:iCs/>
          <w:lang w:val="es-ES_tradnl"/>
        </w:rPr>
        <w:t>RAZÓN</w:t>
      </w:r>
      <w:r w:rsidRPr="009601B8">
        <w:rPr>
          <w:rFonts w:ascii="Arial" w:hAnsi="Arial" w:cs="Arial"/>
          <w:b/>
          <w:iCs/>
          <w:lang w:val="es-ES_tradnl"/>
        </w:rPr>
        <w:t xml:space="preserve"> DE SER DE LA LIMITACIÓN DE TRASLADO CUANDO FALTEN MENOS DE 10 AÑOS. SENTENCIA C-1024 DE 2004</w:t>
      </w:r>
    </w:p>
    <w:p w:rsidR="009601B8" w:rsidRPr="009601B8" w:rsidRDefault="009601B8" w:rsidP="009601B8">
      <w:pPr>
        <w:spacing w:line="288" w:lineRule="auto"/>
        <w:ind w:right="51"/>
        <w:jc w:val="both"/>
        <w:rPr>
          <w:rFonts w:ascii="Arial" w:hAnsi="Arial" w:cs="Arial"/>
          <w:b/>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 xml:space="preserve">Para garantizar la libre competencia entre regímenes, la ley estableció la posibilidad de trasladarse libremente entre ellos, limitándola en la etapa final de la adquisición del derecho –inicialmente 5 años y posteriormente 10-. </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lastRenderedPageBreak/>
        <w:t xml:space="preserve">Para explicar esa limitación la Corte Constitucional fue clara en explicar que </w:t>
      </w:r>
      <w:r w:rsidRPr="009601B8">
        <w:rPr>
          <w:rFonts w:ascii="Arial" w:hAnsi="Arial" w:cs="Arial"/>
          <w:b/>
          <w:iCs/>
          <w:lang w:val="es-ES_tradnl"/>
        </w:rPr>
        <w:t>para garantizar la sostenibilidad financiera del sistema de prima media</w:t>
      </w:r>
      <w:r w:rsidRPr="009601B8">
        <w:rPr>
          <w:rFonts w:ascii="Arial" w:hAnsi="Arial" w:cs="Arial"/>
          <w:iCs/>
          <w:lang w:val="es-ES_tradnl"/>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9601B8" w:rsidRPr="009601B8" w:rsidRDefault="009601B8" w:rsidP="009601B8">
      <w:pPr>
        <w:spacing w:line="288" w:lineRule="auto"/>
        <w:ind w:right="51"/>
        <w:jc w:val="both"/>
        <w:rPr>
          <w:rFonts w:ascii="Arial" w:hAnsi="Arial" w:cs="Arial"/>
          <w:b/>
          <w:iCs/>
          <w:lang w:val="es-ES_tradnl"/>
        </w:rPr>
      </w:pPr>
    </w:p>
    <w:p w:rsidR="009601B8" w:rsidRPr="00D066CF" w:rsidRDefault="009601B8" w:rsidP="00D066CF">
      <w:pPr>
        <w:ind w:left="567" w:right="562"/>
        <w:jc w:val="both"/>
        <w:rPr>
          <w:rFonts w:ascii="Arial" w:hAnsi="Arial" w:cs="Arial"/>
          <w:iCs/>
          <w:sz w:val="22"/>
        </w:rPr>
      </w:pPr>
      <w:r w:rsidRPr="00D066CF">
        <w:rPr>
          <w:rFonts w:ascii="Arial" w:hAnsi="Arial" w:cs="Arial"/>
          <w:iCs/>
          <w:sz w:val="22"/>
        </w:rPr>
        <w:t>“Desde esta perspectiva, el </w:t>
      </w:r>
      <w:r w:rsidRPr="00D066CF">
        <w:rPr>
          <w:rFonts w:ascii="Arial" w:hAnsi="Arial" w:cs="Arial"/>
          <w:i/>
          <w:iCs/>
          <w:sz w:val="22"/>
        </w:rPr>
        <w:t>objetivo </w:t>
      </w:r>
      <w:r w:rsidRPr="00D066CF">
        <w:rPr>
          <w:rFonts w:ascii="Arial" w:hAnsi="Arial" w:cs="Arial"/>
          <w:iCs/>
          <w:sz w:val="22"/>
        </w:rPr>
        <w:t xml:space="preserve">perseguido con el señalamiento del  período de carencia en la norma acusada, </w:t>
      </w:r>
      <w:r w:rsidRPr="00D066CF">
        <w:rPr>
          <w:rFonts w:ascii="Arial" w:hAnsi="Arial" w:cs="Arial"/>
          <w:b/>
          <w:iCs/>
          <w:sz w:val="22"/>
        </w:rPr>
        <w:t>consiste en evitar la </w:t>
      </w:r>
      <w:r w:rsidRPr="00D066CF">
        <w:rPr>
          <w:rFonts w:ascii="Arial" w:hAnsi="Arial" w:cs="Arial"/>
          <w:b/>
          <w:i/>
          <w:iCs/>
          <w:sz w:val="22"/>
        </w:rPr>
        <w:t>descapitalización</w:t>
      </w:r>
      <w:r w:rsidRPr="00D066CF">
        <w:rPr>
          <w:rFonts w:ascii="Arial" w:hAnsi="Arial" w:cs="Arial"/>
          <w:b/>
          <w:iCs/>
          <w:sz w:val="22"/>
        </w:rPr>
        <w:t> del fondo común del Régimen Solidario de Prima Media con Prestación Definida</w:t>
      </w:r>
      <w:r w:rsidRPr="00D066CF">
        <w:rPr>
          <w:rFonts w:ascii="Arial" w:hAnsi="Arial" w:cs="Arial"/>
          <w:iCs/>
          <w:sz w:val="22"/>
        </w:rPr>
        <w:t>, que se produciría si se permitiera que las personas que no han contribuido al </w:t>
      </w:r>
      <w:r w:rsidRPr="00D066CF">
        <w:rPr>
          <w:rFonts w:ascii="Arial" w:hAnsi="Arial" w:cs="Arial"/>
          <w:i/>
          <w:iCs/>
          <w:sz w:val="22"/>
        </w:rPr>
        <w:t>fondo común</w:t>
      </w:r>
      <w:r w:rsidRPr="00D066CF">
        <w:rPr>
          <w:rFonts w:ascii="Arial" w:hAnsi="Arial" w:cs="Arial"/>
          <w:iCs/>
          <w:sz w:val="22"/>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D066CF">
        <w:rPr>
          <w:rFonts w:ascii="Arial" w:hAnsi="Arial" w:cs="Arial"/>
          <w:b/>
          <w:iCs/>
          <w:sz w:val="22"/>
        </w:rPr>
        <w:t>a poner en riesgo la garantía del derecho irrenunciable a la pensión del resto de cotizantes</w:t>
      </w:r>
      <w:r w:rsidRPr="00D066CF">
        <w:rPr>
          <w:rFonts w:ascii="Arial" w:hAnsi="Arial" w:cs="Arial"/>
          <w:iCs/>
          <w:sz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D066CF">
        <w:rPr>
          <w:rFonts w:ascii="Arial" w:hAnsi="Arial" w:cs="Arial"/>
          <w:b/>
          <w:iCs/>
          <w:sz w:val="22"/>
        </w:rPr>
        <w:t>podría llegar a poner en riesgo la garantía del derecho pensional para los actuales y futuros pensionados</w:t>
      </w:r>
      <w:r w:rsidRPr="00D066CF">
        <w:rPr>
          <w:rFonts w:ascii="Arial" w:hAnsi="Arial" w:cs="Arial"/>
          <w:iCs/>
          <w:sz w:val="22"/>
        </w:rPr>
        <w:t>.</w:t>
      </w:r>
    </w:p>
    <w:p w:rsidR="009601B8" w:rsidRPr="00D066CF" w:rsidRDefault="009601B8" w:rsidP="00D066CF">
      <w:pPr>
        <w:ind w:left="567" w:right="562"/>
        <w:jc w:val="both"/>
        <w:rPr>
          <w:rFonts w:ascii="Arial" w:hAnsi="Arial" w:cs="Arial"/>
          <w:iCs/>
          <w:sz w:val="22"/>
        </w:rPr>
      </w:pPr>
      <w:r w:rsidRPr="00D066CF">
        <w:rPr>
          <w:rFonts w:ascii="Arial" w:hAnsi="Arial" w:cs="Arial"/>
          <w:iCs/>
          <w:sz w:val="22"/>
        </w:rPr>
        <w:t> </w:t>
      </w:r>
    </w:p>
    <w:p w:rsidR="009601B8" w:rsidRPr="00D066CF" w:rsidRDefault="009601B8" w:rsidP="00D066CF">
      <w:pPr>
        <w:ind w:left="567" w:right="562"/>
        <w:jc w:val="both"/>
        <w:rPr>
          <w:rFonts w:ascii="Arial" w:hAnsi="Arial" w:cs="Arial"/>
          <w:iCs/>
          <w:sz w:val="22"/>
        </w:rPr>
      </w:pPr>
      <w:r w:rsidRPr="00D066CF">
        <w:rPr>
          <w:rFonts w:ascii="Arial" w:hAnsi="Arial" w:cs="Arial"/>
          <w:iCs/>
          <w:sz w:val="22"/>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9601B8" w:rsidRPr="00D066CF" w:rsidRDefault="009601B8" w:rsidP="00D066CF">
      <w:pPr>
        <w:ind w:left="567" w:right="562"/>
        <w:jc w:val="both"/>
        <w:rPr>
          <w:rFonts w:ascii="Arial" w:hAnsi="Arial" w:cs="Arial"/>
          <w:iCs/>
          <w:sz w:val="22"/>
        </w:rPr>
      </w:pPr>
      <w:r w:rsidRPr="00D066CF">
        <w:rPr>
          <w:rFonts w:ascii="Arial" w:hAnsi="Arial" w:cs="Arial"/>
          <w:iCs/>
          <w:sz w:val="22"/>
        </w:rPr>
        <w:t> </w:t>
      </w:r>
    </w:p>
    <w:p w:rsidR="009601B8" w:rsidRPr="00D066CF" w:rsidRDefault="009601B8" w:rsidP="00D066CF">
      <w:pPr>
        <w:ind w:left="567" w:right="562"/>
        <w:jc w:val="both"/>
        <w:rPr>
          <w:rFonts w:ascii="Arial" w:hAnsi="Arial" w:cs="Arial"/>
          <w:b/>
          <w:iCs/>
          <w:sz w:val="22"/>
        </w:rPr>
      </w:pPr>
      <w:r w:rsidRPr="00D066CF">
        <w:rPr>
          <w:rFonts w:ascii="Arial" w:hAnsi="Arial" w:cs="Arial"/>
          <w:iCs/>
          <w:sz w:val="22"/>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D066CF">
        <w:rPr>
          <w:rFonts w:ascii="Arial" w:hAnsi="Arial" w:cs="Arial"/>
          <w:b/>
          <w:iCs/>
          <w:sz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D066CF">
        <w:rPr>
          <w:rFonts w:ascii="Arial" w:hAnsi="Arial" w:cs="Arial"/>
          <w:iCs/>
          <w:sz w:val="22"/>
        </w:rPr>
        <w:t>, cuyo propósito consiste en: </w:t>
      </w:r>
      <w:r w:rsidRPr="00D066CF">
        <w:rPr>
          <w:rFonts w:ascii="Arial" w:hAnsi="Arial" w:cs="Arial"/>
          <w:i/>
          <w:iCs/>
          <w:sz w:val="22"/>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D066CF">
        <w:rPr>
          <w:rFonts w:ascii="Arial" w:hAnsi="Arial" w:cs="Arial"/>
          <w:iCs/>
          <w:sz w:val="22"/>
        </w:rPr>
        <w:t>.”</w:t>
      </w:r>
      <w:r w:rsidRPr="00D066CF">
        <w:rPr>
          <w:rFonts w:ascii="Arial" w:hAnsi="Arial" w:cs="Arial"/>
          <w:b/>
          <w:iCs/>
          <w:sz w:val="22"/>
        </w:rPr>
        <w:t> </w:t>
      </w:r>
    </w:p>
    <w:p w:rsidR="009601B8" w:rsidRPr="009601B8" w:rsidRDefault="009601B8" w:rsidP="009601B8">
      <w:pPr>
        <w:spacing w:line="288" w:lineRule="auto"/>
        <w:ind w:right="51"/>
        <w:jc w:val="both"/>
        <w:rPr>
          <w:rFonts w:ascii="Arial" w:hAnsi="Arial" w:cs="Arial"/>
          <w:b/>
          <w:iCs/>
          <w:lang w:val="es-ES_tradnl"/>
        </w:rPr>
      </w:pPr>
    </w:p>
    <w:p w:rsidR="009601B8" w:rsidRPr="009601B8" w:rsidRDefault="009601B8" w:rsidP="009601B8">
      <w:pPr>
        <w:spacing w:line="288" w:lineRule="auto"/>
        <w:ind w:right="51"/>
        <w:jc w:val="both"/>
        <w:rPr>
          <w:rFonts w:ascii="Arial" w:hAnsi="Arial" w:cs="Arial"/>
          <w:b/>
          <w:iCs/>
        </w:rPr>
      </w:pPr>
      <w:r w:rsidRPr="009601B8">
        <w:rPr>
          <w:rFonts w:ascii="Arial" w:hAnsi="Arial" w:cs="Arial"/>
          <w:iCs/>
          <w:lang w:val="es-ES_tradnl"/>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9601B8">
        <w:rPr>
          <w:rFonts w:ascii="Arial" w:hAnsi="Arial" w:cs="Arial"/>
          <w:b/>
          <w:iCs/>
        </w:rPr>
        <w:t xml:space="preserve">puede llegar a poner en riesgo la garantía </w:t>
      </w:r>
      <w:r w:rsidRPr="009601B8">
        <w:rPr>
          <w:rFonts w:ascii="Arial" w:hAnsi="Arial" w:cs="Arial"/>
          <w:b/>
          <w:iCs/>
        </w:rPr>
        <w:lastRenderedPageBreak/>
        <w:t xml:space="preserve">del derecho pensional para los actuales y futuros pensionados que </w:t>
      </w:r>
      <w:r w:rsidR="00D066CF" w:rsidRPr="009601B8">
        <w:rPr>
          <w:rFonts w:ascii="Arial" w:hAnsi="Arial" w:cs="Arial"/>
          <w:b/>
          <w:iCs/>
        </w:rPr>
        <w:t>sí</w:t>
      </w:r>
      <w:r w:rsidRPr="009601B8">
        <w:rPr>
          <w:rFonts w:ascii="Arial" w:hAnsi="Arial" w:cs="Arial"/>
          <w:b/>
          <w:iCs/>
        </w:rPr>
        <w:t xml:space="preserve"> lo hicieron.</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b/>
          <w:iCs/>
          <w:lang w:val="es-ES_tradnl"/>
        </w:rPr>
      </w:pPr>
      <w:r w:rsidRPr="009601B8">
        <w:rPr>
          <w:rFonts w:ascii="Arial" w:hAnsi="Arial" w:cs="Arial"/>
          <w:b/>
          <w:iCs/>
          <w:lang w:val="es-ES_tradnl"/>
        </w:rPr>
        <w:t>TERCERO: REALIDAD NORMATIVA SOBRE LA SUPUESTA FALTA DE INFORMACIÓN QUE GENERA LA INEFICACIA DE LOS TRASLADOS (ARTÍCULO 11 DEL DECRETO 692 DE 1994 HOY 2.2.2.1.8 DEL D.U.R 1833/2016)</w:t>
      </w:r>
    </w:p>
    <w:p w:rsidR="009601B8" w:rsidRPr="009601B8" w:rsidRDefault="009601B8" w:rsidP="009601B8">
      <w:pPr>
        <w:spacing w:line="288" w:lineRule="auto"/>
        <w:ind w:right="51"/>
        <w:jc w:val="both"/>
        <w:rPr>
          <w:rFonts w:ascii="Arial" w:hAnsi="Arial" w:cs="Arial"/>
          <w:b/>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Se viene insistiendo reiteradamente en que la ineficacia del traslado se genera porque los Fondos Privados no dieron la suficiente y clara información a las personas que les permitiera tomar una libre decisión informada.</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 xml:space="preserve">Tal afirmación, no responde a la realidad. La reglamentación que dio desarrollo a la ley 100 de 1993 fue específica sobre el contenido de los formularios de afiliación y los traslados, de manera tal que </w:t>
      </w:r>
      <w:r w:rsidRPr="009601B8">
        <w:rPr>
          <w:rFonts w:ascii="Arial" w:hAnsi="Arial" w:cs="Arial"/>
          <w:b/>
          <w:iCs/>
          <w:lang w:val="es-ES_tradnl"/>
        </w:rPr>
        <w:t>las AFP –que también son sujetos con derechos y a quienes también debe respetárseles el principio de confianza legítima</w:t>
      </w:r>
      <w:r w:rsidRPr="009601B8">
        <w:rPr>
          <w:rFonts w:ascii="Arial" w:hAnsi="Arial" w:cs="Arial"/>
          <w:iCs/>
          <w:lang w:val="es-ES_tradnl"/>
        </w:rPr>
        <w:t xml:space="preserve">-, simplemente siguieron las indicaciones que sobre estos temas fueron señaladas en el decreto 692 de 1994, así:  </w:t>
      </w:r>
    </w:p>
    <w:p w:rsidR="009601B8" w:rsidRPr="009601B8" w:rsidRDefault="009601B8" w:rsidP="009601B8">
      <w:pPr>
        <w:spacing w:line="288" w:lineRule="auto"/>
        <w:ind w:right="51"/>
        <w:jc w:val="both"/>
        <w:rPr>
          <w:rFonts w:ascii="Arial" w:hAnsi="Arial" w:cs="Arial"/>
          <w:iCs/>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bCs/>
          <w:i/>
          <w:sz w:val="22"/>
        </w:rPr>
        <w:t xml:space="preserve">ARTICULO 11. DILIGENCIAMIENTO DE LA </w:t>
      </w:r>
      <w:r w:rsidR="00D066CF" w:rsidRPr="00D066CF">
        <w:rPr>
          <w:rFonts w:ascii="Arial" w:hAnsi="Arial" w:cs="Arial"/>
          <w:bCs/>
          <w:i/>
          <w:sz w:val="22"/>
        </w:rPr>
        <w:t>SELECCIÓN</w:t>
      </w:r>
      <w:r w:rsidRPr="00D066CF">
        <w:rPr>
          <w:rFonts w:ascii="Arial" w:hAnsi="Arial" w:cs="Arial"/>
          <w:bCs/>
          <w:i/>
          <w:sz w:val="22"/>
        </w:rPr>
        <w:t xml:space="preserve"> Y </w:t>
      </w:r>
      <w:r w:rsidR="00D066CF" w:rsidRPr="00D066CF">
        <w:rPr>
          <w:rFonts w:ascii="Arial" w:hAnsi="Arial" w:cs="Arial"/>
          <w:bCs/>
          <w:i/>
          <w:sz w:val="22"/>
        </w:rPr>
        <w:t>VINCULACIÓN</w:t>
      </w:r>
      <w:r w:rsidRPr="00D066CF">
        <w:rPr>
          <w:rFonts w:ascii="Arial" w:hAnsi="Arial" w:cs="Arial"/>
          <w:bCs/>
          <w:i/>
          <w:sz w:val="22"/>
        </w:rPr>
        <w:t>.</w:t>
      </w:r>
      <w:bookmarkStart w:id="1" w:name="11"/>
      <w:bookmarkEnd w:id="1"/>
      <w:r w:rsidRPr="00D066CF">
        <w:rPr>
          <w:rFonts w:ascii="Arial" w:hAnsi="Arial" w:cs="Arial"/>
          <w:bCs/>
          <w:i/>
          <w:sz w:val="22"/>
        </w:rPr>
        <w:t> &lt;Artículo compilado en el artículo </w:t>
      </w:r>
      <w:hyperlink r:id="rId9" w:anchor="2.2.2.1.8" w:history="1">
        <w:r w:rsidRPr="00D066CF">
          <w:rPr>
            <w:rFonts w:ascii="Arial" w:hAnsi="Arial" w:cs="Arial"/>
            <w:bCs/>
            <w:i/>
            <w:sz w:val="22"/>
          </w:rPr>
          <w:t>2.2.2.1.8</w:t>
        </w:r>
      </w:hyperlink>
      <w:r w:rsidRPr="00D066CF">
        <w:rPr>
          <w:rFonts w:ascii="Arial" w:hAnsi="Arial" w:cs="Arial"/>
          <w:bCs/>
          <w:i/>
          <w:sz w:val="22"/>
        </w:rPr>
        <w:t> del Decreto Único Reglamentario 1833 de 2016.</w:t>
      </w:r>
      <w:r w:rsidRPr="00D066CF">
        <w:rPr>
          <w:rFonts w:ascii="Arial" w:hAnsi="Arial" w:cs="Arial"/>
          <w:b/>
          <w:bCs/>
          <w:i/>
          <w:color w:val="004C91"/>
          <w:sz w:val="22"/>
        </w:rPr>
        <w:t> </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La selección del régimen implica la aceptación de las condiciones propias de éste, para acceder a las pensiones de vejez, invalidez y sobrevivientes, y demás prestaciones económicas a que haya lugar.</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Quienes decidan afiliarse voluntariamente al sistema, manifestarán su decisión al momento de vincularse a una determinada administradora.</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a) Lugar y fecha;</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b) Nombre o razón social y NIT del empleador;</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c) Nombre y apellidos del afiliado;</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d) Número de cédula o NIT del afiliado;</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e) Entidad administradora del régimen de pensiones a la cual desea afiliarse, la cual podrá estar preimpresa;</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f) Datos del cónyuge, compañero o compañera permanente, hijos o beneficiarios del afiliado.</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lastRenderedPageBreak/>
        <w:t>El formulario deberá diligenciarse en original y dos copias, cuya distribución será la siguiente: el original para la administradora, una copia para el empleador y otra para el afiliado.</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i/>
          <w:color w:val="000000"/>
          <w:sz w:val="22"/>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9601B8" w:rsidRPr="00D066CF" w:rsidRDefault="009601B8" w:rsidP="00D066CF">
      <w:pPr>
        <w:ind w:left="567" w:right="562"/>
        <w:jc w:val="both"/>
        <w:rPr>
          <w:rFonts w:ascii="Arial" w:hAnsi="Arial" w:cs="Arial"/>
          <w:iCs/>
          <w:sz w:val="22"/>
          <w:lang w:val="es-ES_tradnl"/>
        </w:rPr>
      </w:pPr>
    </w:p>
    <w:p w:rsidR="009601B8" w:rsidRPr="00D066CF" w:rsidRDefault="009601B8" w:rsidP="00D066CF">
      <w:pPr>
        <w:ind w:left="567" w:right="562"/>
        <w:jc w:val="both"/>
        <w:rPr>
          <w:rFonts w:ascii="Arial" w:hAnsi="Arial" w:cs="Arial"/>
          <w:iCs/>
          <w:sz w:val="22"/>
          <w:lang w:val="es-ES_tradnl"/>
        </w:rPr>
      </w:pPr>
      <w:r w:rsidRPr="00D066CF">
        <w:rPr>
          <w:rFonts w:ascii="Arial" w:hAnsi="Arial" w:cs="Arial"/>
          <w:b/>
          <w:i/>
          <w:color w:val="000000"/>
          <w:sz w:val="22"/>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 xml:space="preserve"> </w:t>
      </w: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Nótese como, no solo la norma dispuso la información que debía contener el formulario sino que, tratándose de traslados, advirtió que debería haber una leyenda expresa –</w:t>
      </w:r>
      <w:r w:rsidRPr="009601B8">
        <w:rPr>
          <w:rFonts w:ascii="Arial" w:hAnsi="Arial" w:cs="Arial"/>
          <w:b/>
          <w:iCs/>
          <w:lang w:val="es-ES_tradnl"/>
        </w:rPr>
        <w:t>que podía estar preimpresa</w:t>
      </w:r>
      <w:r w:rsidRPr="009601B8">
        <w:rPr>
          <w:rFonts w:ascii="Arial" w:hAnsi="Arial" w:cs="Arial"/>
          <w:iCs/>
          <w:lang w:val="es-ES_tradnl"/>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guiaran adicionalmente por normas del estatuto financiero, supuestamente aplicables? ¿Acaso dejó de tener vigencia la regla de interpretación de que las normas especiales prevalecen sobre las generales?</w:t>
      </w:r>
    </w:p>
    <w:p w:rsidR="009601B8" w:rsidRPr="009601B8" w:rsidRDefault="009601B8" w:rsidP="009601B8">
      <w:pPr>
        <w:spacing w:line="288" w:lineRule="auto"/>
        <w:ind w:right="51"/>
        <w:jc w:val="both"/>
        <w:rPr>
          <w:rFonts w:ascii="Arial" w:hAnsi="Arial" w:cs="Arial"/>
          <w:iCs/>
          <w:lang w:val="es-ES_tradnl"/>
        </w:rPr>
      </w:pPr>
    </w:p>
    <w:p w:rsidR="009601B8" w:rsidRPr="009601B8" w:rsidRDefault="009601B8" w:rsidP="009601B8">
      <w:pPr>
        <w:spacing w:line="288" w:lineRule="auto"/>
        <w:jc w:val="both"/>
        <w:rPr>
          <w:rFonts w:ascii="Arial" w:hAnsi="Arial" w:cs="Arial"/>
          <w:iCs/>
          <w:lang w:val="es-ES_tradnl"/>
        </w:rPr>
      </w:pPr>
      <w:r w:rsidRPr="009601B8">
        <w:rPr>
          <w:rFonts w:ascii="Arial" w:hAnsi="Arial" w:cs="Arial"/>
          <w:iCs/>
          <w:lang w:val="es-ES_tradnl"/>
        </w:rPr>
        <w:t xml:space="preserve">Pero aun así, obviando lo anterior,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9601B8" w:rsidRPr="009601B8" w:rsidRDefault="009601B8" w:rsidP="009601B8">
      <w:pPr>
        <w:spacing w:line="288" w:lineRule="auto"/>
        <w:jc w:val="both"/>
        <w:rPr>
          <w:rFonts w:ascii="Arial" w:hAnsi="Arial" w:cs="Arial"/>
          <w:iCs/>
          <w:lang w:val="es-ES_tradnl"/>
        </w:rPr>
      </w:pPr>
    </w:p>
    <w:p w:rsidR="009601B8" w:rsidRPr="009601B8" w:rsidRDefault="009601B8" w:rsidP="009601B8">
      <w:pPr>
        <w:spacing w:line="288" w:lineRule="auto"/>
        <w:jc w:val="both"/>
        <w:rPr>
          <w:rFonts w:ascii="Arial" w:hAnsi="Arial" w:cs="Arial"/>
          <w:iCs/>
          <w:lang w:val="es-ES_tradnl"/>
        </w:rPr>
      </w:pPr>
      <w:r w:rsidRPr="009601B8">
        <w:rPr>
          <w:rFonts w:ascii="Arial" w:hAnsi="Arial" w:cs="Arial"/>
          <w:iCs/>
          <w:lang w:val="es-ES_tradnl"/>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9601B8" w:rsidRPr="009601B8" w:rsidRDefault="009601B8" w:rsidP="009601B8">
      <w:pPr>
        <w:spacing w:line="288" w:lineRule="auto"/>
        <w:jc w:val="both"/>
        <w:rPr>
          <w:rFonts w:ascii="Arial" w:hAnsi="Arial" w:cs="Arial"/>
          <w:iCs/>
          <w:lang w:val="es-ES_tradnl"/>
        </w:rPr>
      </w:pPr>
    </w:p>
    <w:p w:rsidR="009601B8" w:rsidRPr="009601B8" w:rsidRDefault="009601B8" w:rsidP="009601B8">
      <w:pPr>
        <w:spacing w:line="288" w:lineRule="auto"/>
        <w:jc w:val="both"/>
        <w:rPr>
          <w:rFonts w:ascii="Arial" w:hAnsi="Arial" w:cs="Arial"/>
        </w:rPr>
      </w:pPr>
      <w:r w:rsidRPr="009601B8">
        <w:rPr>
          <w:rFonts w:ascii="Arial" w:hAnsi="Arial" w:cs="Arial"/>
          <w:iCs/>
          <w:lang w:val="es-ES_tradnl"/>
        </w:rPr>
        <w:t xml:space="preserve">En efecto, </w:t>
      </w:r>
      <w:r w:rsidRPr="009601B8">
        <w:rPr>
          <w:rFonts w:ascii="Arial" w:hAnsi="Arial" w:cs="Arial"/>
        </w:rPr>
        <w:t>resulta claro que la obligación de hacer proyecciones, apenas vino a imponerse a las administradoras con la ley 1748 de 2014, en cuyo parágrafo 1º del artículo 2º se destaca:</w:t>
      </w:r>
    </w:p>
    <w:p w:rsidR="009601B8" w:rsidRPr="009601B8" w:rsidRDefault="009601B8" w:rsidP="009601B8">
      <w:pPr>
        <w:spacing w:line="288" w:lineRule="auto"/>
        <w:jc w:val="both"/>
        <w:rPr>
          <w:rFonts w:ascii="Arial" w:hAnsi="Arial" w:cs="Arial"/>
        </w:rPr>
      </w:pPr>
    </w:p>
    <w:p w:rsidR="009601B8" w:rsidRPr="00D066CF" w:rsidRDefault="009601B8" w:rsidP="00D066CF">
      <w:pPr>
        <w:ind w:left="567" w:right="562"/>
        <w:jc w:val="both"/>
        <w:rPr>
          <w:rFonts w:ascii="Arial" w:hAnsi="Arial" w:cs="Arial"/>
          <w:i/>
          <w:sz w:val="22"/>
        </w:rPr>
      </w:pPr>
      <w:r w:rsidRPr="00D066CF">
        <w:rPr>
          <w:rFonts w:ascii="Arial" w:hAnsi="Arial" w:cs="Arial"/>
          <w:b/>
          <w:bCs/>
          <w:sz w:val="22"/>
        </w:rPr>
        <w:t>“</w:t>
      </w:r>
      <w:r w:rsidRPr="00D066CF">
        <w:rPr>
          <w:rFonts w:ascii="Arial" w:hAnsi="Arial" w:cs="Arial"/>
          <w:b/>
          <w:bCs/>
          <w:i/>
          <w:sz w:val="22"/>
        </w:rPr>
        <w:t>PARÁGRAFO 1o.</w:t>
      </w:r>
      <w:r w:rsidRPr="00D066CF">
        <w:rPr>
          <w:rFonts w:ascii="Arial" w:hAnsi="Arial" w:cs="Arial"/>
          <w:i/>
          <w:sz w:val="22"/>
        </w:rPr>
        <w:t> Adicionar un inciso 2o al artículo </w:t>
      </w:r>
      <w:hyperlink r:id="rId10" w:anchor="9" w:history="1">
        <w:r w:rsidRPr="004642A4">
          <w:rPr>
            <w:rFonts w:ascii="Arial" w:hAnsi="Arial" w:cs="Arial"/>
            <w:i/>
            <w:sz w:val="22"/>
          </w:rPr>
          <w:t>9</w:t>
        </w:r>
      </w:hyperlink>
      <w:r w:rsidRPr="00D066CF">
        <w:rPr>
          <w:rFonts w:ascii="Arial" w:hAnsi="Arial" w:cs="Arial"/>
          <w:i/>
          <w:sz w:val="22"/>
        </w:rPr>
        <w:t>o de la Ley 1328 de 2009, que regula el contenido mínimo de la información al consumidor financiero, cuyo texto es el siguiente:</w:t>
      </w:r>
    </w:p>
    <w:p w:rsidR="009601B8" w:rsidRPr="00D066CF" w:rsidRDefault="009601B8" w:rsidP="00D066CF">
      <w:pPr>
        <w:ind w:left="567" w:right="562"/>
        <w:jc w:val="both"/>
        <w:rPr>
          <w:rFonts w:ascii="Arial" w:hAnsi="Arial" w:cs="Arial"/>
          <w:i/>
          <w:sz w:val="22"/>
        </w:rPr>
      </w:pPr>
    </w:p>
    <w:p w:rsidR="009601B8" w:rsidRPr="00D066CF" w:rsidRDefault="009601B8" w:rsidP="00D066CF">
      <w:pPr>
        <w:ind w:left="567" w:right="562"/>
        <w:jc w:val="both"/>
        <w:rPr>
          <w:rFonts w:ascii="Arial" w:hAnsi="Arial" w:cs="Arial"/>
          <w:sz w:val="22"/>
        </w:rPr>
      </w:pPr>
      <w:r w:rsidRPr="00D066CF">
        <w:rPr>
          <w:rFonts w:ascii="Arial" w:hAnsi="Arial" w:cs="Arial"/>
          <w:i/>
          <w:sz w:val="22"/>
        </w:rPr>
        <w:lastRenderedPageBreak/>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D066CF">
        <w:rPr>
          <w:rFonts w:ascii="Arial" w:hAnsi="Arial" w:cs="Arial"/>
          <w:b/>
          <w:i/>
          <w:sz w:val="22"/>
        </w:rPr>
        <w:t>Lo anterior de conformidad con las instrucciones que para el efecto imparta la Superintendencia Financiera de Colombia</w:t>
      </w:r>
      <w:r w:rsidRPr="00D066CF">
        <w:rPr>
          <w:rFonts w:ascii="Arial" w:hAnsi="Arial" w:cs="Arial"/>
          <w:i/>
          <w:sz w:val="22"/>
        </w:rPr>
        <w:t>.</w:t>
      </w:r>
      <w:r w:rsidRPr="00D066CF">
        <w:rPr>
          <w:rFonts w:ascii="Arial" w:hAnsi="Arial" w:cs="Arial"/>
          <w:sz w:val="22"/>
        </w:rPr>
        <w:t>”</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9601B8" w:rsidRPr="009601B8" w:rsidRDefault="009601B8" w:rsidP="009601B8">
      <w:pPr>
        <w:spacing w:line="288" w:lineRule="auto"/>
        <w:jc w:val="both"/>
        <w:rPr>
          <w:rFonts w:ascii="Arial" w:hAnsi="Arial" w:cs="Arial"/>
        </w:rPr>
      </w:pPr>
    </w:p>
    <w:p w:rsidR="009601B8" w:rsidRPr="004642A4" w:rsidRDefault="009601B8" w:rsidP="004642A4">
      <w:pPr>
        <w:ind w:left="567" w:right="562"/>
        <w:jc w:val="both"/>
        <w:rPr>
          <w:rFonts w:ascii="Arial" w:hAnsi="Arial" w:cs="Arial"/>
          <w:i/>
          <w:sz w:val="22"/>
        </w:rPr>
      </w:pPr>
      <w:r w:rsidRPr="004642A4">
        <w:rPr>
          <w:rFonts w:ascii="Arial" w:hAnsi="Arial" w:cs="Arial"/>
          <w:sz w:val="22"/>
        </w:rPr>
        <w:t>“</w:t>
      </w:r>
      <w:r w:rsidRPr="004642A4">
        <w:rPr>
          <w:rFonts w:ascii="Arial" w:hAnsi="Arial" w:cs="Arial"/>
          <w:i/>
          <w:sz w:val="22"/>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9601B8" w:rsidRPr="004642A4" w:rsidRDefault="009601B8" w:rsidP="004642A4">
      <w:pPr>
        <w:ind w:left="567" w:right="562"/>
        <w:jc w:val="both"/>
        <w:rPr>
          <w:rFonts w:ascii="Arial" w:hAnsi="Arial" w:cs="Arial"/>
          <w:i/>
          <w:sz w:val="22"/>
        </w:rPr>
      </w:pPr>
    </w:p>
    <w:p w:rsidR="009601B8" w:rsidRPr="004642A4" w:rsidRDefault="009601B8" w:rsidP="004642A4">
      <w:pPr>
        <w:ind w:left="567" w:right="562"/>
        <w:jc w:val="both"/>
        <w:rPr>
          <w:rFonts w:ascii="Arial" w:hAnsi="Arial" w:cs="Arial"/>
          <w:i/>
          <w:sz w:val="22"/>
        </w:rPr>
      </w:pPr>
      <w:r w:rsidRPr="004642A4">
        <w:rPr>
          <w:rFonts w:ascii="Arial" w:hAnsi="Arial" w:cs="Arial"/>
          <w:i/>
          <w:sz w:val="22"/>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9601B8" w:rsidRPr="004642A4" w:rsidRDefault="009601B8" w:rsidP="004642A4">
      <w:pPr>
        <w:ind w:left="567" w:right="562"/>
        <w:jc w:val="both"/>
        <w:rPr>
          <w:rFonts w:ascii="Arial" w:hAnsi="Arial" w:cs="Arial"/>
          <w:i/>
          <w:sz w:val="22"/>
        </w:rPr>
      </w:pPr>
    </w:p>
    <w:p w:rsidR="009601B8" w:rsidRPr="004642A4" w:rsidRDefault="009601B8" w:rsidP="004642A4">
      <w:pPr>
        <w:ind w:left="567" w:right="562"/>
        <w:jc w:val="both"/>
        <w:rPr>
          <w:rFonts w:ascii="Arial" w:hAnsi="Arial" w:cs="Arial"/>
          <w:sz w:val="22"/>
        </w:rPr>
      </w:pPr>
      <w:r w:rsidRPr="004642A4">
        <w:rPr>
          <w:rFonts w:ascii="Arial" w:hAnsi="Arial" w:cs="Arial"/>
          <w:i/>
          <w:sz w:val="22"/>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r w:rsidRPr="004642A4">
        <w:rPr>
          <w:rFonts w:ascii="Arial" w:hAnsi="Arial" w:cs="Arial"/>
          <w:sz w:val="22"/>
        </w:rPr>
        <w:t>”</w:t>
      </w:r>
    </w:p>
    <w:p w:rsidR="009601B8" w:rsidRPr="009601B8" w:rsidRDefault="009601B8" w:rsidP="009601B8">
      <w:pPr>
        <w:spacing w:line="288" w:lineRule="auto"/>
        <w:ind w:left="708"/>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 xml:space="preserve">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w:t>
      </w:r>
      <w:r w:rsidRPr="009601B8">
        <w:rPr>
          <w:rFonts w:ascii="Arial" w:hAnsi="Arial" w:cs="Arial"/>
          <w:i/>
        </w:rPr>
        <w:t>que “para el caso de la proyección del beneficio pensional en el Régimen de Ahorro Individual con Solidaridad, la Administradora deberá realizar una asesoría en los términos descritos en el artículo 2.6.10.4.3 del presente decreto”</w:t>
      </w:r>
      <w:r w:rsidRPr="009601B8">
        <w:rPr>
          <w:rFonts w:ascii="Arial" w:hAnsi="Arial" w:cs="Arial"/>
        </w:rPr>
        <w:t>; aspecto que pone de manifiesto que antes del decreto en comento, las Administradoras no tenían mecanismo para dar tal información pues es, este artículo 2.6.10.4.3., el que establece los parámetros técnicos para poder cumplir tal cometido, al disponer:</w:t>
      </w:r>
    </w:p>
    <w:p w:rsidR="009601B8" w:rsidRPr="009601B8" w:rsidRDefault="009601B8" w:rsidP="009601B8">
      <w:pPr>
        <w:spacing w:line="288" w:lineRule="auto"/>
        <w:jc w:val="both"/>
        <w:rPr>
          <w:rFonts w:ascii="Arial" w:hAnsi="Arial" w:cs="Arial"/>
        </w:rPr>
      </w:pPr>
    </w:p>
    <w:p w:rsidR="009601B8" w:rsidRPr="004642A4" w:rsidRDefault="009601B8" w:rsidP="004642A4">
      <w:pPr>
        <w:ind w:left="567" w:right="562"/>
        <w:jc w:val="both"/>
        <w:rPr>
          <w:rFonts w:ascii="Arial" w:hAnsi="Arial" w:cs="Arial"/>
          <w:i/>
          <w:sz w:val="22"/>
        </w:rPr>
      </w:pPr>
      <w:r w:rsidRPr="004642A4">
        <w:rPr>
          <w:rFonts w:ascii="Arial" w:hAnsi="Arial" w:cs="Arial"/>
          <w:sz w:val="22"/>
        </w:rPr>
        <w:t>“</w:t>
      </w:r>
      <w:r w:rsidRPr="004642A4">
        <w:rPr>
          <w:rFonts w:ascii="Arial" w:hAnsi="Arial" w:cs="Arial"/>
          <w:b/>
          <w:bCs/>
          <w:i/>
          <w:sz w:val="22"/>
        </w:rPr>
        <w:t>Artículo 2.6.10.4.3. </w:t>
      </w:r>
      <w:r w:rsidRPr="004642A4">
        <w:rPr>
          <w:rFonts w:ascii="Arial" w:hAnsi="Arial" w:cs="Arial"/>
          <w:b/>
          <w:bCs/>
          <w:i/>
          <w:iCs/>
          <w:sz w:val="22"/>
        </w:rPr>
        <w:t>Proyección del beneficio pensional en el Régimen de Ahorro Individual con Solidaridad. </w:t>
      </w:r>
      <w:r w:rsidRPr="004642A4">
        <w:rPr>
          <w:rFonts w:ascii="Arial" w:hAnsi="Arial" w:cs="Arial"/>
          <w:i/>
          <w:sz w:val="22"/>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9601B8" w:rsidRPr="004642A4" w:rsidRDefault="009601B8" w:rsidP="004642A4">
      <w:pPr>
        <w:ind w:left="567" w:right="562"/>
        <w:jc w:val="both"/>
        <w:rPr>
          <w:rFonts w:ascii="Arial" w:hAnsi="Arial" w:cs="Arial"/>
          <w:i/>
          <w:sz w:val="22"/>
        </w:rPr>
      </w:pPr>
    </w:p>
    <w:p w:rsidR="009601B8" w:rsidRPr="004642A4" w:rsidRDefault="009601B8" w:rsidP="004642A4">
      <w:pPr>
        <w:ind w:left="567" w:right="562"/>
        <w:jc w:val="both"/>
        <w:rPr>
          <w:rFonts w:ascii="Arial" w:hAnsi="Arial" w:cs="Arial"/>
          <w:i/>
          <w:sz w:val="22"/>
        </w:rPr>
      </w:pPr>
      <w:r w:rsidRPr="004642A4">
        <w:rPr>
          <w:rFonts w:ascii="Arial" w:hAnsi="Arial" w:cs="Arial"/>
          <w:i/>
          <w:sz w:val="22"/>
        </w:rPr>
        <w:t>Las administradoras deberán indicar de manera expresa al afiliado que la simulación corresponde a la modalidad de pensión de retiro programado, calculada con base en las cotizaciones obligatorias y no incluye aportes voluntarios.</w:t>
      </w:r>
    </w:p>
    <w:p w:rsidR="009601B8" w:rsidRPr="004642A4" w:rsidRDefault="009601B8" w:rsidP="004642A4">
      <w:pPr>
        <w:ind w:left="567" w:right="562"/>
        <w:jc w:val="both"/>
        <w:rPr>
          <w:rFonts w:ascii="Arial" w:hAnsi="Arial" w:cs="Arial"/>
          <w:i/>
          <w:sz w:val="22"/>
        </w:rPr>
      </w:pPr>
    </w:p>
    <w:p w:rsidR="009601B8" w:rsidRPr="004642A4" w:rsidRDefault="009601B8" w:rsidP="004642A4">
      <w:pPr>
        <w:ind w:left="567" w:right="562"/>
        <w:jc w:val="both"/>
        <w:rPr>
          <w:rFonts w:ascii="Arial" w:hAnsi="Arial" w:cs="Arial"/>
          <w:i/>
          <w:sz w:val="22"/>
        </w:rPr>
      </w:pPr>
      <w:r w:rsidRPr="004642A4">
        <w:rPr>
          <w:rFonts w:ascii="Arial" w:hAnsi="Arial" w:cs="Arial"/>
          <w:i/>
          <w:sz w:val="22"/>
        </w:rPr>
        <w:t>Para el cálculo de la proyección antes mencionada se deberán tener en cuenta los siguientes parámetros técnicos:</w:t>
      </w:r>
    </w:p>
    <w:p w:rsidR="009601B8" w:rsidRPr="004642A4" w:rsidRDefault="009601B8" w:rsidP="004642A4">
      <w:pPr>
        <w:ind w:left="567" w:right="562"/>
        <w:jc w:val="both"/>
        <w:rPr>
          <w:rFonts w:ascii="Arial" w:hAnsi="Arial" w:cs="Arial"/>
          <w:i/>
          <w:sz w:val="22"/>
        </w:rPr>
      </w:pPr>
    </w:p>
    <w:p w:rsidR="009601B8" w:rsidRPr="004642A4" w:rsidRDefault="009601B8" w:rsidP="004642A4">
      <w:pPr>
        <w:ind w:left="567" w:right="562"/>
        <w:jc w:val="both"/>
        <w:rPr>
          <w:rFonts w:ascii="Arial" w:hAnsi="Arial" w:cs="Arial"/>
          <w:i/>
          <w:sz w:val="22"/>
        </w:rPr>
      </w:pPr>
      <w:r w:rsidRPr="004642A4">
        <w:rPr>
          <w:rFonts w:ascii="Arial" w:hAnsi="Arial" w:cs="Arial"/>
          <w:i/>
          <w:sz w:val="22"/>
        </w:rPr>
        <w:t>a) La tasa de interés técnico que se encuentra establecida por la Superintendencia Financiera de Colombia o la que la modifique o sustituya;</w:t>
      </w:r>
    </w:p>
    <w:p w:rsidR="009601B8" w:rsidRPr="004642A4" w:rsidRDefault="009601B8" w:rsidP="004642A4">
      <w:pPr>
        <w:ind w:left="567" w:right="562"/>
        <w:jc w:val="both"/>
        <w:rPr>
          <w:rFonts w:ascii="Arial" w:hAnsi="Arial" w:cs="Arial"/>
          <w:i/>
          <w:sz w:val="22"/>
        </w:rPr>
      </w:pPr>
      <w:r w:rsidRPr="004642A4">
        <w:rPr>
          <w:rFonts w:ascii="Arial" w:hAnsi="Arial" w:cs="Arial"/>
          <w:i/>
          <w:sz w:val="22"/>
        </w:rPr>
        <w:t>b) Las tablas de mortalidad de rentistas y de inválidos expedidas por la Superintendencia Financiera de Colombia;</w:t>
      </w:r>
    </w:p>
    <w:p w:rsidR="009601B8" w:rsidRPr="004642A4" w:rsidRDefault="009601B8" w:rsidP="004642A4">
      <w:pPr>
        <w:ind w:left="567" w:right="562"/>
        <w:jc w:val="both"/>
        <w:rPr>
          <w:rFonts w:ascii="Arial" w:hAnsi="Arial" w:cs="Arial"/>
          <w:i/>
          <w:sz w:val="22"/>
        </w:rPr>
      </w:pPr>
      <w:r w:rsidRPr="004642A4">
        <w:rPr>
          <w:rFonts w:ascii="Arial" w:hAnsi="Arial" w:cs="Arial"/>
          <w:i/>
          <w:sz w:val="22"/>
        </w:rPr>
        <w:t>c) Las tasas de inflación y crecimiento de los beneficios pensionales;</w:t>
      </w:r>
    </w:p>
    <w:p w:rsidR="009601B8" w:rsidRPr="004642A4" w:rsidRDefault="009601B8" w:rsidP="004642A4">
      <w:pPr>
        <w:ind w:left="567" w:right="562"/>
        <w:jc w:val="both"/>
        <w:rPr>
          <w:rFonts w:ascii="Arial" w:hAnsi="Arial" w:cs="Arial"/>
          <w:sz w:val="22"/>
        </w:rPr>
      </w:pPr>
      <w:r w:rsidRPr="004642A4">
        <w:rPr>
          <w:rFonts w:ascii="Arial" w:hAnsi="Arial" w:cs="Arial"/>
          <w:i/>
          <w:sz w:val="22"/>
        </w:rPr>
        <w:t>d) Demás parámetros y supuestos que imparta sobre el particular la Superintendencia Financiera de Colombia</w:t>
      </w:r>
      <w:r w:rsidRPr="004642A4">
        <w:rPr>
          <w:rFonts w:ascii="Arial" w:hAnsi="Arial" w:cs="Arial"/>
          <w:sz w:val="22"/>
        </w:rPr>
        <w:t>.</w:t>
      </w:r>
    </w:p>
    <w:p w:rsidR="009601B8" w:rsidRPr="009601B8" w:rsidRDefault="009601B8" w:rsidP="009601B8">
      <w:pPr>
        <w:spacing w:line="288" w:lineRule="auto"/>
        <w:ind w:left="708"/>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Para finalmente concluirse en el parágrafo 2º que:</w:t>
      </w:r>
    </w:p>
    <w:p w:rsidR="009601B8" w:rsidRPr="009601B8" w:rsidRDefault="009601B8" w:rsidP="009601B8">
      <w:pPr>
        <w:spacing w:line="288" w:lineRule="auto"/>
        <w:jc w:val="both"/>
        <w:rPr>
          <w:rFonts w:ascii="Arial" w:hAnsi="Arial" w:cs="Arial"/>
        </w:rPr>
      </w:pPr>
    </w:p>
    <w:p w:rsidR="009601B8" w:rsidRPr="004642A4" w:rsidRDefault="009601B8" w:rsidP="004642A4">
      <w:pPr>
        <w:ind w:left="567" w:right="562"/>
        <w:jc w:val="both"/>
        <w:rPr>
          <w:rFonts w:ascii="Arial" w:hAnsi="Arial" w:cs="Arial"/>
          <w:sz w:val="22"/>
        </w:rPr>
      </w:pPr>
      <w:r w:rsidRPr="004642A4">
        <w:rPr>
          <w:rFonts w:ascii="Arial" w:hAnsi="Arial" w:cs="Arial"/>
          <w:b/>
          <w:bCs/>
          <w:sz w:val="22"/>
        </w:rPr>
        <w:t>“</w:t>
      </w:r>
      <w:r w:rsidRPr="004642A4">
        <w:rPr>
          <w:rFonts w:ascii="Arial" w:hAnsi="Arial" w:cs="Arial"/>
          <w:b/>
          <w:bCs/>
          <w:i/>
          <w:sz w:val="22"/>
        </w:rPr>
        <w:t>Parágrafo 2°. </w:t>
      </w:r>
      <w:r w:rsidRPr="004642A4">
        <w:rPr>
          <w:rFonts w:ascii="Arial" w:hAnsi="Arial" w:cs="Arial"/>
          <w:i/>
          <w:sz w:val="22"/>
        </w:rPr>
        <w:t>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w:t>
      </w:r>
      <w:r w:rsidRPr="004642A4">
        <w:rPr>
          <w:rFonts w:ascii="Arial" w:hAnsi="Arial" w:cs="Arial"/>
          <w:sz w:val="22"/>
        </w:rPr>
        <w:t xml:space="preserve">”. </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ind w:right="51"/>
        <w:jc w:val="both"/>
        <w:rPr>
          <w:rFonts w:ascii="Arial" w:hAnsi="Arial" w:cs="Arial"/>
        </w:rPr>
      </w:pPr>
      <w:r w:rsidRPr="009601B8">
        <w:rPr>
          <w:rFonts w:ascii="Arial" w:hAnsi="Arial" w:cs="Arial"/>
        </w:rPr>
        <w:t>Salta a la vista entonces, que con anterioridad a estas normas, no estaban establecidos los parámetros que permitieran dar una información técnica a título de proyección y por ello tal obligación no puede exigirse en estos asuntos.</w:t>
      </w:r>
    </w:p>
    <w:p w:rsidR="009601B8" w:rsidRPr="009601B8" w:rsidRDefault="009601B8" w:rsidP="009601B8">
      <w:pPr>
        <w:spacing w:line="288" w:lineRule="auto"/>
        <w:ind w:right="51"/>
        <w:jc w:val="both"/>
        <w:rPr>
          <w:rFonts w:ascii="Arial" w:hAnsi="Arial" w:cs="Arial"/>
        </w:rPr>
      </w:pPr>
    </w:p>
    <w:p w:rsidR="009601B8" w:rsidRPr="009601B8" w:rsidRDefault="009601B8" w:rsidP="009601B8">
      <w:pPr>
        <w:spacing w:line="288" w:lineRule="auto"/>
        <w:ind w:right="51"/>
        <w:jc w:val="both"/>
        <w:rPr>
          <w:rFonts w:ascii="Arial" w:hAnsi="Arial" w:cs="Arial"/>
          <w:b/>
          <w:iCs/>
          <w:lang w:val="es-ES_tradnl"/>
        </w:rPr>
      </w:pPr>
      <w:r w:rsidRPr="009601B8">
        <w:rPr>
          <w:rFonts w:ascii="Arial" w:hAnsi="Arial" w:cs="Arial"/>
        </w:rPr>
        <w:t xml:space="preserve">Adicionalmente debe tenerse en cuenta que las personas que procedieron al traslado en la década de los años 90 y principios de la siguiente, </w:t>
      </w:r>
      <w:r w:rsidRPr="009601B8">
        <w:rPr>
          <w:rFonts w:ascii="Arial" w:hAnsi="Arial" w:cs="Arial"/>
          <w:b/>
        </w:rPr>
        <w:t>eran afiliados que apenas estaban empezando su etapa productiva y por ello, en realidad, los aportes realizados hasta el momento del traslado eran tan limitados que no permitían conocer una tendencia que abriera la puerta a cálculos con significado</w:t>
      </w:r>
      <w:r w:rsidRPr="009601B8">
        <w:rPr>
          <w:rFonts w:ascii="Arial" w:hAnsi="Arial" w:cs="Arial"/>
        </w:rPr>
        <w:t>.</w:t>
      </w:r>
    </w:p>
    <w:p w:rsidR="009601B8" w:rsidRPr="009601B8" w:rsidRDefault="009601B8" w:rsidP="009601B8">
      <w:pPr>
        <w:spacing w:line="288" w:lineRule="auto"/>
        <w:ind w:right="51"/>
        <w:jc w:val="both"/>
        <w:rPr>
          <w:rFonts w:ascii="Arial" w:hAnsi="Arial" w:cs="Arial"/>
          <w:iCs/>
          <w:lang w:val="es-ES_tradnl"/>
        </w:rPr>
      </w:pPr>
      <w:r w:rsidRPr="009601B8">
        <w:rPr>
          <w:rFonts w:ascii="Arial" w:hAnsi="Arial" w:cs="Arial"/>
          <w:iCs/>
          <w:lang w:val="es-ES_tradnl"/>
        </w:rPr>
        <w:t xml:space="preserve"> </w:t>
      </w:r>
    </w:p>
    <w:p w:rsidR="009601B8" w:rsidRPr="009601B8" w:rsidRDefault="009601B8" w:rsidP="009601B8">
      <w:pPr>
        <w:spacing w:line="288" w:lineRule="auto"/>
        <w:ind w:right="51"/>
        <w:jc w:val="both"/>
        <w:rPr>
          <w:rFonts w:ascii="Arial" w:hAnsi="Arial" w:cs="Arial"/>
          <w:b/>
          <w:iCs/>
          <w:lang w:val="es-ES_tradnl"/>
        </w:rPr>
      </w:pPr>
      <w:r w:rsidRPr="009601B8">
        <w:rPr>
          <w:rFonts w:ascii="Arial" w:hAnsi="Arial" w:cs="Arial"/>
          <w:b/>
          <w:iCs/>
          <w:lang w:val="es-ES_tradnl"/>
        </w:rPr>
        <w:t>NULIDAD DE LOS ACTOS JURÍDICOS Y OPORTUNIDAD PARA ALEGARLA.</w:t>
      </w:r>
    </w:p>
    <w:p w:rsidR="009601B8" w:rsidRPr="009601B8" w:rsidRDefault="009601B8" w:rsidP="009601B8">
      <w:pPr>
        <w:spacing w:line="288" w:lineRule="auto"/>
        <w:ind w:right="51"/>
        <w:jc w:val="both"/>
        <w:rPr>
          <w:rFonts w:ascii="Arial" w:hAnsi="Arial" w:cs="Arial"/>
          <w:b/>
          <w:iCs/>
          <w:lang w:val="es-ES_tradnl"/>
        </w:rPr>
      </w:pPr>
    </w:p>
    <w:p w:rsidR="009601B8" w:rsidRPr="009601B8" w:rsidRDefault="009601B8" w:rsidP="009601B8">
      <w:pPr>
        <w:spacing w:line="288" w:lineRule="auto"/>
        <w:jc w:val="both"/>
        <w:rPr>
          <w:rFonts w:ascii="Arial" w:hAnsi="Arial" w:cs="Arial"/>
          <w:bCs/>
          <w:iCs/>
          <w:lang w:val="es-ES_tradnl"/>
        </w:rPr>
      </w:pPr>
      <w:r w:rsidRPr="009601B8">
        <w:rPr>
          <w:rFonts w:ascii="Arial" w:hAnsi="Arial" w:cs="Arial"/>
          <w:bCs/>
          <w:iCs/>
          <w:lang w:val="es-ES_tradnl"/>
        </w:rPr>
        <w:t xml:space="preserve">Una lectura juiciosa de la sentencia SL12136-2014, que sentó las bases de la actual posición de la Sala de Casación Laboral sobre el tema de la nulidad o la ineficacia del traslado, permite notar que la Corporación consideró que dados los </w:t>
      </w:r>
      <w:r w:rsidRPr="009601B8">
        <w:rPr>
          <w:rFonts w:ascii="Arial" w:hAnsi="Arial" w:cs="Arial"/>
          <w:b/>
          <w:bCs/>
          <w:iCs/>
          <w:lang w:val="es-ES_tradnl"/>
        </w:rPr>
        <w:t>beneficios del régimen de transición que se perdían con el traslado de régimen</w:t>
      </w:r>
      <w:r w:rsidRPr="009601B8">
        <w:rPr>
          <w:rFonts w:ascii="Arial" w:hAnsi="Arial" w:cs="Arial"/>
          <w:bCs/>
          <w:iCs/>
          <w:lang w:val="es-ES_tradnl"/>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9601B8" w:rsidRPr="009601B8" w:rsidRDefault="009601B8" w:rsidP="009601B8">
      <w:pPr>
        <w:spacing w:line="288" w:lineRule="auto"/>
        <w:jc w:val="both"/>
        <w:rPr>
          <w:rFonts w:ascii="Arial" w:hAnsi="Arial" w:cs="Arial"/>
          <w:bCs/>
          <w:iCs/>
          <w:lang w:val="es-ES_tradnl"/>
        </w:rPr>
      </w:pPr>
    </w:p>
    <w:p w:rsidR="009601B8" w:rsidRPr="004642A4" w:rsidRDefault="009601B8" w:rsidP="004642A4">
      <w:pPr>
        <w:ind w:left="567" w:right="562"/>
        <w:jc w:val="both"/>
        <w:rPr>
          <w:rFonts w:ascii="Arial" w:hAnsi="Arial" w:cs="Arial"/>
          <w:iCs/>
          <w:sz w:val="22"/>
        </w:rPr>
      </w:pPr>
      <w:r w:rsidRPr="004642A4">
        <w:rPr>
          <w:rFonts w:ascii="Arial" w:hAnsi="Arial" w:cs="Arial"/>
          <w:iCs/>
          <w:sz w:val="22"/>
        </w:rPr>
        <w:t>“</w:t>
      </w:r>
      <w:r w:rsidRPr="004642A4">
        <w:rPr>
          <w:rFonts w:ascii="Arial" w:hAnsi="Arial" w:cs="Arial"/>
          <w:b/>
          <w:i/>
          <w:iCs/>
          <w:sz w:val="22"/>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4642A4">
        <w:rPr>
          <w:rFonts w:ascii="Arial" w:hAnsi="Arial" w:cs="Arial"/>
          <w:iCs/>
          <w:sz w:val="22"/>
        </w:rPr>
        <w:t>”.</w:t>
      </w:r>
    </w:p>
    <w:p w:rsidR="009601B8" w:rsidRPr="009601B8" w:rsidRDefault="009601B8" w:rsidP="009601B8">
      <w:pPr>
        <w:spacing w:line="288" w:lineRule="auto"/>
        <w:jc w:val="both"/>
        <w:rPr>
          <w:rFonts w:ascii="Arial" w:hAnsi="Arial" w:cs="Arial"/>
          <w:iCs/>
        </w:rPr>
      </w:pPr>
    </w:p>
    <w:p w:rsidR="009601B8" w:rsidRPr="009601B8" w:rsidRDefault="009601B8" w:rsidP="009601B8">
      <w:pPr>
        <w:spacing w:line="288" w:lineRule="auto"/>
        <w:jc w:val="both"/>
        <w:rPr>
          <w:rFonts w:ascii="Arial" w:hAnsi="Arial" w:cs="Arial"/>
          <w:bCs/>
          <w:iCs/>
          <w:lang w:val="es-ES_tradnl"/>
        </w:rPr>
      </w:pPr>
      <w:r w:rsidRPr="009601B8">
        <w:rPr>
          <w:rFonts w:ascii="Arial" w:hAnsi="Arial" w:cs="Arial"/>
          <w:bCs/>
          <w:iCs/>
          <w:lang w:val="es-ES_tradnl"/>
        </w:rPr>
        <w:lastRenderedPageBreak/>
        <w:t>En otras palabras, “</w:t>
      </w:r>
      <w:r w:rsidRPr="009601B8">
        <w:rPr>
          <w:rFonts w:ascii="Arial" w:hAnsi="Arial" w:cs="Arial"/>
          <w:b/>
          <w:bCs/>
          <w:i/>
          <w:iCs/>
          <w:lang w:val="es-ES_tradnl"/>
        </w:rPr>
        <w:t xml:space="preserve">las reglas jurídicas generales” </w:t>
      </w:r>
      <w:r w:rsidRPr="009601B8">
        <w:rPr>
          <w:rFonts w:ascii="Arial" w:hAnsi="Arial" w:cs="Arial"/>
          <w:bCs/>
          <w:iCs/>
          <w:lang w:val="es-ES_tradnl"/>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9601B8">
        <w:rPr>
          <w:rFonts w:ascii="Arial" w:hAnsi="Arial" w:cs="Arial"/>
          <w:b/>
          <w:bCs/>
          <w:i/>
          <w:iCs/>
          <w:lang w:val="es-ES_tradnl"/>
        </w:rPr>
        <w:t>“afectación de la voluntad”</w:t>
      </w:r>
      <w:r w:rsidRPr="009601B8">
        <w:rPr>
          <w:rFonts w:ascii="Arial" w:hAnsi="Arial" w:cs="Arial"/>
          <w:bCs/>
          <w:iCs/>
          <w:lang w:val="es-ES_tradnl"/>
        </w:rPr>
        <w:t xml:space="preserve">, mientras que la ineficacia en los eventos de pérdida del régimen de transición encuentra un plus de protección en el entendido que esa afectación se presume y por ello corresponde a las AFP ofrecer la prueba de haber suministrado la información relativa a la pérdida de beneficios que el traslado conllevaba.  </w:t>
      </w:r>
    </w:p>
    <w:p w:rsidR="009601B8" w:rsidRPr="009601B8" w:rsidRDefault="009601B8" w:rsidP="009601B8">
      <w:pPr>
        <w:spacing w:line="288" w:lineRule="auto"/>
        <w:jc w:val="both"/>
        <w:rPr>
          <w:rFonts w:ascii="Arial" w:hAnsi="Arial" w:cs="Arial"/>
          <w:bCs/>
          <w:iCs/>
          <w:lang w:val="es-ES_tradnl"/>
        </w:rPr>
      </w:pPr>
    </w:p>
    <w:p w:rsidR="009601B8" w:rsidRPr="009601B8" w:rsidRDefault="009601B8" w:rsidP="009601B8">
      <w:pPr>
        <w:spacing w:line="288" w:lineRule="auto"/>
        <w:jc w:val="both"/>
        <w:rPr>
          <w:rFonts w:ascii="Arial" w:hAnsi="Arial" w:cs="Arial"/>
          <w:bCs/>
          <w:iCs/>
          <w:lang w:val="es-ES_tradnl"/>
        </w:rPr>
      </w:pPr>
      <w:r w:rsidRPr="009601B8">
        <w:rPr>
          <w:rFonts w:ascii="Arial" w:hAnsi="Arial" w:cs="Arial"/>
          <w:bCs/>
          <w:iCs/>
          <w:lang w:val="es-ES_tradnl"/>
        </w:rPr>
        <w:t>En ese horizonte,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9601B8" w:rsidRPr="009601B8" w:rsidRDefault="009601B8" w:rsidP="009601B8">
      <w:pPr>
        <w:spacing w:line="288" w:lineRule="auto"/>
        <w:jc w:val="both"/>
        <w:rPr>
          <w:rFonts w:ascii="Arial" w:hAnsi="Arial" w:cs="Arial"/>
          <w:bCs/>
          <w:iCs/>
          <w:lang w:val="es-ES_tradnl"/>
        </w:rPr>
      </w:pPr>
    </w:p>
    <w:p w:rsidR="009601B8" w:rsidRPr="009601B8" w:rsidRDefault="009601B8" w:rsidP="009601B8">
      <w:pPr>
        <w:spacing w:line="288" w:lineRule="auto"/>
        <w:jc w:val="both"/>
        <w:rPr>
          <w:rFonts w:ascii="Arial" w:hAnsi="Arial" w:cs="Arial"/>
          <w:bCs/>
          <w:iCs/>
          <w:lang w:val="es-ES_tradnl"/>
        </w:rPr>
      </w:pPr>
      <w:r w:rsidRPr="009601B8">
        <w:rPr>
          <w:rFonts w:ascii="Arial" w:hAnsi="Arial" w:cs="Arial"/>
          <w:bCs/>
          <w:iCs/>
          <w:lang w:val="es-ES_tradnl"/>
        </w:rPr>
        <w:t>A su vez, el artículo 1750 del Código Civil prevé que para solicitar la rescisión en los eventos en que se alegue la ocurrencia de error o dolo, se cuenta con un plazo de cuatro años contados desde el día de la celebración del acto o contrato.</w:t>
      </w:r>
    </w:p>
    <w:p w:rsidR="009601B8" w:rsidRPr="009601B8" w:rsidRDefault="009601B8" w:rsidP="009601B8">
      <w:pPr>
        <w:spacing w:line="288" w:lineRule="auto"/>
        <w:jc w:val="both"/>
        <w:rPr>
          <w:rFonts w:ascii="Arial" w:hAnsi="Arial" w:cs="Arial"/>
          <w:bCs/>
          <w:iCs/>
          <w:lang w:val="es-ES_tradnl"/>
        </w:rPr>
      </w:pPr>
    </w:p>
    <w:p w:rsidR="009601B8" w:rsidRPr="009601B8" w:rsidRDefault="009601B8" w:rsidP="009601B8">
      <w:pPr>
        <w:spacing w:line="288" w:lineRule="auto"/>
        <w:jc w:val="both"/>
        <w:rPr>
          <w:rFonts w:ascii="Arial" w:hAnsi="Arial" w:cs="Arial"/>
          <w:bCs/>
          <w:lang w:val="es-ES_tradnl"/>
        </w:rPr>
      </w:pPr>
      <w:r w:rsidRPr="009601B8">
        <w:rPr>
          <w:rFonts w:ascii="Arial" w:hAnsi="Arial" w:cs="Arial"/>
          <w:bCs/>
          <w:lang w:val="es-ES_tradnl"/>
        </w:rPr>
        <w:t xml:space="preserve">De otro lado el artículo 1743 </w:t>
      </w:r>
      <w:r w:rsidRPr="009601B8">
        <w:rPr>
          <w:rFonts w:ascii="Arial" w:hAnsi="Arial" w:cs="Arial"/>
          <w:bCs/>
          <w:i/>
          <w:iCs/>
          <w:lang w:val="es-ES_tradnl"/>
        </w:rPr>
        <w:t xml:space="preserve">ibídem </w:t>
      </w:r>
      <w:r w:rsidRPr="009601B8">
        <w:rPr>
          <w:rFonts w:ascii="Arial" w:hAnsi="Arial" w:cs="Arial"/>
          <w:bCs/>
          <w:lang w:val="es-ES_tradnl"/>
        </w:rPr>
        <w:t>dispone que la nulidad relativa se sanea por el paso del tiempo o por ratificación de las partes.</w:t>
      </w:r>
    </w:p>
    <w:p w:rsidR="009601B8" w:rsidRPr="009601B8" w:rsidRDefault="009601B8" w:rsidP="009601B8">
      <w:pPr>
        <w:spacing w:line="288" w:lineRule="auto"/>
        <w:ind w:right="51"/>
        <w:jc w:val="both"/>
        <w:rPr>
          <w:rFonts w:ascii="Arial" w:hAnsi="Arial" w:cs="Arial"/>
          <w:b/>
          <w:iCs/>
          <w:lang w:val="es-ES_tradnl"/>
        </w:rPr>
      </w:pPr>
    </w:p>
    <w:p w:rsidR="009601B8" w:rsidRPr="009601B8" w:rsidRDefault="009601B8" w:rsidP="009601B8">
      <w:pPr>
        <w:spacing w:line="288" w:lineRule="auto"/>
        <w:ind w:right="284"/>
        <w:jc w:val="both"/>
        <w:rPr>
          <w:rFonts w:ascii="Arial" w:hAnsi="Arial" w:cs="Arial"/>
        </w:rPr>
      </w:pPr>
      <w:r w:rsidRPr="009601B8">
        <w:rPr>
          <w:rFonts w:ascii="Arial" w:hAnsi="Arial" w:cs="Arial"/>
          <w:b/>
        </w:rPr>
        <w:t>IMPORTANCIA DE LA DIFERENCIACIÓN ENTRE LOS CASOS DE INEFICACIA Y LOS CASOS DE NULIDAD</w:t>
      </w:r>
    </w:p>
    <w:p w:rsidR="009601B8" w:rsidRPr="009601B8" w:rsidRDefault="009601B8" w:rsidP="009601B8">
      <w:pPr>
        <w:spacing w:line="288" w:lineRule="auto"/>
        <w:ind w:right="284"/>
        <w:jc w:val="both"/>
        <w:rPr>
          <w:rFonts w:ascii="Arial" w:hAnsi="Arial" w:cs="Arial"/>
        </w:rPr>
      </w:pPr>
    </w:p>
    <w:p w:rsidR="009601B8" w:rsidRPr="009601B8" w:rsidRDefault="009601B8" w:rsidP="009601B8">
      <w:pPr>
        <w:spacing w:line="288" w:lineRule="auto"/>
        <w:ind w:right="284"/>
        <w:jc w:val="both"/>
        <w:rPr>
          <w:rFonts w:ascii="Arial" w:hAnsi="Arial" w:cs="Arial"/>
        </w:rPr>
      </w:pPr>
      <w:r w:rsidRPr="009601B8">
        <w:rPr>
          <w:rFonts w:ascii="Arial" w:hAnsi="Arial" w:cs="Arial"/>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9601B8" w:rsidRPr="009601B8" w:rsidRDefault="009601B8" w:rsidP="009601B8">
      <w:pPr>
        <w:spacing w:line="288" w:lineRule="auto"/>
        <w:jc w:val="both"/>
        <w:rPr>
          <w:rFonts w:ascii="Arial" w:hAnsi="Arial" w:cs="Arial"/>
          <w:iCs/>
          <w:lang w:val="es-ES_tradnl"/>
        </w:rPr>
      </w:pPr>
    </w:p>
    <w:p w:rsidR="009601B8" w:rsidRPr="009601B8" w:rsidRDefault="009601B8" w:rsidP="009601B8">
      <w:pPr>
        <w:spacing w:line="288" w:lineRule="auto"/>
        <w:ind w:right="284"/>
        <w:jc w:val="both"/>
        <w:rPr>
          <w:rFonts w:ascii="Arial" w:hAnsi="Arial" w:cs="Arial"/>
          <w:b/>
        </w:rPr>
      </w:pPr>
      <w:r w:rsidRPr="009601B8">
        <w:rPr>
          <w:rFonts w:ascii="Arial" w:hAnsi="Arial" w:cs="Arial"/>
          <w:b/>
        </w:rPr>
        <w:t>EL CASO CONCRETO</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 xml:space="preserve">Sea lo primero advertir que el señor Ronald Alan Perry no es beneficiario del régimen de transición previsto en el artículo 36 de la Ley 100 de 1993, ya que de acuerdo con </w:t>
      </w:r>
      <w:r w:rsidRPr="009601B8">
        <w:rPr>
          <w:rFonts w:ascii="Arial" w:hAnsi="Arial" w:cs="Arial"/>
        </w:rPr>
        <w:lastRenderedPageBreak/>
        <w:t>la copia de la cédula de ciudadanía –fl.26- se evidencia que para el 1º de abril de 1994, fecha en que empezó a regir el sistema general de pensiones, él tenía cumplidos 39 años de edad, y según el certificado de información laboral emitido por el la Oficina de Bonos Pensionales del Ministerio de Hacienda –fls.141 y 142-, para ese momento tan solo acreditaba 204.29 semanas de servicios, que equivalen a 3.97 años, a pesar de que en la demanda se dijo que la afiliación al sistema general de pensiones se había producido desde el 1º de julio de 1995.</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Con el formulario Nº 1010521243 de 1º de diciembre de 1999 visible a folio 133 del expediente, el actor declaró bajo la gravedad de juramento haber escogido el régimen de ahorro individual con solidaridad de manera libre, espontánea y sin presiones, situación que corroboró al contestar el interrogatorio de parte absuelto por petición de la AFP Protección S.A.; esto es, que su traslado a ese régimen pensional se hizo bajo los parámetros establecidos en los artículos 13 literal b) y 271 de la Ley 100 de 1993, sin que se evidencie que el traslado al de ahorro individual con solidaridad efectuado el 1º de diciembre de 1999 haya producido, en principio, afectación alguna.</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Claro resulta entonces que al no tratarse de un caso de ineficacia por no involucrar la pérdida del régimen de transición, el análisis que correspondía era el de la posible nulidad del acto mediante el cual se concretó el traslado, pero como quiera que este se realizó el 1 de diciembre de 1999, para el año de presentación de la demanda (2017), esto es 18 años después, había adquirido total firmeza y legalidad, pues al haber transcurrido más de cuatro años desde su realización, cualquier nulidad relativa de que hubiera podido adolecer, había quedado saneada por el transcurso del tiempo.</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 xml:space="preserve">Pero no solo lo anterior –que de por si resulta suficiente para negar las pretensiones- da al traste con las aspiraciones del actor, sino que también, conforme quedó visto con anterioridad, le incumbía a él probar las afirmaciones con base en las cuales aspiraba obtener la declaración de nulidad, pues al no ser beneficiario del régimen transicional, no se evidencia que el traslado del régimen de prima media con prestación definida al de ahorro individual con solidaridad haya producido, en principio, afectación alguna y para ello solicitó que fueran escuchados los testimonios de María Cristina Giraldo de Londoño y Javier Vanegas Salgado. </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La señora Giraldo de Londoño manifestó no conocer la situación particular de su compañero de trabajo Ronald Alan Perry, pues no sabe en qué momento se trasladó del RPM al RAIS, ni las condiciones que lo llevaron a realizar ese cambio de régimen pensional, al punto que fue solo hace un par de años que ella supo que el demandante se había trasladado del ISS.</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 xml:space="preserve">Por su parte el señor Vanegas Salgado indicó que como compañero de trabajo desde hace muchos años del señor Ronald Alan Perry en la Universidad Tecnológica de Pereira, se dio cuenta que él se trasladó del ISS a Colmena, y que si bien él como tal se trasladó a otro fondo privado, más precisamente a Colfondos S.A., lo cierto es que la información que en su momento daban todas las AFP eran muy similares, informando que en el medio universitario había rumores de pasillo que señalaban que el ISS iba a ser liquidado, lo cual llevó a que muchos de ellos escucharan a los </w:t>
      </w:r>
      <w:r w:rsidRPr="009601B8">
        <w:rPr>
          <w:rFonts w:ascii="Arial" w:hAnsi="Arial" w:cs="Arial"/>
        </w:rPr>
        <w:lastRenderedPageBreak/>
        <w:t>asesores del fondo privado, quienes en líneas generales planteaban la posibilidad de pensionarse anticipadamente, que los ahorros estaban en una cuenta individual y no en una bolsa común, pero que con el paso del tiempo y de acuerdo a lo que iban diciendo los mismos compañeros, se dieron cuenta que esa decisión había sido equivocada, motivo por el que la gran mayoría está buscando la posibilidad de retornar al régimen que administra Colpensiones.</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Al contestar el interrogatorio de parte, el señor Ronald Alan Perry fue claro en manifestar que él suscribió el formulario de traslado de régimen pensional de manera libre y voluntaria; que una de las motivaciones que lo llevó a realizar el traslado fue el hecho de que se decía que el ISS se iba a liquidar; confesó que la asesora de Colmena S.A. hoy Protección S.A. le informó que en el RAIS sus ahorros iban a estar en una cuenta individual y que el crecimiento de la misma estaba directamente relacionada con el movimiento de los mercados; que por el tiempo de servicios cotizados en el ISS se iba a emitir un bono pensional que entraría directamente a la cuenta; que tenía la posibilidad de pensionarse de manera anticipada, aunque a él esa característica le era indiferente; le llamó mucho la atención el hecho de que sus ahorros podían ser heredados por sus hijos; que es consciente que en el RAIS se pensionaba de acuerdo con el capital acumulado y que en el RPM es con tiempo de cotizaciones; también sostuvo que  se le informó que podía hacer aportes voluntarios con el objeto de aumentar el capital ahorrado y que actualmente debe trabajar más tiempo para lograr acceder al derecho en ambos regímenes; expresó que visita constantemente la página web de la AFP para estar pendiente del saldo de su cuenta de ahorro individual.</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Ahora bien, dado que la demandante alega que en la información que se le dio se omitió brindarle proyecciones sobre el monto o la cuantificación de su mesada pensional, es pertinente recordar que esa obligación, apenas vino a imponerse a las administradoras con la ley 1748 de 2014, norma que exigió a su vez a la expedición del Decreto 2074 de 2015, como se señaló en precedencia.</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De otro lado, preciso es observar que la afiliación al sistema general de pensiones del actor data del año 1995, por lo que cuando se trasladó al régimen de ahorro individual con solidaridad, la formación de su derecho pensional era apenas incipiente, sin que pudiera pregonarse de él, que su situación anterior le había generado expectativas legítimas de derecho. Por el contrario, en el régimen de ahorro individual, en el que ahora no quiere estar, permaneció sin reparos, desde diciembre de 1999 hasta febrero de 2016, esto es, por más de 17 años y en el que, por estar afiliado, resultaba potencial acreedor de los diferentes beneficios que éste otorgaba, amén que libremente pudo retornar a Colpensiones en los términos del artículo 2º de la ley 797 de 2003. ¿Cómo aceptar entonces, en tales condiciones, que el corto periodo de permanencia en el régimen de prima media es el que resulta eficaz frente al muchísimo más largo verificado en el de ahorro individual, del que se benefició?</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 xml:space="preserve">En concordancia con lo anterior, se debe tener en cuenta que la simple manifestación de inconformidad de que el valor de la pensión a recibir en este momento en el régimen de prima media pueda resultar superior al que se ha de recibir en el RAIS, por sí sola no constituye prueba de que cuando realizó su traslado, lo haya hecho </w:t>
      </w:r>
      <w:r w:rsidRPr="009601B8">
        <w:rPr>
          <w:rFonts w:ascii="Arial" w:hAnsi="Arial" w:cs="Arial"/>
        </w:rPr>
        <w:lastRenderedPageBreak/>
        <w:t>movido por un engaño o por una equivocada información. En realidad en esta clase de asuntos la parte demandante para triunfar en sus pretensiones, entre otros aspectos, debe probar el perjuicio sufrido, la información equivocada o falaz que recibió de la Administradora y la relación de causalidad entre ésta y su traslado.</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Conforme con lo expuesto, más allá de afirmarse en la demanda –fls.54 a 67- que el señor Ronald Alan Perry no recibió la información suficiente que le advirtiera sobre las implicaciones que traía trasladarse del RPM al RAIS, la verdad es que no quedó demostrado que se le haya brindado información contraria a lo dispuesto en los artículos 59 y siguientes de la Ley 100 de 1993 que pudiera llevar a concluir que lo manifestado por la AFP Colmena S.A. no obedecía a lo establecido en la Ley; por el contrario, lo que se acredita en el proceso con los propios dichos del accionante, es que la asesoría brindada por el fondo privado era cierta en consideración a que efectivamente en ese régimen pensional existe la posibilidad, no la exigencia, de pensionarse anticipadamente, que el monto de la pensión depende del capital que se encuentre en la cuenta de ahorro individual con sus rendimientos y el bono pensional que se genere por los tiempos de servicios cotizados en el ISS, así como de las cotizaciones voluntarias que deseé realizar, e igualmente que los ahorros acumulados pueden ser incluidos en la masa sucesoral en caso de que el afiliado fallezca; siendo del caso recordar que la información que indicaba que el ISS se iba a liquidar, no fueron realizados por la asesora de la AFP con el fin de generar la afiliación del demandante, sino que, como lo expresó el señor Javier Vanegas Salgado, esa era una información que rondaba en los pasillos del claustro universitario.</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Es que no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el actor, ya que después de 1º de diciembre de 1999 cuando realizó la selección inicial del régimen de ahorro individual con solidaridad, decidió permanecer afiliado a ese régimen pensional.</w:t>
      </w:r>
    </w:p>
    <w:p w:rsidR="009601B8" w:rsidRPr="009601B8" w:rsidRDefault="009601B8" w:rsidP="009601B8">
      <w:pPr>
        <w:spacing w:line="288" w:lineRule="auto"/>
        <w:jc w:val="both"/>
        <w:rPr>
          <w:rFonts w:ascii="Arial" w:hAnsi="Arial" w:cs="Arial"/>
        </w:rPr>
      </w:pPr>
    </w:p>
    <w:p w:rsidR="009601B8" w:rsidRPr="009601B8" w:rsidRDefault="009601B8" w:rsidP="009601B8">
      <w:pPr>
        <w:spacing w:line="288" w:lineRule="auto"/>
        <w:jc w:val="both"/>
        <w:rPr>
          <w:rFonts w:ascii="Arial" w:hAnsi="Arial" w:cs="Arial"/>
        </w:rPr>
      </w:pPr>
      <w:r w:rsidRPr="009601B8">
        <w:rPr>
          <w:rFonts w:ascii="Arial" w:hAnsi="Arial" w:cs="Arial"/>
        </w:rPr>
        <w:t>Así las cosas, al no pertenecer al régimen de transición, no haber pedido la nulidad del acto dentro de los cuatro años siguientes al mismo y al no quedar acreditado que el traslado efectuado por la actora ocurrió por un engaño en el que lo hizo incurrir la AFP y que él no hizo uso oportuno de la facultad de trasladarse, necesario resulta concluir que el acto del traslado no se puede pregonar nulo ni mucho menos resulta ineficaz, motivo por el que se debió revocar en su integridad la sentencia proferida por el Juzgado Cuarto Laboral del Circuito el 7 de noviembre de 2017.</w:t>
      </w:r>
    </w:p>
    <w:p w:rsidR="009601B8" w:rsidRPr="009601B8" w:rsidRDefault="009601B8" w:rsidP="009601B8">
      <w:pPr>
        <w:spacing w:line="288" w:lineRule="auto"/>
        <w:jc w:val="both"/>
        <w:rPr>
          <w:rFonts w:ascii="Arial" w:hAnsi="Arial" w:cs="Arial"/>
        </w:rPr>
      </w:pPr>
    </w:p>
    <w:p w:rsidR="009601B8" w:rsidRPr="009601B8" w:rsidRDefault="009601B8" w:rsidP="009601B8">
      <w:pPr>
        <w:widowControl w:val="0"/>
        <w:autoSpaceDE w:val="0"/>
        <w:autoSpaceDN w:val="0"/>
        <w:adjustRightInd w:val="0"/>
        <w:spacing w:line="288" w:lineRule="auto"/>
        <w:jc w:val="both"/>
        <w:rPr>
          <w:rFonts w:ascii="Arial" w:hAnsi="Arial" w:cs="Arial"/>
        </w:rPr>
      </w:pPr>
      <w:bookmarkStart w:id="2" w:name="_GoBack"/>
      <w:bookmarkEnd w:id="2"/>
      <w:r w:rsidRPr="009601B8">
        <w:rPr>
          <w:rFonts w:ascii="Arial" w:hAnsi="Arial" w:cs="Arial"/>
        </w:rPr>
        <w:t>Dejo así salvado mi voto,</w:t>
      </w:r>
    </w:p>
    <w:p w:rsidR="009601B8" w:rsidRDefault="009601B8" w:rsidP="009601B8">
      <w:pPr>
        <w:widowControl w:val="0"/>
        <w:autoSpaceDE w:val="0"/>
        <w:autoSpaceDN w:val="0"/>
        <w:adjustRightInd w:val="0"/>
        <w:spacing w:line="288" w:lineRule="auto"/>
        <w:jc w:val="both"/>
        <w:rPr>
          <w:rFonts w:ascii="Arial" w:hAnsi="Arial" w:cs="Arial"/>
        </w:rPr>
      </w:pPr>
    </w:p>
    <w:p w:rsidR="004642A4" w:rsidRPr="009601B8" w:rsidRDefault="004642A4" w:rsidP="009601B8">
      <w:pPr>
        <w:widowControl w:val="0"/>
        <w:autoSpaceDE w:val="0"/>
        <w:autoSpaceDN w:val="0"/>
        <w:adjustRightInd w:val="0"/>
        <w:spacing w:line="288" w:lineRule="auto"/>
        <w:jc w:val="both"/>
        <w:rPr>
          <w:rFonts w:ascii="Arial" w:hAnsi="Arial" w:cs="Arial"/>
        </w:rPr>
      </w:pPr>
    </w:p>
    <w:p w:rsidR="009601B8" w:rsidRPr="009601B8" w:rsidRDefault="009601B8" w:rsidP="009601B8">
      <w:pPr>
        <w:widowControl w:val="0"/>
        <w:autoSpaceDE w:val="0"/>
        <w:autoSpaceDN w:val="0"/>
        <w:adjustRightInd w:val="0"/>
        <w:spacing w:line="288" w:lineRule="auto"/>
        <w:jc w:val="both"/>
        <w:rPr>
          <w:rFonts w:ascii="Arial" w:hAnsi="Arial" w:cs="Arial"/>
        </w:rPr>
      </w:pPr>
    </w:p>
    <w:p w:rsidR="009601B8" w:rsidRPr="009601B8" w:rsidRDefault="009601B8" w:rsidP="009601B8">
      <w:pPr>
        <w:widowControl w:val="0"/>
        <w:autoSpaceDE w:val="0"/>
        <w:autoSpaceDN w:val="0"/>
        <w:adjustRightInd w:val="0"/>
        <w:spacing w:line="288" w:lineRule="auto"/>
        <w:jc w:val="center"/>
        <w:rPr>
          <w:rFonts w:ascii="Arial" w:hAnsi="Arial" w:cs="Arial"/>
          <w:b/>
        </w:rPr>
      </w:pPr>
      <w:r w:rsidRPr="009601B8">
        <w:rPr>
          <w:rFonts w:ascii="Arial" w:hAnsi="Arial" w:cs="Arial"/>
          <w:b/>
        </w:rPr>
        <w:t>JULIO CÉSAR SALAZAR MUÑOZ</w:t>
      </w:r>
    </w:p>
    <w:p w:rsidR="009601B8" w:rsidRPr="009601B8" w:rsidRDefault="009601B8" w:rsidP="009601B8">
      <w:pPr>
        <w:widowControl w:val="0"/>
        <w:autoSpaceDE w:val="0"/>
        <w:autoSpaceDN w:val="0"/>
        <w:adjustRightInd w:val="0"/>
        <w:spacing w:line="288" w:lineRule="auto"/>
        <w:jc w:val="center"/>
        <w:rPr>
          <w:rFonts w:ascii="Arial" w:hAnsi="Arial" w:cs="Arial"/>
        </w:rPr>
      </w:pPr>
      <w:r w:rsidRPr="009601B8">
        <w:rPr>
          <w:rFonts w:ascii="Arial" w:hAnsi="Arial" w:cs="Arial"/>
        </w:rPr>
        <w:t>Magistrado</w:t>
      </w:r>
    </w:p>
    <w:sectPr w:rsidR="009601B8" w:rsidRPr="009601B8" w:rsidSect="004E7541">
      <w:headerReference w:type="default" r:id="rId11"/>
      <w:footerReference w:type="default" r:id="rId12"/>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79" w:rsidRDefault="00795479" w:rsidP="005761C8">
      <w:r>
        <w:separator/>
      </w:r>
    </w:p>
  </w:endnote>
  <w:endnote w:type="continuationSeparator" w:id="0">
    <w:p w:rsidR="00795479" w:rsidRDefault="00795479"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4642A4">
      <w:rPr>
        <w:rStyle w:val="Nmerodepgina"/>
        <w:rFonts w:ascii="Arial" w:hAnsi="Arial" w:cs="Arial"/>
        <w:noProof/>
        <w:sz w:val="20"/>
      </w:rPr>
      <w:t>24</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79" w:rsidRDefault="00795479" w:rsidP="005761C8">
      <w:r>
        <w:separator/>
      </w:r>
    </w:p>
  </w:footnote>
  <w:footnote w:type="continuationSeparator" w:id="0">
    <w:p w:rsidR="00795479" w:rsidRDefault="00795479"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52" w:rsidRPr="00243152" w:rsidRDefault="00243152" w:rsidP="00243152">
    <w:pPr>
      <w:jc w:val="both"/>
      <w:rPr>
        <w:rFonts w:ascii="Arial" w:hAnsi="Arial" w:cs="Arial"/>
        <w:bCs/>
        <w:sz w:val="18"/>
        <w:szCs w:val="16"/>
      </w:rPr>
    </w:pPr>
    <w:r w:rsidRPr="00243152">
      <w:rPr>
        <w:rFonts w:ascii="Arial" w:hAnsi="Arial" w:cs="Arial"/>
        <w:bCs/>
        <w:sz w:val="18"/>
        <w:szCs w:val="16"/>
      </w:rPr>
      <w:t>Radicación No: 66001-31-05-004-2017-00077-01</w:t>
    </w:r>
  </w:p>
  <w:p w:rsidR="005761C8" w:rsidRPr="00243152" w:rsidRDefault="00243152" w:rsidP="00243152">
    <w:pPr>
      <w:jc w:val="both"/>
      <w:rPr>
        <w:rFonts w:ascii="Arial" w:hAnsi="Arial" w:cs="Arial"/>
        <w:bCs/>
        <w:sz w:val="18"/>
        <w:szCs w:val="16"/>
      </w:rPr>
    </w:pPr>
    <w:r w:rsidRPr="00243152">
      <w:rPr>
        <w:rFonts w:ascii="Arial" w:hAnsi="Arial" w:cs="Arial"/>
        <w:bCs/>
        <w:sz w:val="18"/>
        <w:szCs w:val="16"/>
      </w:rPr>
      <w:t>Ronald Alan Perry vs. Colpensiones y Protección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125A56"/>
    <w:rsid w:val="00243152"/>
    <w:rsid w:val="002F4251"/>
    <w:rsid w:val="003C59A8"/>
    <w:rsid w:val="004642A4"/>
    <w:rsid w:val="004E7541"/>
    <w:rsid w:val="00520483"/>
    <w:rsid w:val="005761C8"/>
    <w:rsid w:val="005D17F4"/>
    <w:rsid w:val="00652C24"/>
    <w:rsid w:val="006826EA"/>
    <w:rsid w:val="006919CB"/>
    <w:rsid w:val="006F029D"/>
    <w:rsid w:val="00787A0F"/>
    <w:rsid w:val="00795479"/>
    <w:rsid w:val="008E722C"/>
    <w:rsid w:val="009050FA"/>
    <w:rsid w:val="00936DE9"/>
    <w:rsid w:val="009601B8"/>
    <w:rsid w:val="00B802DE"/>
    <w:rsid w:val="00BB4F78"/>
    <w:rsid w:val="00D066CF"/>
    <w:rsid w:val="00EE504B"/>
    <w:rsid w:val="00F25B3E"/>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a">
    <w:basedOn w:val="Normal"/>
    <w:next w:val="Puesto"/>
    <w:qFormat/>
    <w:rsid w:val="009601B8"/>
    <w:pPr>
      <w:widowControl w:val="0"/>
      <w:autoSpaceDE w:val="0"/>
      <w:autoSpaceDN w:val="0"/>
      <w:adjustRightInd w:val="0"/>
      <w:jc w:val="center"/>
    </w:pPr>
    <w:rPr>
      <w:rFonts w:ascii="Roman 12cpi" w:hAnsi="Roman 12cpi"/>
      <w:b/>
      <w:bCs/>
      <w:sz w:val="20"/>
      <w:szCs w:val="20"/>
    </w:rPr>
  </w:style>
  <w:style w:type="character" w:styleId="Hipervnculo">
    <w:name w:val="Hyperlink"/>
    <w:uiPriority w:val="99"/>
    <w:unhideWhenUsed/>
    <w:rsid w:val="009601B8"/>
    <w:rPr>
      <w:color w:val="0563C1"/>
      <w:u w:val="single"/>
    </w:rPr>
  </w:style>
  <w:style w:type="paragraph" w:styleId="Puesto">
    <w:name w:val="Title"/>
    <w:basedOn w:val="Normal"/>
    <w:next w:val="Normal"/>
    <w:link w:val="PuestoCar"/>
    <w:uiPriority w:val="10"/>
    <w:qFormat/>
    <w:rsid w:val="009601B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601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00_1993_pr00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retariasenado.gov.co/senado/basedoc/ley_1328_2009.html" TargetMode="External"/><Relationship Id="rId4" Type="http://schemas.openxmlformats.org/officeDocument/2006/relationships/webSettings" Target="webSettings.xml"/><Relationship Id="rId9" Type="http://schemas.openxmlformats.org/officeDocument/2006/relationships/hyperlink" Target="https://normativa.colpensiones.gov.co/colpens/docs/decreto_1833_2016_pr001.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12110</Words>
  <Characters>66611</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2019-01-28T19:18:00Z</dcterms:created>
  <dcterms:modified xsi:type="dcterms:W3CDTF">2019-02-07T15:14:00Z</dcterms:modified>
</cp:coreProperties>
</file>