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F57940" w:rsidRPr="00F57940" w:rsidRDefault="00F57940" w:rsidP="00F57940">
      <w:pPr>
        <w:jc w:val="both"/>
        <w:rPr>
          <w:rFonts w:ascii="Arial" w:hAnsi="Arial" w:cs="Arial"/>
          <w:sz w:val="20"/>
          <w:szCs w:val="20"/>
        </w:rPr>
      </w:pPr>
      <w:r w:rsidRPr="00F57940">
        <w:rPr>
          <w:rFonts w:ascii="Arial" w:hAnsi="Arial" w:cs="Arial"/>
          <w:sz w:val="20"/>
          <w:szCs w:val="20"/>
        </w:rPr>
        <w:t xml:space="preserve">Providencia: </w:t>
      </w:r>
      <w:r w:rsidRPr="00F57940">
        <w:rPr>
          <w:rFonts w:ascii="Arial" w:hAnsi="Arial" w:cs="Arial"/>
          <w:sz w:val="20"/>
          <w:szCs w:val="20"/>
        </w:rPr>
        <w:tab/>
      </w:r>
      <w:r w:rsidRPr="00F57940">
        <w:rPr>
          <w:rFonts w:ascii="Arial" w:hAnsi="Arial" w:cs="Arial"/>
          <w:sz w:val="20"/>
          <w:szCs w:val="20"/>
        </w:rPr>
        <w:tab/>
        <w:t>Sentencia de Segunda Instancia, 10 de diciembre de 2018</w:t>
      </w:r>
    </w:p>
    <w:p w:rsidR="00F57940" w:rsidRPr="00F57940" w:rsidRDefault="00F57940" w:rsidP="00F57940">
      <w:pPr>
        <w:jc w:val="both"/>
        <w:rPr>
          <w:rFonts w:ascii="Arial" w:hAnsi="Arial" w:cs="Arial"/>
          <w:sz w:val="20"/>
          <w:szCs w:val="20"/>
        </w:rPr>
      </w:pPr>
      <w:r w:rsidRPr="00F57940">
        <w:rPr>
          <w:rFonts w:ascii="Arial" w:hAnsi="Arial" w:cs="Arial"/>
          <w:sz w:val="20"/>
          <w:szCs w:val="20"/>
        </w:rPr>
        <w:t xml:space="preserve">Radicación No: </w:t>
      </w:r>
      <w:r w:rsidRPr="00F57940">
        <w:rPr>
          <w:rFonts w:ascii="Arial" w:hAnsi="Arial" w:cs="Arial"/>
          <w:sz w:val="20"/>
          <w:szCs w:val="20"/>
        </w:rPr>
        <w:tab/>
      </w:r>
      <w:r w:rsidRPr="00F57940">
        <w:rPr>
          <w:rFonts w:ascii="Arial" w:hAnsi="Arial" w:cs="Arial"/>
          <w:sz w:val="20"/>
          <w:szCs w:val="20"/>
        </w:rPr>
        <w:tab/>
        <w:t>66001-31-05-002-2017-00090-01</w:t>
      </w:r>
    </w:p>
    <w:p w:rsidR="00F57940" w:rsidRPr="00F57940" w:rsidRDefault="00F57940" w:rsidP="00F57940">
      <w:pPr>
        <w:jc w:val="both"/>
        <w:rPr>
          <w:rFonts w:ascii="Arial" w:hAnsi="Arial" w:cs="Arial"/>
          <w:sz w:val="20"/>
          <w:szCs w:val="20"/>
        </w:rPr>
      </w:pPr>
      <w:r w:rsidRPr="00F57940">
        <w:rPr>
          <w:rFonts w:ascii="Arial" w:hAnsi="Arial" w:cs="Arial"/>
          <w:sz w:val="20"/>
          <w:szCs w:val="20"/>
        </w:rPr>
        <w:t>Proceso:</w:t>
      </w:r>
      <w:r w:rsidRPr="00F57940">
        <w:rPr>
          <w:rFonts w:ascii="Arial" w:hAnsi="Arial" w:cs="Arial"/>
          <w:sz w:val="20"/>
          <w:szCs w:val="20"/>
        </w:rPr>
        <w:tab/>
      </w:r>
      <w:r w:rsidRPr="00F57940">
        <w:rPr>
          <w:rFonts w:ascii="Arial" w:hAnsi="Arial" w:cs="Arial"/>
          <w:sz w:val="20"/>
          <w:szCs w:val="20"/>
        </w:rPr>
        <w:tab/>
        <w:t>Ordinario Laboral</w:t>
      </w:r>
    </w:p>
    <w:p w:rsidR="00F57940" w:rsidRDefault="00F57940" w:rsidP="00F57940">
      <w:pPr>
        <w:jc w:val="both"/>
        <w:rPr>
          <w:rFonts w:ascii="Arial" w:hAnsi="Arial" w:cs="Arial"/>
          <w:sz w:val="20"/>
          <w:szCs w:val="20"/>
        </w:rPr>
      </w:pPr>
      <w:r w:rsidRPr="00F57940">
        <w:rPr>
          <w:rFonts w:ascii="Arial" w:hAnsi="Arial" w:cs="Arial"/>
          <w:sz w:val="20"/>
          <w:szCs w:val="20"/>
        </w:rPr>
        <w:t>Demandante:</w:t>
      </w:r>
      <w:r w:rsidRPr="00F57940">
        <w:rPr>
          <w:rFonts w:ascii="Arial" w:hAnsi="Arial" w:cs="Arial"/>
          <w:sz w:val="20"/>
          <w:szCs w:val="20"/>
        </w:rPr>
        <w:tab/>
      </w:r>
      <w:r w:rsidRPr="00F57940">
        <w:rPr>
          <w:rFonts w:ascii="Arial" w:hAnsi="Arial" w:cs="Arial"/>
          <w:sz w:val="20"/>
          <w:szCs w:val="20"/>
        </w:rPr>
        <w:tab/>
        <w:t xml:space="preserve">Victoria Eugenia Echeverry </w:t>
      </w:r>
      <w:proofErr w:type="spellStart"/>
      <w:r w:rsidRPr="00F57940">
        <w:rPr>
          <w:rFonts w:ascii="Arial" w:hAnsi="Arial" w:cs="Arial"/>
          <w:sz w:val="20"/>
          <w:szCs w:val="20"/>
        </w:rPr>
        <w:t>Sarrazola</w:t>
      </w:r>
      <w:proofErr w:type="spellEnd"/>
    </w:p>
    <w:p w:rsidR="00F57940" w:rsidRPr="00F57940" w:rsidRDefault="00F57940" w:rsidP="00F57940">
      <w:pPr>
        <w:jc w:val="both"/>
        <w:rPr>
          <w:rFonts w:ascii="Arial" w:hAnsi="Arial" w:cs="Arial"/>
          <w:sz w:val="20"/>
          <w:szCs w:val="20"/>
        </w:rPr>
      </w:pPr>
      <w:r w:rsidRPr="00F57940">
        <w:rPr>
          <w:rFonts w:ascii="Arial" w:hAnsi="Arial" w:cs="Arial"/>
          <w:sz w:val="20"/>
          <w:szCs w:val="20"/>
        </w:rPr>
        <w:t>Demandado:</w:t>
      </w:r>
      <w:r w:rsidRPr="00F57940">
        <w:rPr>
          <w:rFonts w:ascii="Arial" w:hAnsi="Arial" w:cs="Arial"/>
          <w:sz w:val="20"/>
          <w:szCs w:val="20"/>
        </w:rPr>
        <w:tab/>
      </w:r>
      <w:r w:rsidRPr="00F57940">
        <w:rPr>
          <w:rFonts w:ascii="Arial" w:hAnsi="Arial" w:cs="Arial"/>
          <w:sz w:val="20"/>
          <w:szCs w:val="20"/>
        </w:rPr>
        <w:tab/>
        <w:t>Colpensiones y Porvenir S.A.</w:t>
      </w:r>
    </w:p>
    <w:p w:rsidR="00F57940" w:rsidRPr="00F57940" w:rsidRDefault="00F57940" w:rsidP="00F57940">
      <w:pPr>
        <w:jc w:val="both"/>
        <w:rPr>
          <w:rFonts w:ascii="Arial" w:hAnsi="Arial" w:cs="Arial"/>
          <w:sz w:val="20"/>
          <w:szCs w:val="20"/>
        </w:rPr>
      </w:pPr>
      <w:r w:rsidRPr="00F57940">
        <w:rPr>
          <w:rFonts w:ascii="Arial" w:hAnsi="Arial" w:cs="Arial"/>
          <w:sz w:val="20"/>
          <w:szCs w:val="20"/>
        </w:rPr>
        <w:t>Juzgado de origen:</w:t>
      </w:r>
      <w:r w:rsidRPr="00F57940">
        <w:rPr>
          <w:rFonts w:ascii="Arial" w:hAnsi="Arial" w:cs="Arial"/>
          <w:sz w:val="20"/>
          <w:szCs w:val="20"/>
        </w:rPr>
        <w:tab/>
        <w:t>Segundo Laboral del Circuito de Pereira.</w:t>
      </w:r>
    </w:p>
    <w:p w:rsidR="00F57940" w:rsidRPr="00F57940" w:rsidRDefault="00F57940" w:rsidP="00F57940">
      <w:pPr>
        <w:jc w:val="both"/>
        <w:rPr>
          <w:rFonts w:ascii="Arial" w:hAnsi="Arial" w:cs="Arial"/>
          <w:sz w:val="20"/>
          <w:szCs w:val="20"/>
        </w:rPr>
      </w:pPr>
      <w:r w:rsidRPr="00F57940">
        <w:rPr>
          <w:rFonts w:ascii="Arial" w:hAnsi="Arial" w:cs="Arial"/>
          <w:sz w:val="20"/>
          <w:szCs w:val="20"/>
        </w:rPr>
        <w:t>Magistrado Ponente:</w:t>
      </w:r>
      <w:r w:rsidRPr="00F57940">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682282" w:rsidRDefault="008E722C" w:rsidP="00682282">
      <w:pPr>
        <w:autoSpaceDE w:val="0"/>
        <w:autoSpaceDN w:val="0"/>
        <w:adjustRightInd w:val="0"/>
        <w:jc w:val="both"/>
        <w:rPr>
          <w:rFonts w:ascii="Arial" w:hAnsi="Arial" w:cs="Arial"/>
          <w:b/>
          <w:bCs/>
          <w:sz w:val="20"/>
          <w:szCs w:val="18"/>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82282">
        <w:rPr>
          <w:rFonts w:ascii="Arial" w:hAnsi="Arial" w:cs="Arial"/>
          <w:b/>
          <w:bCs/>
          <w:sz w:val="20"/>
          <w:szCs w:val="18"/>
        </w:rPr>
        <w:t>TRASLADO DE RÉGIMEN PENSIONAL / INEFICACIA / DEBER DE INFORMACIÓN / REQUISITOS / CARGA PROBATORIA INCUMBE AL FONDO DE PENSIONES.</w:t>
      </w:r>
    </w:p>
    <w:p w:rsidR="00682282" w:rsidRDefault="00682282" w:rsidP="00682282">
      <w:pPr>
        <w:jc w:val="both"/>
        <w:rPr>
          <w:rFonts w:ascii="Arial" w:hAnsi="Arial" w:cs="Arial"/>
          <w:sz w:val="20"/>
        </w:rPr>
      </w:pPr>
    </w:p>
    <w:p w:rsidR="00682282" w:rsidRPr="001F2D4C" w:rsidRDefault="00682282" w:rsidP="00682282">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682282" w:rsidRPr="001F2D4C" w:rsidRDefault="00682282" w:rsidP="00682282">
      <w:pPr>
        <w:jc w:val="both"/>
        <w:rPr>
          <w:rFonts w:ascii="Arial" w:hAnsi="Arial" w:cs="Arial"/>
          <w:sz w:val="20"/>
        </w:rPr>
      </w:pPr>
    </w:p>
    <w:p w:rsidR="00682282" w:rsidRDefault="00682282" w:rsidP="00682282">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682282" w:rsidRPr="00BD34C2" w:rsidRDefault="00682282" w:rsidP="00682282">
      <w:pPr>
        <w:jc w:val="both"/>
        <w:rPr>
          <w:rFonts w:ascii="Arial" w:hAnsi="Arial" w:cs="Arial"/>
          <w:sz w:val="20"/>
        </w:rPr>
      </w:pPr>
    </w:p>
    <w:p w:rsidR="00682282" w:rsidRPr="001F2D4C" w:rsidRDefault="00682282" w:rsidP="00682282">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(Sublíneas fuera del texto)</w:t>
      </w:r>
    </w:p>
    <w:p w:rsidR="00682282" w:rsidRPr="00BD34C2" w:rsidRDefault="00682282" w:rsidP="00682282">
      <w:pPr>
        <w:jc w:val="both"/>
        <w:rPr>
          <w:rFonts w:ascii="Arial" w:hAnsi="Arial" w:cs="Arial"/>
          <w:sz w:val="20"/>
        </w:rPr>
      </w:pPr>
    </w:p>
    <w:p w:rsidR="00682282" w:rsidRPr="00BD34C2" w:rsidRDefault="00682282" w:rsidP="00682282">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682282" w:rsidRPr="00BD34C2" w:rsidRDefault="00682282" w:rsidP="00682282">
      <w:pPr>
        <w:jc w:val="both"/>
        <w:rPr>
          <w:rFonts w:ascii="Arial" w:hAnsi="Arial" w:cs="Arial"/>
          <w:sz w:val="20"/>
        </w:rPr>
      </w:pPr>
    </w:p>
    <w:p w:rsidR="00682282" w:rsidRPr="00BD34C2" w:rsidRDefault="00682282" w:rsidP="00682282">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682282" w:rsidRPr="00BD34C2" w:rsidRDefault="00682282" w:rsidP="00682282">
      <w:pPr>
        <w:jc w:val="both"/>
        <w:rPr>
          <w:rFonts w:ascii="Arial" w:hAnsi="Arial" w:cs="Arial"/>
          <w:sz w:val="20"/>
        </w:rPr>
      </w:pPr>
    </w:p>
    <w:p w:rsidR="00682282" w:rsidRPr="00BD34C2" w:rsidRDefault="00682282" w:rsidP="00682282">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682282" w:rsidRDefault="00682282" w:rsidP="00682282">
      <w:pPr>
        <w:jc w:val="both"/>
        <w:rPr>
          <w:rFonts w:ascii="Arial" w:hAnsi="Arial" w:cs="Arial"/>
          <w:sz w:val="20"/>
          <w:lang w:val="es-CO"/>
        </w:rPr>
      </w:pPr>
    </w:p>
    <w:p w:rsidR="00682282" w:rsidRPr="007E7095" w:rsidRDefault="00682282" w:rsidP="00682282">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682282" w:rsidRDefault="00682282" w:rsidP="00682282">
      <w:pPr>
        <w:jc w:val="both"/>
        <w:rPr>
          <w:rFonts w:ascii="Arial" w:hAnsi="Arial" w:cs="Arial"/>
          <w:sz w:val="20"/>
        </w:rPr>
      </w:pPr>
    </w:p>
    <w:p w:rsidR="00682282" w:rsidRPr="00976F74" w:rsidRDefault="00682282" w:rsidP="00682282">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682282" w:rsidRDefault="00682282" w:rsidP="00682282">
      <w:pPr>
        <w:jc w:val="both"/>
        <w:rPr>
          <w:rFonts w:ascii="Arial" w:hAnsi="Arial" w:cs="Arial"/>
          <w:sz w:val="20"/>
        </w:rPr>
      </w:pPr>
    </w:p>
    <w:p w:rsidR="00682282" w:rsidRPr="00682282" w:rsidRDefault="00682282" w:rsidP="00682282">
      <w:pPr>
        <w:jc w:val="both"/>
        <w:rPr>
          <w:rFonts w:ascii="Arial" w:hAnsi="Arial" w:cs="Arial"/>
          <w:sz w:val="20"/>
        </w:rPr>
      </w:pPr>
      <w:r w:rsidRPr="00682282">
        <w:rPr>
          <w:rFonts w:ascii="Arial" w:hAnsi="Arial" w:cs="Arial"/>
          <w:sz w:val="20"/>
        </w:rPr>
        <w:t>En ese orden de ideas, más allá de la afirmación de que la demandante no recibió la información suficiente que le advirtiera sobre las implicaciones que traía trasladarse del RPM al RAIS, la verdad es que no quedó demostrado que a la señora Victoria Eugenia se le haya brindado información contraria a lo dispuesto en los artículos 59 y siguientes de la Ley 100 de 1993 que pudiera llevar a concluir que lo manifestado por la AFP Invertir (hoy Porvenir S.A.) no obedecía a lo establecido en la Ley, pues, ninguna de las declarantes pudieron dar cuenta de ello, ante su falta de conocimiento directo; siendo del caso señalar, que por el contrario, lo que quedó acreditado en el proceso con lo confesado por la actora, es que con base en la información suministrada por la AFP y teniendo en cuenta sus condiciones particulares de vida, determinó que el régimen pensional que más se ajustaba a sus necesidades era el previsto en el RAIS, dado que podía pensionarse anticipadamente y eventualmente, tenía la posibilidad de heredarle a sus hijos o familiares, el capital acumulado en la cuenta de ahorro individual.</w:t>
      </w:r>
    </w:p>
    <w:p w:rsidR="00682282" w:rsidRPr="00682282" w:rsidRDefault="00682282" w:rsidP="00682282">
      <w:pPr>
        <w:jc w:val="both"/>
        <w:rPr>
          <w:rFonts w:ascii="Arial" w:hAnsi="Arial" w:cs="Arial"/>
          <w:sz w:val="20"/>
        </w:rPr>
      </w:pPr>
    </w:p>
    <w:p w:rsidR="00682282" w:rsidRPr="00682282" w:rsidRDefault="00682282" w:rsidP="00682282">
      <w:pPr>
        <w:jc w:val="both"/>
        <w:rPr>
          <w:rFonts w:ascii="Arial" w:hAnsi="Arial" w:cs="Arial"/>
          <w:sz w:val="20"/>
        </w:rPr>
      </w:pPr>
      <w:r w:rsidRPr="00682282">
        <w:rPr>
          <w:rFonts w:ascii="Arial" w:hAnsi="Arial" w:cs="Arial"/>
          <w:sz w:val="20"/>
        </w:rPr>
        <w:lastRenderedPageBreak/>
        <w:t xml:space="preserve">Finalmente, 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Echeverry </w:t>
      </w:r>
      <w:proofErr w:type="spellStart"/>
      <w:r w:rsidRPr="00682282">
        <w:rPr>
          <w:rFonts w:ascii="Arial" w:hAnsi="Arial" w:cs="Arial"/>
          <w:sz w:val="20"/>
        </w:rPr>
        <w:t>Sarrazola</w:t>
      </w:r>
      <w:proofErr w:type="spellEnd"/>
      <w:r w:rsidRPr="00682282">
        <w:rPr>
          <w:rFonts w:ascii="Arial" w:hAnsi="Arial" w:cs="Arial"/>
          <w:sz w:val="20"/>
        </w:rPr>
        <w:t>, al contrario, después del 7 de febrero de 1996, cuando realizó la selección del régimen de ahorro individual con solidaridad, decidió mantenerse afiliada a ese régimen pensional, tal como se evidencia de los formularios por ella firmados en Colpatria y Horizonte Pensiones y Cesantías –</w:t>
      </w:r>
      <w:proofErr w:type="spellStart"/>
      <w:r w:rsidRPr="00682282">
        <w:rPr>
          <w:rFonts w:ascii="Arial" w:hAnsi="Arial" w:cs="Arial"/>
          <w:sz w:val="20"/>
        </w:rPr>
        <w:t>fls</w:t>
      </w:r>
      <w:proofErr w:type="spellEnd"/>
      <w:r w:rsidRPr="00682282">
        <w:rPr>
          <w:rFonts w:ascii="Arial" w:hAnsi="Arial" w:cs="Arial"/>
          <w:sz w:val="20"/>
        </w:rPr>
        <w:t>. 101 y 102-.</w:t>
      </w:r>
    </w:p>
    <w:p w:rsidR="00682282" w:rsidRPr="00682282" w:rsidRDefault="00682282" w:rsidP="00682282">
      <w:pPr>
        <w:jc w:val="both"/>
        <w:rPr>
          <w:rFonts w:ascii="Arial" w:hAnsi="Arial" w:cs="Arial"/>
          <w:sz w:val="20"/>
        </w:rPr>
      </w:pPr>
    </w:p>
    <w:p w:rsidR="00682282" w:rsidRPr="00682282" w:rsidRDefault="00682282" w:rsidP="00682282">
      <w:pPr>
        <w:jc w:val="both"/>
        <w:rPr>
          <w:rFonts w:ascii="Arial" w:hAnsi="Arial" w:cs="Arial"/>
          <w:sz w:val="20"/>
        </w:rPr>
      </w:pPr>
      <w:r w:rsidRPr="00682282">
        <w:rPr>
          <w:rFonts w:ascii="Arial" w:hAnsi="Arial" w:cs="Arial"/>
          <w:sz w:val="20"/>
        </w:rPr>
        <w:t>Así las cosas, al no pertenecer al régimen de transición, no haber pedido la nulidad del acto dentro de los 4 años siguientes al mismo y al no quedar acreditado que el traslado efectuado por la actora ocurrió por un engaño en el que la hizo incurrir la AFP o su empleador, como se quiso hacer ver de las declaraciones de sus testigos y su interrogatorio de parte, necesario resulta concluir que el mismo no resulta nulo ni mucho menos ineficaz, motivo por el que se confirmará la sentencia proferida por el Juzgado Primero Laboral del Circuito el 7 de febrero de 2018.</w:t>
      </w:r>
    </w:p>
    <w:p w:rsidR="005761C8" w:rsidRPr="00682282" w:rsidRDefault="005761C8" w:rsidP="00682282">
      <w:pPr>
        <w:jc w:val="both"/>
        <w:rPr>
          <w:rFonts w:ascii="Arial" w:hAnsi="Arial" w:cs="Arial"/>
          <w:sz w:val="20"/>
        </w:rPr>
      </w:pPr>
    </w:p>
    <w:p w:rsidR="009050FA" w:rsidRPr="00682282" w:rsidRDefault="009050FA" w:rsidP="009050FA">
      <w:pPr>
        <w:jc w:val="both"/>
        <w:rPr>
          <w:rFonts w:ascii="Arial" w:hAnsi="Arial" w:cs="Arial"/>
          <w:sz w:val="20"/>
        </w:rPr>
      </w:pPr>
    </w:p>
    <w:p w:rsidR="009050FA" w:rsidRPr="009050FA" w:rsidRDefault="009050FA" w:rsidP="009050FA">
      <w:pPr>
        <w:jc w:val="both"/>
        <w:rPr>
          <w:rFonts w:ascii="Arial" w:hAnsi="Arial" w:cs="Arial"/>
          <w:sz w:val="20"/>
          <w:szCs w:val="20"/>
        </w:rPr>
      </w:pPr>
    </w:p>
    <w:p w:rsidR="00F57940" w:rsidRPr="00C33D74" w:rsidRDefault="00F57940" w:rsidP="00F57940">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F57940" w:rsidRPr="00C33D74" w:rsidRDefault="00F57940" w:rsidP="00F57940">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4DE7996D" wp14:editId="48F5D765">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F57940" w:rsidRPr="00C33D74" w:rsidRDefault="00F57940" w:rsidP="00F57940">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F57940" w:rsidRPr="00F57940" w:rsidRDefault="00F57940" w:rsidP="00F57940">
      <w:pPr>
        <w:autoSpaceDE w:val="0"/>
        <w:autoSpaceDN w:val="0"/>
        <w:adjustRightInd w:val="0"/>
        <w:spacing w:line="288" w:lineRule="auto"/>
        <w:ind w:left="2127" w:hanging="2127"/>
        <w:jc w:val="both"/>
        <w:rPr>
          <w:rFonts w:ascii="Arial Narrow" w:hAnsi="Arial Narrow"/>
          <w:sz w:val="26"/>
          <w:szCs w:val="26"/>
        </w:rPr>
      </w:pPr>
    </w:p>
    <w:p w:rsidR="009938A6" w:rsidRPr="00F57940" w:rsidRDefault="009938A6" w:rsidP="00F57940">
      <w:pPr>
        <w:autoSpaceDE w:val="0"/>
        <w:autoSpaceDN w:val="0"/>
        <w:adjustRightInd w:val="0"/>
        <w:spacing w:line="288" w:lineRule="auto"/>
        <w:ind w:left="2127" w:hanging="2127"/>
        <w:jc w:val="both"/>
        <w:rPr>
          <w:rFonts w:ascii="Arial Narrow" w:hAnsi="Arial Narrow"/>
          <w:sz w:val="26"/>
          <w:szCs w:val="26"/>
        </w:rPr>
      </w:pPr>
      <w:r w:rsidRPr="00F57940">
        <w:rPr>
          <w:rFonts w:ascii="Arial Narrow" w:hAnsi="Arial Narrow"/>
          <w:sz w:val="26"/>
          <w:szCs w:val="26"/>
        </w:rPr>
        <w:t xml:space="preserve">    </w:t>
      </w:r>
    </w:p>
    <w:p w:rsidR="009938A6" w:rsidRPr="00F57940" w:rsidRDefault="009938A6" w:rsidP="00F57940">
      <w:pPr>
        <w:spacing w:line="288" w:lineRule="auto"/>
        <w:ind w:firstLine="840"/>
        <w:rPr>
          <w:rFonts w:ascii="Arial Narrow" w:hAnsi="Arial Narrow" w:cs="Arial"/>
          <w:b/>
          <w:sz w:val="26"/>
          <w:szCs w:val="26"/>
        </w:rPr>
      </w:pPr>
      <w:r w:rsidRPr="00F57940">
        <w:rPr>
          <w:rFonts w:ascii="Arial Narrow" w:hAnsi="Arial Narrow" w:cs="Arial"/>
          <w:b/>
          <w:sz w:val="26"/>
          <w:szCs w:val="26"/>
          <w:u w:val="single"/>
        </w:rPr>
        <w:t>AUDIENCIA PÚBLICA</w:t>
      </w:r>
      <w:r w:rsidRPr="00F57940">
        <w:rPr>
          <w:rFonts w:ascii="Arial Narrow" w:hAnsi="Arial Narrow" w:cs="Arial"/>
          <w:b/>
          <w:sz w:val="26"/>
          <w:szCs w:val="26"/>
        </w:rPr>
        <w:t xml:space="preserve">: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851"/>
        <w:jc w:val="both"/>
        <w:rPr>
          <w:rFonts w:ascii="Arial Narrow" w:hAnsi="Arial Narrow" w:cs="Arial"/>
          <w:bCs/>
          <w:iCs/>
          <w:sz w:val="26"/>
          <w:szCs w:val="26"/>
        </w:rPr>
      </w:pPr>
      <w:r w:rsidRPr="00F57940">
        <w:rPr>
          <w:rFonts w:ascii="Arial Narrow" w:eastAsia="Calibri" w:hAnsi="Arial Narrow" w:cs="Arial"/>
          <w:sz w:val="26"/>
          <w:szCs w:val="26"/>
          <w:lang w:val="es-CO" w:eastAsia="en-US"/>
        </w:rPr>
        <w:t xml:space="preserve">En Pereira, a los diez (10) días del mes de diciembre de dos mil dieciocho (2018), siendo las ocho y cincuenta y cinco (8:55 a.m.), </w:t>
      </w:r>
      <w:r w:rsidRPr="00F57940">
        <w:rPr>
          <w:rFonts w:ascii="Arial Narrow" w:hAnsi="Arial Narrow" w:cs="Tahoma"/>
          <w:bCs/>
          <w:sz w:val="26"/>
          <w:szCs w:val="26"/>
          <w:lang w:eastAsia="es-CO"/>
        </w:rPr>
        <w:t xml:space="preserve">reunidos en la </w:t>
      </w:r>
      <w:r w:rsidRPr="00F57940">
        <w:rPr>
          <w:rFonts w:ascii="Arial Narrow" w:hAnsi="Arial Narrow" w:cs="Tahoma"/>
          <w:bCs/>
          <w:color w:val="000000"/>
          <w:sz w:val="26"/>
          <w:szCs w:val="26"/>
          <w:lang w:eastAsia="es-CO"/>
        </w:rPr>
        <w:t>Sala de Audiencia la magistrada y los magistrados de la Sala Tercera de Decisión Laboral del Tribunal Superior de Pereira, el ponente declara abierto el acto, que tiene por objeto resolver el recurso de apelación interpuesto por la parte actora contra la sentencia proferida el 7 de febrero de 2018 p</w:t>
      </w:r>
      <w:r w:rsidRPr="00F57940">
        <w:rPr>
          <w:rFonts w:ascii="Arial Narrow" w:hAnsi="Arial Narrow" w:cs="Arial"/>
          <w:sz w:val="26"/>
          <w:szCs w:val="26"/>
        </w:rPr>
        <w:t xml:space="preserve">or el Juzgado Segundo Laboral del Circuito de Pereira, dentro del proceso ordinario laboral promovido por </w:t>
      </w:r>
      <w:r w:rsidRPr="00F57940">
        <w:rPr>
          <w:rFonts w:ascii="Arial Narrow" w:hAnsi="Arial Narrow" w:cs="Arial"/>
          <w:b/>
          <w:sz w:val="26"/>
          <w:szCs w:val="26"/>
        </w:rPr>
        <w:t xml:space="preserve">Victoria Eugenia Echeverry </w:t>
      </w:r>
      <w:proofErr w:type="spellStart"/>
      <w:r w:rsidRPr="00F57940">
        <w:rPr>
          <w:rFonts w:ascii="Arial Narrow" w:hAnsi="Arial Narrow" w:cs="Arial"/>
          <w:b/>
          <w:sz w:val="26"/>
          <w:szCs w:val="26"/>
        </w:rPr>
        <w:t>Sarrazola</w:t>
      </w:r>
      <w:proofErr w:type="spellEnd"/>
      <w:r w:rsidRPr="00F57940">
        <w:rPr>
          <w:rFonts w:ascii="Arial Narrow" w:hAnsi="Arial Narrow" w:cs="Arial"/>
          <w:b/>
          <w:sz w:val="26"/>
          <w:szCs w:val="26"/>
        </w:rPr>
        <w:t xml:space="preserve"> </w:t>
      </w:r>
      <w:r w:rsidRPr="00F57940">
        <w:rPr>
          <w:rFonts w:ascii="Arial Narrow" w:hAnsi="Arial Narrow" w:cs="Arial"/>
          <w:sz w:val="26"/>
          <w:szCs w:val="26"/>
        </w:rPr>
        <w:t xml:space="preserve">contra la </w:t>
      </w:r>
      <w:r w:rsidRPr="00F57940">
        <w:rPr>
          <w:rFonts w:ascii="Arial Narrow" w:hAnsi="Arial Narrow" w:cs="Arial"/>
          <w:b/>
          <w:sz w:val="26"/>
          <w:szCs w:val="26"/>
        </w:rPr>
        <w:t xml:space="preserve">Administradora Colombiana de Pensiones </w:t>
      </w:r>
      <w:r w:rsidRPr="00F57940">
        <w:rPr>
          <w:rFonts w:ascii="Arial Narrow" w:hAnsi="Arial Narrow" w:cs="Arial"/>
          <w:b/>
          <w:bCs/>
          <w:sz w:val="26"/>
          <w:szCs w:val="26"/>
        </w:rPr>
        <w:t xml:space="preserve">Colpensiones y Porvenir S.A.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hd w:val="clear" w:color="auto" w:fill="FFFFFF"/>
        <w:spacing w:line="288" w:lineRule="auto"/>
        <w:ind w:firstLine="708"/>
        <w:jc w:val="both"/>
        <w:rPr>
          <w:rFonts w:ascii="Arial Narrow" w:hAnsi="Arial Narrow" w:cs="Tahoma"/>
          <w:b/>
          <w:bCs/>
          <w:color w:val="000000"/>
          <w:sz w:val="26"/>
          <w:szCs w:val="26"/>
          <w:lang w:eastAsia="es-CO"/>
        </w:rPr>
      </w:pPr>
      <w:r w:rsidRPr="00F57940">
        <w:rPr>
          <w:rFonts w:ascii="Arial Narrow" w:hAnsi="Arial Narrow" w:cs="Tahoma"/>
          <w:b/>
          <w:bCs/>
          <w:color w:val="000000"/>
          <w:sz w:val="26"/>
          <w:szCs w:val="26"/>
          <w:lang w:eastAsia="es-CO"/>
        </w:rPr>
        <w:t>IDENTIFICACIÓN DE LOS PRESENTES: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F57940">
        <w:rPr>
          <w:rFonts w:ascii="Arial Narrow" w:hAnsi="Arial Narrow" w:cs="Tahoma"/>
          <w:b/>
          <w:bCs/>
          <w:color w:val="000000"/>
          <w:sz w:val="26"/>
          <w:szCs w:val="26"/>
          <w:lang w:eastAsia="es-CO"/>
        </w:rPr>
        <w:t>INTRODUCCIÓN</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8"/>
        <w:jc w:val="both"/>
        <w:rPr>
          <w:rFonts w:ascii="Arial Narrow" w:hAnsi="Arial Narrow" w:cs="Arial"/>
          <w:sz w:val="26"/>
          <w:szCs w:val="26"/>
        </w:rPr>
      </w:pPr>
      <w:r w:rsidRPr="00F57940">
        <w:rPr>
          <w:rFonts w:ascii="Arial Narrow" w:hAnsi="Arial Narrow" w:cs="Arial"/>
          <w:sz w:val="26"/>
          <w:szCs w:val="26"/>
        </w:rPr>
        <w:t>Pretende la demandante que se declare la nulidad o ineficacia del traslado al régimen de ahorro individual con solidaridad efectuado a través de la AFP Invertir Futuro Pensiones S.A. y con base en ello aspira que se ordene a la sociedad Porvenir, actual Administradora de Pensiones, trasladar a favor de la Administradora Colombiana de Pensiones Colpensiones, el monto que se encuentre en la cuenta de ahorro individual,  y se condene en costas procesales a su favor.</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8"/>
        <w:jc w:val="both"/>
        <w:rPr>
          <w:rFonts w:ascii="Arial Narrow" w:hAnsi="Arial Narrow" w:cs="Arial"/>
          <w:sz w:val="26"/>
          <w:szCs w:val="26"/>
        </w:rPr>
      </w:pPr>
      <w:r w:rsidRPr="00F57940">
        <w:rPr>
          <w:rFonts w:ascii="Arial Narrow" w:hAnsi="Arial Narrow" w:cs="Arial"/>
          <w:sz w:val="26"/>
          <w:szCs w:val="26"/>
        </w:rPr>
        <w:lastRenderedPageBreak/>
        <w:t xml:space="preserve">Como fundamento a sus pedimentos, expone que nació el 16 de mayo de 1961; que el 1º de noviembre de 1990 se vinculó al régimen de prima media con prestación definida, administrado actualmente por Colpensiones; que el 7 de febrero de 1996 suscribió formulario de afiliación a la AFP Invertir Futuro Pensiones, con el convencimiento de que la información suministrada era veraz; que se le informó que podría obtener una pensión anticipada e incluso superior a la que obtendría en el régimen de prima media, y además con derecho a excedentes de libre disposición; que sin embargo, la información resultó falsa y lesiva para sus intereses, puesto que según proyección pensional efectuada el 23 de septiembre de 2016 su mesada pensional a los 60 años de edad ascendería a la suma de $689.455, en cambio, de haber permanecido en el régimen de prima media con prestación definida, al momento en que cumpla las 1300 semanas exigidas, obtendría una mesada pensional de $1.129.567,93.s; que el 29 de noviembre de 2016 le comunicó a la AFP Porvenir S.A., su interés de trasladarse al régimen de prima media con prestación definida, sin embargo, a través de comunicación de 5 de diciembre de esa anualidad, la entidad le informó que no era procedente; que con ese mismo fundamento, el 30 de noviembre de 2016 solicitó a la Administradora Colombiana de Pensiones Colpensiones el traslado de régimen, pero, en la misma fecha la entidad rechazó su petición porque la actora se encontraba a menos de diez años para adquirir el derecho a la pensión de vejez.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8"/>
        <w:jc w:val="both"/>
        <w:rPr>
          <w:rFonts w:ascii="Arial Narrow" w:hAnsi="Arial Narrow" w:cs="Arial"/>
          <w:sz w:val="26"/>
          <w:szCs w:val="26"/>
        </w:rPr>
      </w:pPr>
      <w:r w:rsidRPr="00F57940">
        <w:rPr>
          <w:rFonts w:ascii="Arial Narrow" w:hAnsi="Arial Narrow" w:cs="Tahoma"/>
          <w:sz w:val="26"/>
          <w:szCs w:val="26"/>
        </w:rPr>
        <w:t xml:space="preserve">En su oportuna contestación, Porvenir </w:t>
      </w:r>
      <w:proofErr w:type="spellStart"/>
      <w:r w:rsidRPr="00F57940">
        <w:rPr>
          <w:rFonts w:ascii="Arial Narrow" w:hAnsi="Arial Narrow" w:cs="Tahoma"/>
          <w:sz w:val="26"/>
          <w:szCs w:val="26"/>
        </w:rPr>
        <w:t>S.A</w:t>
      </w:r>
      <w:proofErr w:type="spellEnd"/>
      <w:r w:rsidRPr="00F57940">
        <w:rPr>
          <w:rFonts w:ascii="Arial Narrow" w:hAnsi="Arial Narrow" w:cs="Tahoma"/>
          <w:sz w:val="26"/>
          <w:szCs w:val="26"/>
        </w:rPr>
        <w:t xml:space="preserve"> se opuso a las pretensiones y formuló las </w:t>
      </w:r>
      <w:r w:rsidRPr="00F57940">
        <w:rPr>
          <w:rFonts w:ascii="Arial Narrow" w:hAnsi="Arial Narrow" w:cs="Arial"/>
          <w:sz w:val="26"/>
          <w:szCs w:val="26"/>
        </w:rPr>
        <w:t xml:space="preserve">excepciones de fondo de “Validez de la afiliación a Invertir e inexistencia de vicios en el consentimiento”, “Caducidad de la acción”, “Prescripción” y “Buena fe”, fls.85 y ss.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8"/>
        <w:jc w:val="both"/>
        <w:rPr>
          <w:rFonts w:ascii="Arial Narrow" w:hAnsi="Arial Narrow" w:cs="Arial"/>
          <w:sz w:val="26"/>
          <w:szCs w:val="26"/>
        </w:rPr>
      </w:pPr>
      <w:r w:rsidRPr="00F57940">
        <w:rPr>
          <w:rFonts w:ascii="Arial Narrow" w:hAnsi="Arial Narrow" w:cs="Tahoma"/>
          <w:sz w:val="26"/>
          <w:szCs w:val="26"/>
        </w:rPr>
        <w:t xml:space="preserve">Colpensiones, por su parte, se opuso igualmente y excepcionó </w:t>
      </w:r>
      <w:r w:rsidRPr="00F57940">
        <w:rPr>
          <w:rFonts w:ascii="Arial Narrow" w:hAnsi="Arial Narrow" w:cs="Arial"/>
          <w:sz w:val="26"/>
          <w:szCs w:val="26"/>
        </w:rPr>
        <w:t xml:space="preserve">“Inexistencia de la obligación”, “Buena fe”, “Imposibilidad jurídica para cumplir con las obligaciones pretendidas” y “Prescripción”, ver fls.169 y ss.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8"/>
        <w:jc w:val="both"/>
        <w:rPr>
          <w:rFonts w:ascii="Arial Narrow" w:hAnsi="Arial Narrow" w:cs="Arial"/>
          <w:sz w:val="26"/>
          <w:szCs w:val="26"/>
        </w:rPr>
      </w:pPr>
      <w:r w:rsidRPr="00F57940">
        <w:rPr>
          <w:rFonts w:ascii="Arial Narrow" w:hAnsi="Arial Narrow" w:cs="Tahoma"/>
          <w:sz w:val="26"/>
          <w:szCs w:val="26"/>
        </w:rPr>
        <w:t xml:space="preserve">La jueza del conocimiento, en sentencia del 7 de febrero de 2018, </w:t>
      </w:r>
      <w:r w:rsidRPr="00F57940">
        <w:rPr>
          <w:rFonts w:ascii="Arial Narrow" w:hAnsi="Arial Narrow" w:cs="Arial"/>
          <w:sz w:val="26"/>
          <w:szCs w:val="26"/>
        </w:rPr>
        <w:t>absolvió a las entidades accionadas de las pretensiones de la demanda, tras considerar la validez del traslado de régimen pensional efectuado por la actora al RAIS.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8"/>
        <w:jc w:val="both"/>
        <w:rPr>
          <w:rFonts w:ascii="Arial Narrow" w:hAnsi="Arial Narrow" w:cs="Arial"/>
          <w:sz w:val="26"/>
          <w:szCs w:val="26"/>
        </w:rPr>
      </w:pPr>
      <w:r w:rsidRPr="00F57940">
        <w:rPr>
          <w:rFonts w:ascii="Arial Narrow" w:hAnsi="Arial Narrow" w:cs="Tahoma"/>
          <w:sz w:val="26"/>
          <w:szCs w:val="26"/>
        </w:rPr>
        <w:t xml:space="preserve">Inconforme, </w:t>
      </w:r>
      <w:r w:rsidRPr="00F57940">
        <w:rPr>
          <w:rFonts w:ascii="Arial Narrow" w:hAnsi="Arial Narrow" w:cs="Arial"/>
          <w:sz w:val="26"/>
          <w:szCs w:val="26"/>
        </w:rPr>
        <w:t>el vocero de la parte actora se alzó contra la decisión en orden a que se revoque  y se acceda a las pretensiones, para lo cual enfiló su recurso en la existencia de un vicio en el consentimiento  y la falta al deber de información.</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uppressAutoHyphens/>
        <w:spacing w:line="288" w:lineRule="auto"/>
        <w:ind w:firstLine="708"/>
        <w:jc w:val="both"/>
        <w:rPr>
          <w:rFonts w:ascii="Arial Narrow" w:hAnsi="Arial Narrow" w:cs="Arial"/>
          <w:spacing w:val="-2"/>
          <w:sz w:val="26"/>
          <w:szCs w:val="26"/>
        </w:rPr>
      </w:pPr>
      <w:r w:rsidRPr="00F57940">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hd w:val="clear" w:color="auto" w:fill="FFFFFF"/>
        <w:tabs>
          <w:tab w:val="left" w:pos="5197"/>
        </w:tabs>
        <w:spacing w:line="288" w:lineRule="auto"/>
        <w:ind w:firstLine="851"/>
        <w:jc w:val="both"/>
        <w:rPr>
          <w:rFonts w:ascii="Arial Narrow" w:hAnsi="Arial Narrow" w:cs="Tahoma"/>
          <w:b/>
          <w:i/>
          <w:sz w:val="26"/>
          <w:szCs w:val="26"/>
        </w:rPr>
      </w:pPr>
      <w:r w:rsidRPr="00F57940">
        <w:rPr>
          <w:rFonts w:ascii="Arial Narrow" w:hAnsi="Arial Narrow" w:cs="Tahoma"/>
          <w:b/>
          <w:i/>
          <w:sz w:val="26"/>
          <w:szCs w:val="26"/>
        </w:rPr>
        <w:t>Del problema jurídico.</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F57940">
        <w:rPr>
          <w:rFonts w:ascii="Arial Narrow" w:hAnsi="Arial Narrow" w:cs="Tahoma"/>
          <w:color w:val="000000"/>
          <w:sz w:val="26"/>
          <w:szCs w:val="26"/>
          <w:lang w:eastAsia="es-CO"/>
        </w:rPr>
        <w:t>Visto el recuento anterior, la Sala formula el problema jurídico en los siguientes términos:</w:t>
      </w:r>
    </w:p>
    <w:p w:rsidR="009938A6" w:rsidRPr="00F57940" w:rsidRDefault="009938A6" w:rsidP="00F57940">
      <w:pPr>
        <w:pStyle w:val="Sinespaciado"/>
        <w:spacing w:line="288" w:lineRule="auto"/>
        <w:rPr>
          <w:rFonts w:ascii="Arial Narrow" w:hAnsi="Arial Narrow"/>
          <w:sz w:val="26"/>
          <w:szCs w:val="26"/>
          <w:lang w:eastAsia="es-CO"/>
        </w:rPr>
      </w:pPr>
    </w:p>
    <w:p w:rsidR="009938A6" w:rsidRPr="00F57940" w:rsidRDefault="009938A6" w:rsidP="00F57940">
      <w:pPr>
        <w:spacing w:line="288" w:lineRule="auto"/>
        <w:ind w:firstLine="900"/>
        <w:jc w:val="both"/>
        <w:rPr>
          <w:rFonts w:ascii="Arial Narrow" w:hAnsi="Arial Narrow" w:cs="Tahoma"/>
          <w:i/>
          <w:sz w:val="26"/>
          <w:szCs w:val="26"/>
        </w:rPr>
      </w:pPr>
      <w:r w:rsidRPr="00F57940">
        <w:rPr>
          <w:rFonts w:ascii="Arial Narrow" w:hAnsi="Arial Narrow" w:cs="Tahoma"/>
          <w:i/>
          <w:sz w:val="26"/>
          <w:szCs w:val="26"/>
        </w:rPr>
        <w:t>¿Hay lugar a declarar la ineficacia del traslado de régimen pensional que efectuó la actora el 7 de febrero de 1996 a la AFP Invertir Futuro Pensiones hoy  Porvenir SA?</w:t>
      </w:r>
    </w:p>
    <w:p w:rsidR="009938A6" w:rsidRPr="00F57940" w:rsidRDefault="009938A6" w:rsidP="00F57940">
      <w:pPr>
        <w:spacing w:line="288" w:lineRule="auto"/>
        <w:ind w:firstLine="900"/>
        <w:jc w:val="both"/>
        <w:rPr>
          <w:rFonts w:ascii="Arial Narrow" w:hAnsi="Arial Narrow" w:cs="Tahoma"/>
          <w:i/>
          <w:sz w:val="26"/>
          <w:szCs w:val="26"/>
        </w:rPr>
      </w:pPr>
    </w:p>
    <w:p w:rsidR="009938A6" w:rsidRPr="00F57940" w:rsidRDefault="009938A6" w:rsidP="00F57940">
      <w:pPr>
        <w:tabs>
          <w:tab w:val="left" w:pos="0"/>
          <w:tab w:val="left" w:pos="8647"/>
        </w:tabs>
        <w:suppressAutoHyphens/>
        <w:spacing w:line="288" w:lineRule="auto"/>
        <w:ind w:firstLine="900"/>
        <w:jc w:val="both"/>
        <w:rPr>
          <w:rFonts w:ascii="Arial Narrow" w:hAnsi="Arial Narrow" w:cs="Tahoma"/>
          <w:sz w:val="26"/>
          <w:szCs w:val="26"/>
        </w:rPr>
      </w:pPr>
      <w:r w:rsidRPr="00F57940">
        <w:rPr>
          <w:rFonts w:ascii="Arial Narrow" w:hAnsi="Arial Narrow" w:cs="Tahoma"/>
          <w:b/>
          <w:i/>
          <w:sz w:val="26"/>
          <w:szCs w:val="26"/>
        </w:rPr>
        <w:t>Alegatos en esta instancia</w:t>
      </w:r>
      <w:r w:rsidRPr="00F57940">
        <w:rPr>
          <w:rFonts w:ascii="Arial Narrow" w:hAnsi="Arial Narrow" w:cs="Tahoma"/>
          <w:sz w:val="26"/>
          <w:szCs w:val="26"/>
        </w:rPr>
        <w:t>:</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851"/>
        <w:jc w:val="both"/>
        <w:rPr>
          <w:rFonts w:ascii="Arial Narrow" w:hAnsi="Arial Narrow" w:cs="Tahoma"/>
          <w:sz w:val="26"/>
          <w:szCs w:val="26"/>
        </w:rPr>
      </w:pPr>
      <w:r w:rsidRPr="00F57940">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9938A6" w:rsidRPr="00F57940" w:rsidRDefault="009938A6" w:rsidP="00F57940">
      <w:pPr>
        <w:spacing w:line="288" w:lineRule="auto"/>
        <w:ind w:firstLine="851"/>
        <w:jc w:val="both"/>
        <w:rPr>
          <w:rFonts w:ascii="Arial Narrow" w:hAnsi="Arial Narrow" w:cs="Tahoma"/>
          <w:sz w:val="26"/>
          <w:szCs w:val="26"/>
        </w:rPr>
      </w:pPr>
    </w:p>
    <w:p w:rsidR="009938A6" w:rsidRPr="00F57940" w:rsidRDefault="009938A6" w:rsidP="00F57940">
      <w:pPr>
        <w:pStyle w:val="Sinespaciado"/>
        <w:spacing w:line="288" w:lineRule="auto"/>
        <w:ind w:firstLine="708"/>
        <w:jc w:val="both"/>
        <w:rPr>
          <w:rFonts w:ascii="Arial Narrow" w:hAnsi="Arial Narrow"/>
          <w:b/>
          <w:sz w:val="26"/>
          <w:szCs w:val="26"/>
        </w:rPr>
      </w:pPr>
      <w:r w:rsidRPr="00F57940">
        <w:rPr>
          <w:rFonts w:ascii="Arial Narrow" w:hAnsi="Arial Narrow"/>
          <w:b/>
          <w:sz w:val="26"/>
          <w:szCs w:val="26"/>
        </w:rPr>
        <w:t>III. CONSIDERACIONES: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Sinespaciado"/>
        <w:numPr>
          <w:ilvl w:val="1"/>
          <w:numId w:val="2"/>
        </w:numPr>
        <w:spacing w:line="288" w:lineRule="auto"/>
        <w:jc w:val="both"/>
        <w:rPr>
          <w:rFonts w:ascii="Arial Narrow" w:hAnsi="Arial Narrow"/>
          <w:b/>
          <w:i/>
          <w:sz w:val="26"/>
          <w:szCs w:val="26"/>
          <w:lang w:eastAsia="en-US"/>
        </w:rPr>
      </w:pPr>
      <w:r w:rsidRPr="00F57940">
        <w:rPr>
          <w:rFonts w:ascii="Arial Narrow" w:hAnsi="Arial Narrow"/>
          <w:b/>
          <w:i/>
          <w:sz w:val="26"/>
          <w:szCs w:val="26"/>
          <w:lang w:eastAsia="en-US"/>
        </w:rPr>
        <w:t>Desenvolvimiento de la problemática planteada</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
        <w:spacing w:line="288" w:lineRule="auto"/>
        <w:ind w:firstLine="708"/>
        <w:rPr>
          <w:rFonts w:ascii="Arial Narrow" w:hAnsi="Arial Narrow"/>
          <w:szCs w:val="26"/>
          <w:lang w:eastAsia="en-US"/>
        </w:rPr>
      </w:pPr>
      <w:r w:rsidRPr="00F57940">
        <w:rPr>
          <w:rFonts w:ascii="Arial Narrow" w:hAnsi="Arial Narrow"/>
          <w:szCs w:val="26"/>
          <w:lang w:eastAsia="en-US"/>
        </w:rPr>
        <w:t>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1996, para ingresar al régimen de ahorro individual con solidaridad.</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
        <w:spacing w:line="288" w:lineRule="auto"/>
        <w:ind w:firstLine="708"/>
        <w:rPr>
          <w:rFonts w:ascii="Arial Narrow" w:hAnsi="Arial Narrow"/>
          <w:szCs w:val="26"/>
          <w:lang w:eastAsia="en-US"/>
        </w:rPr>
      </w:pPr>
      <w:r w:rsidRPr="00F57940">
        <w:rPr>
          <w:rFonts w:ascii="Arial Narrow" w:hAnsi="Arial Narrow"/>
          <w:szCs w:val="26"/>
          <w:lang w:eastAsia="en-US"/>
        </w:rPr>
        <w:t>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lit. b) de la Ley 100 de 1993, que a la letra reza:</w:t>
      </w:r>
    </w:p>
    <w:p w:rsidR="009938A6" w:rsidRPr="00F57940" w:rsidRDefault="009938A6" w:rsidP="00F57940">
      <w:pPr>
        <w:pStyle w:val="Sinespaciado"/>
        <w:spacing w:line="288" w:lineRule="auto"/>
        <w:rPr>
          <w:rFonts w:ascii="Arial Narrow" w:hAnsi="Arial Narrow"/>
          <w:sz w:val="26"/>
          <w:szCs w:val="26"/>
          <w:lang w:eastAsia="en-US"/>
        </w:rPr>
      </w:pPr>
    </w:p>
    <w:p w:rsidR="009938A6" w:rsidRPr="00C40F0B" w:rsidRDefault="009938A6" w:rsidP="00C40F0B">
      <w:pPr>
        <w:pStyle w:val="Textoindependiente"/>
        <w:spacing w:line="240" w:lineRule="auto"/>
        <w:ind w:left="708"/>
        <w:rPr>
          <w:rFonts w:ascii="Arial Narrow" w:hAnsi="Arial Narrow"/>
          <w:sz w:val="24"/>
          <w:szCs w:val="26"/>
          <w:lang w:eastAsia="en-US"/>
        </w:rPr>
      </w:pPr>
      <w:r w:rsidRPr="00C40F0B">
        <w:rPr>
          <w:rFonts w:ascii="Arial Narrow" w:hAnsi="Arial Narrow"/>
          <w:sz w:val="24"/>
          <w:szCs w:val="26"/>
          <w:lang w:eastAsia="en-US"/>
        </w:rPr>
        <w:t>“</w:t>
      </w:r>
      <w:r w:rsidRPr="00C40F0B">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C40F0B">
        <w:rPr>
          <w:rFonts w:ascii="Arial Narrow" w:hAnsi="Arial Narrow"/>
          <w:sz w:val="24"/>
          <w:szCs w:val="26"/>
          <w:lang w:eastAsia="en-US"/>
        </w:rPr>
        <w:t>”.</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
        <w:spacing w:line="288" w:lineRule="auto"/>
        <w:ind w:firstLine="708"/>
        <w:rPr>
          <w:rFonts w:ascii="Arial Narrow" w:hAnsi="Arial Narrow"/>
          <w:szCs w:val="26"/>
          <w:lang w:eastAsia="en-US"/>
        </w:rPr>
      </w:pPr>
      <w:r w:rsidRPr="00F57940">
        <w:rPr>
          <w:rFonts w:ascii="Arial Narrow" w:hAnsi="Arial Narrow"/>
          <w:szCs w:val="26"/>
          <w:lang w:eastAsia="en-US"/>
        </w:rPr>
        <w:t>A su turno, la disposición a la que se remite la norma anterior, reza:</w:t>
      </w:r>
    </w:p>
    <w:p w:rsidR="009938A6" w:rsidRPr="00F57940" w:rsidRDefault="009938A6" w:rsidP="00F57940">
      <w:pPr>
        <w:pStyle w:val="Sinespaciado"/>
        <w:spacing w:line="288" w:lineRule="auto"/>
        <w:rPr>
          <w:rFonts w:ascii="Arial Narrow" w:hAnsi="Arial Narrow"/>
          <w:sz w:val="26"/>
          <w:szCs w:val="26"/>
        </w:rPr>
      </w:pPr>
    </w:p>
    <w:p w:rsidR="009938A6" w:rsidRPr="00C40F0B" w:rsidRDefault="009938A6" w:rsidP="00C40F0B">
      <w:pPr>
        <w:pStyle w:val="Textoindependiente"/>
        <w:spacing w:line="240" w:lineRule="auto"/>
        <w:ind w:left="708"/>
        <w:rPr>
          <w:rFonts w:ascii="Arial Narrow" w:hAnsi="Arial Narrow"/>
          <w:sz w:val="24"/>
          <w:szCs w:val="26"/>
          <w:lang w:eastAsia="en-US"/>
        </w:rPr>
      </w:pPr>
      <w:r w:rsidRPr="00C40F0B">
        <w:rPr>
          <w:rFonts w:ascii="Arial Narrow" w:hAnsi="Arial Narrow"/>
          <w:sz w:val="24"/>
          <w:szCs w:val="26"/>
          <w:lang w:eastAsia="en-US"/>
        </w:rPr>
        <w:t>“</w:t>
      </w:r>
      <w:r w:rsidRPr="00C40F0B">
        <w:rPr>
          <w:rFonts w:ascii="Arial Narrow" w:hAnsi="Arial Narrow"/>
          <w:i/>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C40F0B">
        <w:rPr>
          <w:rFonts w:ascii="Arial Narrow" w:hAnsi="Arial Narrow"/>
          <w:sz w:val="24"/>
          <w:szCs w:val="26"/>
          <w:lang w:eastAsia="en-US"/>
        </w:rPr>
        <w:t>.”</w:t>
      </w:r>
    </w:p>
    <w:p w:rsidR="009938A6" w:rsidRPr="00F57940" w:rsidRDefault="009938A6" w:rsidP="00F57940">
      <w:pPr>
        <w:pStyle w:val="Sinespaciado"/>
        <w:spacing w:line="288" w:lineRule="auto"/>
        <w:rPr>
          <w:rFonts w:ascii="Arial Narrow" w:hAnsi="Arial Narrow"/>
          <w:sz w:val="26"/>
          <w:szCs w:val="26"/>
          <w:lang w:eastAsia="en-US"/>
        </w:rPr>
      </w:pPr>
    </w:p>
    <w:p w:rsidR="009938A6" w:rsidRPr="00F57940" w:rsidRDefault="009938A6" w:rsidP="00F57940">
      <w:pPr>
        <w:pStyle w:val="Textoindependiente"/>
        <w:spacing w:line="288" w:lineRule="auto"/>
        <w:ind w:firstLine="708"/>
        <w:rPr>
          <w:rFonts w:ascii="Arial Narrow" w:hAnsi="Arial Narrow"/>
          <w:szCs w:val="26"/>
          <w:lang w:eastAsia="en-US"/>
        </w:rPr>
      </w:pPr>
      <w:r w:rsidRPr="00F57940">
        <w:rPr>
          <w:rFonts w:ascii="Arial Narrow" w:hAnsi="Arial Narrow"/>
          <w:szCs w:val="26"/>
          <w:lang w:eastAsia="en-US"/>
        </w:rPr>
        <w:t xml:space="preserve">De tal suerte, que en los términos del artículo 897 del código de comercio, cuando la disposición expresa que un acto no produce efectos se entenderá que es ineficaz de pleno </w:t>
      </w:r>
      <w:r w:rsidRPr="00F57940">
        <w:rPr>
          <w:rFonts w:ascii="Arial Narrow" w:hAnsi="Arial Narrow"/>
          <w:szCs w:val="26"/>
          <w:lang w:eastAsia="en-US"/>
        </w:rPr>
        <w:lastRenderedPageBreak/>
        <w:t>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9938A6" w:rsidRPr="00F57940" w:rsidRDefault="009938A6" w:rsidP="00F57940">
      <w:pPr>
        <w:pStyle w:val="Sinespaciado"/>
        <w:spacing w:line="288" w:lineRule="auto"/>
        <w:rPr>
          <w:rFonts w:ascii="Arial Narrow" w:hAnsi="Arial Narrow"/>
          <w:sz w:val="26"/>
          <w:szCs w:val="26"/>
          <w:lang w:eastAsia="en-US"/>
        </w:rPr>
      </w:pPr>
    </w:p>
    <w:p w:rsidR="009938A6" w:rsidRPr="00F57940" w:rsidRDefault="009938A6" w:rsidP="00F57940">
      <w:pPr>
        <w:pStyle w:val="Textoindependiente"/>
        <w:spacing w:line="288" w:lineRule="auto"/>
        <w:ind w:firstLine="708"/>
        <w:rPr>
          <w:rFonts w:ascii="Arial Narrow" w:hAnsi="Arial Narrow"/>
          <w:szCs w:val="26"/>
          <w:lang w:eastAsia="en-US"/>
        </w:rPr>
      </w:pPr>
      <w:r w:rsidRPr="00F57940">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9938A6" w:rsidRPr="00F57940" w:rsidRDefault="009938A6" w:rsidP="00F57940">
      <w:pPr>
        <w:pStyle w:val="Sinespaciado"/>
        <w:spacing w:line="288" w:lineRule="auto"/>
        <w:rPr>
          <w:rFonts w:ascii="Arial Narrow" w:hAnsi="Arial Narrow"/>
          <w:sz w:val="26"/>
          <w:szCs w:val="26"/>
          <w:lang w:eastAsia="en-US"/>
        </w:rPr>
      </w:pPr>
    </w:p>
    <w:p w:rsidR="009938A6" w:rsidRDefault="009938A6" w:rsidP="00F57940">
      <w:pPr>
        <w:pStyle w:val="Textoindependiente"/>
        <w:spacing w:line="288" w:lineRule="auto"/>
        <w:ind w:firstLine="708"/>
        <w:rPr>
          <w:rFonts w:ascii="Arial Narrow" w:hAnsi="Arial Narrow"/>
          <w:i/>
          <w:szCs w:val="26"/>
          <w:lang w:val="es-ES"/>
        </w:rPr>
      </w:pPr>
      <w:r w:rsidRPr="00F57940">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F57940">
        <w:rPr>
          <w:rFonts w:ascii="Arial Narrow" w:hAnsi="Arial Narrow"/>
          <w:szCs w:val="26"/>
          <w:lang w:val="es-ES"/>
        </w:rPr>
        <w:t>“</w:t>
      </w:r>
      <w:r w:rsidRPr="00C40F0B">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C40F0B">
        <w:rPr>
          <w:rFonts w:ascii="Arial Narrow" w:hAnsi="Arial Narrow"/>
          <w:i/>
          <w:sz w:val="24"/>
          <w:szCs w:val="26"/>
          <w:u w:val="single"/>
          <w:lang w:val="es-ES"/>
        </w:rPr>
        <w:t>se ha de estimar con una vara de rigor superior a la que se utiliza frente a las obligaciones entre particulares</w:t>
      </w:r>
      <w:r w:rsidRPr="00F57940">
        <w:rPr>
          <w:rFonts w:ascii="Arial Narrow" w:hAnsi="Arial Narrow"/>
          <w:i/>
          <w:szCs w:val="26"/>
          <w:lang w:val="es-ES"/>
        </w:rPr>
        <w:t>”. (</w:t>
      </w:r>
      <w:proofErr w:type="gramStart"/>
      <w:r w:rsidRPr="00F57940">
        <w:rPr>
          <w:rFonts w:ascii="Arial Narrow" w:hAnsi="Arial Narrow"/>
          <w:i/>
          <w:szCs w:val="26"/>
          <w:lang w:val="es-ES"/>
        </w:rPr>
        <w:t>sublíneas</w:t>
      </w:r>
      <w:proofErr w:type="gramEnd"/>
      <w:r w:rsidRPr="00F57940">
        <w:rPr>
          <w:rFonts w:ascii="Arial Narrow" w:hAnsi="Arial Narrow"/>
          <w:i/>
          <w:szCs w:val="26"/>
          <w:lang w:val="es-ES"/>
        </w:rPr>
        <w:t xml:space="preserve"> fuera del texto)</w:t>
      </w:r>
    </w:p>
    <w:p w:rsidR="00C40F0B" w:rsidRPr="00F57940" w:rsidRDefault="00C40F0B" w:rsidP="00F57940">
      <w:pPr>
        <w:pStyle w:val="Textoindependiente"/>
        <w:spacing w:line="288" w:lineRule="auto"/>
        <w:ind w:firstLine="708"/>
        <w:rPr>
          <w:rFonts w:ascii="Arial Narrow" w:hAnsi="Arial Narrow"/>
          <w:i/>
          <w:szCs w:val="26"/>
          <w:lang w:eastAsia="en-US"/>
        </w:rPr>
      </w:pPr>
    </w:p>
    <w:p w:rsidR="009938A6" w:rsidRPr="00F57940" w:rsidRDefault="009938A6" w:rsidP="00F57940">
      <w:pPr>
        <w:pStyle w:val="Textoindependiente31"/>
        <w:spacing w:line="288" w:lineRule="auto"/>
        <w:ind w:firstLine="708"/>
        <w:rPr>
          <w:rFonts w:ascii="Arial Narrow" w:hAnsi="Arial Narrow"/>
          <w:sz w:val="26"/>
          <w:szCs w:val="26"/>
          <w:lang w:val="es-ES"/>
        </w:rPr>
      </w:pPr>
      <w:r w:rsidRPr="00F57940">
        <w:rPr>
          <w:rFonts w:ascii="Arial Narrow" w:hAnsi="Arial Narrow"/>
          <w:sz w:val="26"/>
          <w:szCs w:val="26"/>
          <w:lang w:val="es-ES"/>
        </w:rPr>
        <w:t>Y concretamente en relación con el deber de información a sus posibles afiliados acerca del contenido e impacto de tal afiliación, decantó lo siguiente:</w:t>
      </w:r>
    </w:p>
    <w:p w:rsidR="009938A6" w:rsidRPr="00F57940" w:rsidRDefault="009938A6" w:rsidP="00F57940">
      <w:pPr>
        <w:pStyle w:val="Sinespaciado"/>
        <w:spacing w:line="288" w:lineRule="auto"/>
        <w:rPr>
          <w:rFonts w:ascii="Arial Narrow" w:hAnsi="Arial Narrow"/>
          <w:sz w:val="26"/>
          <w:szCs w:val="26"/>
        </w:rPr>
      </w:pPr>
    </w:p>
    <w:p w:rsidR="009938A6" w:rsidRPr="00C40F0B" w:rsidRDefault="009938A6" w:rsidP="00C40F0B">
      <w:pPr>
        <w:autoSpaceDE w:val="0"/>
        <w:autoSpaceDN w:val="0"/>
        <w:adjustRightInd w:val="0"/>
        <w:ind w:left="708" w:firstLine="706"/>
        <w:jc w:val="both"/>
        <w:rPr>
          <w:rFonts w:ascii="Arial Narrow" w:hAnsi="Arial Narrow" w:cs="Comic Sans MS"/>
          <w:i/>
          <w:szCs w:val="26"/>
        </w:rPr>
      </w:pPr>
      <w:r w:rsidRPr="00C40F0B">
        <w:rPr>
          <w:rFonts w:ascii="Arial Narrow" w:hAnsi="Arial Narrow" w:cs="Comic Sans MS"/>
          <w:szCs w:val="26"/>
        </w:rPr>
        <w:t>“</w:t>
      </w:r>
      <w:r w:rsidRPr="00C40F0B">
        <w:rPr>
          <w:rFonts w:ascii="Arial Narrow" w:hAnsi="Arial Narrow" w:cs="Comic Sans MS"/>
          <w:i/>
          <w:szCs w:val="26"/>
        </w:rPr>
        <w:t xml:space="preserve">La información debe comprender todas las etapas del proceso, desde la antesala de la afiliación hasta la determinación de las condiciones para el disfrute pensional. </w:t>
      </w:r>
    </w:p>
    <w:p w:rsidR="009938A6" w:rsidRPr="00C40F0B" w:rsidRDefault="009938A6" w:rsidP="00C40F0B">
      <w:pPr>
        <w:autoSpaceDE w:val="0"/>
        <w:autoSpaceDN w:val="0"/>
        <w:adjustRightInd w:val="0"/>
        <w:ind w:firstLine="709"/>
        <w:jc w:val="both"/>
        <w:rPr>
          <w:rFonts w:ascii="Arial Narrow" w:hAnsi="Arial Narrow" w:cs="Comic Sans MS"/>
          <w:i/>
          <w:szCs w:val="26"/>
        </w:rPr>
      </w:pPr>
    </w:p>
    <w:p w:rsidR="009938A6" w:rsidRPr="00C40F0B" w:rsidRDefault="009938A6" w:rsidP="00C40F0B">
      <w:pPr>
        <w:autoSpaceDE w:val="0"/>
        <w:autoSpaceDN w:val="0"/>
        <w:adjustRightInd w:val="0"/>
        <w:ind w:left="708" w:firstLine="706"/>
        <w:jc w:val="both"/>
        <w:rPr>
          <w:rFonts w:ascii="Arial Narrow" w:hAnsi="Arial Narrow" w:cs="Comic Sans MS"/>
          <w:szCs w:val="26"/>
        </w:rPr>
      </w:pPr>
      <w:r w:rsidRPr="00C40F0B">
        <w:rPr>
          <w:rFonts w:ascii="Arial Narrow" w:hAnsi="Arial Narrow" w:cs="Comic Sans MS"/>
          <w:i/>
          <w:szCs w:val="26"/>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C40F0B">
        <w:rPr>
          <w:rFonts w:ascii="Arial Narrow" w:hAnsi="Arial Narrow" w:cs="Comic Sans MS"/>
          <w:szCs w:val="26"/>
        </w:rPr>
        <w:t>”.</w:t>
      </w:r>
    </w:p>
    <w:p w:rsidR="009938A6" w:rsidRPr="00F57940" w:rsidRDefault="009938A6" w:rsidP="00F57940">
      <w:pPr>
        <w:pStyle w:val="Sinespaciado"/>
        <w:spacing w:line="288" w:lineRule="auto"/>
        <w:rPr>
          <w:rFonts w:ascii="Arial Narrow" w:hAnsi="Arial Narrow"/>
          <w:sz w:val="26"/>
          <w:szCs w:val="26"/>
        </w:rPr>
      </w:pPr>
      <w:r w:rsidRPr="00F57940">
        <w:rPr>
          <w:rFonts w:ascii="Arial Narrow" w:hAnsi="Arial Narrow"/>
          <w:sz w:val="26"/>
          <w:szCs w:val="26"/>
        </w:rPr>
        <w:tab/>
      </w:r>
    </w:p>
    <w:p w:rsidR="009938A6" w:rsidRPr="00F57940" w:rsidRDefault="009938A6" w:rsidP="00F57940">
      <w:pPr>
        <w:pStyle w:val="Textoindependiente31"/>
        <w:spacing w:line="288" w:lineRule="auto"/>
        <w:ind w:firstLine="708"/>
        <w:rPr>
          <w:rFonts w:ascii="Arial Narrow" w:hAnsi="Arial Narrow"/>
          <w:sz w:val="26"/>
          <w:szCs w:val="26"/>
          <w:lang w:val="es-ES"/>
        </w:rPr>
      </w:pPr>
      <w:r w:rsidRPr="00F57940">
        <w:rPr>
          <w:rFonts w:ascii="Arial Narrow" w:hAnsi="Arial Narrow"/>
          <w:sz w:val="26"/>
          <w:szCs w:val="26"/>
          <w:lang w:val="es-ES"/>
        </w:rPr>
        <w:t>Además, expuso que:</w:t>
      </w:r>
    </w:p>
    <w:p w:rsidR="009938A6" w:rsidRPr="00F57940" w:rsidRDefault="009938A6" w:rsidP="00F57940">
      <w:pPr>
        <w:pStyle w:val="Sinespaciado"/>
        <w:spacing w:line="288" w:lineRule="auto"/>
        <w:rPr>
          <w:rFonts w:ascii="Arial Narrow" w:hAnsi="Arial Narrow"/>
          <w:sz w:val="26"/>
          <w:szCs w:val="26"/>
        </w:rPr>
      </w:pPr>
      <w:r w:rsidRPr="00F57940">
        <w:rPr>
          <w:rFonts w:ascii="Arial Narrow" w:hAnsi="Arial Narrow"/>
          <w:sz w:val="26"/>
          <w:szCs w:val="26"/>
        </w:rPr>
        <w:tab/>
      </w:r>
    </w:p>
    <w:p w:rsidR="009938A6" w:rsidRPr="00C40F0B" w:rsidRDefault="009938A6" w:rsidP="00C40F0B">
      <w:pPr>
        <w:pStyle w:val="Textoindependiente31"/>
        <w:spacing w:line="240" w:lineRule="auto"/>
        <w:ind w:left="708" w:firstLine="851"/>
        <w:rPr>
          <w:rFonts w:ascii="Arial Narrow" w:hAnsi="Arial Narrow"/>
          <w:sz w:val="24"/>
          <w:szCs w:val="26"/>
          <w:lang w:val="es-ES"/>
        </w:rPr>
      </w:pPr>
      <w:r w:rsidRPr="00C40F0B">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C40F0B">
        <w:rPr>
          <w:rFonts w:ascii="Arial Narrow" w:hAnsi="Arial Narrow"/>
          <w:sz w:val="24"/>
          <w:szCs w:val="26"/>
          <w:lang w:val="es-ES"/>
        </w:rPr>
        <w:t xml:space="preserve">.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708"/>
        <w:rPr>
          <w:rFonts w:ascii="Arial Narrow" w:hAnsi="Arial Narrow"/>
          <w:sz w:val="26"/>
          <w:szCs w:val="26"/>
          <w:lang w:val="es-ES"/>
        </w:rPr>
      </w:pPr>
      <w:r w:rsidRPr="00F57940">
        <w:rPr>
          <w:rFonts w:ascii="Arial Narrow" w:hAnsi="Arial Narrow"/>
          <w:sz w:val="26"/>
          <w:szCs w:val="26"/>
          <w:lang w:val="es-ES"/>
        </w:rPr>
        <w:t>Agrega la ameritada providencia:</w:t>
      </w:r>
    </w:p>
    <w:p w:rsidR="009938A6" w:rsidRPr="00F57940" w:rsidRDefault="009938A6" w:rsidP="00F57940">
      <w:pPr>
        <w:pStyle w:val="Sinespaciado"/>
        <w:spacing w:line="288" w:lineRule="auto"/>
        <w:rPr>
          <w:rFonts w:ascii="Arial Narrow" w:hAnsi="Arial Narrow"/>
          <w:sz w:val="26"/>
          <w:szCs w:val="26"/>
        </w:rPr>
      </w:pPr>
    </w:p>
    <w:p w:rsidR="009938A6" w:rsidRPr="00C40F0B" w:rsidRDefault="009938A6" w:rsidP="00C40F0B">
      <w:pPr>
        <w:pStyle w:val="Textoindependiente31"/>
        <w:spacing w:line="240" w:lineRule="auto"/>
        <w:ind w:left="708" w:firstLine="851"/>
        <w:rPr>
          <w:rFonts w:ascii="Arial Narrow" w:hAnsi="Arial Narrow"/>
          <w:i/>
          <w:sz w:val="24"/>
          <w:szCs w:val="26"/>
          <w:lang w:val="es-ES"/>
        </w:rPr>
      </w:pPr>
      <w:r w:rsidRPr="00C40F0B">
        <w:rPr>
          <w:rFonts w:ascii="Arial Narrow" w:hAnsi="Arial Narrow"/>
          <w:sz w:val="24"/>
          <w:szCs w:val="26"/>
          <w:lang w:val="es-ES"/>
        </w:rPr>
        <w:t>“</w:t>
      </w:r>
      <w:r w:rsidRPr="00C40F0B">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851"/>
        <w:rPr>
          <w:rFonts w:ascii="Arial Narrow" w:hAnsi="Arial Narrow" w:cs="Arial"/>
          <w:i/>
          <w:sz w:val="26"/>
          <w:szCs w:val="26"/>
          <w:lang w:val="es-ES"/>
        </w:rPr>
      </w:pPr>
      <w:r w:rsidRPr="00F57940">
        <w:rPr>
          <w:rFonts w:ascii="Arial Narrow" w:hAnsi="Arial Narrow"/>
          <w:sz w:val="26"/>
          <w:szCs w:val="26"/>
          <w:lang w:val="es-ES"/>
        </w:rPr>
        <w:lastRenderedPageBreak/>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F57940">
        <w:rPr>
          <w:rFonts w:ascii="Arial Narrow" w:hAnsi="Arial Narrow"/>
          <w:i/>
          <w:sz w:val="26"/>
          <w:szCs w:val="26"/>
          <w:lang w:val="es-ES"/>
        </w:rPr>
        <w:t>se ha de estimar con una vara de rigor superior a la que se utiliza frente a las obligaciones entre particulares</w:t>
      </w:r>
      <w:r w:rsidRPr="00F57940">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w:t>
      </w:r>
      <w:r w:rsidRPr="00F57940">
        <w:rPr>
          <w:rFonts w:ascii="Arial Narrow" w:hAnsi="Arial Narrow" w:cs="Arial"/>
          <w:i/>
          <w:sz w:val="26"/>
          <w:szCs w:val="26"/>
          <w:lang w:val="es-ES"/>
        </w:rPr>
        <w:t>“prueba de la diligencia o cuidado incumbe al que ha debido emplearlo.</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autoSpaceDE w:val="0"/>
        <w:autoSpaceDN w:val="0"/>
        <w:adjustRightInd w:val="0"/>
        <w:spacing w:line="288" w:lineRule="auto"/>
        <w:ind w:firstLine="708"/>
        <w:jc w:val="both"/>
        <w:rPr>
          <w:rFonts w:ascii="Arial Narrow" w:hAnsi="Arial Narrow" w:cs="Comic Sans MS"/>
          <w:sz w:val="26"/>
          <w:szCs w:val="26"/>
        </w:rPr>
      </w:pPr>
      <w:r w:rsidRPr="00F57940">
        <w:rPr>
          <w:rFonts w:ascii="Arial Narrow" w:hAnsi="Arial Narrow" w:cs="Comic Sans MS"/>
          <w:sz w:val="26"/>
          <w:szCs w:val="26"/>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9"/>
        <w:jc w:val="both"/>
        <w:rPr>
          <w:rFonts w:ascii="Arial Narrow" w:hAnsi="Arial Narrow" w:cs="Comic Sans MS"/>
          <w:sz w:val="26"/>
          <w:szCs w:val="26"/>
        </w:rPr>
      </w:pPr>
      <w:r w:rsidRPr="00F57940">
        <w:rPr>
          <w:rFonts w:ascii="Arial Narrow" w:hAnsi="Arial Narrow" w:cs="Comic Sans MS"/>
          <w:sz w:val="26"/>
          <w:szCs w:val="26"/>
        </w:rPr>
        <w:t xml:space="preserve">Idéntica perspectiva se ofrece en la sentencia SL12136 de 2014, radicación 46.292, la que en su parte pertinente reza: </w:t>
      </w:r>
    </w:p>
    <w:p w:rsidR="009938A6" w:rsidRPr="00F57940" w:rsidRDefault="009938A6" w:rsidP="00F57940">
      <w:pPr>
        <w:pStyle w:val="Sinespaciado"/>
        <w:spacing w:line="288" w:lineRule="auto"/>
        <w:rPr>
          <w:rFonts w:ascii="Arial Narrow" w:hAnsi="Arial Narrow"/>
          <w:sz w:val="26"/>
          <w:szCs w:val="26"/>
        </w:rPr>
      </w:pPr>
    </w:p>
    <w:p w:rsidR="009938A6" w:rsidRPr="00C40F0B" w:rsidRDefault="009938A6" w:rsidP="00C40F0B">
      <w:pPr>
        <w:ind w:firstLine="709"/>
        <w:jc w:val="both"/>
        <w:rPr>
          <w:rFonts w:ascii="Arial Narrow" w:hAnsi="Arial Narrow"/>
          <w:i/>
          <w:szCs w:val="26"/>
          <w:shd w:val="clear" w:color="auto" w:fill="FFFFFF"/>
        </w:rPr>
      </w:pPr>
      <w:r w:rsidRPr="00C40F0B">
        <w:rPr>
          <w:rFonts w:ascii="Arial Narrow" w:hAnsi="Arial Narrow" w:cs="Comic Sans MS"/>
          <w:szCs w:val="26"/>
        </w:rPr>
        <w:t xml:space="preserve"> “</w:t>
      </w:r>
      <w:r w:rsidRPr="00C40F0B">
        <w:rPr>
          <w:rFonts w:ascii="Arial Narrow" w:hAnsi="Arial Narrow"/>
          <w:i/>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9938A6" w:rsidRPr="00C40F0B" w:rsidRDefault="009938A6" w:rsidP="00C40F0B">
      <w:pPr>
        <w:pStyle w:val="Sinespaciado"/>
        <w:rPr>
          <w:rFonts w:ascii="Arial Narrow" w:hAnsi="Arial Narrow"/>
          <w:sz w:val="24"/>
          <w:szCs w:val="26"/>
        </w:rPr>
      </w:pPr>
    </w:p>
    <w:p w:rsidR="009938A6" w:rsidRPr="00C40F0B" w:rsidRDefault="009938A6" w:rsidP="00C40F0B">
      <w:pPr>
        <w:ind w:firstLine="709"/>
        <w:jc w:val="both"/>
        <w:rPr>
          <w:rFonts w:ascii="Arial Narrow" w:hAnsi="Arial Narrow"/>
          <w:i/>
          <w:szCs w:val="26"/>
          <w:shd w:val="clear" w:color="auto" w:fill="FFFFFF"/>
        </w:rPr>
      </w:pPr>
      <w:r w:rsidRPr="00C40F0B">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9938A6" w:rsidRPr="00C40F0B" w:rsidRDefault="009938A6" w:rsidP="00C40F0B">
      <w:pPr>
        <w:pStyle w:val="Sinespaciado"/>
        <w:rPr>
          <w:rFonts w:ascii="Arial Narrow" w:hAnsi="Arial Narrow"/>
          <w:sz w:val="24"/>
          <w:szCs w:val="26"/>
        </w:rPr>
      </w:pPr>
    </w:p>
    <w:p w:rsidR="009938A6" w:rsidRPr="00C40F0B" w:rsidRDefault="009938A6" w:rsidP="00C40F0B">
      <w:pPr>
        <w:autoSpaceDE w:val="0"/>
        <w:autoSpaceDN w:val="0"/>
        <w:adjustRightInd w:val="0"/>
        <w:ind w:firstLine="708"/>
        <w:jc w:val="both"/>
        <w:rPr>
          <w:rFonts w:ascii="Arial Narrow" w:hAnsi="Arial Narrow" w:cs="Comic Sans MS"/>
          <w:szCs w:val="26"/>
        </w:rPr>
      </w:pPr>
      <w:r w:rsidRPr="00C40F0B">
        <w:rPr>
          <w:rFonts w:ascii="Arial Narrow" w:hAnsi="Arial Narrow" w:cs="Comic Sans MS"/>
          <w:szCs w:val="26"/>
        </w:rPr>
        <w:t>…</w:t>
      </w:r>
      <w:r w:rsidRPr="00C40F0B">
        <w:rPr>
          <w:rFonts w:ascii="Arial Narrow" w:hAnsi="Arial Narrow" w:cs="Comic Sans MS"/>
          <w:i/>
          <w:szCs w:val="26"/>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C40F0B">
        <w:rPr>
          <w:rFonts w:ascii="Arial Narrow" w:hAnsi="Arial Narrow" w:cs="Comic Sans MS"/>
          <w:szCs w:val="26"/>
        </w:rPr>
        <w:t xml:space="preserve">”.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851"/>
        <w:rPr>
          <w:rFonts w:ascii="Arial Narrow" w:hAnsi="Arial Narrow"/>
          <w:sz w:val="26"/>
          <w:szCs w:val="26"/>
          <w:lang w:val="es-ES"/>
        </w:rPr>
      </w:pPr>
      <w:r w:rsidRPr="00F57940">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851"/>
        <w:rPr>
          <w:rFonts w:ascii="Arial Narrow" w:hAnsi="Arial Narrow"/>
          <w:sz w:val="26"/>
          <w:szCs w:val="26"/>
          <w:lang w:val="es-ES"/>
        </w:rPr>
      </w:pPr>
      <w:r w:rsidRPr="00F57940">
        <w:rPr>
          <w:rFonts w:ascii="Arial Narrow" w:hAnsi="Arial Narrow"/>
          <w:sz w:val="26"/>
          <w:szCs w:val="26"/>
          <w:lang w:val="es-ES"/>
        </w:rPr>
        <w:t xml:space="preserve">Solo que si el susodicho cambio implica la pérdida del régimen de transición, resulta más evidente la falencia en cuanto a la información brindada al afiliado. Y en cuanto a otros motivos que pudieran argüirse, en orden a reversar el cambio entre régimen pensionales, es </w:t>
      </w:r>
      <w:r w:rsidRPr="00F57940">
        <w:rPr>
          <w:rFonts w:ascii="Arial Narrow" w:hAnsi="Arial Narrow"/>
          <w:sz w:val="26"/>
          <w:szCs w:val="26"/>
          <w:lang w:val="es-ES"/>
        </w:rPr>
        <w:lastRenderedPageBreak/>
        <w:t>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851"/>
        <w:rPr>
          <w:rFonts w:ascii="Arial Narrow" w:hAnsi="Arial Narrow"/>
          <w:sz w:val="26"/>
          <w:szCs w:val="26"/>
          <w:lang w:val="es-ES"/>
        </w:rPr>
      </w:pPr>
      <w:r w:rsidRPr="00F57940">
        <w:rPr>
          <w:rFonts w:ascii="Arial Narrow" w:hAnsi="Arial Narrow"/>
          <w:sz w:val="26"/>
          <w:szCs w:val="26"/>
          <w:lang w:val="es-ES"/>
        </w:rPr>
        <w:t xml:space="preserve">Esto por cuanto, también, el deber de información no se agota exclusivamente al momento de la afiliación, sino que este permea </w:t>
      </w:r>
      <w:r w:rsidRPr="00F57940">
        <w:rPr>
          <w:rFonts w:ascii="Arial Narrow" w:hAnsi="Arial Narrow"/>
          <w:i/>
          <w:sz w:val="26"/>
          <w:szCs w:val="26"/>
          <w:lang w:val="es-ES"/>
        </w:rPr>
        <w:t>“todas las etapas del proceso, desde la antesala de la afiliación hasta la determinación de las condiciones para el disfrute pensional</w:t>
      </w:r>
      <w:r w:rsidRPr="00F57940">
        <w:rPr>
          <w:rFonts w:ascii="Arial Narrow" w:hAnsi="Arial Narrow"/>
          <w:sz w:val="26"/>
          <w:szCs w:val="26"/>
          <w:lang w:val="es-ES"/>
        </w:rPr>
        <w:t>”.</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851"/>
        <w:rPr>
          <w:rFonts w:ascii="Arial Narrow" w:hAnsi="Arial Narrow"/>
          <w:sz w:val="26"/>
          <w:szCs w:val="26"/>
          <w:lang w:val="es-ES"/>
        </w:rPr>
      </w:pPr>
      <w:r w:rsidRPr="00F57940">
        <w:rPr>
          <w:rFonts w:ascii="Arial Narrow" w:hAnsi="Arial Narrow"/>
          <w:sz w:val="26"/>
          <w:szCs w:val="26"/>
          <w:lang w:val="es-ES"/>
        </w:rPr>
        <w:t xml:space="preserve">En suma, el deber de asesoría, implica que la información sea </w:t>
      </w:r>
      <w:r w:rsidRPr="00F57940">
        <w:rPr>
          <w:rFonts w:ascii="Arial Narrow" w:hAnsi="Arial Narrow"/>
          <w:b/>
          <w:sz w:val="26"/>
          <w:szCs w:val="26"/>
          <w:lang w:val="es-ES"/>
        </w:rPr>
        <w:t>cierta, suficiente y oportuna</w:t>
      </w:r>
      <w:r w:rsidRPr="00F57940">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851"/>
        <w:rPr>
          <w:rFonts w:ascii="Arial Narrow" w:hAnsi="Arial Narrow"/>
          <w:sz w:val="26"/>
          <w:szCs w:val="26"/>
          <w:lang w:val="es-ES"/>
        </w:rPr>
      </w:pPr>
      <w:r w:rsidRPr="00F57940">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deben ser, a fin de buscar una libertad contractual transparente, con decisiones a tiempo y con la mayor garantía en cuanto a los beneficios que pueda recibir. </w:t>
      </w:r>
    </w:p>
    <w:p w:rsidR="009938A6" w:rsidRPr="00F57940" w:rsidRDefault="009938A6" w:rsidP="00F57940">
      <w:pPr>
        <w:pStyle w:val="NormalWeb"/>
        <w:spacing w:line="288" w:lineRule="auto"/>
        <w:ind w:firstLine="708"/>
        <w:jc w:val="both"/>
        <w:rPr>
          <w:rFonts w:ascii="Arial Narrow" w:hAnsi="Arial Narrow" w:cs="Arial"/>
          <w:sz w:val="26"/>
          <w:szCs w:val="26"/>
          <w:shd w:val="clear" w:color="auto" w:fill="FFFFFF"/>
        </w:rPr>
      </w:pPr>
      <w:r w:rsidRPr="00F57940">
        <w:rPr>
          <w:rFonts w:ascii="Arial Narrow" w:hAnsi="Arial Narrow" w:cs="Arial"/>
          <w:sz w:val="26"/>
          <w:szCs w:val="26"/>
          <w:shd w:val="clear" w:color="auto" w:fill="FFFFFF"/>
        </w:rPr>
        <w:t xml:space="preserve">En el sub-lite, se tiene que si bien </w:t>
      </w:r>
      <w:r w:rsidRPr="00F57940">
        <w:rPr>
          <w:rFonts w:ascii="Arial Narrow" w:hAnsi="Arial Narrow" w:cs="Arial"/>
          <w:iCs/>
          <w:color w:val="000000"/>
          <w:sz w:val="26"/>
          <w:szCs w:val="26"/>
          <w:shd w:val="clear" w:color="auto" w:fill="FFFFFF"/>
        </w:rPr>
        <w:t xml:space="preserve">la demandante no era beneficiaria del régimen de </w:t>
      </w:r>
      <w:r w:rsidRPr="00F57940">
        <w:rPr>
          <w:rFonts w:ascii="Arial Narrow" w:hAnsi="Arial Narrow" w:cs="Arial"/>
          <w:iCs/>
          <w:sz w:val="26"/>
          <w:szCs w:val="26"/>
          <w:shd w:val="clear" w:color="auto" w:fill="FFFFFF"/>
        </w:rPr>
        <w:t xml:space="preserve">transición que prevé el artículo 36 de la Ley 100/93, como quiera que a la entrada en vigencia del nuevo sistema general de pensiones contaba con 31 años de edad, al haber nacido el 16 de mayo de 1961, y tener 153.28 semanas cotizadas según folio 46, lo cierto es que indistintamente de ello, a la AFP Invertir Futuro Pensiones hoy Porvenir, le correspondía acreditar que cumplió el deber de suministrar </w:t>
      </w:r>
      <w:r w:rsidRPr="00F57940">
        <w:rPr>
          <w:rFonts w:ascii="Arial Narrow" w:hAnsi="Arial Narrow" w:cs="Arial"/>
          <w:color w:val="000000"/>
          <w:sz w:val="26"/>
          <w:szCs w:val="26"/>
          <w:shd w:val="clear" w:color="auto" w:fill="FFFFFF"/>
        </w:rPr>
        <w:t xml:space="preserve">la información suficiente y completa a la afiliada,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 de la actora a esa entidad y de las cotizaciones que efectuó, según se constata con los documentos obrantes a folios 100 a 168, </w:t>
      </w:r>
      <w:r w:rsidRPr="00F57940">
        <w:rPr>
          <w:rFonts w:ascii="Arial Narrow" w:hAnsi="Arial Narrow" w:cs="Arial"/>
          <w:sz w:val="26"/>
          <w:szCs w:val="26"/>
          <w:shd w:val="clear" w:color="auto" w:fill="FFFFFF"/>
        </w:rPr>
        <w:t>sin que ello sea prueba suficiente, “</w:t>
      </w:r>
      <w:r w:rsidRPr="00F57940">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F57940">
        <w:rPr>
          <w:rFonts w:ascii="Arial Narrow" w:hAnsi="Arial Narrow" w:cs="Arial"/>
          <w:sz w:val="26"/>
          <w:szCs w:val="26"/>
          <w:shd w:val="clear" w:color="auto" w:fill="FFFFFF"/>
        </w:rPr>
        <w:t xml:space="preserve">  </w:t>
      </w:r>
    </w:p>
    <w:p w:rsidR="009938A6" w:rsidRPr="00F57940" w:rsidRDefault="009938A6" w:rsidP="00F57940">
      <w:pPr>
        <w:pStyle w:val="NormalWeb"/>
        <w:spacing w:line="288" w:lineRule="auto"/>
        <w:ind w:firstLine="708"/>
        <w:jc w:val="both"/>
        <w:rPr>
          <w:rFonts w:ascii="Arial Narrow" w:hAnsi="Arial Narrow"/>
          <w:sz w:val="26"/>
          <w:szCs w:val="26"/>
        </w:rPr>
      </w:pPr>
      <w:r w:rsidRPr="00F57940">
        <w:rPr>
          <w:rFonts w:ascii="Arial Narrow" w:hAnsi="Arial Narrow" w:cs="Comic Sans MS"/>
          <w:sz w:val="26"/>
          <w:szCs w:val="26"/>
        </w:rPr>
        <w:t xml:space="preserve">Ahora bien, revisado tanto el interrogatorio de parte rendido por la actora, como lo dicho por los declarantes María Patricia Rincón Largo y María Esperanza Ceballos Pineda, se tiene que al unísono manifestaron que la decisión de afiliarse y trasladarse, no fue voluntaria, puesto </w:t>
      </w:r>
      <w:r w:rsidRPr="00F57940">
        <w:rPr>
          <w:rFonts w:ascii="Arial Narrow" w:hAnsi="Arial Narrow" w:cs="Comic Sans MS"/>
          <w:sz w:val="26"/>
          <w:szCs w:val="26"/>
        </w:rPr>
        <w:lastRenderedPageBreak/>
        <w:t xml:space="preserve">que se trató de un mandato impuesto por las directivas del Consorcio Prosperar desde la Sede Nacional, quienes por ser socios de la AFP Invertir, dieron instrucciones para que los trabajadores fueran direccionados a ese fondo y se afiliaran se afiliaran. Refieren que se les indicó que podían recibir la pensión en forma anticipada, hacer aportes voluntarios o adicionales, que la pensión era heredable por los familiares y que recibirían una mesada mucho más favorable. Así mismo, informaron que previa suscripción de un nuevo formulario, pasaron en forma automática a la AFP Horizonte; empero que, nunca fueron informadas acerca del monto de la mesada pensional que eventualmente podrían recibir.  </w:t>
      </w:r>
    </w:p>
    <w:p w:rsidR="009938A6" w:rsidRPr="00F57940" w:rsidRDefault="009938A6" w:rsidP="00F57940">
      <w:pPr>
        <w:autoSpaceDE w:val="0"/>
        <w:autoSpaceDN w:val="0"/>
        <w:adjustRightInd w:val="0"/>
        <w:spacing w:line="288" w:lineRule="auto"/>
        <w:ind w:firstLine="708"/>
        <w:jc w:val="both"/>
        <w:rPr>
          <w:rFonts w:ascii="Arial Narrow" w:hAnsi="Arial Narrow" w:cs="Comic Sans MS"/>
          <w:sz w:val="26"/>
          <w:szCs w:val="26"/>
        </w:rPr>
      </w:pPr>
      <w:r w:rsidRPr="00F57940">
        <w:rPr>
          <w:rFonts w:ascii="Arial Narrow" w:hAnsi="Arial Narrow" w:cs="Comic Sans MS"/>
          <w:sz w:val="26"/>
          <w:szCs w:val="26"/>
        </w:rPr>
        <w:t xml:space="preserve">Esa fragmentaria información, lo que demuestra es que la selección de régimen por parte de la afiliada, se vio doblemente afectada no sólo por su empleador, quien desconoció el derecho a la libre escogencia de sus trabajadores al imponerles la afiliación a determinado régimen pensional, sino también por la entidad administradora de pensiones, ante la falta del deber que se le enrostra,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autoSpaceDE w:val="0"/>
        <w:autoSpaceDN w:val="0"/>
        <w:adjustRightInd w:val="0"/>
        <w:spacing w:line="288" w:lineRule="auto"/>
        <w:ind w:firstLine="708"/>
        <w:jc w:val="both"/>
        <w:rPr>
          <w:rFonts w:ascii="Arial Narrow" w:hAnsi="Arial Narrow" w:cs="Segoe UI"/>
          <w:sz w:val="26"/>
          <w:szCs w:val="26"/>
          <w:shd w:val="clear" w:color="auto" w:fill="FFFFFF"/>
        </w:rPr>
      </w:pPr>
      <w:r w:rsidRPr="00F57940">
        <w:rPr>
          <w:rFonts w:ascii="Arial Narrow" w:hAnsi="Arial Narrow" w:cs="Segoe UI"/>
          <w:sz w:val="26"/>
          <w:szCs w:val="26"/>
          <w:shd w:val="clear" w:color="auto" w:fill="FFFFFF"/>
        </w:rPr>
        <w:t>No se trata de rendirle culto a las formas, o escritos, como si la única prueba admisible fuera la escrita, erigiendo de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9938A6" w:rsidRPr="00F57940" w:rsidRDefault="009938A6" w:rsidP="00F57940">
      <w:pPr>
        <w:pStyle w:val="Sinespaciado"/>
        <w:spacing w:line="288" w:lineRule="auto"/>
        <w:rPr>
          <w:rFonts w:ascii="Arial Narrow" w:hAnsi="Arial Narrow"/>
          <w:sz w:val="26"/>
          <w:szCs w:val="26"/>
          <w:shd w:val="clear" w:color="auto" w:fill="FFFFFF"/>
        </w:rPr>
      </w:pPr>
    </w:p>
    <w:p w:rsidR="009938A6" w:rsidRPr="00F57940" w:rsidRDefault="009938A6" w:rsidP="00F57940">
      <w:pPr>
        <w:autoSpaceDE w:val="0"/>
        <w:autoSpaceDN w:val="0"/>
        <w:adjustRightInd w:val="0"/>
        <w:spacing w:line="288" w:lineRule="auto"/>
        <w:ind w:firstLine="708"/>
        <w:jc w:val="both"/>
        <w:rPr>
          <w:rFonts w:ascii="Arial Narrow" w:hAnsi="Arial Narrow" w:cs="Comic Sans MS"/>
          <w:sz w:val="26"/>
          <w:szCs w:val="26"/>
        </w:rPr>
      </w:pPr>
      <w:r w:rsidRPr="00F57940">
        <w:rPr>
          <w:rFonts w:ascii="Arial Narrow" w:hAnsi="Arial Narrow" w:cs="Comic Sans MS"/>
          <w:sz w:val="26"/>
          <w:szCs w:val="26"/>
        </w:rPr>
        <w:t xml:space="preserve">De otra parte, cabe agregar que las entidades demandadas –Porvenir SA y Colpensiones- en cumplimiento al decreto oficioso de pruebas que realizó esta Colegiatura el 21 de agosto de los cursantes, allegaron la proyección de la mesada pensional de la señora Echeverry </w:t>
      </w:r>
      <w:proofErr w:type="spellStart"/>
      <w:r w:rsidRPr="00F57940">
        <w:rPr>
          <w:rFonts w:ascii="Arial Narrow" w:hAnsi="Arial Narrow" w:cs="Comic Sans MS"/>
          <w:sz w:val="26"/>
          <w:szCs w:val="26"/>
        </w:rPr>
        <w:t>Sarrazola</w:t>
      </w:r>
      <w:proofErr w:type="spellEnd"/>
      <w:r w:rsidRPr="00F57940">
        <w:rPr>
          <w:rFonts w:ascii="Arial Narrow" w:hAnsi="Arial Narrow" w:cs="Comic Sans MS"/>
          <w:sz w:val="26"/>
          <w:szCs w:val="26"/>
        </w:rPr>
        <w:t xml:space="preserve"> en uno u otro régimen pensional, de donde se infiere que a la edad aproximada de 61 años, cuando la actora alcance las 1.300 semanas, de pertenecer al RPM alcanzaría una mesada equivalente a $1`573.420, al paso que en el RAIS sería de $781.242, ver fls.12 y 21 Cdno 2º Inst.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autoSpaceDE w:val="0"/>
        <w:autoSpaceDN w:val="0"/>
        <w:adjustRightInd w:val="0"/>
        <w:spacing w:line="288" w:lineRule="auto"/>
        <w:ind w:firstLine="708"/>
        <w:jc w:val="both"/>
        <w:rPr>
          <w:rFonts w:ascii="Arial Narrow" w:hAnsi="Arial Narrow" w:cs="Segoe UI"/>
          <w:color w:val="212121"/>
          <w:sz w:val="26"/>
          <w:szCs w:val="26"/>
          <w:shd w:val="clear" w:color="auto" w:fill="FFFFFF"/>
        </w:rPr>
      </w:pPr>
      <w:r w:rsidRPr="00F57940">
        <w:rPr>
          <w:rFonts w:ascii="Arial Narrow" w:hAnsi="Arial Narrow" w:cs="Segoe UI"/>
          <w:color w:val="212121"/>
          <w:sz w:val="26"/>
          <w:szCs w:val="26"/>
          <w:shd w:val="clear" w:color="auto" w:fill="FFFFFF"/>
        </w:rPr>
        <w:t xml:space="preserve">Lo dicho confirma los juiciosos estudios, que sobre el tema han elaborados expertos en la materia, que ponen de manifiesto la ausencia de tal deber informado, obligación que, como se </w:t>
      </w:r>
      <w:r w:rsidRPr="00F57940">
        <w:rPr>
          <w:rFonts w:ascii="Arial Narrow" w:hAnsi="Arial Narrow" w:cs="Segoe UI"/>
          <w:color w:val="212121"/>
          <w:sz w:val="26"/>
          <w:szCs w:val="26"/>
          <w:shd w:val="clear" w:color="auto" w:fill="FFFFFF"/>
        </w:rPr>
        <w:lastRenderedPageBreak/>
        <w:t>dijo, no se agota en un solo momento, la afiliación, sino que permea, todas sus etapas hasta la determinación de las condiciones para el disfrute pensional.</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9"/>
        <w:jc w:val="both"/>
        <w:rPr>
          <w:rFonts w:ascii="Arial Narrow" w:hAnsi="Arial Narrow" w:cs="Segoe UI"/>
          <w:color w:val="212121"/>
          <w:sz w:val="26"/>
          <w:szCs w:val="26"/>
          <w:shd w:val="clear" w:color="auto" w:fill="FFFFFF"/>
        </w:rPr>
      </w:pPr>
      <w:r w:rsidRPr="00F57940">
        <w:rPr>
          <w:rFonts w:ascii="Arial Narrow" w:hAnsi="Arial Narrow" w:cs="Segoe UI"/>
          <w:color w:val="212121"/>
          <w:sz w:val="26"/>
          <w:szCs w:val="26"/>
          <w:shd w:val="clear" w:color="auto" w:fill="FFFFFF"/>
        </w:rPr>
        <w:t xml:space="preserve">En efecto, uno de tales expertos se duele que el titular </w:t>
      </w:r>
      <w:r w:rsidRPr="00F57940">
        <w:rPr>
          <w:rFonts w:ascii="Arial Narrow" w:hAnsi="Arial Narrow"/>
          <w:sz w:val="26"/>
          <w:szCs w:val="26"/>
        </w:rPr>
        <w:t xml:space="preserve">de la cuenta en el fondo de pensiones privado, no pudiera, si así lo desea, elegir las estrategias de inversión que son estándar a nivel internacional, y al efecto, </w:t>
      </w:r>
      <w:r w:rsidRPr="00F57940">
        <w:rPr>
          <w:rFonts w:ascii="Arial Narrow" w:hAnsi="Arial Narrow" w:cs="Segoe UI"/>
          <w:color w:val="212121"/>
          <w:sz w:val="26"/>
          <w:szCs w:val="26"/>
          <w:shd w:val="clear" w:color="auto" w:fill="FFFFFF"/>
        </w:rPr>
        <w:t>apuntó en una columna de prensa lo siguiente:</w:t>
      </w:r>
    </w:p>
    <w:p w:rsidR="009938A6" w:rsidRPr="00F57940" w:rsidRDefault="009938A6" w:rsidP="00F57940">
      <w:pPr>
        <w:pStyle w:val="Sinespaciado"/>
        <w:spacing w:line="288" w:lineRule="auto"/>
        <w:rPr>
          <w:rFonts w:ascii="Arial Narrow" w:hAnsi="Arial Narrow"/>
          <w:sz w:val="26"/>
          <w:szCs w:val="26"/>
          <w:shd w:val="clear" w:color="auto" w:fill="FFFFFF"/>
        </w:rPr>
      </w:pPr>
    </w:p>
    <w:p w:rsidR="009938A6" w:rsidRPr="00C40F0B" w:rsidRDefault="009938A6" w:rsidP="00C40F0B">
      <w:pPr>
        <w:ind w:firstLine="708"/>
        <w:jc w:val="both"/>
        <w:rPr>
          <w:rFonts w:ascii="Arial Narrow" w:hAnsi="Arial Narrow"/>
          <w:i/>
          <w:szCs w:val="26"/>
        </w:rPr>
      </w:pPr>
      <w:r w:rsidRPr="00C40F0B">
        <w:rPr>
          <w:rFonts w:ascii="Arial Narrow" w:hAnsi="Arial Narrow"/>
          <w:i/>
          <w:szCs w:val="26"/>
        </w:rPr>
        <w:t>“Hice el ejercicio y comparé la estrategia “moderada” de los fondos colombianos con una estrategia de riesgo moderado que suelen recomendar los analistas financieros: 60% en el índice S&amp;P500 y 40% en bonos del tesoro de los Estados Unidos. No es el portafolio más representativo posible del mercado mundial, pero se acerca bastante, y sobre todo se acerca más de lo que lo hacen los fondos de pensiones colombianos.</w:t>
      </w:r>
    </w:p>
    <w:p w:rsidR="009938A6" w:rsidRPr="00C40F0B" w:rsidRDefault="009938A6" w:rsidP="00C40F0B">
      <w:pPr>
        <w:jc w:val="both"/>
        <w:rPr>
          <w:rFonts w:ascii="Arial Narrow" w:hAnsi="Arial Narrow"/>
          <w:i/>
          <w:szCs w:val="26"/>
        </w:rPr>
      </w:pPr>
    </w:p>
    <w:p w:rsidR="009938A6" w:rsidRPr="00F57940" w:rsidRDefault="009938A6" w:rsidP="00C40F0B">
      <w:pPr>
        <w:ind w:firstLine="708"/>
        <w:jc w:val="both"/>
        <w:rPr>
          <w:rFonts w:ascii="Arial Narrow" w:hAnsi="Arial Narrow"/>
          <w:i/>
          <w:sz w:val="26"/>
          <w:szCs w:val="26"/>
        </w:rPr>
      </w:pPr>
      <w:r w:rsidRPr="00C40F0B">
        <w:rPr>
          <w:rFonts w:ascii="Arial Narrow" w:hAnsi="Arial Narrow"/>
          <w:i/>
          <w:szCs w:val="26"/>
        </w:rPr>
        <w:t>El resultado es que el retorno promedio en pesos de los fondos privados de pensiones entre 1994 (año en que entraron en funcionamiento) y 2017 fue de un 11,80% anual. Por otro lado, la estrategia alternativa dio (también en pesos) un retorno del 12,76% anual. O sea, si uno contribuyó 10 millones a principios de 1994 a un fondo colombiano, a finales de 2017 tenía 145 millones, mientras que con la estrategia alternativa la inversión inicial se habría convertido en 178 millones. Más aún, si uno hubiera podido seguir una estrategia de mayor riesgo pero de todas formas razonable (es decir, invertir el 100% en el S&amp;P500), hoy tendría 337 millones”</w:t>
      </w:r>
      <w:r w:rsidRPr="00F57940">
        <w:rPr>
          <w:rFonts w:ascii="Arial Narrow" w:hAnsi="Arial Narrow"/>
          <w:i/>
          <w:sz w:val="26"/>
          <w:szCs w:val="26"/>
        </w:rPr>
        <w:t xml:space="preserve"> </w:t>
      </w:r>
      <w:r w:rsidRPr="00F57940">
        <w:rPr>
          <w:rFonts w:ascii="Arial Narrow" w:hAnsi="Arial Narrow"/>
          <w:sz w:val="26"/>
          <w:szCs w:val="26"/>
        </w:rPr>
        <w:t>(Luis Carlos Reyes Ph. D., profesor universitario de Economía, en su publicación en el diario  El Espectador, el 10 de mayo de 2018)</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Sinespaciado"/>
        <w:spacing w:line="288" w:lineRule="auto"/>
        <w:ind w:firstLine="708"/>
        <w:jc w:val="both"/>
        <w:rPr>
          <w:rFonts w:ascii="Arial Narrow" w:hAnsi="Arial Narrow" w:cs="Segoe UI"/>
          <w:sz w:val="26"/>
          <w:szCs w:val="26"/>
          <w:shd w:val="clear" w:color="auto" w:fill="FFFFFF"/>
        </w:rPr>
      </w:pPr>
      <w:r w:rsidRPr="00F57940">
        <w:rPr>
          <w:rFonts w:ascii="Arial Narrow" w:hAnsi="Arial Narrow" w:cs="Segoe UI"/>
          <w:sz w:val="26"/>
          <w:szCs w:val="26"/>
          <w:shd w:val="clear" w:color="auto" w:fill="FFFFFF"/>
        </w:rPr>
        <w:t>Sin que las diferencias advertidas en uno u otro régimen pensional, se deba a los bajones en el mercado de valores, por cuanto, como lo refiere otro de los especialistas: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C40F0B">
      <w:pPr>
        <w:autoSpaceDE w:val="0"/>
        <w:autoSpaceDN w:val="0"/>
        <w:adjustRightInd w:val="0"/>
        <w:ind w:firstLine="709"/>
        <w:jc w:val="both"/>
        <w:rPr>
          <w:rFonts w:ascii="Arial Narrow" w:hAnsi="Arial Narrow" w:cs="Comic Sans MS"/>
          <w:sz w:val="26"/>
          <w:szCs w:val="26"/>
        </w:rPr>
      </w:pPr>
      <w:r w:rsidRPr="00C40F0B">
        <w:rPr>
          <w:rFonts w:ascii="Arial Narrow" w:hAnsi="Arial Narrow"/>
          <w:i/>
          <w:szCs w:val="26"/>
        </w:rPr>
        <w:t xml:space="preserve">“Con la misma velocidad con que cayeron las cotizaciones cambiarias temporalmente, en los meses posteriores se han recuperado hacia sus valores más fundamentales. De esta manera, la tendencia debería ser hacia retornos reales positivos del orden del 4 al 6 % anual en las pensiones obligatorias (donde cabe aclarar que se trata de valores netos de la inflación y de los pagos que se hacen a las AFP y a las aseguradoras, siendo estos pagos iguales a los que se hacen en el régimen público de Colpensiones). </w:t>
      </w:r>
      <w:r w:rsidRPr="00C40F0B">
        <w:rPr>
          <w:rFonts w:ascii="MS Gothic" w:eastAsia="MS Gothic" w:hAnsi="MS Gothic" w:cs="MS Gothic" w:hint="eastAsia"/>
          <w:i/>
          <w:szCs w:val="26"/>
        </w:rPr>
        <w:t>  </w:t>
      </w:r>
      <w:r w:rsidRPr="00C40F0B">
        <w:rPr>
          <w:rFonts w:ascii="Arial Narrow" w:hAnsi="Arial Narrow"/>
          <w:i/>
          <w:szCs w:val="26"/>
        </w:rPr>
        <w:t>M</w:t>
      </w:r>
      <w:r w:rsidRPr="00C40F0B">
        <w:rPr>
          <w:rFonts w:ascii="Arial Narrow" w:hAnsi="Arial Narrow" w:cs="Arial Narrow"/>
          <w:i/>
          <w:szCs w:val="26"/>
        </w:rPr>
        <w:t>á</w:t>
      </w:r>
      <w:r w:rsidRPr="00C40F0B">
        <w:rPr>
          <w:rFonts w:ascii="Arial Narrow" w:hAnsi="Arial Narrow"/>
          <w:i/>
          <w:szCs w:val="26"/>
        </w:rPr>
        <w:t>s a</w:t>
      </w:r>
      <w:r w:rsidRPr="00C40F0B">
        <w:rPr>
          <w:rFonts w:ascii="Arial Narrow" w:hAnsi="Arial Narrow" w:cs="Arial Narrow"/>
          <w:i/>
          <w:szCs w:val="26"/>
        </w:rPr>
        <w:t>ú</w:t>
      </w:r>
      <w:r w:rsidRPr="00C40F0B">
        <w:rPr>
          <w:rFonts w:ascii="Arial Narrow" w:hAnsi="Arial Narrow"/>
          <w:i/>
          <w:szCs w:val="26"/>
        </w:rPr>
        <w:t>n, durante el periodo de vigencia del ahorro privado pensional en Colombia (1995-2018), el retorno real hist</w:t>
      </w:r>
      <w:r w:rsidRPr="00C40F0B">
        <w:rPr>
          <w:rFonts w:ascii="Arial Narrow" w:hAnsi="Arial Narrow" w:cs="Arial Narrow"/>
          <w:i/>
          <w:szCs w:val="26"/>
        </w:rPr>
        <w:t>ó</w:t>
      </w:r>
      <w:r w:rsidRPr="00C40F0B">
        <w:rPr>
          <w:rFonts w:ascii="Arial Narrow" w:hAnsi="Arial Narrow"/>
          <w:i/>
          <w:szCs w:val="26"/>
        </w:rPr>
        <w:t xml:space="preserve">rico ha sido un satisfactorio 8 % anual, lo cual ha permitido ofrecer una tasa de reemplazo </w:t>
      </w:r>
      <w:proofErr w:type="gramStart"/>
      <w:r w:rsidRPr="00C40F0B">
        <w:rPr>
          <w:rFonts w:ascii="Arial Narrow" w:hAnsi="Arial Narrow"/>
          <w:i/>
          <w:szCs w:val="26"/>
        </w:rPr>
        <w:t>( TR</w:t>
      </w:r>
      <w:proofErr w:type="gramEnd"/>
      <w:r w:rsidRPr="00C40F0B">
        <w:rPr>
          <w:rFonts w:ascii="Arial Narrow" w:hAnsi="Arial Narrow"/>
          <w:i/>
          <w:szCs w:val="26"/>
        </w:rPr>
        <w:t xml:space="preserve"> = pensión / contribución) con valores del 50 %-60 % (similares a las observadas en países de la Ocde) y sin generar ningún tipo de faltantes fiscales”. </w:t>
      </w:r>
      <w:r w:rsidRPr="00F57940">
        <w:rPr>
          <w:rFonts w:ascii="Arial Narrow" w:hAnsi="Arial Narrow"/>
          <w:i/>
          <w:sz w:val="26"/>
          <w:szCs w:val="26"/>
        </w:rPr>
        <w:t>(Sergio Clavijo, Director de Anif, 27 de mayo de 2018 publicación del diario El Espectador).</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Sinespaciado"/>
        <w:spacing w:line="288" w:lineRule="auto"/>
        <w:ind w:firstLine="708"/>
        <w:jc w:val="both"/>
        <w:rPr>
          <w:rFonts w:ascii="Arial Narrow" w:hAnsi="Arial Narrow" w:cs="Arial"/>
          <w:color w:val="000000"/>
          <w:sz w:val="26"/>
          <w:szCs w:val="26"/>
          <w:shd w:val="clear" w:color="auto" w:fill="FFFFFF"/>
        </w:rPr>
      </w:pPr>
      <w:r w:rsidRPr="00F57940">
        <w:rPr>
          <w:rFonts w:ascii="Arial Narrow" w:hAnsi="Arial Narrow" w:cs="Segoe UI"/>
          <w:color w:val="212121"/>
          <w:sz w:val="26"/>
          <w:szCs w:val="26"/>
        </w:rPr>
        <w:t>De lo anterior, se</w:t>
      </w:r>
      <w:r w:rsidRPr="00F57940">
        <w:rPr>
          <w:rFonts w:ascii="Arial Narrow" w:hAnsi="Arial Narrow" w:cs="Segoe UI"/>
          <w:color w:val="212121"/>
          <w:sz w:val="26"/>
          <w:szCs w:val="26"/>
          <w:shd w:val="clear" w:color="auto" w:fill="FFFFFF"/>
        </w:rPr>
        <w:t xml:space="preserve"> concluye, entonces, que a la actora no se le brindó la información </w:t>
      </w:r>
      <w:r w:rsidRPr="00F57940">
        <w:rPr>
          <w:rFonts w:ascii="Arial Narrow" w:hAnsi="Arial Narrow" w:cs="Arial"/>
          <w:color w:val="000000"/>
          <w:sz w:val="26"/>
          <w:szCs w:val="26"/>
          <w:shd w:val="clear" w:color="auto" w:fill="FFFFFF"/>
        </w:rPr>
        <w:t xml:space="preserve">suficiente respecto a lo que más le convenía, a fin de que tomara una decisión razonada; que no se le proporcionó una adecuada orientación de lo más benéfico a su situación pensional, ilustrándola en forma suficiente y dando a conocer las diferentes alternativas, documentándola sobre los efectos que acarreaba el cambio de régimen, todo lo anterior en ejercicio del deber de información y, de buen consejo que le asiste a las entidades administradoras.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709"/>
        <w:jc w:val="both"/>
        <w:rPr>
          <w:rFonts w:ascii="Arial Narrow" w:hAnsi="Arial Narrow" w:cs="Estrangelo Edessa"/>
          <w:sz w:val="26"/>
          <w:szCs w:val="26"/>
          <w:lang w:val="es-CO"/>
        </w:rPr>
      </w:pPr>
      <w:r w:rsidRPr="00F57940">
        <w:rPr>
          <w:rFonts w:ascii="Arial Narrow" w:hAnsi="Arial Narrow" w:cs="Arial"/>
          <w:sz w:val="26"/>
          <w:szCs w:val="26"/>
        </w:rPr>
        <w:t xml:space="preserve">Por ende, </w:t>
      </w:r>
      <w:r w:rsidRPr="00F57940">
        <w:rPr>
          <w:rFonts w:ascii="Arial Narrow" w:hAnsi="Arial Narrow" w:cs="Estrangelo Edessa"/>
          <w:sz w:val="26"/>
          <w:szCs w:val="26"/>
          <w:lang w:val="es-CO"/>
        </w:rPr>
        <w:t>prospera el recurso de apelación propuesto en ese sentido, por lo que se revocará la decisión de primer grado, para en su lugar, declarar la ineficacia del traslado de régimen pensional efectuado por la actora en el año 1996, con la consecuencia ineludible de mantener válida y sin solución de continuidad la afiliación en el régimen de prima media, administrado actualmente por Colpensiones.</w:t>
      </w:r>
    </w:p>
    <w:p w:rsidR="009938A6" w:rsidRPr="00F57940" w:rsidRDefault="009938A6" w:rsidP="00F57940">
      <w:pPr>
        <w:pStyle w:val="Sinespaciado"/>
        <w:spacing w:line="288" w:lineRule="auto"/>
        <w:rPr>
          <w:rFonts w:ascii="Arial Narrow" w:hAnsi="Arial Narrow"/>
          <w:sz w:val="26"/>
          <w:szCs w:val="26"/>
          <w:lang w:val="es-CO"/>
        </w:rPr>
      </w:pPr>
    </w:p>
    <w:p w:rsidR="009938A6" w:rsidRPr="00F57940" w:rsidRDefault="009938A6" w:rsidP="00F57940">
      <w:pPr>
        <w:spacing w:line="288" w:lineRule="auto"/>
        <w:ind w:firstLine="708"/>
        <w:jc w:val="both"/>
        <w:rPr>
          <w:rFonts w:ascii="Arial Narrow" w:hAnsi="Arial Narrow" w:cs="Arial"/>
          <w:color w:val="000000"/>
          <w:sz w:val="26"/>
          <w:szCs w:val="26"/>
          <w:shd w:val="clear" w:color="auto" w:fill="FFFFFF"/>
        </w:rPr>
      </w:pPr>
      <w:r w:rsidRPr="00F57940">
        <w:rPr>
          <w:rFonts w:ascii="Arial Narrow" w:hAnsi="Arial Narrow" w:cs="Estrangelo Edessa"/>
          <w:sz w:val="26"/>
          <w:szCs w:val="26"/>
          <w:lang w:val="es-CO"/>
        </w:rPr>
        <w:t xml:space="preserve">En consecuencia, se ordenará a la AFP </w:t>
      </w:r>
      <w:r w:rsidRPr="00F57940">
        <w:rPr>
          <w:rFonts w:ascii="Arial Narrow" w:hAnsi="Arial Narrow" w:cs="Arial"/>
          <w:sz w:val="26"/>
          <w:szCs w:val="26"/>
        </w:rPr>
        <w:t xml:space="preserve">Porvenir S.A., entidad administradora a la cual actualmente se encuentra afiliada la actora, que en el término de un (1) mes </w:t>
      </w:r>
      <w:r w:rsidRPr="00F57940">
        <w:rPr>
          <w:rFonts w:ascii="Arial Narrow" w:hAnsi="Arial Narrow" w:cs="Arial"/>
          <w:bCs/>
          <w:sz w:val="26"/>
          <w:szCs w:val="26"/>
        </w:rPr>
        <w:t>contado a partir de la ejecutoria de esta providencia, proceda a trasladar</w:t>
      </w:r>
      <w:r w:rsidRPr="00F57940">
        <w:rPr>
          <w:rFonts w:ascii="Arial Narrow" w:hAnsi="Arial Narrow" w:cs="Arial"/>
          <w:b/>
          <w:bCs/>
          <w:sz w:val="26"/>
          <w:szCs w:val="26"/>
        </w:rPr>
        <w:t xml:space="preserve"> </w:t>
      </w:r>
      <w:r w:rsidRPr="00F57940">
        <w:rPr>
          <w:rFonts w:ascii="Arial Narrow" w:hAnsi="Arial Narrow" w:cs="Arial"/>
          <w:color w:val="000000"/>
          <w:sz w:val="26"/>
          <w:szCs w:val="26"/>
          <w:shd w:val="clear" w:color="auto" w:fill="FFFFFF"/>
        </w:rPr>
        <w:t xml:space="preserve">los saldos, cotizaciones, bonos pensionales, sumas adicionales, junto con sus respectivos frutos e intereses, a la Administradora Colombiana de Pensiones Colpensiones.  Y a esta última entidad, a </w:t>
      </w:r>
      <w:r w:rsidRPr="00F57940">
        <w:rPr>
          <w:rFonts w:ascii="Arial Narrow" w:hAnsi="Arial Narrow"/>
          <w:sz w:val="26"/>
          <w:szCs w:val="26"/>
        </w:rPr>
        <w:t xml:space="preserve">aceptar traslado de la señora Victoria Eugenia Echeverry </w:t>
      </w:r>
      <w:proofErr w:type="spellStart"/>
      <w:r w:rsidRPr="00F57940">
        <w:rPr>
          <w:rFonts w:ascii="Arial Narrow" w:hAnsi="Arial Narrow"/>
          <w:sz w:val="26"/>
          <w:szCs w:val="26"/>
        </w:rPr>
        <w:t>Sarrazola</w:t>
      </w:r>
      <w:proofErr w:type="spellEnd"/>
      <w:r w:rsidRPr="00F57940">
        <w:rPr>
          <w:rFonts w:ascii="Arial Narrow" w:hAnsi="Arial Narrow"/>
          <w:sz w:val="26"/>
          <w:szCs w:val="26"/>
        </w:rPr>
        <w:t>, del régimen de ahorro individual, al de prima media con prestación definida, una vez cumplido lo anterior.</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
        <w:spacing w:line="288" w:lineRule="auto"/>
        <w:ind w:firstLine="708"/>
        <w:rPr>
          <w:rFonts w:ascii="Arial Narrow" w:hAnsi="Arial Narrow" w:cs="Arial"/>
          <w:color w:val="000000"/>
          <w:szCs w:val="26"/>
          <w:shd w:val="clear" w:color="auto" w:fill="FFFFFF"/>
          <w:lang w:val="es-ES"/>
        </w:rPr>
      </w:pPr>
      <w:r w:rsidRPr="00F57940">
        <w:rPr>
          <w:rFonts w:ascii="Arial Narrow" w:hAnsi="Arial Narrow" w:cs="Arial"/>
          <w:color w:val="000000"/>
          <w:szCs w:val="26"/>
          <w:shd w:val="clear" w:color="auto" w:fill="FFFFFF"/>
          <w:lang w:val="es-ES"/>
        </w:rPr>
        <w:t xml:space="preserve">Con lo expuesto, queda resuelto en su integridad el punto de inconformidad propuesto por la recurrente. </w:t>
      </w:r>
    </w:p>
    <w:p w:rsidR="009938A6" w:rsidRPr="00F57940" w:rsidRDefault="009938A6" w:rsidP="00F57940">
      <w:pPr>
        <w:pStyle w:val="Sinespaciado"/>
        <w:spacing w:line="288" w:lineRule="auto"/>
        <w:rPr>
          <w:rFonts w:ascii="Arial Narrow" w:hAnsi="Arial Narrow"/>
          <w:sz w:val="26"/>
          <w:szCs w:val="26"/>
          <w:shd w:val="clear" w:color="auto" w:fill="FFFFFF"/>
        </w:rPr>
      </w:pPr>
    </w:p>
    <w:p w:rsidR="009938A6" w:rsidRPr="00F57940" w:rsidRDefault="009938A6" w:rsidP="00F57940">
      <w:pPr>
        <w:autoSpaceDE w:val="0"/>
        <w:autoSpaceDN w:val="0"/>
        <w:adjustRightInd w:val="0"/>
        <w:spacing w:line="288" w:lineRule="auto"/>
        <w:ind w:firstLine="708"/>
        <w:jc w:val="both"/>
        <w:rPr>
          <w:rFonts w:ascii="Arial Narrow" w:hAnsi="Arial Narrow" w:cs="Arial"/>
          <w:color w:val="000000"/>
          <w:sz w:val="26"/>
          <w:szCs w:val="26"/>
          <w:shd w:val="clear" w:color="auto" w:fill="FFFFFF"/>
        </w:rPr>
      </w:pPr>
      <w:r w:rsidRPr="00F57940">
        <w:rPr>
          <w:rFonts w:ascii="Arial Narrow" w:hAnsi="Arial Narrow" w:cs="Comic Sans MS"/>
          <w:sz w:val="26"/>
          <w:szCs w:val="26"/>
        </w:rPr>
        <w:t xml:space="preserve">Por último, en cuanto a las excepciones propuestas, solicita la AFP demandada la aplicación </w:t>
      </w:r>
      <w:r w:rsidRPr="00F57940">
        <w:rPr>
          <w:rFonts w:ascii="Arial Narrow" w:hAnsi="Arial Narrow"/>
          <w:sz w:val="26"/>
          <w:szCs w:val="26"/>
        </w:rPr>
        <w:t xml:space="preserve">del artículo 1750 del Código Civil, cuyo contenido establece que el plazo para interponer la acción rescisoria del acto o contrato es de máximo cuatro años contados a partir de la celebración del mismo. Al respecto, resulta imperativo recordar que, esta Sala ha venido sosteniendo que tal disposición es improcedente en materia de seguridad social, como quiera que el término </w:t>
      </w:r>
      <w:proofErr w:type="spellStart"/>
      <w:r w:rsidRPr="00F57940">
        <w:rPr>
          <w:rFonts w:ascii="Arial Narrow" w:hAnsi="Arial Narrow" w:cs="Arial"/>
          <w:color w:val="000000"/>
          <w:sz w:val="26"/>
          <w:szCs w:val="26"/>
          <w:shd w:val="clear" w:color="auto" w:fill="FFFFFF"/>
        </w:rPr>
        <w:t>preclusivo</w:t>
      </w:r>
      <w:proofErr w:type="spellEnd"/>
      <w:r w:rsidRPr="00F57940">
        <w:rPr>
          <w:rFonts w:ascii="Arial Narrow" w:hAnsi="Arial Narrow" w:cs="Arial"/>
          <w:color w:val="000000"/>
          <w:sz w:val="26"/>
          <w:szCs w:val="26"/>
          <w:shd w:val="clear" w:color="auto" w:fill="FFFFFF"/>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w:t>
      </w:r>
    </w:p>
    <w:p w:rsidR="009938A6" w:rsidRPr="00F57940" w:rsidRDefault="009938A6" w:rsidP="00F57940">
      <w:pPr>
        <w:pStyle w:val="Sinespaciado"/>
        <w:spacing w:line="288" w:lineRule="auto"/>
        <w:rPr>
          <w:rFonts w:ascii="Arial Narrow" w:hAnsi="Arial Narrow"/>
          <w:sz w:val="26"/>
          <w:szCs w:val="26"/>
          <w:shd w:val="clear" w:color="auto" w:fill="FFFFFF"/>
        </w:rPr>
      </w:pPr>
    </w:p>
    <w:p w:rsidR="009938A6" w:rsidRPr="00F57940" w:rsidRDefault="009938A6" w:rsidP="00F57940">
      <w:pPr>
        <w:pStyle w:val="Textoindependiente31"/>
        <w:spacing w:line="288" w:lineRule="auto"/>
        <w:ind w:firstLine="708"/>
        <w:rPr>
          <w:rFonts w:ascii="Arial Narrow" w:hAnsi="Arial Narrow" w:cs="Arial"/>
          <w:color w:val="000000"/>
          <w:sz w:val="26"/>
          <w:szCs w:val="26"/>
          <w:shd w:val="clear" w:color="auto" w:fill="FFFFFF"/>
          <w:lang w:val="es-ES"/>
        </w:rPr>
      </w:pPr>
      <w:r w:rsidRPr="00F57940">
        <w:rPr>
          <w:rFonts w:ascii="Arial Narrow" w:hAnsi="Arial Narrow" w:cs="Arial"/>
          <w:color w:val="000000"/>
          <w:sz w:val="26"/>
          <w:szCs w:val="26"/>
          <w:shd w:val="clear" w:color="auto" w:fill="FFFFFF"/>
          <w:lang w:val="es-ES"/>
        </w:rPr>
        <w:t>Lo anterior, aunado a que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lit.b) y el precepto 271 de la Ley 100/93, por lo que equivocada resulta la invocación de la disposición que no toca con la ineficacia, sino con el régimen de nulidades, que acorde con la jurisprudencia actual no se edifica en el vicio atinente a la falta de información veraz y oportuna a cargo de las administradoras de pensiones.</w:t>
      </w:r>
    </w:p>
    <w:p w:rsidR="009938A6" w:rsidRPr="00F57940" w:rsidRDefault="009938A6" w:rsidP="00F57940">
      <w:pPr>
        <w:pStyle w:val="Sinespaciado"/>
        <w:spacing w:line="288" w:lineRule="auto"/>
        <w:rPr>
          <w:rFonts w:ascii="Arial Narrow" w:hAnsi="Arial Narrow"/>
          <w:sz w:val="26"/>
          <w:szCs w:val="26"/>
        </w:rPr>
      </w:pPr>
      <w:r w:rsidRPr="00F57940">
        <w:rPr>
          <w:rFonts w:ascii="Arial Narrow" w:hAnsi="Arial Narrow"/>
          <w:sz w:val="26"/>
          <w:szCs w:val="26"/>
          <w:shd w:val="clear" w:color="auto" w:fill="FFFFFF"/>
        </w:rPr>
        <w:t xml:space="preserve"> </w:t>
      </w:r>
    </w:p>
    <w:p w:rsidR="009938A6" w:rsidRPr="00F57940" w:rsidRDefault="009938A6" w:rsidP="00F57940">
      <w:pPr>
        <w:pStyle w:val="Textoindependiente31"/>
        <w:spacing w:line="288" w:lineRule="auto"/>
        <w:ind w:firstLine="708"/>
        <w:rPr>
          <w:rFonts w:ascii="Arial Narrow" w:hAnsi="Arial Narrow" w:cs="Arial"/>
          <w:color w:val="000000"/>
          <w:sz w:val="26"/>
          <w:szCs w:val="26"/>
          <w:shd w:val="clear" w:color="auto" w:fill="FFFFFF"/>
          <w:lang w:val="es-ES"/>
        </w:rPr>
      </w:pPr>
      <w:r w:rsidRPr="00F57940">
        <w:rPr>
          <w:rFonts w:ascii="Arial Narrow" w:hAnsi="Arial Narrow" w:cs="Arial"/>
          <w:color w:val="000000"/>
          <w:sz w:val="26"/>
          <w:szCs w:val="26"/>
          <w:shd w:val="clear" w:color="auto" w:fill="FFFFFF"/>
          <w:lang w:val="es-ES"/>
        </w:rPr>
        <w:t>Con lo dicho, quedan implícitamente resueltos los demás medios exceptivos.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spacing w:line="288" w:lineRule="auto"/>
        <w:ind w:firstLine="708"/>
        <w:rPr>
          <w:rFonts w:ascii="Arial Narrow" w:hAnsi="Arial Narrow" w:cs="Arial"/>
          <w:sz w:val="26"/>
          <w:szCs w:val="26"/>
          <w:lang w:val="es-ES"/>
        </w:rPr>
      </w:pPr>
      <w:r w:rsidRPr="00F57940">
        <w:rPr>
          <w:rFonts w:ascii="Arial Narrow" w:hAnsi="Arial Narrow" w:cs="Arial"/>
          <w:sz w:val="26"/>
          <w:szCs w:val="26"/>
          <w:lang w:val="es-ES"/>
        </w:rPr>
        <w:t xml:space="preserve">Las costas en ambas instancias estarán a cargo de Porvenir SA y en favor de la demandante. </w:t>
      </w:r>
    </w:p>
    <w:p w:rsidR="009938A6" w:rsidRPr="00F57940" w:rsidRDefault="009938A6" w:rsidP="00F57940">
      <w:pPr>
        <w:pStyle w:val="Sinespaciado"/>
        <w:spacing w:line="288" w:lineRule="auto"/>
        <w:rPr>
          <w:rFonts w:ascii="Arial Narrow" w:hAnsi="Arial Narrow"/>
          <w:sz w:val="26"/>
          <w:szCs w:val="26"/>
        </w:rPr>
      </w:pPr>
    </w:p>
    <w:p w:rsidR="009938A6" w:rsidRDefault="009938A6" w:rsidP="00F57940">
      <w:pPr>
        <w:pStyle w:val="Prrafodelista1"/>
        <w:spacing w:after="0" w:line="288" w:lineRule="auto"/>
        <w:ind w:left="0" w:firstLine="709"/>
        <w:jc w:val="both"/>
        <w:rPr>
          <w:rFonts w:ascii="Arial Narrow" w:hAnsi="Arial Narrow"/>
          <w:sz w:val="26"/>
          <w:szCs w:val="26"/>
        </w:rPr>
      </w:pPr>
      <w:r w:rsidRPr="00F57940">
        <w:rPr>
          <w:rFonts w:ascii="Arial Narrow" w:hAnsi="Arial Narrow"/>
          <w:sz w:val="26"/>
          <w:szCs w:val="26"/>
        </w:rPr>
        <w:t xml:space="preserve">En mérito de lo expuesto, el </w:t>
      </w:r>
      <w:r w:rsidRPr="00F57940">
        <w:rPr>
          <w:rFonts w:ascii="Arial Narrow" w:hAnsi="Arial Narrow"/>
          <w:i/>
          <w:sz w:val="26"/>
          <w:szCs w:val="26"/>
        </w:rPr>
        <w:t>Tribunal Superior del Distrito Judicial de Pereira - Risaralda, Sala Tercera de Decisión Laboral,</w:t>
      </w:r>
      <w:r w:rsidRPr="00F57940">
        <w:rPr>
          <w:rFonts w:ascii="Arial Narrow" w:hAnsi="Arial Narrow"/>
          <w:sz w:val="26"/>
          <w:szCs w:val="26"/>
        </w:rPr>
        <w:t xml:space="preserve"> administrando justicia en nombre de la República y por autoridad de la ley,</w:t>
      </w:r>
    </w:p>
    <w:p w:rsidR="00C40F0B" w:rsidRPr="00F57940" w:rsidRDefault="00C40F0B" w:rsidP="00F57940">
      <w:pPr>
        <w:pStyle w:val="Prrafodelista1"/>
        <w:spacing w:after="0" w:line="288" w:lineRule="auto"/>
        <w:ind w:left="0" w:firstLine="709"/>
        <w:jc w:val="both"/>
        <w:rPr>
          <w:rFonts w:ascii="Arial Narrow" w:hAnsi="Arial Narrow"/>
          <w:sz w:val="26"/>
          <w:szCs w:val="26"/>
        </w:rPr>
      </w:pPr>
    </w:p>
    <w:p w:rsidR="009938A6" w:rsidRPr="00F57940" w:rsidRDefault="009938A6" w:rsidP="00F57940">
      <w:pPr>
        <w:spacing w:line="288" w:lineRule="auto"/>
        <w:jc w:val="center"/>
        <w:rPr>
          <w:rFonts w:ascii="Arial Narrow" w:hAnsi="Arial Narrow" w:cs="Arial"/>
          <w:b/>
          <w:sz w:val="26"/>
          <w:szCs w:val="26"/>
        </w:rPr>
      </w:pPr>
      <w:r w:rsidRPr="00F57940">
        <w:rPr>
          <w:rFonts w:ascii="Arial Narrow" w:hAnsi="Arial Narrow" w:cs="Arial"/>
          <w:b/>
          <w:sz w:val="26"/>
          <w:szCs w:val="26"/>
        </w:rPr>
        <w:t>FALLA</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tabs>
          <w:tab w:val="left" w:pos="709"/>
        </w:tabs>
        <w:spacing w:line="288" w:lineRule="auto"/>
        <w:rPr>
          <w:rFonts w:ascii="Arial Narrow" w:hAnsi="Arial Narrow" w:cs="Arial"/>
          <w:sz w:val="26"/>
          <w:szCs w:val="26"/>
        </w:rPr>
      </w:pPr>
      <w:r w:rsidRPr="00F57940">
        <w:rPr>
          <w:rFonts w:ascii="Arial Narrow" w:hAnsi="Arial Narrow" w:cs="Arial"/>
          <w:b/>
          <w:spacing w:val="-2"/>
          <w:sz w:val="26"/>
          <w:szCs w:val="26"/>
        </w:rPr>
        <w:lastRenderedPageBreak/>
        <w:tab/>
        <w:t xml:space="preserve">Revocar </w:t>
      </w:r>
      <w:r w:rsidRPr="00F57940">
        <w:rPr>
          <w:rFonts w:ascii="Arial Narrow" w:hAnsi="Arial Narrow" w:cs="Arial"/>
          <w:spacing w:val="-2"/>
          <w:sz w:val="26"/>
          <w:szCs w:val="26"/>
        </w:rPr>
        <w:t>la sentencia pr</w:t>
      </w:r>
      <w:r w:rsidRPr="00F57940">
        <w:rPr>
          <w:rFonts w:ascii="Arial Narrow" w:hAnsi="Arial Narrow" w:cs="Arial"/>
          <w:sz w:val="26"/>
          <w:szCs w:val="26"/>
        </w:rPr>
        <w:t xml:space="preserve">oferida el 7 de febrero de 2018 por el Juzgado Segundo  Laboral del Circuito de Pereira, dentro del proceso ordinario laboral de la referencia, para en su lugar: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tabs>
          <w:tab w:val="left" w:pos="709"/>
        </w:tabs>
        <w:spacing w:line="288" w:lineRule="auto"/>
        <w:rPr>
          <w:rFonts w:ascii="Arial Narrow" w:hAnsi="Arial Narrow" w:cs="Arial"/>
          <w:bCs/>
          <w:sz w:val="26"/>
          <w:szCs w:val="26"/>
        </w:rPr>
      </w:pPr>
      <w:r w:rsidRPr="00F57940">
        <w:rPr>
          <w:rFonts w:ascii="Arial Narrow" w:hAnsi="Arial Narrow" w:cs="Arial"/>
          <w:b/>
          <w:sz w:val="26"/>
          <w:szCs w:val="26"/>
        </w:rPr>
        <w:tab/>
        <w:t xml:space="preserve">1. </w:t>
      </w:r>
      <w:r w:rsidRPr="00F57940">
        <w:rPr>
          <w:rFonts w:ascii="Arial Narrow" w:hAnsi="Arial Narrow" w:cs="Arial"/>
          <w:b/>
          <w:bCs/>
          <w:sz w:val="26"/>
          <w:szCs w:val="26"/>
        </w:rPr>
        <w:t>Declara</w:t>
      </w:r>
      <w:r w:rsidRPr="00F57940">
        <w:rPr>
          <w:rFonts w:ascii="Arial Narrow" w:hAnsi="Arial Narrow" w:cs="Arial"/>
          <w:bCs/>
          <w:sz w:val="26"/>
          <w:szCs w:val="26"/>
        </w:rPr>
        <w:t xml:space="preserve">r la ineficacia del traslado que la señora Victoria Eugenia Echeverry </w:t>
      </w:r>
      <w:proofErr w:type="spellStart"/>
      <w:r w:rsidRPr="00F57940">
        <w:rPr>
          <w:rFonts w:ascii="Arial Narrow" w:hAnsi="Arial Narrow" w:cs="Arial"/>
          <w:bCs/>
          <w:sz w:val="26"/>
          <w:szCs w:val="26"/>
        </w:rPr>
        <w:t>Sarrazola</w:t>
      </w:r>
      <w:proofErr w:type="spellEnd"/>
      <w:r w:rsidRPr="00F57940">
        <w:rPr>
          <w:rFonts w:ascii="Arial Narrow" w:hAnsi="Arial Narrow" w:cs="Arial"/>
          <w:bCs/>
          <w:sz w:val="26"/>
          <w:szCs w:val="26"/>
        </w:rPr>
        <w:t xml:space="preserve"> efectuó al RAIS a través de la AFP Invertir Futuro Pensiones hoy Porvenir S.A.</w:t>
      </w:r>
      <w:r w:rsidRPr="00F57940">
        <w:rPr>
          <w:rFonts w:ascii="Arial Narrow" w:hAnsi="Arial Narrow" w:cs="Arial"/>
          <w:b/>
          <w:bCs/>
          <w:sz w:val="26"/>
          <w:szCs w:val="26"/>
        </w:rPr>
        <w:t xml:space="preserve"> </w:t>
      </w:r>
      <w:r w:rsidRPr="00F57940">
        <w:rPr>
          <w:rFonts w:ascii="Arial Narrow" w:hAnsi="Arial Narrow" w:cs="Arial"/>
          <w:bCs/>
          <w:sz w:val="26"/>
          <w:szCs w:val="26"/>
        </w:rPr>
        <w:t xml:space="preserve">el </w:t>
      </w:r>
      <w:r w:rsidRPr="00F57940">
        <w:rPr>
          <w:rFonts w:ascii="Arial Narrow" w:hAnsi="Arial Narrow" w:cs="Tahoma"/>
          <w:sz w:val="26"/>
          <w:szCs w:val="26"/>
        </w:rPr>
        <w:t>7 de febrero de 1996</w:t>
      </w:r>
      <w:r w:rsidRPr="00F57940">
        <w:rPr>
          <w:rFonts w:ascii="Arial Narrow" w:hAnsi="Arial Narrow"/>
          <w:sz w:val="26"/>
          <w:szCs w:val="26"/>
        </w:rPr>
        <w:t xml:space="preserve">, </w:t>
      </w:r>
      <w:r w:rsidRPr="00F57940">
        <w:rPr>
          <w:rFonts w:ascii="Arial Narrow" w:hAnsi="Arial Narrow" w:cs="Arial"/>
          <w:bCs/>
          <w:sz w:val="26"/>
          <w:szCs w:val="26"/>
        </w:rPr>
        <w:t>dadas las consideraciones precedentes.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Textoindependiente31"/>
        <w:tabs>
          <w:tab w:val="left" w:pos="709"/>
        </w:tabs>
        <w:spacing w:line="288" w:lineRule="auto"/>
        <w:rPr>
          <w:rFonts w:ascii="Arial Narrow" w:hAnsi="Arial Narrow" w:cs="Arial"/>
          <w:bCs/>
          <w:sz w:val="26"/>
          <w:szCs w:val="26"/>
        </w:rPr>
      </w:pPr>
      <w:r w:rsidRPr="00F57940">
        <w:rPr>
          <w:rFonts w:ascii="Arial Narrow" w:hAnsi="Arial Narrow" w:cs="Arial"/>
          <w:bCs/>
          <w:sz w:val="26"/>
          <w:szCs w:val="26"/>
        </w:rPr>
        <w:tab/>
      </w:r>
      <w:r w:rsidRPr="00F57940">
        <w:rPr>
          <w:rFonts w:ascii="Arial Narrow" w:hAnsi="Arial Narrow" w:cs="Arial"/>
          <w:b/>
          <w:bCs/>
          <w:sz w:val="26"/>
          <w:szCs w:val="26"/>
        </w:rPr>
        <w:t xml:space="preserve">2. Ordenar </w:t>
      </w:r>
      <w:r w:rsidRPr="00F57940">
        <w:rPr>
          <w:rFonts w:ascii="Arial Narrow" w:hAnsi="Arial Narrow" w:cs="Arial"/>
          <w:bCs/>
          <w:sz w:val="26"/>
          <w:szCs w:val="26"/>
        </w:rPr>
        <w:t>a la AFP Porvenir S.A. que en el término improrrogable de un (1) mes contado a partir de la ejecutoria de esta providencia, proceda a trasladar</w:t>
      </w:r>
      <w:r w:rsidRPr="00F57940">
        <w:rPr>
          <w:rFonts w:ascii="Arial Narrow" w:hAnsi="Arial Narrow" w:cs="Arial"/>
          <w:b/>
          <w:bCs/>
          <w:sz w:val="26"/>
          <w:szCs w:val="26"/>
        </w:rPr>
        <w:t xml:space="preserve"> </w:t>
      </w:r>
      <w:r w:rsidRPr="00F57940">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 Colpensiones.</w:t>
      </w:r>
    </w:p>
    <w:p w:rsidR="009938A6" w:rsidRPr="00F57940" w:rsidRDefault="009938A6" w:rsidP="00F57940">
      <w:pPr>
        <w:pStyle w:val="Sinespaciado"/>
        <w:spacing w:line="288" w:lineRule="auto"/>
        <w:rPr>
          <w:rFonts w:ascii="Arial Narrow" w:hAnsi="Arial Narrow"/>
          <w:sz w:val="26"/>
          <w:szCs w:val="26"/>
          <w:shd w:val="clear" w:color="auto" w:fill="FFFFFF"/>
        </w:rPr>
      </w:pPr>
    </w:p>
    <w:p w:rsidR="009938A6" w:rsidRPr="00F57940" w:rsidRDefault="009938A6" w:rsidP="00F57940">
      <w:pPr>
        <w:spacing w:line="288" w:lineRule="auto"/>
        <w:ind w:firstLine="708"/>
        <w:jc w:val="both"/>
        <w:rPr>
          <w:rFonts w:ascii="Arial Narrow" w:hAnsi="Arial Narrow"/>
          <w:sz w:val="26"/>
          <w:szCs w:val="26"/>
        </w:rPr>
      </w:pPr>
      <w:r w:rsidRPr="00F57940">
        <w:rPr>
          <w:rFonts w:ascii="Arial Narrow" w:hAnsi="Arial Narrow" w:cs="Arial"/>
          <w:b/>
          <w:color w:val="000000"/>
          <w:sz w:val="26"/>
          <w:szCs w:val="26"/>
          <w:shd w:val="clear" w:color="auto" w:fill="FFFFFF"/>
        </w:rPr>
        <w:t>3. Ordenar</w:t>
      </w:r>
      <w:r w:rsidRPr="00F57940">
        <w:rPr>
          <w:rFonts w:ascii="Arial Narrow" w:hAnsi="Arial Narrow" w:cs="Arial"/>
          <w:color w:val="000000"/>
          <w:sz w:val="26"/>
          <w:szCs w:val="26"/>
          <w:shd w:val="clear" w:color="auto" w:fill="FFFFFF"/>
        </w:rPr>
        <w:t xml:space="preserve"> a la Administradora Colombiana de Pensiones - Colpensiones</w:t>
      </w:r>
      <w:r w:rsidRPr="00F57940">
        <w:rPr>
          <w:rFonts w:ascii="Arial Narrow" w:hAnsi="Arial Narrow"/>
          <w:sz w:val="26"/>
          <w:szCs w:val="26"/>
        </w:rPr>
        <w:t xml:space="preserve"> que una vez la AFP Protección </w:t>
      </w:r>
      <w:r w:rsidRPr="00F57940">
        <w:rPr>
          <w:rFonts w:ascii="Arial Narrow" w:hAnsi="Arial Narrow" w:cs="Arial"/>
          <w:bCs/>
          <w:sz w:val="26"/>
          <w:szCs w:val="26"/>
        </w:rPr>
        <w:t xml:space="preserve">S.A. </w:t>
      </w:r>
      <w:r w:rsidRPr="00F57940">
        <w:rPr>
          <w:rFonts w:ascii="Arial Narrow" w:hAnsi="Arial Narrow"/>
          <w:sz w:val="26"/>
          <w:szCs w:val="26"/>
        </w:rPr>
        <w:t xml:space="preserve">dé cumplimiento a lo dispuesto en el numeral anterior, proceda aceptar el traslado de </w:t>
      </w:r>
      <w:r w:rsidRPr="00F57940">
        <w:rPr>
          <w:rFonts w:ascii="Arial Narrow" w:hAnsi="Arial Narrow" w:cs="Arial"/>
          <w:bCs/>
          <w:sz w:val="26"/>
          <w:szCs w:val="26"/>
        </w:rPr>
        <w:t xml:space="preserve">Victoria Eugenia Echeverry </w:t>
      </w:r>
      <w:proofErr w:type="spellStart"/>
      <w:r w:rsidRPr="00F57940">
        <w:rPr>
          <w:rFonts w:ascii="Arial Narrow" w:hAnsi="Arial Narrow" w:cs="Arial"/>
          <w:bCs/>
          <w:sz w:val="26"/>
          <w:szCs w:val="26"/>
        </w:rPr>
        <w:t>Sarrazola</w:t>
      </w:r>
      <w:proofErr w:type="spellEnd"/>
      <w:r w:rsidRPr="00F57940">
        <w:rPr>
          <w:rFonts w:ascii="Arial Narrow" w:hAnsi="Arial Narrow"/>
          <w:sz w:val="26"/>
          <w:szCs w:val="26"/>
        </w:rPr>
        <w:t xml:space="preserve"> del régimen de ahorro individual, al de prima media con prestación definida, sin solución de continuidad desde el momento en que se afilió a este último régimen.</w:t>
      </w:r>
    </w:p>
    <w:p w:rsidR="009938A6" w:rsidRPr="00F57940" w:rsidRDefault="009938A6" w:rsidP="00F57940">
      <w:pPr>
        <w:pStyle w:val="Sinespaciado"/>
        <w:spacing w:line="288" w:lineRule="auto"/>
        <w:rPr>
          <w:rFonts w:ascii="Arial Narrow" w:hAnsi="Arial Narrow"/>
          <w:sz w:val="26"/>
          <w:szCs w:val="26"/>
        </w:rPr>
      </w:pPr>
      <w:r w:rsidRPr="00F57940">
        <w:rPr>
          <w:rFonts w:ascii="Arial Narrow" w:hAnsi="Arial Narrow"/>
          <w:sz w:val="26"/>
          <w:szCs w:val="26"/>
          <w:lang w:val="es-CO"/>
        </w:rPr>
        <w:t xml:space="preserve"> </w:t>
      </w:r>
    </w:p>
    <w:p w:rsidR="009938A6" w:rsidRPr="00F57940" w:rsidRDefault="009938A6" w:rsidP="00F57940">
      <w:pPr>
        <w:pStyle w:val="Textoindependiente31"/>
        <w:spacing w:line="288" w:lineRule="auto"/>
        <w:ind w:firstLine="708"/>
        <w:rPr>
          <w:rFonts w:ascii="Arial Narrow" w:hAnsi="Arial Narrow" w:cs="Arial"/>
          <w:sz w:val="26"/>
          <w:szCs w:val="26"/>
          <w:lang w:val="es-ES"/>
        </w:rPr>
      </w:pPr>
      <w:r w:rsidRPr="00F57940">
        <w:rPr>
          <w:rFonts w:ascii="Arial Narrow" w:hAnsi="Arial Narrow" w:cs="Microsoft Sans Serif"/>
          <w:b/>
          <w:bCs/>
          <w:iCs/>
          <w:sz w:val="26"/>
          <w:szCs w:val="26"/>
          <w:lang w:val="es-ES"/>
        </w:rPr>
        <w:t>4</w:t>
      </w:r>
      <w:r w:rsidRPr="00F57940">
        <w:rPr>
          <w:rFonts w:ascii="Arial Narrow" w:hAnsi="Arial Narrow" w:cs="Microsoft Sans Serif"/>
          <w:bCs/>
          <w:iCs/>
          <w:sz w:val="26"/>
          <w:szCs w:val="26"/>
          <w:lang w:val="es-ES"/>
        </w:rPr>
        <w:t>. Costas en</w:t>
      </w:r>
      <w:r w:rsidRPr="00F57940">
        <w:rPr>
          <w:rFonts w:ascii="Arial Narrow" w:hAnsi="Arial Narrow" w:cs="Microsoft Sans Serif"/>
          <w:bCs/>
          <w:i/>
          <w:iCs/>
          <w:sz w:val="26"/>
          <w:szCs w:val="26"/>
          <w:lang w:val="es-ES"/>
        </w:rPr>
        <w:t xml:space="preserve"> </w:t>
      </w:r>
      <w:r w:rsidRPr="00F57940">
        <w:rPr>
          <w:rFonts w:ascii="Arial Narrow" w:hAnsi="Arial Narrow" w:cs="Arial"/>
          <w:sz w:val="26"/>
          <w:szCs w:val="26"/>
          <w:lang w:val="es-ES"/>
        </w:rPr>
        <w:t xml:space="preserve">ambas instancias a cargo de Porvenir SA y en favor de la actora.  </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900"/>
        <w:jc w:val="both"/>
        <w:rPr>
          <w:rFonts w:ascii="Arial Narrow" w:hAnsi="Arial Narrow" w:cs="Microsoft Sans Serif"/>
          <w:bCs/>
          <w:iCs/>
          <w:sz w:val="26"/>
          <w:szCs w:val="26"/>
        </w:rPr>
      </w:pPr>
      <w:r w:rsidRPr="00F57940">
        <w:rPr>
          <w:rFonts w:ascii="Arial Narrow" w:hAnsi="Arial Narrow" w:cs="Microsoft Sans Serif"/>
          <w:bCs/>
          <w:iCs/>
          <w:sz w:val="26"/>
          <w:szCs w:val="26"/>
        </w:rPr>
        <w:t>La anterior decisión queda notificada en estrados.</w:t>
      </w: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pStyle w:val="Sinespaciado"/>
        <w:spacing w:line="288" w:lineRule="auto"/>
        <w:rPr>
          <w:rFonts w:ascii="Arial Narrow" w:hAnsi="Arial Narrow"/>
          <w:sz w:val="26"/>
          <w:szCs w:val="26"/>
        </w:rPr>
      </w:pPr>
    </w:p>
    <w:p w:rsidR="009938A6" w:rsidRPr="00F57940" w:rsidRDefault="009938A6" w:rsidP="00F57940">
      <w:pPr>
        <w:spacing w:line="288" w:lineRule="auto"/>
        <w:ind w:firstLine="900"/>
        <w:jc w:val="center"/>
        <w:rPr>
          <w:rFonts w:ascii="Arial Narrow" w:hAnsi="Arial Narrow" w:cs="Microsoft Sans Serif"/>
          <w:b/>
          <w:bCs/>
          <w:iCs/>
          <w:sz w:val="26"/>
          <w:szCs w:val="26"/>
        </w:rPr>
      </w:pPr>
    </w:p>
    <w:p w:rsidR="009938A6" w:rsidRPr="00F57940" w:rsidRDefault="009938A6" w:rsidP="00F57940">
      <w:pPr>
        <w:spacing w:line="288" w:lineRule="auto"/>
        <w:ind w:firstLine="900"/>
        <w:jc w:val="center"/>
        <w:rPr>
          <w:rFonts w:ascii="Arial Narrow" w:hAnsi="Arial Narrow" w:cs="Microsoft Sans Serif"/>
          <w:b/>
          <w:bCs/>
          <w:iCs/>
          <w:sz w:val="26"/>
          <w:szCs w:val="26"/>
        </w:rPr>
      </w:pPr>
      <w:r w:rsidRPr="00F57940">
        <w:rPr>
          <w:rFonts w:ascii="Arial Narrow" w:hAnsi="Arial Narrow" w:cs="Microsoft Sans Serif"/>
          <w:b/>
          <w:bCs/>
          <w:iCs/>
          <w:sz w:val="26"/>
          <w:szCs w:val="26"/>
        </w:rPr>
        <w:t>FRANCISCO JAVIER TAMAYO TABARES</w:t>
      </w:r>
    </w:p>
    <w:p w:rsidR="009938A6" w:rsidRPr="00F57940" w:rsidRDefault="009938A6" w:rsidP="00F57940">
      <w:pPr>
        <w:spacing w:line="288" w:lineRule="auto"/>
        <w:ind w:firstLine="900"/>
        <w:jc w:val="center"/>
        <w:rPr>
          <w:rFonts w:ascii="Arial Narrow" w:hAnsi="Arial Narrow" w:cs="Microsoft Sans Serif"/>
          <w:bCs/>
          <w:iCs/>
          <w:sz w:val="26"/>
          <w:szCs w:val="26"/>
        </w:rPr>
      </w:pPr>
      <w:r w:rsidRPr="00F57940">
        <w:rPr>
          <w:rFonts w:ascii="Arial Narrow" w:hAnsi="Arial Narrow" w:cs="Microsoft Sans Serif"/>
          <w:bCs/>
          <w:iCs/>
          <w:sz w:val="26"/>
          <w:szCs w:val="26"/>
        </w:rPr>
        <w:t>Magistrado Ponente</w:t>
      </w:r>
    </w:p>
    <w:p w:rsidR="009938A6" w:rsidRPr="00F57940" w:rsidRDefault="009938A6" w:rsidP="00F57940">
      <w:pPr>
        <w:spacing w:line="288" w:lineRule="auto"/>
        <w:ind w:firstLine="900"/>
        <w:jc w:val="both"/>
        <w:rPr>
          <w:rFonts w:ascii="Arial Narrow" w:hAnsi="Arial Narrow" w:cs="Microsoft Sans Serif"/>
          <w:sz w:val="26"/>
          <w:szCs w:val="26"/>
        </w:rPr>
      </w:pPr>
    </w:p>
    <w:p w:rsidR="009938A6" w:rsidRPr="00F57940" w:rsidRDefault="009938A6" w:rsidP="00F57940">
      <w:pPr>
        <w:spacing w:line="288" w:lineRule="auto"/>
        <w:jc w:val="both"/>
        <w:rPr>
          <w:rFonts w:ascii="Arial Narrow" w:hAnsi="Arial Narrow" w:cs="Microsoft Sans Serif"/>
          <w:bCs/>
          <w:iCs/>
          <w:sz w:val="26"/>
          <w:szCs w:val="26"/>
        </w:rPr>
      </w:pPr>
    </w:p>
    <w:p w:rsidR="009938A6" w:rsidRPr="00F57940" w:rsidRDefault="009938A6" w:rsidP="00F57940">
      <w:pPr>
        <w:spacing w:line="288" w:lineRule="auto"/>
        <w:jc w:val="both"/>
        <w:rPr>
          <w:rFonts w:ascii="Arial Narrow" w:hAnsi="Arial Narrow" w:cs="Microsoft Sans Serif"/>
          <w:bCs/>
          <w:iCs/>
          <w:sz w:val="26"/>
          <w:szCs w:val="26"/>
        </w:rPr>
      </w:pPr>
    </w:p>
    <w:p w:rsidR="009938A6" w:rsidRPr="00F57940" w:rsidRDefault="009938A6" w:rsidP="00F57940">
      <w:pPr>
        <w:spacing w:line="288" w:lineRule="auto"/>
        <w:jc w:val="both"/>
        <w:rPr>
          <w:rFonts w:ascii="Arial Narrow" w:hAnsi="Arial Narrow" w:cs="Microsoft Sans Serif"/>
          <w:b/>
          <w:bCs/>
          <w:iCs/>
          <w:sz w:val="26"/>
          <w:szCs w:val="26"/>
        </w:rPr>
      </w:pPr>
      <w:r w:rsidRPr="00F57940">
        <w:rPr>
          <w:rFonts w:ascii="Arial Narrow" w:hAnsi="Arial Narrow" w:cs="Microsoft Sans Serif"/>
          <w:b/>
          <w:bCs/>
          <w:iCs/>
          <w:sz w:val="26"/>
          <w:szCs w:val="26"/>
        </w:rPr>
        <w:t>ANA LUCIA CAICEDO CALDERÓN</w:t>
      </w:r>
      <w:r w:rsidR="00F57940">
        <w:rPr>
          <w:rFonts w:ascii="Arial Narrow" w:hAnsi="Arial Narrow" w:cs="Microsoft Sans Serif"/>
          <w:b/>
          <w:bCs/>
          <w:iCs/>
          <w:sz w:val="26"/>
          <w:szCs w:val="26"/>
        </w:rPr>
        <w:tab/>
      </w:r>
      <w:r w:rsidR="00F57940">
        <w:rPr>
          <w:rFonts w:ascii="Arial Narrow" w:hAnsi="Arial Narrow" w:cs="Microsoft Sans Serif"/>
          <w:b/>
          <w:bCs/>
          <w:iCs/>
          <w:sz w:val="26"/>
          <w:szCs w:val="26"/>
        </w:rPr>
        <w:tab/>
      </w:r>
      <w:r w:rsidR="00F57940">
        <w:rPr>
          <w:rFonts w:ascii="Arial Narrow" w:hAnsi="Arial Narrow" w:cs="Microsoft Sans Serif"/>
          <w:b/>
          <w:bCs/>
          <w:iCs/>
          <w:sz w:val="26"/>
          <w:szCs w:val="26"/>
        </w:rPr>
        <w:tab/>
      </w:r>
      <w:r w:rsidR="00F57940">
        <w:rPr>
          <w:rFonts w:ascii="Arial Narrow" w:hAnsi="Arial Narrow" w:cs="Microsoft Sans Serif"/>
          <w:b/>
          <w:bCs/>
          <w:iCs/>
          <w:sz w:val="26"/>
          <w:szCs w:val="26"/>
        </w:rPr>
        <w:tab/>
      </w:r>
      <w:r w:rsidRPr="00F57940">
        <w:rPr>
          <w:rFonts w:ascii="Arial Narrow" w:hAnsi="Arial Narrow" w:cs="Microsoft Sans Serif"/>
          <w:b/>
          <w:bCs/>
          <w:iCs/>
          <w:sz w:val="26"/>
          <w:szCs w:val="26"/>
        </w:rPr>
        <w:t xml:space="preserve">JULIO CESAR SALAZAR MUÑOZ </w:t>
      </w:r>
    </w:p>
    <w:p w:rsidR="009938A6" w:rsidRPr="00F57940" w:rsidRDefault="009938A6" w:rsidP="00F57940">
      <w:pPr>
        <w:spacing w:line="288" w:lineRule="auto"/>
        <w:jc w:val="both"/>
        <w:rPr>
          <w:rFonts w:ascii="Arial Narrow" w:hAnsi="Arial Narrow" w:cs="Microsoft Sans Serif"/>
          <w:bCs/>
          <w:iCs/>
          <w:sz w:val="26"/>
          <w:szCs w:val="26"/>
        </w:rPr>
      </w:pPr>
      <w:r w:rsidRPr="00F57940">
        <w:rPr>
          <w:rFonts w:ascii="Arial Narrow" w:hAnsi="Arial Narrow" w:cs="Microsoft Sans Serif"/>
          <w:bCs/>
          <w:iCs/>
          <w:sz w:val="26"/>
          <w:szCs w:val="26"/>
        </w:rPr>
        <w:t xml:space="preserve">                  Magistrada</w:t>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t xml:space="preserve">       </w:t>
      </w:r>
      <w:r w:rsidRPr="00F57940">
        <w:rPr>
          <w:rFonts w:ascii="Arial Narrow" w:hAnsi="Arial Narrow" w:cs="Microsoft Sans Serif"/>
          <w:bCs/>
          <w:iCs/>
          <w:sz w:val="26"/>
          <w:szCs w:val="26"/>
        </w:rPr>
        <w:t>Magistrado</w:t>
      </w:r>
    </w:p>
    <w:p w:rsidR="009050FA" w:rsidRDefault="009938A6" w:rsidP="00F57940">
      <w:pPr>
        <w:spacing w:line="288" w:lineRule="auto"/>
        <w:jc w:val="both"/>
        <w:rPr>
          <w:rFonts w:ascii="Arial Narrow" w:hAnsi="Arial Narrow" w:cs="Microsoft Sans Serif"/>
          <w:bCs/>
          <w:iCs/>
          <w:sz w:val="26"/>
          <w:szCs w:val="26"/>
        </w:rPr>
      </w:pPr>
      <w:r w:rsidRPr="00F57940">
        <w:rPr>
          <w:rFonts w:ascii="Arial Narrow" w:hAnsi="Arial Narrow" w:cs="Microsoft Sans Serif"/>
          <w:bCs/>
          <w:iCs/>
          <w:sz w:val="26"/>
          <w:szCs w:val="26"/>
        </w:rPr>
        <w:tab/>
      </w:r>
      <w:r w:rsidRPr="00F57940">
        <w:rPr>
          <w:rFonts w:ascii="Arial Narrow" w:hAnsi="Arial Narrow" w:cs="Microsoft Sans Serif"/>
          <w:bCs/>
          <w:iCs/>
          <w:sz w:val="26"/>
          <w:szCs w:val="26"/>
        </w:rPr>
        <w:tab/>
      </w:r>
      <w:r w:rsidRPr="00F57940">
        <w:rPr>
          <w:rFonts w:ascii="Arial Narrow" w:hAnsi="Arial Narrow" w:cs="Microsoft Sans Serif"/>
          <w:bCs/>
          <w:iCs/>
          <w:sz w:val="26"/>
          <w:szCs w:val="26"/>
        </w:rPr>
        <w:tab/>
      </w:r>
      <w:r w:rsidRPr="00F57940">
        <w:rPr>
          <w:rFonts w:ascii="Arial Narrow" w:hAnsi="Arial Narrow" w:cs="Microsoft Sans Serif"/>
          <w:bCs/>
          <w:iCs/>
          <w:sz w:val="26"/>
          <w:szCs w:val="26"/>
        </w:rPr>
        <w:tab/>
      </w:r>
      <w:r w:rsidRPr="00F57940">
        <w:rPr>
          <w:rFonts w:ascii="Arial Narrow" w:hAnsi="Arial Narrow" w:cs="Microsoft Sans Serif"/>
          <w:bCs/>
          <w:iCs/>
          <w:sz w:val="26"/>
          <w:szCs w:val="26"/>
        </w:rPr>
        <w:tab/>
      </w:r>
      <w:r w:rsidRP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r>
      <w:r w:rsidR="00F57940">
        <w:rPr>
          <w:rFonts w:ascii="Arial Narrow" w:hAnsi="Arial Narrow" w:cs="Microsoft Sans Serif"/>
          <w:bCs/>
          <w:iCs/>
          <w:sz w:val="26"/>
          <w:szCs w:val="26"/>
        </w:rPr>
        <w:tab/>
        <w:t xml:space="preserve">       Salva voto</w:t>
      </w:r>
    </w:p>
    <w:p w:rsidR="00682282" w:rsidRDefault="00682282" w:rsidP="00F57940">
      <w:pPr>
        <w:spacing w:line="288" w:lineRule="auto"/>
        <w:jc w:val="both"/>
        <w:rPr>
          <w:rFonts w:ascii="Arial Narrow" w:hAnsi="Arial Narrow" w:cs="Microsoft Sans Serif"/>
          <w:bCs/>
          <w:iCs/>
          <w:sz w:val="26"/>
          <w:szCs w:val="26"/>
        </w:rPr>
      </w:pPr>
    </w:p>
    <w:p w:rsidR="00682282" w:rsidRDefault="00682282">
      <w:pPr>
        <w:rPr>
          <w:rFonts w:ascii="Arial Narrow" w:hAnsi="Arial Narrow" w:cs="Microsoft Sans Serif"/>
          <w:bCs/>
          <w:iCs/>
          <w:sz w:val="26"/>
          <w:szCs w:val="26"/>
        </w:rPr>
      </w:pPr>
      <w:r>
        <w:rPr>
          <w:rFonts w:ascii="Arial Narrow" w:hAnsi="Arial Narrow" w:cs="Microsoft Sans Serif"/>
          <w:bCs/>
          <w:iCs/>
          <w:sz w:val="26"/>
          <w:szCs w:val="26"/>
        </w:rPr>
        <w:br w:type="page"/>
      </w:r>
    </w:p>
    <w:p w:rsidR="00682282" w:rsidRPr="00172293" w:rsidRDefault="00682282" w:rsidP="00682282">
      <w:pPr>
        <w:autoSpaceDE w:val="0"/>
        <w:autoSpaceDN w:val="0"/>
        <w:adjustRightInd w:val="0"/>
        <w:jc w:val="both"/>
        <w:rPr>
          <w:rFonts w:ascii="Arial" w:hAnsi="Arial" w:cs="Arial"/>
          <w:spacing w:val="2"/>
        </w:rPr>
      </w:pPr>
      <w:r w:rsidRPr="00172293">
        <w:rPr>
          <w:rFonts w:ascii="Arial" w:hAnsi="Arial" w:cs="Arial"/>
          <w:spacing w:val="2"/>
        </w:rPr>
        <w:lastRenderedPageBreak/>
        <w:t>Radicación Nro.</w:t>
      </w:r>
      <w:r w:rsidRPr="00172293">
        <w:rPr>
          <w:rFonts w:ascii="Arial" w:hAnsi="Arial" w:cs="Arial"/>
          <w:spacing w:val="2"/>
        </w:rPr>
        <w:tab/>
      </w:r>
      <w:r w:rsidRPr="00172293">
        <w:rPr>
          <w:rFonts w:ascii="Arial" w:hAnsi="Arial" w:cs="Arial"/>
          <w:spacing w:val="2"/>
        </w:rPr>
        <w:tab/>
        <w:t>66001-31-05-002-2017-00090-01</w:t>
      </w:r>
    </w:p>
    <w:p w:rsidR="00682282" w:rsidRPr="00172293" w:rsidRDefault="00682282" w:rsidP="00682282">
      <w:pPr>
        <w:autoSpaceDE w:val="0"/>
        <w:autoSpaceDN w:val="0"/>
        <w:adjustRightInd w:val="0"/>
        <w:jc w:val="both"/>
        <w:rPr>
          <w:rFonts w:ascii="Arial" w:hAnsi="Arial" w:cs="Arial"/>
          <w:spacing w:val="2"/>
        </w:rPr>
      </w:pPr>
      <w:r w:rsidRPr="00172293">
        <w:rPr>
          <w:rFonts w:ascii="Arial" w:hAnsi="Arial" w:cs="Arial"/>
          <w:spacing w:val="2"/>
        </w:rPr>
        <w:t>Proceso</w:t>
      </w:r>
      <w:r w:rsidRPr="00172293">
        <w:rPr>
          <w:rFonts w:ascii="Arial" w:hAnsi="Arial" w:cs="Arial"/>
          <w:spacing w:val="2"/>
        </w:rPr>
        <w:tab/>
      </w:r>
      <w:r w:rsidRPr="00172293">
        <w:rPr>
          <w:rFonts w:ascii="Arial" w:hAnsi="Arial" w:cs="Arial"/>
          <w:spacing w:val="2"/>
        </w:rPr>
        <w:tab/>
        <w:t xml:space="preserve"> </w:t>
      </w:r>
      <w:r w:rsidRPr="00172293">
        <w:rPr>
          <w:rFonts w:ascii="Arial" w:hAnsi="Arial" w:cs="Arial"/>
          <w:spacing w:val="2"/>
        </w:rPr>
        <w:tab/>
        <w:t>Ordinario Laboral</w:t>
      </w:r>
    </w:p>
    <w:p w:rsidR="00682282" w:rsidRPr="00172293" w:rsidRDefault="00682282" w:rsidP="00682282">
      <w:pPr>
        <w:autoSpaceDE w:val="0"/>
        <w:autoSpaceDN w:val="0"/>
        <w:adjustRightInd w:val="0"/>
        <w:jc w:val="both"/>
        <w:rPr>
          <w:rFonts w:ascii="Arial" w:hAnsi="Arial" w:cs="Arial"/>
          <w:spacing w:val="2"/>
        </w:rPr>
      </w:pPr>
      <w:r w:rsidRPr="00172293">
        <w:rPr>
          <w:rFonts w:ascii="Arial" w:hAnsi="Arial" w:cs="Arial"/>
          <w:spacing w:val="2"/>
        </w:rPr>
        <w:t>Demandante:</w:t>
      </w:r>
      <w:r w:rsidRPr="00172293">
        <w:rPr>
          <w:rFonts w:ascii="Arial" w:hAnsi="Arial" w:cs="Arial"/>
          <w:spacing w:val="2"/>
        </w:rPr>
        <w:tab/>
      </w:r>
      <w:r w:rsidRPr="00172293">
        <w:rPr>
          <w:rFonts w:ascii="Arial" w:hAnsi="Arial" w:cs="Arial"/>
          <w:spacing w:val="2"/>
        </w:rPr>
        <w:tab/>
      </w:r>
      <w:r w:rsidRPr="00172293">
        <w:rPr>
          <w:rFonts w:ascii="Arial" w:hAnsi="Arial" w:cs="Arial"/>
          <w:spacing w:val="2"/>
        </w:rPr>
        <w:tab/>
        <w:t xml:space="preserve">Victoria Eugenia Echeverry </w:t>
      </w:r>
      <w:proofErr w:type="spellStart"/>
      <w:r w:rsidRPr="00172293">
        <w:rPr>
          <w:rFonts w:ascii="Arial" w:hAnsi="Arial" w:cs="Arial"/>
          <w:spacing w:val="2"/>
        </w:rPr>
        <w:t>Sarrazola</w:t>
      </w:r>
      <w:proofErr w:type="spellEnd"/>
      <w:r w:rsidRPr="00172293">
        <w:rPr>
          <w:rFonts w:ascii="Arial" w:hAnsi="Arial" w:cs="Arial"/>
          <w:spacing w:val="2"/>
        </w:rPr>
        <w:t xml:space="preserve">    </w:t>
      </w:r>
    </w:p>
    <w:p w:rsidR="00682282" w:rsidRPr="00172293" w:rsidRDefault="00682282" w:rsidP="00682282">
      <w:pPr>
        <w:autoSpaceDE w:val="0"/>
        <w:autoSpaceDN w:val="0"/>
        <w:adjustRightInd w:val="0"/>
        <w:jc w:val="both"/>
        <w:rPr>
          <w:rFonts w:ascii="Arial" w:hAnsi="Arial" w:cs="Arial"/>
          <w:spacing w:val="2"/>
        </w:rPr>
      </w:pPr>
      <w:r w:rsidRPr="00172293">
        <w:rPr>
          <w:rFonts w:ascii="Arial" w:hAnsi="Arial" w:cs="Arial"/>
          <w:spacing w:val="2"/>
        </w:rPr>
        <w:t>Demandado:</w:t>
      </w:r>
      <w:r w:rsidRPr="00172293">
        <w:rPr>
          <w:rFonts w:ascii="Arial" w:hAnsi="Arial" w:cs="Arial"/>
          <w:spacing w:val="2"/>
        </w:rPr>
        <w:tab/>
      </w:r>
      <w:r w:rsidRPr="00172293">
        <w:rPr>
          <w:rFonts w:ascii="Arial" w:hAnsi="Arial" w:cs="Arial"/>
          <w:spacing w:val="2"/>
        </w:rPr>
        <w:tab/>
      </w:r>
      <w:r w:rsidRPr="00172293">
        <w:rPr>
          <w:rFonts w:ascii="Arial" w:hAnsi="Arial" w:cs="Arial"/>
          <w:spacing w:val="2"/>
        </w:rPr>
        <w:tab/>
        <w:t>Colpensiones y Porvenir S.A.</w:t>
      </w:r>
    </w:p>
    <w:p w:rsidR="00682282" w:rsidRPr="00172293" w:rsidRDefault="00682282" w:rsidP="00682282">
      <w:pPr>
        <w:ind w:left="2832" w:hanging="2832"/>
        <w:jc w:val="both"/>
        <w:rPr>
          <w:rFonts w:ascii="Arial" w:hAnsi="Arial" w:cs="Arial"/>
          <w:b/>
          <w:sz w:val="18"/>
          <w:szCs w:val="18"/>
          <w:lang w:val="es-ES_tradnl"/>
        </w:rPr>
      </w:pPr>
      <w:r w:rsidRPr="00172293">
        <w:rPr>
          <w:rFonts w:ascii="Arial" w:hAnsi="Arial" w:cs="Arial"/>
          <w:sz w:val="20"/>
          <w:szCs w:val="20"/>
        </w:rPr>
        <w:t xml:space="preserve">Tema: </w:t>
      </w:r>
      <w:r>
        <w:rPr>
          <w:rFonts w:ascii="Arial" w:hAnsi="Arial" w:cs="Arial"/>
          <w:sz w:val="20"/>
          <w:szCs w:val="20"/>
        </w:rPr>
        <w:tab/>
      </w:r>
      <w:r>
        <w:rPr>
          <w:rFonts w:ascii="Arial" w:hAnsi="Arial" w:cs="Arial"/>
          <w:b/>
          <w:sz w:val="18"/>
          <w:szCs w:val="18"/>
          <w:lang w:val="es-ES_tradnl"/>
        </w:rPr>
        <w:t>PRECISIONES SOBRE INEFICACIA DEL TRASLADO POR FALTA DE INFORMACIÓN SOBRE PÉRDIDA DEL RÉGIMEN DE TRANSICIÓN Y DE SIMPLE NULIDAD EN LOS EVENTOS EN QUE NO HAY PÉRDIDA DE ESTE.</w:t>
      </w:r>
      <w:r w:rsidRPr="00172293">
        <w:rPr>
          <w:rFonts w:ascii="Arial" w:hAnsi="Arial" w:cs="Arial"/>
          <w:b/>
          <w:sz w:val="18"/>
          <w:szCs w:val="18"/>
          <w:lang w:val="es-ES_tradnl"/>
        </w:rPr>
        <w:t xml:space="preserve"> </w:t>
      </w: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keepNext/>
        <w:spacing w:line="288" w:lineRule="auto"/>
        <w:jc w:val="center"/>
        <w:outlineLvl w:val="2"/>
        <w:rPr>
          <w:rFonts w:ascii="Arial" w:hAnsi="Arial" w:cs="Arial"/>
          <w:b/>
          <w:lang w:val="es-ES_tradnl"/>
        </w:rPr>
      </w:pPr>
      <w:r w:rsidRPr="00682282">
        <w:rPr>
          <w:rFonts w:ascii="Arial" w:hAnsi="Arial" w:cs="Arial"/>
          <w:b/>
          <w:lang w:val="es-ES_tradnl"/>
        </w:rPr>
        <w:t>TRIBUNAL SUPERIOR DEL DISTRITO JUDICIAL</w:t>
      </w: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center"/>
        <w:rPr>
          <w:rFonts w:ascii="Arial" w:hAnsi="Arial" w:cs="Arial"/>
          <w:b/>
        </w:rPr>
      </w:pPr>
      <w:r w:rsidRPr="00682282">
        <w:rPr>
          <w:rFonts w:ascii="Arial" w:hAnsi="Arial" w:cs="Arial"/>
          <w:b/>
        </w:rPr>
        <w:t>SALA LABORAL</w:t>
      </w: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center"/>
        <w:rPr>
          <w:rFonts w:ascii="Arial" w:hAnsi="Arial" w:cs="Arial"/>
          <w:b/>
          <w:lang w:val="es-ES_tradnl"/>
        </w:rPr>
      </w:pPr>
      <w:r w:rsidRPr="00682282">
        <w:rPr>
          <w:rFonts w:ascii="Arial" w:hAnsi="Arial" w:cs="Arial"/>
          <w:b/>
          <w:lang w:val="es-ES_tradnl"/>
        </w:rPr>
        <w:t xml:space="preserve">MAGISTRADO: JULIO CÉSAR SALAZAR MUÑOZ </w:t>
      </w: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center"/>
        <w:rPr>
          <w:rFonts w:ascii="Arial" w:hAnsi="Arial" w:cs="Arial"/>
          <w:b/>
          <w:lang w:val="es-ES_tradnl"/>
        </w:rPr>
      </w:pPr>
      <w:r w:rsidRPr="00682282">
        <w:rPr>
          <w:rFonts w:ascii="Arial" w:hAnsi="Arial" w:cs="Arial"/>
          <w:b/>
          <w:lang w:val="es-ES_tradnl"/>
        </w:rPr>
        <w:t>Diciembre 5 de 2018</w:t>
      </w: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center"/>
        <w:rPr>
          <w:rFonts w:ascii="Arial" w:hAnsi="Arial" w:cs="Arial"/>
          <w:b/>
          <w:lang w:val="es-ES_tradnl"/>
        </w:rPr>
      </w:pPr>
      <w:r w:rsidRPr="00682282">
        <w:rPr>
          <w:rFonts w:ascii="Arial" w:hAnsi="Arial" w:cs="Arial"/>
          <w:b/>
          <w:lang w:val="es-ES_tradnl"/>
        </w:rPr>
        <w:t>SALVAMENTO DE VOTO</w:t>
      </w: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pacing w:line="288" w:lineRule="auto"/>
        <w:jc w:val="both"/>
        <w:rPr>
          <w:rFonts w:ascii="Arial" w:hAnsi="Arial" w:cs="Arial"/>
          <w:lang w:val="es-ES_tradnl"/>
        </w:rPr>
      </w:pPr>
    </w:p>
    <w:p w:rsidR="00682282" w:rsidRPr="00682282" w:rsidRDefault="00682282" w:rsidP="00682282">
      <w:pPr>
        <w:suppressAutoHyphens/>
        <w:spacing w:line="288" w:lineRule="auto"/>
        <w:jc w:val="both"/>
        <w:rPr>
          <w:rFonts w:ascii="Arial" w:hAnsi="Arial" w:cs="Arial"/>
          <w:spacing w:val="-2"/>
          <w:lang w:val="es-ES_tradnl"/>
        </w:rPr>
      </w:pPr>
      <w:r w:rsidRPr="00682282">
        <w:rPr>
          <w:rFonts w:ascii="Arial" w:hAnsi="Arial" w:cs="Arial"/>
          <w:spacing w:val="-2"/>
          <w:lang w:val="es-ES_tradnl"/>
        </w:rPr>
        <w:t>Tal como lo propuse en la ponencia que presenté inicialmente, considero que la sentencia del juzgado de conocimiento proferida el 07 de febrero de 2018 que negó las pretensiones de la demanda, debió ser confirmada.</w:t>
      </w:r>
    </w:p>
    <w:p w:rsidR="00682282" w:rsidRPr="00682282" w:rsidRDefault="00682282" w:rsidP="00682282">
      <w:pPr>
        <w:spacing w:line="288" w:lineRule="auto"/>
        <w:jc w:val="both"/>
        <w:rPr>
          <w:rFonts w:ascii="Arial" w:hAnsi="Arial" w:cs="Arial"/>
          <w:b/>
        </w:rPr>
      </w:pPr>
    </w:p>
    <w:p w:rsidR="00682282" w:rsidRPr="00682282" w:rsidRDefault="00682282" w:rsidP="00682282">
      <w:pPr>
        <w:suppressAutoHyphens/>
        <w:spacing w:line="288" w:lineRule="auto"/>
        <w:jc w:val="both"/>
        <w:rPr>
          <w:rFonts w:ascii="Arial" w:hAnsi="Arial" w:cs="Arial"/>
          <w:spacing w:val="-2"/>
          <w:lang w:val="es-ES_tradnl"/>
        </w:rPr>
      </w:pPr>
      <w:r w:rsidRPr="00682282">
        <w:rPr>
          <w:rFonts w:ascii="Arial" w:hAnsi="Arial" w:cs="Arial"/>
          <w:spacing w:val="-2"/>
          <w:lang w:val="es-ES_tradnl"/>
        </w:rPr>
        <w:t>Los argumentos que sustentan mi alejamiento de lo decidido por la mayoría en esta segunda instancia se basan en los siguientes supuestos jurídicos y análisis del caso concreto:</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b/>
          <w:iCs/>
          <w:lang w:val="es-ES_tradnl"/>
        </w:rPr>
        <w:t xml:space="preserve">JURISPRUDENCIA VIGENTE SOBRE LA INEFICACIA DE LA </w:t>
      </w:r>
      <w:proofErr w:type="spellStart"/>
      <w:r w:rsidRPr="00682282">
        <w:rPr>
          <w:rFonts w:ascii="Arial" w:hAnsi="Arial" w:cs="Arial"/>
          <w:b/>
          <w:iCs/>
          <w:lang w:val="es-ES_tradnl"/>
        </w:rPr>
        <w:t>AFILIACION</w:t>
      </w:r>
      <w:proofErr w:type="spellEnd"/>
      <w:r w:rsidRPr="00682282">
        <w:rPr>
          <w:rFonts w:ascii="Arial" w:hAnsi="Arial" w:cs="Arial"/>
          <w:b/>
          <w:iCs/>
          <w:lang w:val="es-ES_tradnl"/>
        </w:rPr>
        <w:t xml:space="preserve"> AL </w:t>
      </w:r>
      <w:proofErr w:type="spellStart"/>
      <w:r w:rsidRPr="00682282">
        <w:rPr>
          <w:rFonts w:ascii="Arial" w:hAnsi="Arial" w:cs="Arial"/>
          <w:b/>
          <w:iCs/>
          <w:lang w:val="es-ES_tradnl"/>
        </w:rPr>
        <w:t>REGIMEN</w:t>
      </w:r>
      <w:proofErr w:type="spellEnd"/>
      <w:r w:rsidRPr="00682282">
        <w:rPr>
          <w:rFonts w:ascii="Arial" w:hAnsi="Arial" w:cs="Arial"/>
          <w:b/>
          <w:iCs/>
          <w:lang w:val="es-ES_tradnl"/>
        </w:rPr>
        <w:t xml:space="preserve"> DE AHORRO INDIVIDUAL CON SOLIDARIDAD.</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La Sala de Casación Laboral mediante sentencia SL12136 de 3 de septiembre de 2014 radicación Nº 46.292 con ponencia de la Magistrada Elsy del Pilar Cuello Calderón, frente al tema de la ineficacia del traslado señaló que cuando se trate de afiliados beneficiarios del régimen de transición establecido en el artículo 36 de la Ley 100 de 1993, resulta perentorio establecer si la respectiva administradora produjo el traslado en términos de eficacia, informándole las consecuencias que le traería el traslado, que no es otra diferente que la de la pérdida del régimen transicional; lo cual explica en los siguientes términos:</w:t>
      </w:r>
    </w:p>
    <w:p w:rsidR="00682282" w:rsidRPr="00682282" w:rsidRDefault="00682282" w:rsidP="00682282">
      <w:pPr>
        <w:spacing w:line="288" w:lineRule="auto"/>
        <w:ind w:right="51"/>
        <w:jc w:val="both"/>
        <w:rPr>
          <w:rFonts w:ascii="Arial" w:hAnsi="Arial" w:cs="Arial"/>
          <w:iCs/>
          <w:lang w:val="es-ES_tradnl"/>
        </w:rPr>
      </w:pPr>
    </w:p>
    <w:p w:rsidR="00682282" w:rsidRPr="009566E2" w:rsidRDefault="00682282" w:rsidP="009566E2">
      <w:pPr>
        <w:ind w:left="567" w:right="567"/>
        <w:jc w:val="both"/>
        <w:rPr>
          <w:rFonts w:ascii="Arial" w:hAnsi="Arial" w:cs="Arial"/>
          <w:i/>
          <w:iCs/>
          <w:sz w:val="22"/>
          <w:lang w:val="es-ES_tradnl"/>
        </w:rPr>
      </w:pPr>
      <w:r w:rsidRPr="009566E2">
        <w:rPr>
          <w:rFonts w:ascii="Arial" w:hAnsi="Arial" w:cs="Arial"/>
          <w:i/>
          <w:iCs/>
          <w:sz w:val="22"/>
          <w:lang w:val="es-ES_tradnl"/>
        </w:rPr>
        <w:t>“El juez no puede pasar inadvertidas falencias informativas, menos considerar que ello no es de su resorte, pues es claro que cuando quien acude a la jurisdicción reclama que se le respete el régimen de transición, indiscutiblemente, como se anotó, surge la perentoriedad de estudiar los elementos estructurales para que el mismo opere, es decir, debe constatar que el traslado se produjo en términos de eficacia, para luego, determinar las consecuencias propias.</w:t>
      </w:r>
    </w:p>
    <w:p w:rsidR="00682282" w:rsidRPr="009566E2" w:rsidRDefault="00682282" w:rsidP="009566E2">
      <w:pPr>
        <w:ind w:left="567" w:right="567"/>
        <w:jc w:val="both"/>
        <w:rPr>
          <w:rFonts w:ascii="Arial" w:hAnsi="Arial" w:cs="Arial"/>
          <w:i/>
          <w:iCs/>
          <w:sz w:val="22"/>
          <w:lang w:val="es-ES_tradnl"/>
        </w:rPr>
      </w:pPr>
    </w:p>
    <w:p w:rsidR="00682282" w:rsidRPr="009566E2" w:rsidRDefault="00682282" w:rsidP="009566E2">
      <w:pPr>
        <w:ind w:left="567" w:right="567"/>
        <w:jc w:val="both"/>
        <w:rPr>
          <w:rFonts w:ascii="Arial" w:hAnsi="Arial" w:cs="Arial"/>
          <w:i/>
          <w:iCs/>
          <w:sz w:val="22"/>
          <w:lang w:val="es-ES_tradnl"/>
        </w:rPr>
      </w:pPr>
      <w:r w:rsidRPr="009566E2">
        <w:rPr>
          <w:rFonts w:ascii="Arial" w:hAnsi="Arial" w:cs="Arial"/>
          <w:b/>
          <w:i/>
          <w:iCs/>
          <w:sz w:val="22"/>
          <w:lang w:val="es-ES_tradnl"/>
        </w:rPr>
        <w:lastRenderedPageBreak/>
        <w:t>En ese orden se clarifica con esta decisión que cuando lo que se discuta sea el traslado de regímenes, que conlleve a la pérdida de la transición</w:t>
      </w:r>
      <w:r w:rsidRPr="009566E2">
        <w:rPr>
          <w:rFonts w:ascii="Arial" w:hAnsi="Arial" w:cs="Arial"/>
          <w:i/>
          <w:iCs/>
          <w:sz w:val="22"/>
          <w:lang w:val="es-ES_tradnl"/>
        </w:rPr>
        <w:t>,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682282" w:rsidRPr="00682282" w:rsidRDefault="00682282" w:rsidP="00682282">
      <w:pPr>
        <w:spacing w:line="288" w:lineRule="auto"/>
        <w:jc w:val="both"/>
        <w:rPr>
          <w:rFonts w:ascii="Arial" w:hAnsi="Arial" w:cs="Arial"/>
          <w:iCs/>
          <w:color w:val="FF0000"/>
          <w:lang w:val="es-ES_tradnl"/>
        </w:rPr>
      </w:pPr>
    </w:p>
    <w:p w:rsidR="00682282" w:rsidRPr="00682282" w:rsidRDefault="00682282" w:rsidP="00682282">
      <w:pPr>
        <w:spacing w:line="288" w:lineRule="auto"/>
        <w:ind w:right="51"/>
        <w:jc w:val="both"/>
        <w:rPr>
          <w:rFonts w:ascii="Arial" w:hAnsi="Arial" w:cs="Arial"/>
          <w:i/>
          <w:iCs/>
        </w:rPr>
      </w:pPr>
      <w:r w:rsidRPr="00682282">
        <w:rPr>
          <w:rFonts w:ascii="Arial" w:hAnsi="Arial" w:cs="Arial"/>
          <w:bCs/>
          <w:iCs/>
        </w:rPr>
        <w:t xml:space="preserve">Para apoyar esa tesis de la ineficacia de los traslados entre regímenes la Sala de Casación laboral se apoyó en principio en el literal b del artículo 13 de la ley 100 de 1993 que dispone </w:t>
      </w:r>
      <w:r w:rsidRPr="00682282">
        <w:rPr>
          <w:rFonts w:ascii="Arial" w:hAnsi="Arial" w:cs="Arial"/>
          <w:bCs/>
          <w:i/>
          <w:iCs/>
        </w:rPr>
        <w:t>“</w:t>
      </w:r>
      <w:r w:rsidRPr="00682282">
        <w:rPr>
          <w:rFonts w:ascii="Arial" w:hAnsi="Arial" w:cs="Arial"/>
          <w:i/>
          <w:iCs/>
        </w:rPr>
        <w:t>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271 de la presente ley.”</w:t>
      </w:r>
      <w:r w:rsidRPr="00682282">
        <w:rPr>
          <w:rFonts w:ascii="Arial" w:hAnsi="Arial" w:cs="Arial"/>
          <w:iCs/>
        </w:rPr>
        <w:t>. Este último artículo a la vez dispone que “</w:t>
      </w:r>
      <w:r w:rsidRPr="00682282">
        <w:rPr>
          <w:rFonts w:ascii="Arial" w:hAnsi="Arial" w:cs="Arial"/>
          <w:i/>
          <w:iCs/>
        </w:rPr>
        <w:t xml:space="preserve">El empleador, y en general cualquier persona natural o jurídica </w:t>
      </w:r>
      <w:r w:rsidRPr="00682282">
        <w:rPr>
          <w:rFonts w:ascii="Arial" w:hAnsi="Arial" w:cs="Arial"/>
          <w:b/>
          <w:i/>
          <w:iCs/>
        </w:rPr>
        <w:t>que impida o atente en cualquier forma contra el derecho del trabajador a su afiliación y selección de organismos</w:t>
      </w:r>
      <w:r w:rsidRPr="00682282">
        <w:rPr>
          <w:rFonts w:ascii="Arial" w:hAnsi="Arial" w:cs="Arial"/>
          <w:i/>
          <w:iCs/>
        </w:rPr>
        <w:t xml:space="preserve">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El valor de estas multas se destinará al Fondo de Solidaridad Pensional o a la subcuenta de solidaridad del Fondo de Solidaridad y Garantía del Sistema General de Seguridad Social en Salud, respectivamente. La afiliación respectiva quedará sin efecto y podrá realizarse nuevamente en forma libre y espontánea por parte del trabajador.”.</w:t>
      </w:r>
    </w:p>
    <w:p w:rsidR="00682282" w:rsidRPr="00682282" w:rsidRDefault="00682282" w:rsidP="00682282">
      <w:pPr>
        <w:spacing w:line="288" w:lineRule="auto"/>
        <w:ind w:right="51"/>
        <w:jc w:val="both"/>
        <w:rPr>
          <w:rFonts w:ascii="Arial" w:hAnsi="Arial" w:cs="Arial"/>
          <w:iCs/>
        </w:rPr>
      </w:pPr>
    </w:p>
    <w:p w:rsidR="00682282" w:rsidRPr="00682282" w:rsidRDefault="00682282" w:rsidP="00682282">
      <w:pPr>
        <w:spacing w:line="288" w:lineRule="auto"/>
        <w:ind w:right="51"/>
        <w:jc w:val="both"/>
        <w:rPr>
          <w:rFonts w:ascii="Arial" w:hAnsi="Arial" w:cs="Arial"/>
          <w:iCs/>
        </w:rPr>
      </w:pPr>
      <w:r w:rsidRPr="00682282">
        <w:rPr>
          <w:rFonts w:ascii="Arial" w:hAnsi="Arial" w:cs="Arial"/>
          <w:iCs/>
        </w:rPr>
        <w:t xml:space="preserve">Tales previsiones las concordó con el inciso 4º del artículo 36 de la ley 100 de 1993, para concluir que, en la medida que el traslado al Régimen de prima media conlleva la pérdida de la transición y que el citado inciso exige expresamente que dicha decisión sea voluntaria, para la eficacia de la decisión se requiere que aparezca prueba inequívoca de </w:t>
      </w:r>
      <w:r w:rsidRPr="00682282">
        <w:rPr>
          <w:rFonts w:ascii="Arial" w:hAnsi="Arial" w:cs="Arial"/>
          <w:b/>
          <w:iCs/>
        </w:rPr>
        <w:t>que el cambio se produjo por una decisión informada</w:t>
      </w:r>
      <w:r w:rsidRPr="00682282">
        <w:rPr>
          <w:rFonts w:ascii="Arial" w:hAnsi="Arial" w:cs="Arial"/>
          <w:iCs/>
        </w:rPr>
        <w:t>. Al respecto, expresamente se señaló en la sentencia con rad. 46292 de 3 de septiembre de 2014:</w:t>
      </w:r>
    </w:p>
    <w:p w:rsidR="00682282" w:rsidRPr="00682282" w:rsidRDefault="00682282" w:rsidP="00682282">
      <w:pPr>
        <w:spacing w:line="288" w:lineRule="auto"/>
        <w:ind w:right="51"/>
        <w:jc w:val="both"/>
        <w:rPr>
          <w:rFonts w:ascii="Arial" w:hAnsi="Arial" w:cs="Arial"/>
          <w:iCs/>
        </w:rPr>
      </w:pPr>
    </w:p>
    <w:p w:rsidR="00682282" w:rsidRPr="009566E2" w:rsidRDefault="00682282" w:rsidP="009566E2">
      <w:pPr>
        <w:ind w:left="567" w:right="562"/>
        <w:jc w:val="both"/>
        <w:rPr>
          <w:rFonts w:ascii="Arial" w:hAnsi="Arial" w:cs="Arial"/>
          <w:i/>
          <w:iCs/>
          <w:sz w:val="22"/>
        </w:rPr>
      </w:pPr>
      <w:r w:rsidRPr="009566E2">
        <w:rPr>
          <w:rFonts w:ascii="Arial" w:hAnsi="Arial" w:cs="Arial"/>
          <w:i/>
          <w:iCs/>
          <w:sz w:val="22"/>
        </w:rPr>
        <w:t xml:space="preserve">“…distinto del caso de quienes solo tuvieran la edad establecida en el reseñado artículo 36 de la Ley 100 de 1993, solo que ello parte de un supuesto evidente y es que la manifestación del traslado, como se indicó, estuviera precedida de libertad, </w:t>
      </w:r>
      <w:r w:rsidRPr="009566E2">
        <w:rPr>
          <w:rFonts w:ascii="Arial" w:hAnsi="Arial" w:cs="Arial"/>
          <w:b/>
          <w:i/>
          <w:iCs/>
          <w:sz w:val="22"/>
        </w:rPr>
        <w:t>y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9566E2">
        <w:rPr>
          <w:rFonts w:ascii="Arial" w:hAnsi="Arial" w:cs="Arial"/>
          <w:i/>
          <w:iCs/>
          <w:sz w:val="22"/>
        </w:rPr>
        <w:t>, no solo por la entidad del derecho discutido, sino porque el Estado es garante de la prestación del servicio público obligatorio, y debe dirigirlo, controlarlo y coordinarlo, y por ello deben aplicarse las consecuencias de que no exista una decisión informada (artículos 4 y 5, Ley 100 de 1993).</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lastRenderedPageBreak/>
        <w:t xml:space="preserve">Acogiendo esa línea jurisprudencial, algunas Salas de decisión Laboral de este Tribunal han venido sosteniendo que cuando está en juego la pérdida del régimen de transición por efectuarse el traslado de régimen, le corresponde a la administradora demostrar que ha ofrecido al usuario la información necesaria para hacerle notar las consecuencias desfavorables del mismo, no obstante, cuando el afiliado </w:t>
      </w:r>
      <w:r w:rsidRPr="00682282">
        <w:rPr>
          <w:rFonts w:ascii="Arial" w:hAnsi="Arial" w:cs="Arial"/>
          <w:b/>
          <w:iCs/>
          <w:lang w:val="es-ES_tradnl"/>
        </w:rPr>
        <w:t>no ostenta la calidad de beneficiario del régimen de transición</w:t>
      </w:r>
      <w:r w:rsidRPr="00682282">
        <w:rPr>
          <w:rFonts w:ascii="Arial" w:hAnsi="Arial" w:cs="Arial"/>
          <w:iCs/>
          <w:lang w:val="es-ES_tradnl"/>
        </w:rPr>
        <w:t>, la carga de la prueba sobre los fundamentos que alega para pedir su nulidad  e ineficacia, está en cabeza de quien los alega, advirtiéndose que no puede únicamente sostener que no fue informado sobre las consecuencias de su traslado, por cuanto debe probar sus dichos, esto, en el entendido que el solo traslado no le genera ningún perjuicio al afiliado, pues en su momento, éste ejerció su derecho de optar por el sistema que consideró, ser el más adecuado a sus intereses.</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En efecto, debe resaltarse la precisión que hace la Corte en cuanto sostiene “</w:t>
      </w:r>
      <w:r w:rsidRPr="00682282">
        <w:rPr>
          <w:rFonts w:ascii="Arial" w:hAnsi="Arial" w:cs="Arial"/>
          <w:b/>
          <w:i/>
          <w:iC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682282">
        <w:rPr>
          <w:rFonts w:ascii="Arial" w:hAnsi="Arial" w:cs="Arial"/>
          <w:iCs/>
        </w:rPr>
        <w:t>” Afirmación que no tiene significado diferente a que, en los casos en que, por el traslado de régimen, no exista pérdida del beneficio de la transición, las reglas que deben seguirse para restarle efectos al acto jurídico del traslado, son las de la nulidad, que entre otras cosas, dejan la carga de la prueba en cabeza del demandante y conllevan un término prudente para solicitarla, so pena de tenerlo por convalidado como se verá más adelante.</w:t>
      </w:r>
    </w:p>
    <w:p w:rsidR="00682282" w:rsidRPr="00682282" w:rsidRDefault="00682282" w:rsidP="00682282">
      <w:pPr>
        <w:spacing w:line="288" w:lineRule="auto"/>
        <w:jc w:val="both"/>
        <w:rPr>
          <w:rFonts w:ascii="Arial" w:hAnsi="Arial" w:cs="Arial"/>
          <w:iCs/>
          <w:color w:val="FF0000"/>
          <w:lang w:val="es-ES_tradnl"/>
        </w:rPr>
      </w:pPr>
    </w:p>
    <w:p w:rsidR="00682282" w:rsidRPr="00682282" w:rsidRDefault="00682282" w:rsidP="00682282">
      <w:pPr>
        <w:spacing w:line="288" w:lineRule="auto"/>
        <w:jc w:val="both"/>
        <w:rPr>
          <w:rFonts w:ascii="Arial" w:hAnsi="Arial" w:cs="Arial"/>
          <w:iCs/>
          <w:lang w:val="es-ES_tradnl"/>
        </w:rPr>
      </w:pPr>
      <w:r w:rsidRPr="00682282">
        <w:rPr>
          <w:rFonts w:ascii="Arial" w:hAnsi="Arial" w:cs="Arial"/>
          <w:iCs/>
          <w:lang w:val="es-ES_tradnl"/>
        </w:rPr>
        <w:t>No obstante, en reciente sentencia de 14 de noviembre de 2018, rad. 54814, con ponencia del doctor GERARDO BOTERO ZULUAGA, la Sala de Casación Laboral parece incluir dentro de la óptica de ineficacia del traslado por “falta de información” a todos los afiliados, independientemente de su pertenencia o no al régimen de transición. Al respecto dice en la sentencia en cita lo siguiente:</w:t>
      </w:r>
    </w:p>
    <w:p w:rsidR="00682282" w:rsidRPr="00682282" w:rsidRDefault="00682282" w:rsidP="00682282">
      <w:pPr>
        <w:spacing w:line="288" w:lineRule="auto"/>
        <w:jc w:val="both"/>
        <w:rPr>
          <w:rFonts w:ascii="Arial" w:hAnsi="Arial" w:cs="Arial"/>
          <w:iCs/>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Cs/>
          <w:sz w:val="22"/>
          <w:lang w:val="es-ES_tradnl"/>
        </w:rPr>
        <w:t>“Ese mismo compendio normativo, en su precepto 98 indica que al ser, entre otras las AFP entidades que desarrollan actividades de interés público, deben emplear la debida diligencia en la prestación de los servicios, y que “</w:t>
      </w:r>
      <w:r w:rsidRPr="009566E2">
        <w:rPr>
          <w:rFonts w:ascii="Arial" w:hAnsi="Arial" w:cs="Arial"/>
          <w:i/>
          <w:iCs/>
          <w:sz w:val="22"/>
          <w:lang w:val="es-ES_tradnl"/>
        </w:rPr>
        <w:t xml:space="preserve">en la celebración de las operaciones propias de su objeto dichas instituciones deberán abstenerse de convertir cláusulas que por su carácter exorbitante puedan afectar el equilibrio del contrato o dar lugar a un abuso de posición dominante”, </w:t>
      </w:r>
      <w:r w:rsidRPr="009566E2">
        <w:rPr>
          <w:rFonts w:ascii="Arial" w:hAnsi="Arial" w:cs="Arial"/>
          <w:iCs/>
          <w:sz w:val="22"/>
          <w:lang w:val="es-ES_tradnl"/>
        </w:rPr>
        <w:t xml:space="preserve">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9566E2">
        <w:rPr>
          <w:rFonts w:ascii="Arial" w:hAnsi="Arial" w:cs="Arial"/>
          <w:b/>
          <w:iCs/>
          <w:sz w:val="22"/>
          <w:lang w:val="es-ES_tradnl"/>
        </w:rPr>
        <w:t>encontrándose o no la persona en transición</w:t>
      </w:r>
      <w:r w:rsidRPr="009566E2">
        <w:rPr>
          <w:rFonts w:ascii="Arial" w:hAnsi="Arial" w:cs="Arial"/>
          <w:iCs/>
          <w:sz w:val="22"/>
          <w:lang w:val="es-ES_tradnl"/>
        </w:rPr>
        <w:t xml:space="preserve">.” </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Hasta este momento solo se conoce este pronunciamiento sobre el tema de la ampliación de la figura de la ineficacia de traslados para afiliados que no gozan del beneficio de la transición y por ende el mismo no constituye jurisprudencia que deba seguirse, pero desde ya vale hacer las siguientes observaciones sobre el tema.</w:t>
      </w:r>
    </w:p>
    <w:p w:rsidR="00682282" w:rsidRPr="00682282" w:rsidRDefault="00682282" w:rsidP="00682282">
      <w:pPr>
        <w:spacing w:line="288" w:lineRule="auto"/>
        <w:ind w:right="51"/>
        <w:jc w:val="both"/>
        <w:rPr>
          <w:rFonts w:ascii="Arial" w:hAnsi="Arial" w:cs="Arial"/>
          <w:b/>
        </w:rPr>
      </w:pPr>
    </w:p>
    <w:p w:rsidR="00682282" w:rsidRPr="00682282" w:rsidRDefault="00682282" w:rsidP="00682282">
      <w:pPr>
        <w:spacing w:line="288" w:lineRule="auto"/>
        <w:ind w:right="51"/>
        <w:jc w:val="both"/>
        <w:rPr>
          <w:rFonts w:ascii="Arial" w:hAnsi="Arial" w:cs="Arial"/>
          <w:i/>
        </w:rPr>
      </w:pPr>
      <w:r w:rsidRPr="00682282">
        <w:rPr>
          <w:rFonts w:ascii="Arial" w:hAnsi="Arial" w:cs="Arial"/>
          <w:b/>
        </w:rPr>
        <w:t>VALOR NORMATIVO DE LAS SENTENCIAS PROFERIDAS POR LA CORTE SUPREMA DE JUSTICIA.</w:t>
      </w:r>
    </w:p>
    <w:p w:rsidR="00682282" w:rsidRPr="00682282" w:rsidRDefault="00682282" w:rsidP="00682282">
      <w:pPr>
        <w:spacing w:line="288" w:lineRule="auto"/>
        <w:ind w:right="51"/>
        <w:jc w:val="both"/>
        <w:rPr>
          <w:rFonts w:ascii="Arial" w:hAnsi="Arial" w:cs="Arial"/>
          <w:b/>
        </w:rPr>
      </w:pPr>
    </w:p>
    <w:p w:rsidR="00682282" w:rsidRPr="00682282" w:rsidRDefault="00682282" w:rsidP="00682282">
      <w:pPr>
        <w:spacing w:line="288" w:lineRule="auto"/>
        <w:ind w:right="51"/>
        <w:jc w:val="both"/>
        <w:rPr>
          <w:rFonts w:ascii="Arial" w:hAnsi="Arial" w:cs="Arial"/>
        </w:rPr>
      </w:pPr>
      <w:r w:rsidRPr="00682282">
        <w:rPr>
          <w:rFonts w:ascii="Arial" w:hAnsi="Arial" w:cs="Arial"/>
        </w:rPr>
        <w:lastRenderedPageBreak/>
        <w:t>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rsidR="00682282" w:rsidRPr="00682282" w:rsidRDefault="00682282" w:rsidP="00682282">
      <w:pPr>
        <w:spacing w:line="288" w:lineRule="auto"/>
        <w:ind w:right="51"/>
        <w:jc w:val="both"/>
        <w:rPr>
          <w:rFonts w:ascii="Arial" w:hAnsi="Arial" w:cs="Arial"/>
        </w:rPr>
      </w:pPr>
    </w:p>
    <w:p w:rsidR="00682282" w:rsidRPr="00682282" w:rsidRDefault="00682282" w:rsidP="00682282">
      <w:pPr>
        <w:spacing w:line="288" w:lineRule="auto"/>
        <w:ind w:right="51"/>
        <w:jc w:val="both"/>
        <w:rPr>
          <w:rFonts w:ascii="Arial" w:hAnsi="Arial" w:cs="Arial"/>
        </w:rPr>
      </w:pPr>
      <w:r w:rsidRPr="00682282">
        <w:rPr>
          <w:rFonts w:ascii="Arial" w:hAnsi="Arial" w:cs="Arial"/>
        </w:rPr>
        <w:t>En efecto, en la parte resolutiva de la sentencia en cita se dispuso:</w:t>
      </w:r>
    </w:p>
    <w:p w:rsidR="00682282" w:rsidRPr="00682282" w:rsidRDefault="00682282" w:rsidP="00682282">
      <w:pPr>
        <w:spacing w:line="288" w:lineRule="auto"/>
        <w:ind w:right="51"/>
        <w:jc w:val="both"/>
        <w:rPr>
          <w:rFonts w:ascii="Arial" w:hAnsi="Arial" w:cs="Aria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bCs/>
          <w:iCs/>
          <w:sz w:val="22"/>
          <w:lang w:val="es-ES_tradnl"/>
        </w:rPr>
        <w:t>“PRIMERO.- </w:t>
      </w:r>
      <w:r w:rsidRPr="009566E2">
        <w:rPr>
          <w:rFonts w:ascii="Arial" w:hAnsi="Arial" w:cs="Arial"/>
          <w:iCs/>
          <w:sz w:val="22"/>
          <w:lang w:val="es-ES_tradnl"/>
        </w:rPr>
        <w:t>Declarar </w:t>
      </w:r>
      <w:r w:rsidRPr="009566E2">
        <w:rPr>
          <w:rFonts w:ascii="Arial" w:hAnsi="Arial" w:cs="Arial"/>
          <w:bCs/>
          <w:iCs/>
          <w:sz w:val="22"/>
          <w:lang w:val="es-ES_tradnl"/>
        </w:rPr>
        <w:t>EXEQUIBLE</w:t>
      </w:r>
      <w:r w:rsidRPr="009566E2">
        <w:rPr>
          <w:rFonts w:ascii="Arial" w:hAnsi="Arial" w:cs="Arial"/>
          <w:iCs/>
          <w:sz w:val="22"/>
          <w:lang w:val="es-ES_tradnl"/>
        </w:rPr>
        <w:t xml:space="preserve"> el artículo 4º de la Ley 169 de 1896, siempre y cuando se entienda que la Corte Suprema de Justicia, como juez de casación, y los demás jueces que conforman la jurisdicción ordinaria, </w:t>
      </w:r>
      <w:r w:rsidRPr="009566E2">
        <w:rPr>
          <w:rFonts w:ascii="Arial" w:hAnsi="Arial" w:cs="Arial"/>
          <w:b/>
          <w:iCs/>
          <w:sz w:val="22"/>
          <w:lang w:val="es-ES_tradnl"/>
        </w:rPr>
        <w:t>al apartarse de la doctrina probable dictada por aquella, están obligados a exponer clara y razonadamente los fundamentos jurídicos que justifican su decisión</w:t>
      </w:r>
      <w:r w:rsidRPr="009566E2">
        <w:rPr>
          <w:rFonts w:ascii="Arial" w:hAnsi="Arial" w:cs="Arial"/>
          <w:iCs/>
          <w:sz w:val="22"/>
          <w:lang w:val="es-ES_tradnl"/>
        </w:rPr>
        <w:t>, en los términos de los numerales 14 a 24 de la presente Sentencia.”</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b/>
          <w:iCs/>
          <w:lang w:val="es-ES_tradnl"/>
        </w:rPr>
        <w:t>RAZONES QUE ME LLEVAN A APARTARME DE LA PUERTA QUE ABRIÓ LA CORTE SUPREMA DE JUSTICIA EN LO RELATIVO A LA AMPLIACIÓN DE LA POSIBILIDAD DE DECLARAR LA INEFICACIA DEL TRASLADO A AFILIADOS QUE NO PERTENECEN AL RÉGIMEN DE TRANSICIÓN.</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b/>
          <w:bCs/>
          <w:iCs/>
        </w:rPr>
        <w:t xml:space="preserve">PRIMERA: </w:t>
      </w:r>
      <w:bookmarkStart w:id="0" w:name="13"/>
      <w:bookmarkEnd w:id="0"/>
      <w:proofErr w:type="spellStart"/>
      <w:r w:rsidRPr="00682282">
        <w:rPr>
          <w:rFonts w:ascii="Arial" w:hAnsi="Arial" w:cs="Arial"/>
          <w:b/>
          <w:iCs/>
          <w:lang w:val="es-ES_tradnl"/>
        </w:rPr>
        <w:t>RÉGIMENES</w:t>
      </w:r>
      <w:proofErr w:type="spellEnd"/>
      <w:r w:rsidRPr="00682282">
        <w:rPr>
          <w:rFonts w:ascii="Arial" w:hAnsi="Arial" w:cs="Arial"/>
          <w:b/>
          <w:iCs/>
          <w:lang w:val="es-ES_tradnl"/>
        </w:rPr>
        <w:t xml:space="preserve"> PENSIONALES COEXISTENTES</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682282">
        <w:rPr>
          <w:rFonts w:ascii="Arial" w:hAnsi="Arial" w:cs="Arial"/>
          <w:b/>
          <w:iCs/>
          <w:lang w:val="es-ES_tradnl"/>
        </w:rPr>
        <w:t>con prestación definida”.</w:t>
      </w:r>
      <w:r w:rsidRPr="00682282">
        <w:rPr>
          <w:rFonts w:ascii="Arial" w:hAnsi="Arial" w:cs="Arial"/>
          <w:iCs/>
          <w:lang w:val="es-ES_tradnl"/>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682282">
        <w:rPr>
          <w:rFonts w:ascii="Arial" w:hAnsi="Arial" w:cs="Arial"/>
          <w:b/>
          <w:iCs/>
          <w:lang w:val="es-ES_tradnl"/>
        </w:rPr>
        <w:t xml:space="preserve">ahorro individual, </w:t>
      </w:r>
      <w:r w:rsidRPr="00682282">
        <w:rPr>
          <w:rFonts w:ascii="Arial" w:hAnsi="Arial" w:cs="Arial"/>
          <w:iCs/>
          <w:lang w:val="es-ES_tradnl"/>
        </w:rPr>
        <w:t xml:space="preserve">dando cuenta desde su denominación de la afectación de la prestación al esfuerzo personal que haga el afiliado. </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w:t>
      </w:r>
      <w:r w:rsidRPr="00682282">
        <w:rPr>
          <w:rFonts w:ascii="Arial" w:hAnsi="Arial" w:cs="Arial"/>
          <w:iCs/>
          <w:lang w:val="es-ES_tradnl"/>
        </w:rPr>
        <w:lastRenderedPageBreak/>
        <w:t>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sucesoral.</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682282">
        <w:rPr>
          <w:rFonts w:ascii="Arial" w:hAnsi="Arial" w:cs="Arial"/>
          <w:b/>
          <w:iCs/>
          <w:lang w:val="es-ES_tradnl"/>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682282">
        <w:rPr>
          <w:rFonts w:ascii="Arial" w:hAnsi="Arial" w:cs="Arial"/>
          <w:iCs/>
          <w:lang w:val="es-ES_tradnl"/>
        </w:rPr>
        <w:t>, entre otras cosas porque la nueva legislación parte de la base de que existe una abierta y libre competencia entre Administradoras públicas y privadas por el mercado de la administración de los riesgos de IVM.</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b/>
          <w:iCs/>
          <w:lang w:val="es-ES_tradnl"/>
        </w:rPr>
        <w:t xml:space="preserve">SEGUNDO: </w:t>
      </w:r>
      <w:proofErr w:type="spellStart"/>
      <w:r w:rsidRPr="00682282">
        <w:rPr>
          <w:rFonts w:ascii="Arial" w:hAnsi="Arial" w:cs="Arial"/>
          <w:b/>
          <w:iCs/>
          <w:lang w:val="es-ES_tradnl"/>
        </w:rPr>
        <w:t>RAZON</w:t>
      </w:r>
      <w:proofErr w:type="spellEnd"/>
      <w:r w:rsidRPr="00682282">
        <w:rPr>
          <w:rFonts w:ascii="Arial" w:hAnsi="Arial" w:cs="Arial"/>
          <w:b/>
          <w:iCs/>
          <w:lang w:val="es-ES_tradnl"/>
        </w:rPr>
        <w:t xml:space="preserve"> DE SER DE LA LIMITACIÓN DE TRASLADO CUANDO FALTEN MENOS DE 10 AÑOS. SENTENCIA C-1024 DE 2004</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 xml:space="preserve">La Corte Constitucional fue clara en explicar que </w:t>
      </w:r>
      <w:r w:rsidRPr="00682282">
        <w:rPr>
          <w:rFonts w:ascii="Arial" w:hAnsi="Arial" w:cs="Arial"/>
          <w:b/>
          <w:iCs/>
          <w:lang w:val="es-ES_tradnl"/>
        </w:rPr>
        <w:t>para garantizar la sostenibilidad financiera del sistema de prima media</w:t>
      </w:r>
      <w:r w:rsidRPr="00682282">
        <w:rPr>
          <w:rFonts w:ascii="Arial" w:hAnsi="Arial" w:cs="Arial"/>
          <w:iCs/>
          <w:lang w:val="es-ES_tradnl"/>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682282" w:rsidRPr="00682282" w:rsidRDefault="00682282" w:rsidP="00682282">
      <w:pPr>
        <w:spacing w:line="288" w:lineRule="auto"/>
        <w:ind w:right="51"/>
        <w:jc w:val="both"/>
        <w:rPr>
          <w:rFonts w:ascii="Arial" w:hAnsi="Arial" w:cs="Arial"/>
          <w:b/>
          <w:iCs/>
          <w:lang w:val="es-ES_tradnl"/>
        </w:rPr>
      </w:pPr>
    </w:p>
    <w:p w:rsidR="00682282" w:rsidRPr="009566E2" w:rsidRDefault="00682282" w:rsidP="009566E2">
      <w:pPr>
        <w:ind w:left="567" w:right="562"/>
        <w:jc w:val="both"/>
        <w:rPr>
          <w:rFonts w:ascii="Arial" w:hAnsi="Arial" w:cs="Arial"/>
          <w:iCs/>
          <w:sz w:val="22"/>
        </w:rPr>
      </w:pPr>
      <w:r w:rsidRPr="009566E2">
        <w:rPr>
          <w:rFonts w:ascii="Arial" w:hAnsi="Arial" w:cs="Arial"/>
          <w:iCs/>
          <w:sz w:val="22"/>
        </w:rPr>
        <w:t>“Desde esta perspectiva, el </w:t>
      </w:r>
      <w:r w:rsidRPr="009566E2">
        <w:rPr>
          <w:rFonts w:ascii="Arial" w:hAnsi="Arial" w:cs="Arial"/>
          <w:i/>
          <w:iCs/>
          <w:sz w:val="22"/>
        </w:rPr>
        <w:t>objetivo </w:t>
      </w:r>
      <w:r w:rsidRPr="009566E2">
        <w:rPr>
          <w:rFonts w:ascii="Arial" w:hAnsi="Arial" w:cs="Arial"/>
          <w:iCs/>
          <w:sz w:val="22"/>
        </w:rPr>
        <w:t xml:space="preserve">perseguido con el señalamiento del  período de carencia en la norma acusada, </w:t>
      </w:r>
      <w:r w:rsidRPr="009566E2">
        <w:rPr>
          <w:rFonts w:ascii="Arial" w:hAnsi="Arial" w:cs="Arial"/>
          <w:b/>
          <w:iCs/>
          <w:sz w:val="22"/>
        </w:rPr>
        <w:t>consiste en evitar la </w:t>
      </w:r>
      <w:r w:rsidRPr="009566E2">
        <w:rPr>
          <w:rFonts w:ascii="Arial" w:hAnsi="Arial" w:cs="Arial"/>
          <w:b/>
          <w:i/>
          <w:iCs/>
          <w:sz w:val="22"/>
        </w:rPr>
        <w:t>descapitalización</w:t>
      </w:r>
      <w:r w:rsidRPr="009566E2">
        <w:rPr>
          <w:rFonts w:ascii="Arial" w:hAnsi="Arial" w:cs="Arial"/>
          <w:b/>
          <w:iCs/>
          <w:sz w:val="22"/>
        </w:rPr>
        <w:t> del fondo común del Régimen Solidario de Prima Media con Prestación Definida</w:t>
      </w:r>
      <w:r w:rsidRPr="009566E2">
        <w:rPr>
          <w:rFonts w:ascii="Arial" w:hAnsi="Arial" w:cs="Arial"/>
          <w:iCs/>
          <w:sz w:val="22"/>
        </w:rPr>
        <w:t>, que se produciría si se permitiera que las personas que no han contribuido al </w:t>
      </w:r>
      <w:r w:rsidRPr="009566E2">
        <w:rPr>
          <w:rFonts w:ascii="Arial" w:hAnsi="Arial" w:cs="Arial"/>
          <w:i/>
          <w:iCs/>
          <w:sz w:val="22"/>
        </w:rPr>
        <w:t>fondo común</w:t>
      </w:r>
      <w:r w:rsidRPr="009566E2">
        <w:rPr>
          <w:rFonts w:ascii="Arial" w:hAnsi="Arial" w:cs="Arial"/>
          <w:iCs/>
          <w:sz w:val="22"/>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9566E2">
        <w:rPr>
          <w:rFonts w:ascii="Arial" w:hAnsi="Arial" w:cs="Arial"/>
          <w:b/>
          <w:iCs/>
          <w:sz w:val="22"/>
        </w:rPr>
        <w:t>a poner en riesgo la garantía del derecho irrenunciable a la pensión del resto de cotizantes</w:t>
      </w:r>
      <w:r w:rsidRPr="009566E2">
        <w:rPr>
          <w:rFonts w:ascii="Arial" w:hAnsi="Arial" w:cs="Arial"/>
          <w:iCs/>
          <w:sz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9566E2">
        <w:rPr>
          <w:rFonts w:ascii="Arial" w:hAnsi="Arial" w:cs="Arial"/>
          <w:b/>
          <w:iCs/>
          <w:sz w:val="22"/>
        </w:rPr>
        <w:t>podría llegar a poner en riesgo la garantía del derecho pensional para los actuales y futuros pensionados</w:t>
      </w:r>
      <w:r w:rsidRPr="009566E2">
        <w:rPr>
          <w:rFonts w:ascii="Arial" w:hAnsi="Arial" w:cs="Arial"/>
          <w:iCs/>
          <w:sz w:val="22"/>
        </w:rPr>
        <w:t>.</w:t>
      </w:r>
    </w:p>
    <w:p w:rsidR="00682282" w:rsidRPr="009566E2" w:rsidRDefault="00682282" w:rsidP="009566E2">
      <w:pPr>
        <w:ind w:left="567" w:right="562"/>
        <w:jc w:val="both"/>
        <w:rPr>
          <w:rFonts w:ascii="Arial" w:hAnsi="Arial" w:cs="Arial"/>
          <w:iCs/>
          <w:sz w:val="22"/>
        </w:rPr>
      </w:pPr>
      <w:r w:rsidRPr="009566E2">
        <w:rPr>
          <w:rFonts w:ascii="Arial" w:hAnsi="Arial" w:cs="Arial"/>
          <w:iCs/>
          <w:sz w:val="22"/>
        </w:rPr>
        <w:t> </w:t>
      </w:r>
    </w:p>
    <w:p w:rsidR="00682282" w:rsidRPr="009566E2" w:rsidRDefault="00682282" w:rsidP="009566E2">
      <w:pPr>
        <w:ind w:left="567" w:right="562"/>
        <w:jc w:val="both"/>
        <w:rPr>
          <w:rFonts w:ascii="Arial" w:hAnsi="Arial" w:cs="Arial"/>
          <w:iCs/>
          <w:sz w:val="22"/>
        </w:rPr>
      </w:pPr>
      <w:r w:rsidRPr="009566E2">
        <w:rPr>
          <w:rFonts w:ascii="Arial" w:hAnsi="Arial" w:cs="Arial"/>
          <w:iCs/>
          <w:sz w:val="22"/>
        </w:rPr>
        <w:t xml:space="preserve">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w:t>
      </w:r>
      <w:r w:rsidRPr="009566E2">
        <w:rPr>
          <w:rFonts w:ascii="Arial" w:hAnsi="Arial" w:cs="Arial"/>
          <w:iCs/>
          <w:sz w:val="22"/>
        </w:rPr>
        <w:lastRenderedPageBreak/>
        <w:t>una creciente rentabilidad del portafolio conformado por la mutualidad del fondo común que financia las pensiones en el régimen de prima media con prestación definida.</w:t>
      </w:r>
    </w:p>
    <w:p w:rsidR="00682282" w:rsidRPr="009566E2" w:rsidRDefault="00682282" w:rsidP="009566E2">
      <w:pPr>
        <w:ind w:left="567" w:right="562"/>
        <w:jc w:val="both"/>
        <w:rPr>
          <w:rFonts w:ascii="Arial" w:hAnsi="Arial" w:cs="Arial"/>
          <w:iCs/>
          <w:sz w:val="22"/>
        </w:rPr>
      </w:pPr>
      <w:r w:rsidRPr="009566E2">
        <w:rPr>
          <w:rFonts w:ascii="Arial" w:hAnsi="Arial" w:cs="Arial"/>
          <w:iCs/>
          <w:sz w:val="22"/>
        </w:rPr>
        <w:t> </w:t>
      </w:r>
    </w:p>
    <w:p w:rsidR="00682282" w:rsidRPr="009566E2" w:rsidRDefault="00682282" w:rsidP="009566E2">
      <w:pPr>
        <w:ind w:left="567" w:right="562"/>
        <w:jc w:val="both"/>
        <w:rPr>
          <w:rFonts w:ascii="Arial" w:hAnsi="Arial" w:cs="Arial"/>
          <w:b/>
          <w:iCs/>
          <w:sz w:val="22"/>
        </w:rPr>
      </w:pPr>
      <w:r w:rsidRPr="009566E2">
        <w:rPr>
          <w:rFonts w:ascii="Arial" w:hAnsi="Arial" w:cs="Arial"/>
          <w:iCs/>
          <w:sz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9566E2">
        <w:rPr>
          <w:rFonts w:ascii="Arial" w:hAnsi="Arial" w:cs="Arial"/>
          <w:b/>
          <w:iCs/>
          <w:sz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9566E2">
        <w:rPr>
          <w:rFonts w:ascii="Arial" w:hAnsi="Arial" w:cs="Arial"/>
          <w:iCs/>
          <w:sz w:val="22"/>
        </w:rPr>
        <w:t>, cuyo propósito consiste en: </w:t>
      </w:r>
      <w:r w:rsidRPr="009566E2">
        <w:rPr>
          <w:rFonts w:ascii="Arial" w:hAnsi="Arial" w:cs="Arial"/>
          <w:i/>
          <w:iCs/>
          <w:sz w:val="22"/>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9566E2">
        <w:rPr>
          <w:rFonts w:ascii="Arial" w:hAnsi="Arial" w:cs="Arial"/>
          <w:iCs/>
          <w:sz w:val="22"/>
        </w:rPr>
        <w:t>.”</w:t>
      </w:r>
      <w:r w:rsidRPr="009566E2">
        <w:rPr>
          <w:rFonts w:ascii="Arial" w:hAnsi="Arial" w:cs="Arial"/>
          <w:b/>
          <w:iCs/>
          <w:sz w:val="22"/>
        </w:rPr>
        <w:t> </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b/>
          <w:iCs/>
        </w:rPr>
      </w:pPr>
      <w:r w:rsidRPr="00682282">
        <w:rPr>
          <w:rFonts w:ascii="Arial" w:hAnsi="Arial" w:cs="Arial"/>
          <w:iCs/>
          <w:lang w:val="es-ES_tradnl"/>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682282">
        <w:rPr>
          <w:rFonts w:ascii="Arial" w:hAnsi="Arial" w:cs="Arial"/>
          <w:b/>
          <w:iCs/>
        </w:rPr>
        <w:t xml:space="preserve">puede llegar a poner en riesgo la garantía del derecho pensional para los actuales y futuros pensionados que </w:t>
      </w:r>
      <w:proofErr w:type="spellStart"/>
      <w:r w:rsidRPr="00682282">
        <w:rPr>
          <w:rFonts w:ascii="Arial" w:hAnsi="Arial" w:cs="Arial"/>
          <w:b/>
          <w:iCs/>
        </w:rPr>
        <w:t>si</w:t>
      </w:r>
      <w:proofErr w:type="spellEnd"/>
      <w:r w:rsidRPr="00682282">
        <w:rPr>
          <w:rFonts w:ascii="Arial" w:hAnsi="Arial" w:cs="Arial"/>
          <w:b/>
          <w:iCs/>
        </w:rPr>
        <w:t xml:space="preserve"> lo hicieron.</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b/>
          <w:iCs/>
          <w:lang w:val="es-ES_tradnl"/>
        </w:rPr>
        <w:t>TERCERO: REALIDAD NORMATIVA SOBRE LA SUPUESTA FALTA DE INFORMACIÓN QUE GENERA LA INEFICACIA DE LOS TRASLADOS (ARTÍCULO 11 DEL DECRETO 692 DE 1994 HOY 2.2.2.1.8 DEL D.U.R 1833/2016)</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Se viene insistiendo reiteradamente en que la ineficacia del traslado se genera porque los Fondos Privados no dieron la suficiente y clara información a las personas que les permitiera tomar una libre decisión informada.</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 xml:space="preserve">Tal afirmación, no responde a la realidad. La reglamentación que dio desarrollo a la ley 100 de 1993 fue específica sobre el contenido de los formularios de afiliación y los traslados, de manera tal que </w:t>
      </w:r>
      <w:r w:rsidRPr="00682282">
        <w:rPr>
          <w:rFonts w:ascii="Arial" w:hAnsi="Arial" w:cs="Arial"/>
          <w:b/>
          <w:iCs/>
          <w:lang w:val="es-ES_tradnl"/>
        </w:rPr>
        <w:t>las AFP –que también son sujetos con derechos y a quienes también debe respetárseles el principio de confianza legítima</w:t>
      </w:r>
      <w:r w:rsidRPr="00682282">
        <w:rPr>
          <w:rFonts w:ascii="Arial" w:hAnsi="Arial" w:cs="Arial"/>
          <w:iCs/>
          <w:lang w:val="es-ES_tradnl"/>
        </w:rPr>
        <w:t xml:space="preserve">-, simplemente siguieron las indicaciones que sobre estos temas fueron señaladas en el decreto 692 de 1994, así:   </w:t>
      </w:r>
    </w:p>
    <w:p w:rsidR="00682282" w:rsidRPr="00682282" w:rsidRDefault="00682282" w:rsidP="00682282">
      <w:pPr>
        <w:spacing w:line="288" w:lineRule="auto"/>
        <w:ind w:right="51"/>
        <w:jc w:val="both"/>
        <w:rPr>
          <w:rFonts w:ascii="Arial" w:hAnsi="Arial" w:cs="Arial"/>
          <w:iCs/>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bCs/>
          <w:i/>
          <w:sz w:val="22"/>
        </w:rPr>
        <w:t xml:space="preserve">ARTICULO 11. DILIGENCIAMIENTO DE LA </w:t>
      </w:r>
      <w:proofErr w:type="spellStart"/>
      <w:r w:rsidRPr="009566E2">
        <w:rPr>
          <w:rFonts w:ascii="Arial" w:hAnsi="Arial" w:cs="Arial"/>
          <w:bCs/>
          <w:i/>
          <w:sz w:val="22"/>
        </w:rPr>
        <w:t>SELECCION</w:t>
      </w:r>
      <w:proofErr w:type="spellEnd"/>
      <w:r w:rsidRPr="009566E2">
        <w:rPr>
          <w:rFonts w:ascii="Arial" w:hAnsi="Arial" w:cs="Arial"/>
          <w:bCs/>
          <w:i/>
          <w:sz w:val="22"/>
        </w:rPr>
        <w:t xml:space="preserve"> Y </w:t>
      </w:r>
      <w:proofErr w:type="spellStart"/>
      <w:r w:rsidRPr="009566E2">
        <w:rPr>
          <w:rFonts w:ascii="Arial" w:hAnsi="Arial" w:cs="Arial"/>
          <w:bCs/>
          <w:i/>
          <w:sz w:val="22"/>
        </w:rPr>
        <w:t>VINCULACION</w:t>
      </w:r>
      <w:proofErr w:type="spellEnd"/>
      <w:r w:rsidRPr="009566E2">
        <w:rPr>
          <w:rFonts w:ascii="Arial" w:hAnsi="Arial" w:cs="Arial"/>
          <w:bCs/>
          <w:i/>
          <w:sz w:val="22"/>
        </w:rPr>
        <w:t>.</w:t>
      </w:r>
      <w:bookmarkStart w:id="1" w:name="11"/>
      <w:bookmarkEnd w:id="1"/>
      <w:r w:rsidRPr="009566E2">
        <w:rPr>
          <w:rFonts w:ascii="Arial" w:hAnsi="Arial" w:cs="Arial"/>
          <w:bCs/>
          <w:i/>
          <w:sz w:val="22"/>
        </w:rPr>
        <w:t> &lt;Artículo compilado en el artículo </w:t>
      </w:r>
      <w:hyperlink r:id="rId8" w:anchor="2.2.2.1.8" w:history="1">
        <w:r w:rsidRPr="009566E2">
          <w:rPr>
            <w:rFonts w:ascii="Arial" w:hAnsi="Arial" w:cs="Arial"/>
            <w:bCs/>
            <w:i/>
            <w:sz w:val="22"/>
          </w:rPr>
          <w:t>2.2.2.1.8</w:t>
        </w:r>
      </w:hyperlink>
      <w:r w:rsidRPr="009566E2">
        <w:rPr>
          <w:rFonts w:ascii="Arial" w:hAnsi="Arial" w:cs="Arial"/>
          <w:bCs/>
          <w:i/>
          <w:sz w:val="22"/>
        </w:rPr>
        <w:t> del Decreto Único Reglamentario 1833 de 2016.</w:t>
      </w:r>
      <w:r w:rsidRPr="009566E2">
        <w:rPr>
          <w:rFonts w:ascii="Arial" w:hAnsi="Arial" w:cs="Arial"/>
          <w:b/>
          <w:bCs/>
          <w:i/>
          <w:color w:val="004C91"/>
          <w:sz w:val="22"/>
        </w:rPr>
        <w:t> </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La selección del régimen implica la aceptación de las condiciones propias de éste, para acceder a las pensiones de vejez, invalidez y sobrevivientes, y demás prestaciones económicas a que haya lugar.</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lastRenderedPageBreak/>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Quienes decidan afiliarse voluntariamente al sistema, manifestarán su decisión al momento de vincularse a una determinada administradora.</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a) Lugar y fecha;</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b) Nombre o razón social y NIT del empleador;</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c) Nombre y apellidos del afiliado;</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d) Número de cédula o NIT del afiliado;</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e) Entidad administradora del régimen de pensiones a la cual desea afiliarse, la cual podrá estar preimpresa;</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f) Datos del cónyuge, compañero o compañera permanente, hijos o beneficiarios del afiliado.</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El formulario deberá diligenciarse en original y dos copias, cuya distribución será la siguiente: el original para la administradora, una copia para el empleador y otra para el afiliado.</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i/>
          <w:color w:val="000000"/>
          <w:sz w:val="22"/>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682282" w:rsidRPr="009566E2" w:rsidRDefault="00682282" w:rsidP="009566E2">
      <w:pPr>
        <w:ind w:left="567" w:right="562"/>
        <w:jc w:val="both"/>
        <w:rPr>
          <w:rFonts w:ascii="Arial" w:hAnsi="Arial" w:cs="Arial"/>
          <w:iCs/>
          <w:sz w:val="22"/>
          <w:lang w:val="es-ES_tradnl"/>
        </w:rPr>
      </w:pPr>
    </w:p>
    <w:p w:rsidR="00682282" w:rsidRPr="009566E2" w:rsidRDefault="00682282" w:rsidP="009566E2">
      <w:pPr>
        <w:ind w:left="567" w:right="562"/>
        <w:jc w:val="both"/>
        <w:rPr>
          <w:rFonts w:ascii="Arial" w:hAnsi="Arial" w:cs="Arial"/>
          <w:iCs/>
          <w:sz w:val="22"/>
          <w:lang w:val="es-ES_tradnl"/>
        </w:rPr>
      </w:pPr>
      <w:r w:rsidRPr="009566E2">
        <w:rPr>
          <w:rFonts w:ascii="Arial" w:hAnsi="Arial" w:cs="Arial"/>
          <w:b/>
          <w:i/>
          <w:color w:val="000000"/>
          <w:sz w:val="22"/>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rsidR="009566E2" w:rsidRDefault="009566E2" w:rsidP="00682282">
      <w:pPr>
        <w:spacing w:line="288" w:lineRule="auto"/>
        <w:ind w:right="51"/>
        <w:jc w:val="both"/>
        <w:rPr>
          <w:rFonts w:ascii="Arial" w:hAnsi="Arial" w:cs="Arial"/>
          <w:iCs/>
          <w:lang w:val="es-ES_tradnl"/>
        </w:rPr>
      </w:pP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Nótese como, no solo la norma dispuso la información que debía contener el formulario sino que, tratándose de traslados, advirtió que debería haber una leyenda expresa –</w:t>
      </w:r>
      <w:r w:rsidRPr="00682282">
        <w:rPr>
          <w:rFonts w:ascii="Arial" w:hAnsi="Arial" w:cs="Arial"/>
          <w:b/>
          <w:iCs/>
          <w:lang w:val="es-ES_tradnl"/>
        </w:rPr>
        <w:t>que podía estar preimpresa</w:t>
      </w:r>
      <w:r w:rsidRPr="00682282">
        <w:rPr>
          <w:rFonts w:ascii="Arial" w:hAnsi="Arial" w:cs="Arial"/>
          <w:iCs/>
          <w:lang w:val="es-ES_tradnl"/>
        </w:rPr>
        <w:t xml:space="preserve">- en la cual constara que la decisión de </w:t>
      </w:r>
      <w:proofErr w:type="gramStart"/>
      <w:r w:rsidRPr="00682282">
        <w:rPr>
          <w:rFonts w:ascii="Arial" w:hAnsi="Arial" w:cs="Arial"/>
          <w:iCs/>
          <w:lang w:val="es-ES_tradnl"/>
        </w:rPr>
        <w:t>traslado</w:t>
      </w:r>
      <w:proofErr w:type="gramEnd"/>
      <w:r w:rsidRPr="00682282">
        <w:rPr>
          <w:rFonts w:ascii="Arial" w:hAnsi="Arial" w:cs="Arial"/>
          <w:iCs/>
          <w:lang w:val="es-ES_tradnl"/>
        </w:rPr>
        <w:t xml:space="preserve"> se tomó de manera libre, espontánea y sin presiones.</w:t>
      </w:r>
    </w:p>
    <w:p w:rsidR="00682282" w:rsidRPr="00682282" w:rsidRDefault="00682282" w:rsidP="00682282">
      <w:pPr>
        <w:spacing w:line="288" w:lineRule="auto"/>
        <w:ind w:right="51"/>
        <w:jc w:val="both"/>
        <w:rPr>
          <w:rFonts w:ascii="Arial" w:hAnsi="Arial" w:cs="Arial"/>
          <w:iCs/>
          <w:lang w:val="es-ES_tradnl"/>
        </w:rPr>
      </w:pPr>
    </w:p>
    <w:p w:rsidR="00682282" w:rsidRPr="00682282" w:rsidRDefault="00682282" w:rsidP="00682282">
      <w:pPr>
        <w:spacing w:line="288" w:lineRule="auto"/>
        <w:jc w:val="both"/>
        <w:rPr>
          <w:rFonts w:ascii="Arial" w:hAnsi="Arial" w:cs="Arial"/>
          <w:iCs/>
          <w:lang w:val="es-ES_tradnl"/>
        </w:rPr>
      </w:pPr>
      <w:r w:rsidRPr="00682282">
        <w:rPr>
          <w:rFonts w:ascii="Arial" w:hAnsi="Arial" w:cs="Arial"/>
          <w:iCs/>
          <w:lang w:val="es-ES_tradnl"/>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682282" w:rsidRPr="00682282" w:rsidRDefault="00682282" w:rsidP="00682282">
      <w:pPr>
        <w:spacing w:line="288" w:lineRule="auto"/>
        <w:jc w:val="both"/>
        <w:rPr>
          <w:rFonts w:ascii="Arial" w:hAnsi="Arial" w:cs="Arial"/>
          <w:iCs/>
          <w:lang w:val="es-ES_tradnl"/>
        </w:rPr>
      </w:pPr>
    </w:p>
    <w:p w:rsidR="00682282" w:rsidRPr="00682282" w:rsidRDefault="00682282" w:rsidP="00682282">
      <w:pPr>
        <w:spacing w:line="288" w:lineRule="auto"/>
        <w:jc w:val="both"/>
        <w:rPr>
          <w:rFonts w:ascii="Arial" w:hAnsi="Arial" w:cs="Arial"/>
          <w:iCs/>
          <w:lang w:val="es-ES_tradnl"/>
        </w:rPr>
      </w:pPr>
      <w:r w:rsidRPr="00682282">
        <w:rPr>
          <w:rFonts w:ascii="Arial" w:hAnsi="Arial" w:cs="Arial"/>
          <w:iCs/>
          <w:lang w:val="es-ES_tradnl"/>
        </w:rPr>
        <w:t xml:space="preserve">Las respuestas son necesarias y resultan contundentes para entender la insostenibilidad de la exigencia de la tesis de falta de información, así: Las </w:t>
      </w:r>
      <w:r w:rsidRPr="00682282">
        <w:rPr>
          <w:rFonts w:ascii="Arial" w:hAnsi="Arial" w:cs="Arial"/>
          <w:iCs/>
          <w:lang w:val="es-ES_tradnl"/>
        </w:rPr>
        <w:lastRenderedPageBreak/>
        <w:t>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682282" w:rsidRPr="00682282" w:rsidRDefault="00682282" w:rsidP="00682282">
      <w:pPr>
        <w:spacing w:line="288" w:lineRule="auto"/>
        <w:jc w:val="both"/>
        <w:rPr>
          <w:rFonts w:ascii="Arial" w:hAnsi="Arial" w:cs="Arial"/>
          <w:iCs/>
          <w:lang w:val="es-ES_tradnl"/>
        </w:rPr>
      </w:pPr>
    </w:p>
    <w:p w:rsidR="00682282" w:rsidRPr="00682282" w:rsidRDefault="00682282" w:rsidP="00682282">
      <w:pPr>
        <w:spacing w:line="288" w:lineRule="auto"/>
        <w:jc w:val="both"/>
        <w:rPr>
          <w:rFonts w:ascii="Arial" w:hAnsi="Arial" w:cs="Arial"/>
        </w:rPr>
      </w:pPr>
      <w:r w:rsidRPr="00682282">
        <w:rPr>
          <w:rFonts w:ascii="Arial" w:hAnsi="Arial" w:cs="Arial"/>
          <w:iCs/>
          <w:lang w:val="es-ES_tradnl"/>
        </w:rPr>
        <w:t xml:space="preserve">En efecto, </w:t>
      </w:r>
      <w:r w:rsidRPr="00682282">
        <w:rPr>
          <w:rFonts w:ascii="Arial" w:hAnsi="Arial" w:cs="Arial"/>
        </w:rPr>
        <w:t>resulta claro que la obligación de hacer proyecciones, apenas vino a imponerse a las administradoras con la ley 1748 de 2014, en cuyo parágrafo 1º del artículo 2º se destaca:</w:t>
      </w:r>
    </w:p>
    <w:p w:rsidR="00682282" w:rsidRPr="00682282" w:rsidRDefault="00682282" w:rsidP="00682282">
      <w:pPr>
        <w:spacing w:line="288" w:lineRule="auto"/>
        <w:jc w:val="both"/>
        <w:rPr>
          <w:rFonts w:ascii="Arial" w:hAnsi="Arial" w:cs="Arial"/>
        </w:rPr>
      </w:pPr>
    </w:p>
    <w:p w:rsidR="00682282" w:rsidRPr="009566E2" w:rsidRDefault="00682282" w:rsidP="009566E2">
      <w:pPr>
        <w:ind w:left="567" w:right="562"/>
        <w:jc w:val="both"/>
        <w:rPr>
          <w:rFonts w:ascii="Arial" w:hAnsi="Arial" w:cs="Arial"/>
          <w:i/>
          <w:sz w:val="22"/>
        </w:rPr>
      </w:pPr>
      <w:r w:rsidRPr="009566E2">
        <w:rPr>
          <w:rFonts w:ascii="Arial" w:hAnsi="Arial" w:cs="Arial"/>
          <w:b/>
          <w:bCs/>
          <w:sz w:val="22"/>
        </w:rPr>
        <w:t>“</w:t>
      </w:r>
      <w:r w:rsidRPr="009566E2">
        <w:rPr>
          <w:rFonts w:ascii="Arial" w:hAnsi="Arial" w:cs="Arial"/>
          <w:b/>
          <w:bCs/>
          <w:i/>
          <w:sz w:val="22"/>
        </w:rPr>
        <w:t>PARÁGRAFO 1o.</w:t>
      </w:r>
      <w:r w:rsidRPr="009566E2">
        <w:rPr>
          <w:rFonts w:ascii="Arial" w:hAnsi="Arial" w:cs="Arial"/>
          <w:i/>
          <w:sz w:val="22"/>
        </w:rPr>
        <w:t> Adicionar un inciso 2o al artículo </w:t>
      </w:r>
      <w:hyperlink r:id="rId9" w:anchor="9" w:history="1">
        <w:r w:rsidRPr="009566E2">
          <w:rPr>
            <w:rStyle w:val="Hipervnculo"/>
            <w:rFonts w:ascii="Arial" w:hAnsi="Arial" w:cs="Arial"/>
            <w:i/>
            <w:sz w:val="22"/>
          </w:rPr>
          <w:t>9</w:t>
        </w:r>
      </w:hyperlink>
      <w:r w:rsidRPr="009566E2">
        <w:rPr>
          <w:rFonts w:ascii="Arial" w:hAnsi="Arial" w:cs="Arial"/>
          <w:i/>
          <w:sz w:val="22"/>
        </w:rPr>
        <w:t>o de la Ley 1328 de 2009, que regula el contenido mínimo de la información al consumidor financiero, cuyo texto es el siguiente:</w:t>
      </w:r>
    </w:p>
    <w:p w:rsidR="00682282" w:rsidRPr="009566E2" w:rsidRDefault="00682282" w:rsidP="009566E2">
      <w:pPr>
        <w:ind w:left="567" w:right="562"/>
        <w:jc w:val="both"/>
        <w:rPr>
          <w:rFonts w:ascii="Arial" w:hAnsi="Arial" w:cs="Arial"/>
          <w:i/>
          <w:sz w:val="22"/>
        </w:rPr>
      </w:pPr>
    </w:p>
    <w:p w:rsidR="00682282" w:rsidRPr="009566E2" w:rsidRDefault="00682282" w:rsidP="009566E2">
      <w:pPr>
        <w:ind w:left="567" w:right="562"/>
        <w:jc w:val="both"/>
        <w:rPr>
          <w:rFonts w:ascii="Arial" w:hAnsi="Arial" w:cs="Arial"/>
          <w:sz w:val="22"/>
        </w:rPr>
      </w:pPr>
      <w:r w:rsidRPr="009566E2">
        <w:rPr>
          <w:rFonts w:ascii="Arial" w:hAnsi="Arial" w:cs="Arial"/>
          <w:i/>
          <w:sz w:val="22"/>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9566E2">
        <w:rPr>
          <w:rFonts w:ascii="Arial" w:hAnsi="Arial" w:cs="Arial"/>
          <w:b/>
          <w:i/>
          <w:sz w:val="22"/>
        </w:rPr>
        <w:t>Lo anterior de conformidad con las instrucciones que para el efecto imparta la Superintendencia Financiera de Colombia</w:t>
      </w:r>
      <w:r w:rsidRPr="009566E2">
        <w:rPr>
          <w:rFonts w:ascii="Arial" w:hAnsi="Arial" w:cs="Arial"/>
          <w:sz w:val="22"/>
        </w:rPr>
        <w:t>.”</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682282" w:rsidRPr="00682282" w:rsidRDefault="00682282" w:rsidP="00682282">
      <w:pPr>
        <w:spacing w:line="288" w:lineRule="auto"/>
        <w:jc w:val="both"/>
        <w:rPr>
          <w:rFonts w:ascii="Arial" w:hAnsi="Arial" w:cs="Arial"/>
        </w:rPr>
      </w:pPr>
    </w:p>
    <w:p w:rsidR="00682282" w:rsidRPr="009566E2" w:rsidRDefault="00682282" w:rsidP="009566E2">
      <w:pPr>
        <w:ind w:left="567" w:right="562"/>
        <w:jc w:val="both"/>
        <w:rPr>
          <w:rFonts w:ascii="Arial" w:hAnsi="Arial" w:cs="Arial"/>
          <w:i/>
          <w:sz w:val="22"/>
        </w:rPr>
      </w:pPr>
      <w:r w:rsidRPr="009566E2">
        <w:rPr>
          <w:rFonts w:ascii="Arial" w:hAnsi="Arial" w:cs="Arial"/>
          <w:sz w:val="22"/>
        </w:rPr>
        <w:t>“</w:t>
      </w:r>
      <w:r w:rsidRPr="009566E2">
        <w:rPr>
          <w:rFonts w:ascii="Arial" w:hAnsi="Arial" w:cs="Arial"/>
          <w:i/>
          <w:sz w:val="22"/>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682282" w:rsidRPr="009566E2" w:rsidRDefault="00682282" w:rsidP="009566E2">
      <w:pPr>
        <w:ind w:left="567" w:right="562"/>
        <w:jc w:val="both"/>
        <w:rPr>
          <w:rFonts w:ascii="Arial" w:hAnsi="Arial" w:cs="Arial"/>
          <w:i/>
          <w:sz w:val="22"/>
        </w:rPr>
      </w:pPr>
    </w:p>
    <w:p w:rsidR="00682282" w:rsidRPr="009566E2" w:rsidRDefault="00682282" w:rsidP="009566E2">
      <w:pPr>
        <w:ind w:left="567" w:right="562"/>
        <w:jc w:val="both"/>
        <w:rPr>
          <w:rFonts w:ascii="Arial" w:hAnsi="Arial" w:cs="Arial"/>
          <w:i/>
          <w:sz w:val="22"/>
        </w:rPr>
      </w:pPr>
      <w:r w:rsidRPr="009566E2">
        <w:rPr>
          <w:rFonts w:ascii="Arial" w:hAnsi="Arial" w:cs="Arial"/>
          <w:i/>
          <w:sz w:val="22"/>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682282" w:rsidRPr="009566E2" w:rsidRDefault="00682282" w:rsidP="009566E2">
      <w:pPr>
        <w:ind w:left="567" w:right="562"/>
        <w:jc w:val="both"/>
        <w:rPr>
          <w:rFonts w:ascii="Arial" w:hAnsi="Arial" w:cs="Arial"/>
          <w:i/>
          <w:sz w:val="22"/>
        </w:rPr>
      </w:pPr>
    </w:p>
    <w:p w:rsidR="00682282" w:rsidRPr="009566E2" w:rsidRDefault="00682282" w:rsidP="009566E2">
      <w:pPr>
        <w:ind w:left="567" w:right="562"/>
        <w:jc w:val="both"/>
        <w:rPr>
          <w:rFonts w:ascii="Arial" w:hAnsi="Arial" w:cs="Arial"/>
          <w:sz w:val="22"/>
        </w:rPr>
      </w:pPr>
      <w:r w:rsidRPr="009566E2">
        <w:rPr>
          <w:rFonts w:ascii="Arial" w:hAnsi="Arial" w:cs="Arial"/>
          <w:i/>
          <w:sz w:val="22"/>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r w:rsidRPr="009566E2">
        <w:rPr>
          <w:rFonts w:ascii="Arial" w:hAnsi="Arial" w:cs="Arial"/>
          <w:sz w:val="22"/>
        </w:rPr>
        <w:t>;”</w:t>
      </w:r>
    </w:p>
    <w:p w:rsidR="00682282" w:rsidRPr="00682282" w:rsidRDefault="00682282" w:rsidP="00682282">
      <w:pPr>
        <w:spacing w:line="288" w:lineRule="auto"/>
        <w:ind w:left="708"/>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w:t>
      </w:r>
      <w:r w:rsidRPr="00682282">
        <w:rPr>
          <w:rFonts w:ascii="Arial" w:hAnsi="Arial" w:cs="Arial"/>
        </w:rPr>
        <w:lastRenderedPageBreak/>
        <w:t xml:space="preserve">haciéndose la precisión </w:t>
      </w:r>
      <w:r w:rsidRPr="00682282">
        <w:rPr>
          <w:rFonts w:ascii="Arial" w:hAnsi="Arial" w:cs="Arial"/>
          <w:i/>
        </w:rPr>
        <w:t>que “para el caso de la proyección del beneficio pensional en el Régimen de Ahorro Individual con Solidaridad, la Administradora deberá realizar una asesoría en los términos descritos en el artículo 2.6.10.4.3 del presente decreto”</w:t>
      </w:r>
      <w:r w:rsidRPr="00682282">
        <w:rPr>
          <w:rFonts w:ascii="Arial" w:hAnsi="Arial" w:cs="Arial"/>
        </w:rPr>
        <w:t>; aspecto que pone de manifiesto que antes del decreto en comento, las Administradoras no tenían mecanismo para dar tal información pues es, este artículo 2.6.10.4.3., el que establece los parámetros técnicos para poder cumplir tal cometido, al disponer:</w:t>
      </w:r>
    </w:p>
    <w:p w:rsidR="00682282" w:rsidRPr="00682282" w:rsidRDefault="00682282" w:rsidP="00682282">
      <w:pPr>
        <w:spacing w:line="288" w:lineRule="auto"/>
        <w:jc w:val="both"/>
        <w:rPr>
          <w:rFonts w:ascii="Arial" w:hAnsi="Arial" w:cs="Arial"/>
        </w:rPr>
      </w:pPr>
    </w:p>
    <w:p w:rsidR="00682282" w:rsidRPr="009566E2" w:rsidRDefault="00682282" w:rsidP="009566E2">
      <w:pPr>
        <w:ind w:left="567" w:right="562"/>
        <w:jc w:val="both"/>
        <w:rPr>
          <w:rFonts w:ascii="Arial" w:hAnsi="Arial" w:cs="Arial"/>
          <w:i/>
          <w:sz w:val="22"/>
        </w:rPr>
      </w:pPr>
      <w:r w:rsidRPr="009566E2">
        <w:rPr>
          <w:rFonts w:ascii="Arial" w:hAnsi="Arial" w:cs="Arial"/>
          <w:sz w:val="22"/>
        </w:rPr>
        <w:t>“</w:t>
      </w:r>
      <w:r w:rsidRPr="009566E2">
        <w:rPr>
          <w:rFonts w:ascii="Arial" w:hAnsi="Arial" w:cs="Arial"/>
          <w:b/>
          <w:bCs/>
          <w:i/>
          <w:sz w:val="22"/>
        </w:rPr>
        <w:t>Artículo 2.6.10.4.3. </w:t>
      </w:r>
      <w:r w:rsidRPr="009566E2">
        <w:rPr>
          <w:rFonts w:ascii="Arial" w:hAnsi="Arial" w:cs="Arial"/>
          <w:b/>
          <w:bCs/>
          <w:i/>
          <w:iCs/>
          <w:sz w:val="22"/>
        </w:rPr>
        <w:t>Proyección del beneficio pensional en el Régimen de Ahorro Individual con Solidaridad. </w:t>
      </w:r>
      <w:r w:rsidRPr="009566E2">
        <w:rPr>
          <w:rFonts w:ascii="Arial" w:hAnsi="Arial" w:cs="Arial"/>
          <w:i/>
          <w:sz w:val="22"/>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682282" w:rsidRPr="009566E2" w:rsidRDefault="00682282" w:rsidP="009566E2">
      <w:pPr>
        <w:ind w:left="567" w:right="562"/>
        <w:jc w:val="both"/>
        <w:rPr>
          <w:rFonts w:ascii="Arial" w:hAnsi="Arial" w:cs="Arial"/>
          <w:i/>
          <w:sz w:val="22"/>
        </w:rPr>
      </w:pPr>
    </w:p>
    <w:p w:rsidR="00682282" w:rsidRPr="009566E2" w:rsidRDefault="00682282" w:rsidP="009566E2">
      <w:pPr>
        <w:ind w:left="567" w:right="562"/>
        <w:jc w:val="both"/>
        <w:rPr>
          <w:rFonts w:ascii="Arial" w:hAnsi="Arial" w:cs="Arial"/>
          <w:i/>
          <w:sz w:val="22"/>
        </w:rPr>
      </w:pPr>
      <w:r w:rsidRPr="009566E2">
        <w:rPr>
          <w:rFonts w:ascii="Arial" w:hAnsi="Arial" w:cs="Arial"/>
          <w:i/>
          <w:sz w:val="22"/>
        </w:rPr>
        <w:t>Las administradoras deberán indicar de manera expresa al afiliado que la simulación corresponde a la modalidad de pensión de retiro programado, calculada con base en las cotizaciones obligatorias y no incluye aportes voluntarios.</w:t>
      </w:r>
    </w:p>
    <w:p w:rsidR="00682282" w:rsidRPr="009566E2" w:rsidRDefault="00682282" w:rsidP="009566E2">
      <w:pPr>
        <w:ind w:left="567" w:right="562"/>
        <w:jc w:val="both"/>
        <w:rPr>
          <w:rFonts w:ascii="Arial" w:hAnsi="Arial" w:cs="Arial"/>
          <w:i/>
          <w:sz w:val="22"/>
        </w:rPr>
      </w:pPr>
    </w:p>
    <w:p w:rsidR="00682282" w:rsidRPr="009566E2" w:rsidRDefault="00682282" w:rsidP="009566E2">
      <w:pPr>
        <w:ind w:left="567" w:right="562"/>
        <w:jc w:val="both"/>
        <w:rPr>
          <w:rFonts w:ascii="Arial" w:hAnsi="Arial" w:cs="Arial"/>
          <w:i/>
          <w:sz w:val="22"/>
        </w:rPr>
      </w:pPr>
      <w:r w:rsidRPr="009566E2">
        <w:rPr>
          <w:rFonts w:ascii="Arial" w:hAnsi="Arial" w:cs="Arial"/>
          <w:i/>
          <w:sz w:val="22"/>
        </w:rPr>
        <w:t>Para el cálculo de la proyección antes mencionada se deberán tener en cuenta los siguientes parámetros técnicos:</w:t>
      </w:r>
    </w:p>
    <w:p w:rsidR="00682282" w:rsidRPr="009566E2" w:rsidRDefault="00682282" w:rsidP="009566E2">
      <w:pPr>
        <w:ind w:left="567" w:right="562"/>
        <w:jc w:val="both"/>
        <w:rPr>
          <w:rFonts w:ascii="Arial" w:hAnsi="Arial" w:cs="Arial"/>
          <w:i/>
          <w:sz w:val="22"/>
        </w:rPr>
      </w:pPr>
    </w:p>
    <w:p w:rsidR="00682282" w:rsidRPr="009566E2" w:rsidRDefault="00682282" w:rsidP="009566E2">
      <w:pPr>
        <w:ind w:left="567" w:right="562"/>
        <w:jc w:val="both"/>
        <w:rPr>
          <w:rFonts w:ascii="Arial" w:hAnsi="Arial" w:cs="Arial"/>
          <w:i/>
          <w:sz w:val="22"/>
        </w:rPr>
      </w:pPr>
      <w:r w:rsidRPr="009566E2">
        <w:rPr>
          <w:rFonts w:ascii="Arial" w:hAnsi="Arial" w:cs="Arial"/>
          <w:i/>
          <w:sz w:val="22"/>
        </w:rPr>
        <w:t>a) La tasa de interés técnico que se encuentra establecida por la Superintendencia Financiera de Colombia o la que la modifique o sustituya;</w:t>
      </w:r>
    </w:p>
    <w:p w:rsidR="00682282" w:rsidRPr="009566E2" w:rsidRDefault="00682282" w:rsidP="009566E2">
      <w:pPr>
        <w:ind w:left="567" w:right="562"/>
        <w:jc w:val="both"/>
        <w:rPr>
          <w:rFonts w:ascii="Arial" w:hAnsi="Arial" w:cs="Arial"/>
          <w:i/>
          <w:sz w:val="22"/>
        </w:rPr>
      </w:pPr>
      <w:r w:rsidRPr="009566E2">
        <w:rPr>
          <w:rFonts w:ascii="Arial" w:hAnsi="Arial" w:cs="Arial"/>
          <w:i/>
          <w:sz w:val="22"/>
        </w:rPr>
        <w:t>b) Las tablas de mortalidad de rentistas y de inválidos expedidas por la Superintendencia Financiera de Colombia;</w:t>
      </w:r>
    </w:p>
    <w:p w:rsidR="00682282" w:rsidRPr="009566E2" w:rsidRDefault="00682282" w:rsidP="009566E2">
      <w:pPr>
        <w:ind w:left="567" w:right="562"/>
        <w:jc w:val="both"/>
        <w:rPr>
          <w:rFonts w:ascii="Arial" w:hAnsi="Arial" w:cs="Arial"/>
          <w:i/>
          <w:sz w:val="22"/>
        </w:rPr>
      </w:pPr>
      <w:r w:rsidRPr="009566E2">
        <w:rPr>
          <w:rFonts w:ascii="Arial" w:hAnsi="Arial" w:cs="Arial"/>
          <w:i/>
          <w:sz w:val="22"/>
        </w:rPr>
        <w:t>c) Las tasas de inflación y crecimiento de los beneficios pensionales;</w:t>
      </w:r>
    </w:p>
    <w:p w:rsidR="00682282" w:rsidRPr="009566E2" w:rsidRDefault="00682282" w:rsidP="009566E2">
      <w:pPr>
        <w:ind w:left="567" w:right="562"/>
        <w:jc w:val="both"/>
        <w:rPr>
          <w:rFonts w:ascii="Arial" w:hAnsi="Arial" w:cs="Arial"/>
          <w:i/>
          <w:sz w:val="22"/>
        </w:rPr>
      </w:pPr>
      <w:r w:rsidRPr="009566E2">
        <w:rPr>
          <w:rFonts w:ascii="Arial" w:hAnsi="Arial" w:cs="Arial"/>
          <w:i/>
          <w:sz w:val="22"/>
        </w:rPr>
        <w:t>d) Demás parámetros y supuestos que imparta sobre el particular la Superintendencia Financiera de Colombia.</w:t>
      </w:r>
    </w:p>
    <w:p w:rsidR="00682282" w:rsidRPr="00682282" w:rsidRDefault="00682282" w:rsidP="00682282">
      <w:pPr>
        <w:spacing w:line="288" w:lineRule="auto"/>
        <w:ind w:left="708"/>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Para finalmente concluirse en el parágrafo 2º que:</w:t>
      </w:r>
    </w:p>
    <w:p w:rsidR="00682282" w:rsidRPr="00682282" w:rsidRDefault="00682282" w:rsidP="00682282">
      <w:pPr>
        <w:spacing w:line="288" w:lineRule="auto"/>
        <w:jc w:val="both"/>
        <w:rPr>
          <w:rFonts w:ascii="Arial" w:hAnsi="Arial" w:cs="Arial"/>
        </w:rPr>
      </w:pPr>
    </w:p>
    <w:p w:rsidR="00682282" w:rsidRPr="009566E2" w:rsidRDefault="00682282" w:rsidP="009566E2">
      <w:pPr>
        <w:ind w:left="567" w:right="562"/>
        <w:jc w:val="both"/>
        <w:rPr>
          <w:rFonts w:ascii="Arial" w:hAnsi="Arial" w:cs="Arial"/>
          <w:sz w:val="22"/>
        </w:rPr>
      </w:pPr>
      <w:r w:rsidRPr="009566E2">
        <w:rPr>
          <w:rFonts w:ascii="Arial" w:hAnsi="Arial" w:cs="Arial"/>
          <w:b/>
          <w:bCs/>
          <w:sz w:val="22"/>
        </w:rPr>
        <w:t>“</w:t>
      </w:r>
      <w:r w:rsidRPr="009566E2">
        <w:rPr>
          <w:rFonts w:ascii="Arial" w:hAnsi="Arial" w:cs="Arial"/>
          <w:b/>
          <w:bCs/>
          <w:i/>
          <w:sz w:val="22"/>
        </w:rPr>
        <w:t>Parágrafo 2°. </w:t>
      </w:r>
      <w:r w:rsidRPr="009566E2">
        <w:rPr>
          <w:rFonts w:ascii="Arial" w:hAnsi="Arial" w:cs="Arial"/>
          <w:i/>
          <w:sz w:val="22"/>
        </w:rPr>
        <w:t>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w:t>
      </w:r>
      <w:r w:rsidRPr="009566E2">
        <w:rPr>
          <w:rFonts w:ascii="Arial" w:hAnsi="Arial" w:cs="Arial"/>
          <w:sz w:val="22"/>
        </w:rPr>
        <w:t xml:space="preserve">”. </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ind w:right="51"/>
        <w:jc w:val="both"/>
        <w:rPr>
          <w:rFonts w:ascii="Arial" w:hAnsi="Arial" w:cs="Arial"/>
        </w:rPr>
      </w:pPr>
      <w:r w:rsidRPr="00682282">
        <w:rPr>
          <w:rFonts w:ascii="Arial" w:hAnsi="Arial" w:cs="Arial"/>
        </w:rPr>
        <w:t>Salta a la vista entonces, que con anterioridad a estas normas, no estaban establecidos los parámetros que permitieran dar una información técnica a título de proyección y por ello tal obligación no puede exigirse en estos asuntos.</w:t>
      </w:r>
    </w:p>
    <w:p w:rsidR="00682282" w:rsidRPr="00682282" w:rsidRDefault="00682282" w:rsidP="00682282">
      <w:pPr>
        <w:spacing w:line="288" w:lineRule="auto"/>
        <w:ind w:right="51"/>
        <w:jc w:val="both"/>
        <w:rPr>
          <w:rFonts w:ascii="Arial" w:hAnsi="Arial" w:cs="Arial"/>
        </w:rPr>
      </w:pP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682282" w:rsidRPr="00682282" w:rsidRDefault="00682282" w:rsidP="00682282">
      <w:pPr>
        <w:spacing w:line="288" w:lineRule="auto"/>
        <w:ind w:right="51"/>
        <w:jc w:val="both"/>
        <w:rPr>
          <w:rFonts w:ascii="Arial" w:hAnsi="Arial" w:cs="Arial"/>
          <w:iCs/>
          <w:lang w:val="es-ES_tradnl"/>
        </w:rPr>
      </w:pPr>
      <w:r w:rsidRPr="00682282">
        <w:rPr>
          <w:rFonts w:ascii="Arial" w:hAnsi="Arial" w:cs="Arial"/>
          <w:iCs/>
          <w:lang w:val="es-ES_tradnl"/>
        </w:rPr>
        <w:t xml:space="preserve"> </w:t>
      </w:r>
    </w:p>
    <w:p w:rsidR="00682282" w:rsidRPr="00682282" w:rsidRDefault="00682282" w:rsidP="00682282">
      <w:pPr>
        <w:spacing w:line="288" w:lineRule="auto"/>
        <w:ind w:right="51"/>
        <w:jc w:val="both"/>
        <w:rPr>
          <w:rFonts w:ascii="Arial" w:hAnsi="Arial" w:cs="Arial"/>
          <w:b/>
          <w:iCs/>
          <w:lang w:val="es-ES_tradnl"/>
        </w:rPr>
      </w:pPr>
      <w:r w:rsidRPr="00682282">
        <w:rPr>
          <w:rFonts w:ascii="Arial" w:hAnsi="Arial" w:cs="Arial"/>
          <w:b/>
          <w:iCs/>
          <w:lang w:val="es-ES_tradnl"/>
        </w:rPr>
        <w:lastRenderedPageBreak/>
        <w:t>NULIDAD DE LOS ACTOS JURÍDICOS Y OPORTUNIDAD PARA ALEGARLA.</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jc w:val="both"/>
        <w:rPr>
          <w:rFonts w:ascii="Arial" w:hAnsi="Arial" w:cs="Arial"/>
          <w:bCs/>
          <w:iCs/>
          <w:lang w:val="es-ES_tradnl"/>
        </w:rPr>
      </w:pPr>
      <w:r w:rsidRPr="00682282">
        <w:rPr>
          <w:rFonts w:ascii="Arial" w:hAnsi="Arial" w:cs="Arial"/>
          <w:bCs/>
          <w:iCs/>
          <w:lang w:val="es-ES_tradnl"/>
        </w:rPr>
        <w:t xml:space="preserve">Una lectura juiciosa de la sentencia SL12136-2014, que sentó las bases de la actual posición de la Sala de Casación Laboral sobre el tema de la nulidad o la ineficacia del traslado, permite notar que la Corporación consideró que dados los </w:t>
      </w:r>
      <w:r w:rsidRPr="00682282">
        <w:rPr>
          <w:rFonts w:ascii="Arial" w:hAnsi="Arial" w:cs="Arial"/>
          <w:b/>
          <w:bCs/>
          <w:iCs/>
          <w:lang w:val="es-ES_tradnl"/>
        </w:rPr>
        <w:t>beneficios del régimen de transición que se perdían con el traslado de régimen</w:t>
      </w:r>
      <w:r w:rsidRPr="00682282">
        <w:rPr>
          <w:rFonts w:ascii="Arial" w:hAnsi="Arial" w:cs="Arial"/>
          <w:bCs/>
          <w:iCs/>
          <w:lang w:val="es-ES_tradnl"/>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682282" w:rsidRPr="00682282" w:rsidRDefault="00682282" w:rsidP="00682282">
      <w:pPr>
        <w:spacing w:line="288" w:lineRule="auto"/>
        <w:jc w:val="both"/>
        <w:rPr>
          <w:rFonts w:ascii="Arial" w:hAnsi="Arial" w:cs="Arial"/>
          <w:bCs/>
          <w:iCs/>
          <w:lang w:val="es-ES_tradnl"/>
        </w:rPr>
      </w:pPr>
    </w:p>
    <w:p w:rsidR="00682282" w:rsidRPr="009566E2" w:rsidRDefault="00682282" w:rsidP="009566E2">
      <w:pPr>
        <w:ind w:left="567" w:right="562"/>
        <w:jc w:val="both"/>
        <w:rPr>
          <w:rFonts w:ascii="Arial" w:hAnsi="Arial" w:cs="Arial"/>
          <w:iCs/>
          <w:sz w:val="22"/>
        </w:rPr>
      </w:pPr>
      <w:r w:rsidRPr="009566E2">
        <w:rPr>
          <w:rFonts w:ascii="Arial" w:hAnsi="Arial" w:cs="Arial"/>
          <w:iCs/>
          <w:sz w:val="22"/>
        </w:rPr>
        <w:t>“</w:t>
      </w:r>
      <w:r w:rsidRPr="009566E2">
        <w:rPr>
          <w:rFonts w:ascii="Arial" w:hAnsi="Arial" w:cs="Arial"/>
          <w:b/>
          <w:i/>
          <w:iCs/>
          <w:sz w:val="22"/>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9566E2">
        <w:rPr>
          <w:rFonts w:ascii="Arial" w:hAnsi="Arial" w:cs="Arial"/>
          <w:iCs/>
          <w:sz w:val="22"/>
        </w:rPr>
        <w:t>”.</w:t>
      </w:r>
    </w:p>
    <w:p w:rsidR="00682282" w:rsidRPr="00682282" w:rsidRDefault="00682282" w:rsidP="00682282">
      <w:pPr>
        <w:spacing w:line="288" w:lineRule="auto"/>
        <w:jc w:val="both"/>
        <w:rPr>
          <w:rFonts w:ascii="Arial" w:hAnsi="Arial" w:cs="Arial"/>
          <w:iCs/>
        </w:rPr>
      </w:pPr>
    </w:p>
    <w:p w:rsidR="00682282" w:rsidRPr="00682282" w:rsidRDefault="00682282" w:rsidP="00682282">
      <w:pPr>
        <w:spacing w:line="288" w:lineRule="auto"/>
        <w:jc w:val="both"/>
        <w:rPr>
          <w:rFonts w:ascii="Arial" w:hAnsi="Arial" w:cs="Arial"/>
          <w:bCs/>
          <w:iCs/>
          <w:lang w:val="es-ES_tradnl"/>
        </w:rPr>
      </w:pPr>
      <w:r w:rsidRPr="00682282">
        <w:rPr>
          <w:rFonts w:ascii="Arial" w:hAnsi="Arial" w:cs="Arial"/>
          <w:bCs/>
          <w:iCs/>
          <w:lang w:val="es-ES_tradnl"/>
        </w:rPr>
        <w:t>En otras palabras, “</w:t>
      </w:r>
      <w:r w:rsidRPr="00682282">
        <w:rPr>
          <w:rFonts w:ascii="Arial" w:hAnsi="Arial" w:cs="Arial"/>
          <w:b/>
          <w:bCs/>
          <w:i/>
          <w:iCs/>
          <w:lang w:val="es-ES_tradnl"/>
        </w:rPr>
        <w:t xml:space="preserve">las reglas jurídicas generales” </w:t>
      </w:r>
      <w:r w:rsidRPr="00682282">
        <w:rPr>
          <w:rFonts w:ascii="Arial" w:hAnsi="Arial" w:cs="Arial"/>
          <w:bCs/>
          <w:iCs/>
          <w:lang w:val="es-ES_tradnl"/>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682282">
        <w:rPr>
          <w:rFonts w:ascii="Arial" w:hAnsi="Arial" w:cs="Arial"/>
          <w:b/>
          <w:bCs/>
          <w:i/>
          <w:iCs/>
          <w:lang w:val="es-ES_tradnl"/>
        </w:rPr>
        <w:t>“afectación de la voluntad”</w:t>
      </w:r>
      <w:r w:rsidRPr="00682282">
        <w:rPr>
          <w:rFonts w:ascii="Arial" w:hAnsi="Arial" w:cs="Arial"/>
          <w:bCs/>
          <w:iCs/>
          <w:lang w:val="es-ES_tradnl"/>
        </w:rPr>
        <w:t xml:space="preserve">, mientras que la ineficacia en los eventos de pérdida del régimen de transición encuentra un plus de protección en el entendido que esa afectación se presume y por ello corresponde a las AFP ofrecer la prueba de haber suministrado la información relativa a la pérdida de beneficios que el traslado conllevaba.  </w:t>
      </w:r>
    </w:p>
    <w:p w:rsidR="00682282" w:rsidRPr="00682282" w:rsidRDefault="00682282" w:rsidP="00682282">
      <w:pPr>
        <w:spacing w:line="288" w:lineRule="auto"/>
        <w:jc w:val="both"/>
        <w:rPr>
          <w:rFonts w:ascii="Arial" w:hAnsi="Arial" w:cs="Arial"/>
          <w:bCs/>
          <w:iCs/>
          <w:lang w:val="es-ES_tradnl"/>
        </w:rPr>
      </w:pPr>
    </w:p>
    <w:p w:rsidR="00682282" w:rsidRPr="00682282" w:rsidRDefault="00682282" w:rsidP="00682282">
      <w:pPr>
        <w:spacing w:line="288" w:lineRule="auto"/>
        <w:jc w:val="both"/>
        <w:rPr>
          <w:rFonts w:ascii="Arial" w:hAnsi="Arial" w:cs="Arial"/>
          <w:bCs/>
          <w:iCs/>
          <w:lang w:val="es-ES_tradnl"/>
        </w:rPr>
      </w:pPr>
      <w:r w:rsidRPr="00682282">
        <w:rPr>
          <w:rFonts w:ascii="Arial" w:hAnsi="Arial" w:cs="Arial"/>
          <w:bCs/>
          <w:iCs/>
          <w:lang w:val="es-ES_tradnl"/>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682282" w:rsidRPr="00682282" w:rsidRDefault="00682282" w:rsidP="00682282">
      <w:pPr>
        <w:spacing w:line="288" w:lineRule="auto"/>
        <w:jc w:val="both"/>
        <w:rPr>
          <w:rFonts w:ascii="Arial" w:hAnsi="Arial" w:cs="Arial"/>
          <w:bCs/>
          <w:iCs/>
          <w:lang w:val="es-ES_tradnl"/>
        </w:rPr>
      </w:pPr>
    </w:p>
    <w:p w:rsidR="00682282" w:rsidRPr="00682282" w:rsidRDefault="00682282" w:rsidP="00682282">
      <w:pPr>
        <w:spacing w:line="288" w:lineRule="auto"/>
        <w:jc w:val="both"/>
        <w:rPr>
          <w:rFonts w:ascii="Arial" w:hAnsi="Arial" w:cs="Arial"/>
          <w:bCs/>
          <w:iCs/>
          <w:lang w:val="es-ES_tradnl"/>
        </w:rPr>
      </w:pPr>
      <w:r w:rsidRPr="00682282">
        <w:rPr>
          <w:rFonts w:ascii="Arial" w:hAnsi="Arial" w:cs="Arial"/>
          <w:bCs/>
          <w:iCs/>
          <w:lang w:val="es-ES_tradnl"/>
        </w:rPr>
        <w:t>A su vez, el artículo 1750 del Código Civil prevé que para solicitar la rescisión en los eventos en que se alegue la ocurrencia de error o dolo, se cuenta con un plazo de cuatro años contados desde el día de la celebración del acto o contrato.</w:t>
      </w:r>
    </w:p>
    <w:p w:rsidR="00682282" w:rsidRPr="00682282" w:rsidRDefault="00682282" w:rsidP="00682282">
      <w:pPr>
        <w:spacing w:line="288" w:lineRule="auto"/>
        <w:jc w:val="both"/>
        <w:rPr>
          <w:rFonts w:ascii="Arial" w:hAnsi="Arial" w:cs="Arial"/>
          <w:bCs/>
          <w:iCs/>
          <w:lang w:val="es-ES_tradnl"/>
        </w:rPr>
      </w:pPr>
    </w:p>
    <w:p w:rsidR="00682282" w:rsidRPr="00682282" w:rsidRDefault="00682282" w:rsidP="00682282">
      <w:pPr>
        <w:spacing w:line="288" w:lineRule="auto"/>
        <w:jc w:val="both"/>
        <w:rPr>
          <w:rFonts w:ascii="Arial" w:hAnsi="Arial" w:cs="Arial"/>
          <w:bCs/>
          <w:lang w:val="es-ES_tradnl"/>
        </w:rPr>
      </w:pPr>
      <w:r w:rsidRPr="00682282">
        <w:rPr>
          <w:rFonts w:ascii="Arial" w:hAnsi="Arial" w:cs="Arial"/>
          <w:bCs/>
          <w:lang w:val="es-ES_tradnl"/>
        </w:rPr>
        <w:t xml:space="preserve">De otro lado el artículo 1743 </w:t>
      </w:r>
      <w:r w:rsidRPr="00682282">
        <w:rPr>
          <w:rFonts w:ascii="Arial" w:hAnsi="Arial" w:cs="Arial"/>
          <w:bCs/>
          <w:i/>
          <w:iCs/>
          <w:lang w:val="es-ES_tradnl"/>
        </w:rPr>
        <w:t xml:space="preserve">ibídem </w:t>
      </w:r>
      <w:r w:rsidRPr="00682282">
        <w:rPr>
          <w:rFonts w:ascii="Arial" w:hAnsi="Arial" w:cs="Arial"/>
          <w:bCs/>
          <w:lang w:val="es-ES_tradnl"/>
        </w:rPr>
        <w:t>dispone que la nulidad relativa se sanea por el paso del tiempo o por ratificación de las partes.</w:t>
      </w:r>
    </w:p>
    <w:p w:rsidR="00682282" w:rsidRPr="00682282" w:rsidRDefault="00682282" w:rsidP="00682282">
      <w:pPr>
        <w:spacing w:line="288" w:lineRule="auto"/>
        <w:ind w:right="51"/>
        <w:jc w:val="both"/>
        <w:rPr>
          <w:rFonts w:ascii="Arial" w:hAnsi="Arial" w:cs="Arial"/>
          <w:b/>
          <w:iCs/>
          <w:lang w:val="es-ES_tradnl"/>
        </w:rPr>
      </w:pPr>
    </w:p>
    <w:p w:rsidR="00682282" w:rsidRPr="00682282" w:rsidRDefault="00682282" w:rsidP="00682282">
      <w:pPr>
        <w:spacing w:line="288" w:lineRule="auto"/>
        <w:ind w:right="284"/>
        <w:jc w:val="both"/>
        <w:rPr>
          <w:rFonts w:ascii="Arial" w:hAnsi="Arial" w:cs="Arial"/>
        </w:rPr>
      </w:pPr>
      <w:r w:rsidRPr="00682282">
        <w:rPr>
          <w:rFonts w:ascii="Arial" w:hAnsi="Arial" w:cs="Arial"/>
          <w:b/>
        </w:rPr>
        <w:t>IMPORTANCIA DE LA DIFERENCIACIÓN ENTRE LOS CASOS DE INEFICACIA Y LOS CASOS DE NULIDAD</w:t>
      </w:r>
    </w:p>
    <w:p w:rsidR="00682282" w:rsidRPr="00682282" w:rsidRDefault="00682282" w:rsidP="00682282">
      <w:pPr>
        <w:spacing w:line="288" w:lineRule="auto"/>
        <w:ind w:right="284"/>
        <w:jc w:val="both"/>
        <w:rPr>
          <w:rFonts w:ascii="Arial" w:hAnsi="Arial" w:cs="Arial"/>
        </w:rPr>
      </w:pPr>
    </w:p>
    <w:p w:rsidR="00682282" w:rsidRPr="00682282" w:rsidRDefault="00682282" w:rsidP="00682282">
      <w:pPr>
        <w:spacing w:line="288" w:lineRule="auto"/>
        <w:ind w:right="284"/>
        <w:jc w:val="both"/>
        <w:rPr>
          <w:rFonts w:ascii="Arial" w:hAnsi="Arial" w:cs="Arial"/>
        </w:rPr>
      </w:pPr>
      <w:r w:rsidRPr="00682282">
        <w:rPr>
          <w:rFonts w:ascii="Arial" w:hAnsi="Arial" w:cs="Arial"/>
        </w:rPr>
        <w:t xml:space="preserve">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w:t>
      </w:r>
      <w:r w:rsidRPr="00682282">
        <w:rPr>
          <w:rFonts w:ascii="Arial" w:hAnsi="Arial" w:cs="Arial"/>
        </w:rPr>
        <w:lastRenderedPageBreak/>
        <w:t>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682282" w:rsidRPr="00682282" w:rsidRDefault="00682282" w:rsidP="00682282">
      <w:pPr>
        <w:spacing w:line="288" w:lineRule="auto"/>
        <w:jc w:val="both"/>
        <w:rPr>
          <w:rFonts w:ascii="Arial" w:hAnsi="Arial" w:cs="Arial"/>
          <w:iCs/>
          <w:lang w:val="es-ES_tradnl"/>
        </w:rPr>
      </w:pPr>
    </w:p>
    <w:p w:rsidR="00682282" w:rsidRPr="00682282" w:rsidRDefault="00682282" w:rsidP="00682282">
      <w:pPr>
        <w:spacing w:line="288" w:lineRule="auto"/>
        <w:ind w:right="284"/>
        <w:jc w:val="both"/>
        <w:rPr>
          <w:rFonts w:ascii="Arial" w:hAnsi="Arial" w:cs="Arial"/>
          <w:b/>
        </w:rPr>
      </w:pPr>
      <w:r w:rsidRPr="00682282">
        <w:rPr>
          <w:rFonts w:ascii="Arial" w:hAnsi="Arial" w:cs="Arial"/>
          <w:b/>
        </w:rPr>
        <w:t>EL CASO CONCRETO</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Sea lo primero advertir que la señora Victoria Eugenia Echeverry </w:t>
      </w:r>
      <w:proofErr w:type="spellStart"/>
      <w:r w:rsidRPr="00682282">
        <w:rPr>
          <w:rFonts w:ascii="Arial" w:hAnsi="Arial" w:cs="Arial"/>
        </w:rPr>
        <w:t>Sarrazola</w:t>
      </w:r>
      <w:proofErr w:type="spellEnd"/>
      <w:r w:rsidRPr="00682282">
        <w:rPr>
          <w:rFonts w:ascii="Arial" w:hAnsi="Arial" w:cs="Arial"/>
        </w:rPr>
        <w:t xml:space="preserve"> no es beneficiaria del régimen de transición previsto en el artículo 36 de la Ley 100 de 1993, ya que de acuerdo con el registro civil de nacimiento –fl.30- para el 1º de abril de 1994, fecha en que empezó a regir el sistema general de pensiones, ella tenía cumplidos 32 años de edad, al haber nacido el 16 de mayo de 1961, y según la historia laboral visible a folios 127 a 138, para ese momento tan solo acreditaba 173,28 semanas de servicios que corresponden a 3,36 años.</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Ahora bien, narra la señora Victoria Eugenia Echeverry </w:t>
      </w:r>
      <w:proofErr w:type="spellStart"/>
      <w:r w:rsidRPr="00682282">
        <w:rPr>
          <w:rFonts w:ascii="Arial" w:hAnsi="Arial" w:cs="Arial"/>
        </w:rPr>
        <w:t>Sarrazola</w:t>
      </w:r>
      <w:proofErr w:type="spellEnd"/>
      <w:r w:rsidRPr="00682282">
        <w:rPr>
          <w:rFonts w:ascii="Arial" w:hAnsi="Arial" w:cs="Arial"/>
        </w:rPr>
        <w:t xml:space="preserve"> en la demanda –fls.1 a 26-, que su afiliación al RAIS no es eficaz en consideración a que la AFP Invertir Futuro Pensiones (Hoy Porvenir S.A. según cesión </w:t>
      </w:r>
      <w:proofErr w:type="spellStart"/>
      <w:r w:rsidRPr="00682282">
        <w:rPr>
          <w:rFonts w:ascii="Arial" w:hAnsi="Arial" w:cs="Arial"/>
        </w:rPr>
        <w:t>fl</w:t>
      </w:r>
      <w:proofErr w:type="spellEnd"/>
      <w:r w:rsidRPr="00682282">
        <w:rPr>
          <w:rFonts w:ascii="Arial" w:hAnsi="Arial" w:cs="Arial"/>
        </w:rPr>
        <w:t xml:space="preserve">. 168) no le brindó la información suficiente para tomar una decisión adecuada, por lo que al tornarse ello en una negación indefinida, en principio, le correspondería a la AFP demostrar que si lo hizo, no obstante, esa inversión de la carga probatoria no se hace efectiva en este caso, debido a que la señora Echeverry </w:t>
      </w:r>
      <w:proofErr w:type="spellStart"/>
      <w:r w:rsidRPr="00682282">
        <w:rPr>
          <w:rFonts w:ascii="Arial" w:hAnsi="Arial" w:cs="Arial"/>
        </w:rPr>
        <w:t>Sarrazola</w:t>
      </w:r>
      <w:proofErr w:type="spellEnd"/>
      <w:r w:rsidRPr="00682282">
        <w:rPr>
          <w:rFonts w:ascii="Arial" w:hAnsi="Arial" w:cs="Arial"/>
        </w:rPr>
        <w:t xml:space="preserve"> al suscribir el formulario de afiliación Nº 082534 del 7 de febrero de 1996 –fl.32- declaró bajo la gravedad de juramento haber escogido el régimen de ahorro individual con solidaridad de manera libre, espontánea y sin presiones, es decir, que su traslado a ese régimen pensional se hizo bajo los parámetros establecidos en los artículos 13 literal b) y 271 de la Ley 100 de 1993.</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Claro resulta entonces que al no tratarse de un caso de ineficacia por no involucrar la pérdida del régimen de transición, el análisis que corresponde es el de la posible nulidad del acto mediante el cual se concretó el traslado, pero como quiera que este se concretó el 7 de febrero de 1996, para el año de presentación de la demanda (2017), esto es 21 años después, había adquirido total firmeza y legalidad, pues al haber transcurrido más de cuatro años desde su realización, cualquier nulidad relativa de que hubiera podido adolecer, había quedado saneada por el transcurso del tiempo.</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Pero no solo lo anterior –que de por si resulta suficiente para negar las pretensiones- da al traste con las aspiraciones de la actora, sino que también, conforme quedó visto con anterioridad, le incumbía a ella probar las afirmaciones con base en las cuales aspiraba obtener la declaración de nulidad, pues al no ser beneficiaria del régimen transicional, no se evidencia que el traslado del régimen de prima media con prestación definida al de ahorro individual con solidaridad efectuado el 7 de febrero de </w:t>
      </w:r>
      <w:r w:rsidRPr="00682282">
        <w:rPr>
          <w:rFonts w:ascii="Arial" w:hAnsi="Arial" w:cs="Arial"/>
        </w:rPr>
        <w:lastRenderedPageBreak/>
        <w:t xml:space="preserve">1996 haya producido, en principio, afectación alguna; y para ello solicitó que fueran escuchados los testimonios de María Patricia Rincón Largo y María Esperanza Ceballos Pineda, quienes como fueron compañeras de trabajo de la actora en el Consorcio Prosperar, pero ninguna para la época en que aquella recibió la asesoría del fondo privado ni para cuando suscribió el formulario de afiliación a la AFP Invertir; no obstante, expresaron que la decisión de afiliarse y trasladarse, en su orden, no fue voluntaria, dado que desde la Sede Nacional –sus superiores-, se les direccionó para que el fondo de pensiones Invertir, fuera su administradora de pensiones, porque los dueños de ese Consorcio, eran socios del mencionado fondo privado; que una vez el fondo de pensiones Invertir se fusionó con la AFP Horizonte, solo se les indicó que firmaran el nuevo formulario de afiliación, sin que se les brindara ninguna información adicional; ambas se duelen de que la información que no se les dio, fue el monto de la mesada que iban a percibir. </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La señora María Patricia Rincón Largo, se vinculó laboralmente en el Consorcio Prosperar, el 26 de febrero de 1996; asume que todas las personas que trabajaban en el Consorcio fueron trasladadas automáticamente a la AFP Invertir; no tiene claro cómo fue su vinculación a ese fondo, indicando que cree que los dependientes del mismo le dieron información, pues por algún tiempo compartieron oficina, sin embargo, al finalizar su declaración, recordó que el asesor de Invertir, le dijo que se trataba de un fondo privado, en el cual podía pensionarse anticipadamente, hacer aportes adicionales y, que en caso de no tener beneficiarios, la pensión no se perdía, pues, la podían heredar sus familiares; información que consideró engañosa, aparte porque no se le dijo en cuánto le iba a quedar la mesada pensional.</w:t>
      </w:r>
    </w:p>
    <w:p w:rsidR="00682282" w:rsidRDefault="00682282" w:rsidP="00682282">
      <w:pPr>
        <w:spacing w:line="288" w:lineRule="auto"/>
        <w:jc w:val="both"/>
        <w:rPr>
          <w:rFonts w:ascii="Arial" w:hAnsi="Arial" w:cs="Arial"/>
        </w:rPr>
      </w:pPr>
      <w:r w:rsidRPr="00682282">
        <w:rPr>
          <w:rFonts w:ascii="Arial" w:hAnsi="Arial" w:cs="Arial"/>
        </w:rPr>
        <w:t>Por su parte, la señora María Patricia Rincón Largo, ingresó a laborar al Consorcio Prosperar en el año 1998; que la información que le brindó el asesor de Invertir fue que ese fondo de pensiones era mejor, que se iba a pensionar con mejor sueldo, que la pensión no se perdía, en el caso de ella que era soltera y sin hijos, porque la misma pasaba a un familiar, que podía pensionarse a la edad que quisiera y que el Seguro Social se estaba acabando; que donde le hubieran dicho que se iba a pensionar con un salario mínimo, no se hubiera trasladado del Seguro Social, al cual se encontraba afiliada y; confió en la directriz de su empleador, al presumir que aquél velaba por los intereses de sus trabajadores, cuando se refiere a la instrucción de afiliarse a la admini</w:t>
      </w:r>
      <w:r w:rsidR="009566E2">
        <w:rPr>
          <w:rFonts w:ascii="Arial" w:hAnsi="Arial" w:cs="Arial"/>
        </w:rPr>
        <w:t>stradora de pensiones Invertir.</w:t>
      </w:r>
    </w:p>
    <w:p w:rsidR="009566E2" w:rsidRPr="00682282" w:rsidRDefault="009566E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Lo expuesto por las testigos, guarda relación con lo dicho por la demandante en su interrogatorio de parte, más no con lo referido en la demanda, debiéndose advertir conforme a lo manifestado por la señora Victoria Eugenia Echeverry </w:t>
      </w:r>
      <w:proofErr w:type="spellStart"/>
      <w:r w:rsidRPr="00682282">
        <w:rPr>
          <w:rFonts w:ascii="Arial" w:hAnsi="Arial" w:cs="Arial"/>
        </w:rPr>
        <w:t>Sarrazola</w:t>
      </w:r>
      <w:proofErr w:type="spellEnd"/>
      <w:r w:rsidRPr="00682282">
        <w:rPr>
          <w:rFonts w:ascii="Arial" w:hAnsi="Arial" w:cs="Arial"/>
        </w:rPr>
        <w:t xml:space="preserve">, que en su caso, nunca se le obligó a trasladarse al fondo de pensiones Invertir, sino que más bien fue una instrucción de sus superiores, la cual acogió al considerar que por tratarse de una empresa privada de la cual sus empleadores eran socios, le podían brindar mayores garantías; que cree que todos los empleados de Prosperar - Regional Pereira, se trasladaron; no obstante insistir en la falta de información que se le brindó por el asesor, confiesa que se le infirmó que podía pensionarse anticipadamente, que si no tenía esposo y sus hijos fuera  mayores a los 25 años de edad, éstos podían heredar su pensión, prebenda que más le llamó la atención; refiriendo que nunca se acercó a averiguar sobre su cuenta de ahorro individual, ni tuvo intención de </w:t>
      </w:r>
      <w:r w:rsidRPr="00682282">
        <w:rPr>
          <w:rFonts w:ascii="Arial" w:hAnsi="Arial" w:cs="Arial"/>
        </w:rPr>
        <w:lastRenderedPageBreak/>
        <w:t>trasladarse al Seguro Social hoy Colpensiones, sino hasta después de que la AFP Porvenir S.A., le hizo la proyección de su mesada pensional.</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Frente a lo declarado por la actora, resulta claro, que el descontento de aquella con el régimen de ahorro individual con solidaridad, solo se vino a materializar en el año 2016, cuando se le informó que la posible mesada pensional que obtendría sería equivalente a $689.455 una vez arribara a los 60 años de edad, la cual, a simple vista le resultó muy inferior de acuerdo con los ingresos sobre los cuales había efectuado sus cotizaciones; es decir, su inconformidad realmente no proviene de que se le haya dado una información falaz o mínima que hubiere producido en ella un convencimiento erróneo sobre las particularidades del régimen de ahorro individual con solidaridad, como lo quería hacer ver con las afirmaciones contenidas en la demanda.</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En concordancia con lo anterior y, dado que la demandante alega que la información que omitió brindarle la AFP fue sobre el monto o la cuantificación de su mesada pensional, resulta claro que como atrás quedó dicho, esa fue una obligación que apenas vino a imponerse a las administradoras con la ley 1748 de 2014.</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De otro lado, preciso es observar que la primera afiliación al sistema general de pensiones de la actora data del año 1990, por lo que cuando se trasladó al régimen de ahorro individual con solidaridad solo llevaba 6 años de vinculación al RPM, es decir, la formación de su derecho pensional era apenas incipiente, sin que pudiera pregonarse de ella que le había generado expectativas legítimas de derecho. Por el contrario, en el régimen de ahorro individual, en el que ahora no quiere estar, permaneció sin reparos, desde febrero de 1996 hasta noviembre de 2016, esto es, por más de 20 años, en todos los cuales, por estar afiliada a él, resultaba potencial acreedora de los diferentes beneficios que este otorgaba, amén que libremente pudo retornar a Colpensiones en los términos del artículo 2º de la ley 797 de 2003 previamente citado. ¿Cómo aceptar entonces, en tales condiciones, que el corto periodo de permanencia en el régimen de prima media es el que resulta eficaz frente al muchísimo más largo verificado en el de ahorro individual, del que se benefició?</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Así mismo, la simple manifestación de inconformidad de que el valor de la pensión a recibir en este momento en el régimen de prima media pueda resultar superior al que se ha de recibir en el RAIS y que dicha situación puede afectar derechos de que son titulares las personas de la tercera edad –que no es el caso de la actora-, por sí sola no constituye prueba de que cuando realizó su traslado, lo haya hecho movida por un engaño o por una equivocada información. En realidad en esta clase de asuntos la parte demandante para triunfar en sus pretensiones, entre otros aspectos, debe probar el perjuicio sufrido, la información equivocada o falaz que recibió de la Administradora y la relación de causalidad entre ésta y su traslado. Aspectos todos, que se quedaron huérfanos de prueba en este trámite judicial.</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En ese orden de ideas, más allá de la afirmación de que la demandante no recibió la información suficiente que le advirtiera sobre las implicaciones que traía trasladarse del RPM al RAIS, la verdad es que no quedó demostrado que a la señora Victoria Eugenia se le haya brindado información contraria a lo dispuesto en los artículos 59 y </w:t>
      </w:r>
      <w:r w:rsidRPr="00682282">
        <w:rPr>
          <w:rFonts w:ascii="Arial" w:hAnsi="Arial" w:cs="Arial"/>
        </w:rPr>
        <w:lastRenderedPageBreak/>
        <w:t>siguientes de la Ley 100 de 1993 que pudiera llevar a concluir que lo manifestado por la AFP Invertir (hoy Porvenir S.A.) no obedecía a lo establecido en la Ley, pues, ninguna de las declarantes pudieron dar cuenta de ello, ante su falta de conocimiento directo; siendo del caso señalar, que por el contrario, lo que quedó acreditado en el proceso con lo confesado por la actora, es que con base en la información suministrada por la AFP y teniendo en cuenta sus condiciones particulares de vida, determinó que el régimen pensional que más se ajustaba a sus necesidades era el previsto en el RAIS, dado que podía pensionarse anticipadamente y eventualmente, tenía la posibilidad de heredarle a sus hijos o familiares, el capital acumulado en la cuenta de ahorro individual.</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 xml:space="preserve">Finalmente, 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Echeverry </w:t>
      </w:r>
      <w:proofErr w:type="spellStart"/>
      <w:r w:rsidRPr="00682282">
        <w:rPr>
          <w:rFonts w:ascii="Arial" w:hAnsi="Arial" w:cs="Arial"/>
        </w:rPr>
        <w:t>Sarrazola</w:t>
      </w:r>
      <w:proofErr w:type="spellEnd"/>
      <w:r w:rsidRPr="00682282">
        <w:rPr>
          <w:rFonts w:ascii="Arial" w:hAnsi="Arial" w:cs="Arial"/>
        </w:rPr>
        <w:t>, al contrario, después del 7 de febrero de 1996, cuando realizó la selección del régimen de ahorro individual con solidaridad, decidió mantenerse afiliada a ese régimen pensional, tal como se evidencia de los formularios por ella firmados en Colpatria y Horizonte Pensiones y Cesantías –</w:t>
      </w:r>
      <w:proofErr w:type="spellStart"/>
      <w:r w:rsidRPr="00682282">
        <w:rPr>
          <w:rFonts w:ascii="Arial" w:hAnsi="Arial" w:cs="Arial"/>
        </w:rPr>
        <w:t>fls</w:t>
      </w:r>
      <w:proofErr w:type="spellEnd"/>
      <w:r w:rsidRPr="00682282">
        <w:rPr>
          <w:rFonts w:ascii="Arial" w:hAnsi="Arial" w:cs="Arial"/>
        </w:rPr>
        <w:t>. 101 y 102-.</w:t>
      </w:r>
    </w:p>
    <w:p w:rsidR="00682282" w:rsidRPr="00682282" w:rsidRDefault="00682282" w:rsidP="00682282">
      <w:pPr>
        <w:spacing w:line="288" w:lineRule="auto"/>
        <w:jc w:val="both"/>
        <w:rPr>
          <w:rFonts w:ascii="Arial" w:hAnsi="Arial" w:cs="Arial"/>
        </w:rPr>
      </w:pPr>
    </w:p>
    <w:p w:rsidR="00682282" w:rsidRPr="00682282" w:rsidRDefault="00682282" w:rsidP="00682282">
      <w:pPr>
        <w:spacing w:line="288" w:lineRule="auto"/>
        <w:jc w:val="both"/>
        <w:rPr>
          <w:rFonts w:ascii="Arial" w:hAnsi="Arial" w:cs="Arial"/>
        </w:rPr>
      </w:pPr>
      <w:r w:rsidRPr="00682282">
        <w:rPr>
          <w:rFonts w:ascii="Arial" w:hAnsi="Arial" w:cs="Arial"/>
        </w:rPr>
        <w:t>Así las cosas, al no pertenecer al régimen de transición, no haber pedido la nulidad del acto dentro de los 4 años siguientes al mismo y al no quedar acreditado que el traslado efectuado por la actora ocurrió por un engaño en el que la hizo incurrir la AFP o su empleador, como se quiso hacer ver de las declaraciones de sus testigos y su interrogatorio de parte, necesario resulta concluir que el mismo no resulta nulo ni mucho menos ineficaz, motivo por el que se confirmará la sentencia proferida por el Juzgado Primero Laboral del Circuito el 7 de febrero de 2018.</w:t>
      </w:r>
    </w:p>
    <w:p w:rsidR="00682282" w:rsidRDefault="00682282" w:rsidP="00682282">
      <w:pPr>
        <w:spacing w:line="288" w:lineRule="auto"/>
        <w:jc w:val="both"/>
        <w:rPr>
          <w:rFonts w:ascii="Arial" w:hAnsi="Arial" w:cs="Arial"/>
        </w:rPr>
      </w:pPr>
    </w:p>
    <w:p w:rsidR="009566E2" w:rsidRPr="00682282" w:rsidRDefault="009566E2" w:rsidP="00682282">
      <w:pPr>
        <w:spacing w:line="288" w:lineRule="auto"/>
        <w:jc w:val="both"/>
        <w:rPr>
          <w:rFonts w:ascii="Arial" w:hAnsi="Arial" w:cs="Arial"/>
        </w:rPr>
      </w:pPr>
      <w:bookmarkStart w:id="2" w:name="_GoBack"/>
      <w:bookmarkEnd w:id="2"/>
    </w:p>
    <w:p w:rsidR="00682282" w:rsidRPr="00682282" w:rsidRDefault="00682282" w:rsidP="00682282">
      <w:pPr>
        <w:widowControl w:val="0"/>
        <w:autoSpaceDE w:val="0"/>
        <w:autoSpaceDN w:val="0"/>
        <w:adjustRightInd w:val="0"/>
        <w:spacing w:line="288" w:lineRule="auto"/>
        <w:jc w:val="both"/>
        <w:rPr>
          <w:rFonts w:ascii="Arial" w:hAnsi="Arial" w:cs="Arial"/>
        </w:rPr>
      </w:pPr>
      <w:r w:rsidRPr="00682282">
        <w:rPr>
          <w:rFonts w:ascii="Arial" w:hAnsi="Arial" w:cs="Arial"/>
        </w:rPr>
        <w:t>Dejo así salvado mi voto,</w:t>
      </w:r>
    </w:p>
    <w:p w:rsidR="00682282" w:rsidRDefault="00682282" w:rsidP="00682282">
      <w:pPr>
        <w:widowControl w:val="0"/>
        <w:autoSpaceDE w:val="0"/>
        <w:autoSpaceDN w:val="0"/>
        <w:adjustRightInd w:val="0"/>
        <w:spacing w:line="288" w:lineRule="auto"/>
        <w:jc w:val="both"/>
        <w:rPr>
          <w:rFonts w:ascii="Arial" w:hAnsi="Arial" w:cs="Arial"/>
        </w:rPr>
      </w:pPr>
    </w:p>
    <w:p w:rsidR="009566E2" w:rsidRDefault="009566E2" w:rsidP="00682282">
      <w:pPr>
        <w:widowControl w:val="0"/>
        <w:autoSpaceDE w:val="0"/>
        <w:autoSpaceDN w:val="0"/>
        <w:adjustRightInd w:val="0"/>
        <w:spacing w:line="288" w:lineRule="auto"/>
        <w:jc w:val="both"/>
        <w:rPr>
          <w:rFonts w:ascii="Arial" w:hAnsi="Arial" w:cs="Arial"/>
        </w:rPr>
      </w:pPr>
    </w:p>
    <w:p w:rsidR="009566E2" w:rsidRPr="00682282" w:rsidRDefault="009566E2" w:rsidP="00682282">
      <w:pPr>
        <w:widowControl w:val="0"/>
        <w:autoSpaceDE w:val="0"/>
        <w:autoSpaceDN w:val="0"/>
        <w:adjustRightInd w:val="0"/>
        <w:spacing w:line="288" w:lineRule="auto"/>
        <w:jc w:val="both"/>
        <w:rPr>
          <w:rFonts w:ascii="Arial" w:hAnsi="Arial" w:cs="Arial"/>
        </w:rPr>
      </w:pPr>
    </w:p>
    <w:p w:rsidR="00682282" w:rsidRPr="00682282" w:rsidRDefault="00682282" w:rsidP="00682282">
      <w:pPr>
        <w:widowControl w:val="0"/>
        <w:autoSpaceDE w:val="0"/>
        <w:autoSpaceDN w:val="0"/>
        <w:adjustRightInd w:val="0"/>
        <w:spacing w:line="288" w:lineRule="auto"/>
        <w:jc w:val="both"/>
        <w:rPr>
          <w:rFonts w:ascii="Arial" w:hAnsi="Arial" w:cs="Arial"/>
        </w:rPr>
      </w:pPr>
    </w:p>
    <w:p w:rsidR="00682282" w:rsidRPr="00682282" w:rsidRDefault="00682282" w:rsidP="00682282">
      <w:pPr>
        <w:widowControl w:val="0"/>
        <w:autoSpaceDE w:val="0"/>
        <w:autoSpaceDN w:val="0"/>
        <w:adjustRightInd w:val="0"/>
        <w:spacing w:line="288" w:lineRule="auto"/>
        <w:jc w:val="center"/>
        <w:rPr>
          <w:rFonts w:ascii="Arial" w:hAnsi="Arial" w:cs="Arial"/>
          <w:b/>
        </w:rPr>
      </w:pPr>
      <w:r w:rsidRPr="00682282">
        <w:rPr>
          <w:rFonts w:ascii="Arial" w:hAnsi="Arial" w:cs="Arial"/>
          <w:b/>
        </w:rPr>
        <w:t>JULIO CÉSAR SALAZAR MUÑOZ</w:t>
      </w:r>
    </w:p>
    <w:p w:rsidR="00682282" w:rsidRPr="00682282" w:rsidRDefault="00682282" w:rsidP="00682282">
      <w:pPr>
        <w:widowControl w:val="0"/>
        <w:autoSpaceDE w:val="0"/>
        <w:autoSpaceDN w:val="0"/>
        <w:adjustRightInd w:val="0"/>
        <w:spacing w:line="288" w:lineRule="auto"/>
        <w:jc w:val="center"/>
        <w:rPr>
          <w:rFonts w:ascii="Arial" w:hAnsi="Arial" w:cs="Arial"/>
        </w:rPr>
      </w:pPr>
      <w:r w:rsidRPr="00682282">
        <w:rPr>
          <w:rFonts w:ascii="Arial" w:hAnsi="Arial" w:cs="Arial"/>
        </w:rPr>
        <w:t>Magistrado</w:t>
      </w:r>
    </w:p>
    <w:sectPr w:rsidR="00682282" w:rsidRPr="00682282" w:rsidSect="004E7541">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87" w:rsidRDefault="00117087" w:rsidP="005761C8">
      <w:r>
        <w:separator/>
      </w:r>
    </w:p>
  </w:endnote>
  <w:endnote w:type="continuationSeparator" w:id="0">
    <w:p w:rsidR="00117087" w:rsidRDefault="00117087"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9566E2">
      <w:rPr>
        <w:rStyle w:val="Nmerodepgina"/>
        <w:rFonts w:ascii="Arial" w:hAnsi="Arial" w:cs="Arial"/>
        <w:noProof/>
        <w:sz w:val="20"/>
      </w:rPr>
      <w:t>24</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87" w:rsidRDefault="00117087" w:rsidP="005761C8">
      <w:r>
        <w:separator/>
      </w:r>
    </w:p>
  </w:footnote>
  <w:footnote w:type="continuationSeparator" w:id="0">
    <w:p w:rsidR="00117087" w:rsidRDefault="00117087"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A6" w:rsidRPr="009938A6" w:rsidRDefault="009938A6" w:rsidP="009938A6">
    <w:pPr>
      <w:jc w:val="both"/>
      <w:rPr>
        <w:rFonts w:ascii="Arial" w:hAnsi="Arial" w:cs="Arial"/>
        <w:bCs/>
        <w:sz w:val="18"/>
        <w:szCs w:val="16"/>
      </w:rPr>
    </w:pPr>
    <w:r w:rsidRPr="009938A6">
      <w:rPr>
        <w:rFonts w:ascii="Arial" w:hAnsi="Arial" w:cs="Arial"/>
        <w:bCs/>
        <w:sz w:val="18"/>
        <w:szCs w:val="16"/>
      </w:rPr>
      <w:t>Radicación No: 66001-31-05-002-2017-00090-01</w:t>
    </w:r>
  </w:p>
  <w:p w:rsidR="005761C8" w:rsidRPr="009938A6" w:rsidRDefault="009938A6" w:rsidP="009938A6">
    <w:pPr>
      <w:jc w:val="both"/>
      <w:rPr>
        <w:rFonts w:ascii="Arial" w:hAnsi="Arial" w:cs="Arial"/>
        <w:bCs/>
        <w:sz w:val="18"/>
        <w:szCs w:val="16"/>
      </w:rPr>
    </w:pPr>
    <w:r w:rsidRPr="009938A6">
      <w:rPr>
        <w:rFonts w:ascii="Arial" w:hAnsi="Arial" w:cs="Arial"/>
        <w:bCs/>
        <w:sz w:val="18"/>
        <w:szCs w:val="16"/>
      </w:rPr>
      <w:t xml:space="preserve">Victoria Eugenia Echeverry </w:t>
    </w:r>
    <w:proofErr w:type="spellStart"/>
    <w:r w:rsidRPr="009938A6">
      <w:rPr>
        <w:rFonts w:ascii="Arial" w:hAnsi="Arial" w:cs="Arial"/>
        <w:bCs/>
        <w:sz w:val="18"/>
        <w:szCs w:val="16"/>
      </w:rPr>
      <w:t>Sarrazola</w:t>
    </w:r>
    <w:proofErr w:type="spellEnd"/>
    <w:r w:rsidRPr="009938A6">
      <w:rPr>
        <w:rFonts w:ascii="Arial" w:hAnsi="Arial" w:cs="Arial"/>
        <w:bCs/>
        <w:sz w:val="18"/>
        <w:szCs w:val="16"/>
      </w:rPr>
      <w:t xml:space="preserve"> vs. Colpensiones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117087"/>
    <w:rsid w:val="002F4251"/>
    <w:rsid w:val="004E7541"/>
    <w:rsid w:val="005761C8"/>
    <w:rsid w:val="005D17F4"/>
    <w:rsid w:val="00652C24"/>
    <w:rsid w:val="00682282"/>
    <w:rsid w:val="006919CB"/>
    <w:rsid w:val="006F029D"/>
    <w:rsid w:val="00787A0F"/>
    <w:rsid w:val="008E722C"/>
    <w:rsid w:val="009050FA"/>
    <w:rsid w:val="009566E2"/>
    <w:rsid w:val="009938A6"/>
    <w:rsid w:val="00A17504"/>
    <w:rsid w:val="00BB4F78"/>
    <w:rsid w:val="00C40F0B"/>
    <w:rsid w:val="00EE504B"/>
    <w:rsid w:val="00F55B00"/>
    <w:rsid w:val="00F5794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character" w:styleId="Hipervnculo">
    <w:name w:val="Hyperlink"/>
    <w:uiPriority w:val="99"/>
    <w:unhideWhenUsed/>
    <w:rsid w:val="006822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12080</Words>
  <Characters>66441</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2019-01-28T18:48:00Z</dcterms:created>
  <dcterms:modified xsi:type="dcterms:W3CDTF">2019-02-07T15:22:00Z</dcterms:modified>
</cp:coreProperties>
</file>