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75" w:rsidRPr="00F10E60" w:rsidRDefault="008F4C75" w:rsidP="008F4C7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F10E6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F10E60">
        <w:rPr>
          <w:rFonts w:ascii="Calibri" w:eastAsia="Calibri" w:hAnsi="Calibri" w:cs="Calibri"/>
          <w:color w:val="FF0000"/>
          <w:kern w:val="28"/>
          <w:sz w:val="20"/>
          <w:szCs w:val="18"/>
          <w:lang w:val="es-CO" w:eastAsia="fr-FR"/>
        </w:rPr>
        <w:t> </w:t>
      </w:r>
    </w:p>
    <w:p w:rsidR="008F4C75" w:rsidRP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 xml:space="preserve">Providencia: </w:t>
      </w:r>
      <w:r w:rsidRPr="008F4C75">
        <w:rPr>
          <w:rFonts w:ascii="Calibri" w:hAnsi="Calibri" w:cs="Tahoma"/>
          <w:sz w:val="18"/>
          <w:szCs w:val="18"/>
        </w:rPr>
        <w:tab/>
      </w:r>
      <w:r w:rsidRPr="008F4C75">
        <w:rPr>
          <w:rFonts w:ascii="Calibri" w:hAnsi="Calibri" w:cs="Tahoma"/>
          <w:sz w:val="18"/>
          <w:szCs w:val="18"/>
        </w:rPr>
        <w:tab/>
        <w:t xml:space="preserve">Sentencia del 23 de marzo de 2018 </w:t>
      </w:r>
    </w:p>
    <w:p w:rsidR="008F4C75" w:rsidRP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Radicación No.:</w:t>
      </w:r>
      <w:r w:rsidRPr="008F4C75">
        <w:rPr>
          <w:rFonts w:ascii="Calibri" w:hAnsi="Calibri" w:cs="Tahoma"/>
          <w:sz w:val="18"/>
          <w:szCs w:val="18"/>
        </w:rPr>
        <w:tab/>
      </w:r>
      <w:r w:rsidRPr="008F4C75">
        <w:rPr>
          <w:rFonts w:ascii="Calibri" w:hAnsi="Calibri" w:cs="Tahoma"/>
          <w:sz w:val="18"/>
          <w:szCs w:val="18"/>
        </w:rPr>
        <w:tab/>
        <w:t>66001-31-05-003-2014-00637-01</w:t>
      </w:r>
    </w:p>
    <w:p w:rsidR="008F4C75" w:rsidRP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Proceso:</w:t>
      </w:r>
      <w:r w:rsidRPr="008F4C75">
        <w:rPr>
          <w:rFonts w:ascii="Calibri" w:hAnsi="Calibri" w:cs="Tahoma"/>
          <w:sz w:val="18"/>
          <w:szCs w:val="18"/>
        </w:rPr>
        <w:tab/>
      </w:r>
      <w:r w:rsidRPr="008F4C75">
        <w:rPr>
          <w:rFonts w:ascii="Calibri" w:hAnsi="Calibri" w:cs="Tahoma"/>
          <w:sz w:val="18"/>
          <w:szCs w:val="18"/>
        </w:rPr>
        <w:tab/>
      </w:r>
      <w:r>
        <w:rPr>
          <w:rFonts w:ascii="Calibri" w:hAnsi="Calibri" w:cs="Tahoma"/>
          <w:sz w:val="18"/>
          <w:szCs w:val="18"/>
        </w:rPr>
        <w:tab/>
      </w:r>
      <w:r w:rsidRPr="008F4C75">
        <w:rPr>
          <w:rFonts w:ascii="Calibri" w:hAnsi="Calibri" w:cs="Tahoma"/>
          <w:sz w:val="18"/>
          <w:szCs w:val="18"/>
        </w:rPr>
        <w:t xml:space="preserve">Ordinario laboral </w:t>
      </w:r>
    </w:p>
    <w:p w:rsidR="008F4C75" w:rsidRP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Demandante:</w:t>
      </w:r>
      <w:r w:rsidRPr="008F4C75">
        <w:rPr>
          <w:rFonts w:ascii="Calibri" w:hAnsi="Calibri" w:cs="Tahoma"/>
          <w:sz w:val="18"/>
          <w:szCs w:val="18"/>
        </w:rPr>
        <w:tab/>
      </w:r>
      <w:r w:rsidRPr="008F4C75">
        <w:rPr>
          <w:rFonts w:ascii="Calibri" w:hAnsi="Calibri" w:cs="Tahoma"/>
          <w:sz w:val="18"/>
          <w:szCs w:val="18"/>
        </w:rPr>
        <w:tab/>
        <w:t xml:space="preserve">María Esperanza Ríos </w:t>
      </w:r>
      <w:proofErr w:type="spellStart"/>
      <w:r w:rsidRPr="008F4C75">
        <w:rPr>
          <w:rFonts w:ascii="Calibri" w:hAnsi="Calibri" w:cs="Tahoma"/>
          <w:sz w:val="18"/>
          <w:szCs w:val="18"/>
        </w:rPr>
        <w:t>Mape</w:t>
      </w:r>
      <w:proofErr w:type="spellEnd"/>
    </w:p>
    <w:p w:rsidR="008F4C75" w:rsidRP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Demandado:</w:t>
      </w:r>
      <w:r w:rsidRPr="008F4C75">
        <w:rPr>
          <w:rFonts w:ascii="Calibri" w:hAnsi="Calibri" w:cs="Tahoma"/>
          <w:sz w:val="18"/>
          <w:szCs w:val="18"/>
        </w:rPr>
        <w:tab/>
      </w:r>
      <w:r w:rsidRPr="008F4C75">
        <w:rPr>
          <w:rFonts w:ascii="Calibri" w:hAnsi="Calibri" w:cs="Tahoma"/>
          <w:sz w:val="18"/>
          <w:szCs w:val="18"/>
        </w:rPr>
        <w:tab/>
      </w:r>
      <w:proofErr w:type="spellStart"/>
      <w:r w:rsidRPr="008F4C75">
        <w:rPr>
          <w:rFonts w:ascii="Calibri" w:hAnsi="Calibri" w:cs="Tahoma"/>
          <w:sz w:val="18"/>
          <w:szCs w:val="18"/>
        </w:rPr>
        <w:t>Colpensiones</w:t>
      </w:r>
      <w:proofErr w:type="spellEnd"/>
      <w:r w:rsidRPr="008F4C75">
        <w:rPr>
          <w:rFonts w:ascii="Calibri" w:hAnsi="Calibri" w:cs="Tahoma"/>
          <w:sz w:val="18"/>
          <w:szCs w:val="18"/>
        </w:rPr>
        <w:t xml:space="preserve"> </w:t>
      </w:r>
    </w:p>
    <w:p w:rsidR="008F4C75" w:rsidRP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 xml:space="preserve">Juzgado de origen: </w:t>
      </w:r>
      <w:r>
        <w:rPr>
          <w:rFonts w:ascii="Calibri" w:hAnsi="Calibri" w:cs="Tahoma"/>
          <w:sz w:val="18"/>
          <w:szCs w:val="18"/>
        </w:rPr>
        <w:tab/>
      </w:r>
      <w:r w:rsidRPr="008F4C75">
        <w:rPr>
          <w:rFonts w:ascii="Calibri" w:hAnsi="Calibri" w:cs="Tahoma"/>
          <w:sz w:val="18"/>
          <w:szCs w:val="18"/>
        </w:rPr>
        <w:tab/>
        <w:t xml:space="preserve">Primero Laboral del Circuito de Pereira </w:t>
      </w:r>
    </w:p>
    <w:p w:rsidR="008F4C75" w:rsidRDefault="008F4C75" w:rsidP="008F4C75">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Magistrada ponente:</w:t>
      </w:r>
      <w:r w:rsidRPr="008F4C75">
        <w:rPr>
          <w:rFonts w:ascii="Calibri" w:hAnsi="Calibri" w:cs="Tahoma"/>
          <w:sz w:val="18"/>
          <w:szCs w:val="18"/>
        </w:rPr>
        <w:tab/>
        <w:t>Dra. Ana Lucía Caicedo Calderón</w:t>
      </w:r>
    </w:p>
    <w:p w:rsidR="008F4C75" w:rsidRPr="00F10E60" w:rsidRDefault="008F4C75" w:rsidP="008F4C75">
      <w:pPr>
        <w:autoSpaceDE w:val="0"/>
        <w:autoSpaceDN w:val="0"/>
        <w:adjustRightInd w:val="0"/>
        <w:spacing w:line="276" w:lineRule="auto"/>
        <w:jc w:val="both"/>
        <w:rPr>
          <w:rFonts w:ascii="Tahoma" w:eastAsiaTheme="minorHAnsi" w:hAnsi="Tahoma" w:cs="Tahoma"/>
          <w:b/>
          <w:sz w:val="18"/>
          <w:szCs w:val="18"/>
          <w:lang w:eastAsia="en-US"/>
        </w:rPr>
      </w:pPr>
    </w:p>
    <w:p w:rsidR="008F4C75" w:rsidRPr="00F10E60" w:rsidRDefault="008F4C75" w:rsidP="008F4C75">
      <w:pPr>
        <w:spacing w:line="276" w:lineRule="auto"/>
        <w:jc w:val="both"/>
        <w:rPr>
          <w:rFonts w:ascii="Calibri" w:hAnsi="Calibri" w:cs="Tahoma"/>
          <w:sz w:val="18"/>
          <w:szCs w:val="18"/>
          <w:lang w:val="es-ES_tradnl"/>
        </w:rPr>
      </w:pPr>
      <w:r w:rsidRPr="00F10E60">
        <w:rPr>
          <w:rFonts w:ascii="Calibri" w:hAnsi="Calibri" w:cs="Tahoma"/>
          <w:b/>
          <w:sz w:val="18"/>
          <w:szCs w:val="18"/>
        </w:rPr>
        <w:t>Tema:</w:t>
      </w:r>
      <w:r w:rsidRPr="00F10E60">
        <w:rPr>
          <w:rFonts w:ascii="Calibri" w:hAnsi="Calibri" w:cs="Tahoma"/>
          <w:b/>
          <w:sz w:val="18"/>
          <w:szCs w:val="18"/>
        </w:rPr>
        <w:tab/>
      </w:r>
      <w:r w:rsidRPr="00F10E60">
        <w:rPr>
          <w:rFonts w:ascii="Calibri" w:hAnsi="Calibri" w:cs="Tahoma"/>
          <w:b/>
          <w:sz w:val="18"/>
          <w:szCs w:val="18"/>
        </w:rPr>
        <w:tab/>
      </w:r>
      <w:r w:rsidRPr="00F10E60">
        <w:rPr>
          <w:rFonts w:ascii="Calibri" w:hAnsi="Calibri" w:cs="Tahoma"/>
          <w:b/>
          <w:sz w:val="18"/>
          <w:szCs w:val="18"/>
        </w:rPr>
        <w:tab/>
      </w:r>
      <w:r>
        <w:rPr>
          <w:rFonts w:ascii="Calibri" w:hAnsi="Calibri" w:cs="Tahoma"/>
          <w:b/>
          <w:sz w:val="18"/>
          <w:szCs w:val="18"/>
          <w:lang w:val="es-CO"/>
        </w:rPr>
        <w:t>PENSIÓN DE VEJEZ</w:t>
      </w:r>
      <w:r w:rsidRPr="00F10E60">
        <w:rPr>
          <w:rFonts w:ascii="Calibri" w:hAnsi="Calibri" w:cs="Tahoma"/>
          <w:b/>
          <w:sz w:val="18"/>
          <w:szCs w:val="18"/>
          <w:lang w:val="es-CO"/>
        </w:rPr>
        <w:t xml:space="preserve"> /</w:t>
      </w:r>
      <w:r>
        <w:rPr>
          <w:rFonts w:ascii="Calibri" w:hAnsi="Calibri" w:cs="Tahoma"/>
          <w:b/>
          <w:sz w:val="18"/>
          <w:szCs w:val="18"/>
          <w:lang w:val="es-CO"/>
        </w:rPr>
        <w:t xml:space="preserve"> RÉGIMEN DE TRANSICIÓN / ACUERDO 049 DE 1990 / CUMPLIÓ REQUISITOS DE EDAD Y DENSIDAD SEMANAS</w:t>
      </w:r>
      <w:r>
        <w:rPr>
          <w:rFonts w:ascii="Calibri" w:hAnsi="Calibri" w:cs="Tahoma"/>
          <w:b/>
          <w:sz w:val="18"/>
          <w:szCs w:val="18"/>
          <w:lang w:val="es-ES_tradnl"/>
        </w:rPr>
        <w:t xml:space="preserve"> / FECHA EN QUE DEJÓ DE COTIZAR </w:t>
      </w:r>
      <w:r w:rsidR="006B1059">
        <w:rPr>
          <w:rFonts w:ascii="Calibri" w:hAnsi="Calibri" w:cs="Tahoma"/>
          <w:b/>
          <w:sz w:val="18"/>
          <w:szCs w:val="18"/>
          <w:lang w:val="es-ES_tradnl"/>
        </w:rPr>
        <w:t xml:space="preserve">PUEDE SER TENIDA EN CUENTA PARA RECONOCIMIENTO PENSIONAL / REGLA JURISPRUDENCIAL / PRESCRIPCIÓN DE MESADAS / NO OCURRIÓ. </w:t>
      </w:r>
      <w:r w:rsidRPr="00F10E60">
        <w:rPr>
          <w:rFonts w:ascii="Calibri" w:hAnsi="Calibri" w:cs="Tahoma"/>
          <w:b/>
          <w:sz w:val="18"/>
          <w:szCs w:val="18"/>
          <w:lang w:val="es-ES_tradnl"/>
        </w:rPr>
        <w:t xml:space="preserve"> </w:t>
      </w:r>
      <w:r w:rsidRPr="00F10E60">
        <w:rPr>
          <w:rFonts w:ascii="Calibri" w:hAnsi="Calibri" w:cs="Tahoma"/>
          <w:sz w:val="18"/>
          <w:szCs w:val="18"/>
          <w:lang w:val="es-CO"/>
        </w:rPr>
        <w:t xml:space="preserve"> </w:t>
      </w:r>
      <w:r w:rsidRPr="008F4C75">
        <w:rPr>
          <w:rFonts w:ascii="Calibri" w:hAnsi="Calibri" w:cs="Tahoma"/>
          <w:sz w:val="18"/>
          <w:szCs w:val="18"/>
          <w:lang w:val="es-CO"/>
        </w:rPr>
        <w:t>En respuesta al problema jurídico planteado, debe manifestar la Sala que al haber alcanzado los 55 años de edad el 2 de enero de 2009 (</w:t>
      </w:r>
      <w:proofErr w:type="spellStart"/>
      <w:r w:rsidRPr="008F4C75">
        <w:rPr>
          <w:rFonts w:ascii="Calibri" w:hAnsi="Calibri" w:cs="Tahoma"/>
          <w:sz w:val="18"/>
          <w:szCs w:val="18"/>
          <w:lang w:val="es-CO"/>
        </w:rPr>
        <w:t>fl</w:t>
      </w:r>
      <w:proofErr w:type="spellEnd"/>
      <w:r w:rsidRPr="008F4C75">
        <w:rPr>
          <w:rFonts w:ascii="Calibri" w:hAnsi="Calibri" w:cs="Tahoma"/>
          <w:sz w:val="18"/>
          <w:szCs w:val="18"/>
          <w:lang w:val="es-CO"/>
        </w:rPr>
        <w:t>. 23); haber solicitado la prestación el 9 de julio (</w:t>
      </w:r>
      <w:proofErr w:type="spellStart"/>
      <w:r w:rsidRPr="008F4C75">
        <w:rPr>
          <w:rFonts w:ascii="Calibri" w:hAnsi="Calibri" w:cs="Tahoma"/>
          <w:sz w:val="18"/>
          <w:szCs w:val="18"/>
          <w:lang w:val="es-CO"/>
        </w:rPr>
        <w:t>fl</w:t>
      </w:r>
      <w:proofErr w:type="spellEnd"/>
      <w:r w:rsidRPr="008F4C75">
        <w:rPr>
          <w:rFonts w:ascii="Calibri" w:hAnsi="Calibri" w:cs="Tahoma"/>
          <w:sz w:val="18"/>
          <w:szCs w:val="18"/>
          <w:lang w:val="es-CO"/>
        </w:rPr>
        <w:t xml:space="preserve">. 8), y haber efectuado cotizaciones hasta el 31 de julio del mismo año, cuando contaba con 1236 semanas cotizadas –según se acepta en la Resolución </w:t>
      </w:r>
      <w:proofErr w:type="spellStart"/>
      <w:r w:rsidRPr="008F4C75">
        <w:rPr>
          <w:rFonts w:ascii="Calibri" w:hAnsi="Calibri" w:cs="Tahoma"/>
          <w:sz w:val="18"/>
          <w:szCs w:val="18"/>
          <w:lang w:val="es-CO"/>
        </w:rPr>
        <w:t>VPB</w:t>
      </w:r>
      <w:proofErr w:type="spellEnd"/>
      <w:r w:rsidRPr="008F4C75">
        <w:rPr>
          <w:rFonts w:ascii="Calibri" w:hAnsi="Calibri" w:cs="Tahoma"/>
          <w:sz w:val="18"/>
          <w:szCs w:val="18"/>
          <w:lang w:val="es-CO"/>
        </w:rPr>
        <w:t xml:space="preserve"> 10902 del 10 de julio de 2014 (</w:t>
      </w:r>
      <w:proofErr w:type="spellStart"/>
      <w:r w:rsidRPr="008F4C75">
        <w:rPr>
          <w:rFonts w:ascii="Calibri" w:hAnsi="Calibri" w:cs="Tahoma"/>
          <w:sz w:val="18"/>
          <w:szCs w:val="18"/>
          <w:lang w:val="es-CO"/>
        </w:rPr>
        <w:t>fl</w:t>
      </w:r>
      <w:proofErr w:type="spellEnd"/>
      <w:r w:rsidRPr="008F4C75">
        <w:rPr>
          <w:rFonts w:ascii="Calibri" w:hAnsi="Calibri" w:cs="Tahoma"/>
          <w:sz w:val="18"/>
          <w:szCs w:val="18"/>
          <w:lang w:val="es-CO"/>
        </w:rPr>
        <w:t>. 14); la fecha en la que la señora María Esperanza Ríos tenía derecho a disfrutar de la pensión no era otro que el día siguiente a aquel que realizó la última cotiz</w:t>
      </w:r>
      <w:bookmarkStart w:id="0" w:name="_GoBack"/>
      <w:bookmarkEnd w:id="0"/>
      <w:r w:rsidRPr="008F4C75">
        <w:rPr>
          <w:rFonts w:ascii="Calibri" w:hAnsi="Calibri" w:cs="Tahoma"/>
          <w:sz w:val="18"/>
          <w:szCs w:val="18"/>
          <w:lang w:val="es-CO"/>
        </w:rPr>
        <w:t xml:space="preserve">ación al sistema, esto es, desde el 1º de agosto de 2009. Esta intelección la sostiene la Sala de Casación Laboral de la Corte Suprema de Justicia en sentencia del 11 de marzo de 2015, con radicado número 56171, ponencia del Magistrado Luis Gabriel Miranda </w:t>
      </w:r>
      <w:proofErr w:type="spellStart"/>
      <w:r w:rsidRPr="008F4C75">
        <w:rPr>
          <w:rFonts w:ascii="Calibri" w:hAnsi="Calibri" w:cs="Tahoma"/>
          <w:sz w:val="18"/>
          <w:szCs w:val="18"/>
          <w:lang w:val="es-CO"/>
        </w:rPr>
        <w:t>Buelvas</w:t>
      </w:r>
      <w:proofErr w:type="spellEnd"/>
      <w:r w:rsidRPr="008F4C75">
        <w:rPr>
          <w:rFonts w:ascii="Calibri" w:hAnsi="Calibri" w:cs="Tahoma"/>
          <w:sz w:val="18"/>
          <w:szCs w:val="18"/>
          <w:lang w:val="es-CO"/>
        </w:rPr>
        <w:t>, -reiterada en la sentencia SL5603-2016-</w:t>
      </w:r>
      <w:r w:rsidRPr="00C946BC">
        <w:rPr>
          <w:rFonts w:ascii="Calibri" w:hAnsi="Calibri" w:cs="Tahoma"/>
          <w:sz w:val="18"/>
          <w:szCs w:val="18"/>
          <w:lang w:val="es-CO"/>
        </w:rPr>
        <w:t>.</w:t>
      </w:r>
    </w:p>
    <w:p w:rsidR="008F4C75" w:rsidRDefault="008F4C75" w:rsidP="008F4C75">
      <w:pPr>
        <w:spacing w:line="276" w:lineRule="auto"/>
        <w:jc w:val="both"/>
        <w:rPr>
          <w:rFonts w:ascii="Calibri" w:hAnsi="Calibri" w:cs="Tahoma"/>
          <w:sz w:val="18"/>
          <w:szCs w:val="18"/>
          <w:lang w:val="es-ES_tradnl"/>
        </w:rPr>
      </w:pPr>
      <w:r w:rsidRPr="00F10E60">
        <w:rPr>
          <w:rFonts w:ascii="Calibri" w:hAnsi="Calibri" w:cs="Tahoma"/>
          <w:sz w:val="18"/>
          <w:szCs w:val="18"/>
          <w:lang w:val="es-ES_tradnl"/>
        </w:rPr>
        <w:t>(…)</w:t>
      </w:r>
    </w:p>
    <w:p w:rsidR="006B1059" w:rsidRPr="00F10E60" w:rsidRDefault="006B1059" w:rsidP="008F4C75">
      <w:pPr>
        <w:spacing w:line="276" w:lineRule="auto"/>
        <w:jc w:val="both"/>
        <w:rPr>
          <w:rFonts w:ascii="Calibri" w:hAnsi="Calibri" w:cs="Tahoma"/>
          <w:sz w:val="18"/>
          <w:szCs w:val="18"/>
          <w:lang w:val="es-ES_tradnl"/>
        </w:rPr>
      </w:pPr>
      <w:r w:rsidRPr="006B1059">
        <w:rPr>
          <w:rFonts w:ascii="Calibri" w:hAnsi="Calibri" w:cs="Tahoma"/>
          <w:sz w:val="18"/>
          <w:szCs w:val="18"/>
          <w:lang w:val="es-ES_tradnl"/>
        </w:rPr>
        <w:t>Se dirá igualmente que ninguna de las mesadas reclamadas se vio afectada por el fenómeno de la prescripción, en razón a que entre la fecha en que quedó en firme la Resolución 2916 de 2011, por medio de la cual se negó inicialmente la pensión, y la presentación de la demanda, no transcurrieron más de 3 años.</w:t>
      </w:r>
    </w:p>
    <w:p w:rsidR="00F768F2" w:rsidRDefault="00F768F2" w:rsidP="001C14EA">
      <w:pPr>
        <w:pStyle w:val="Textoindependiente"/>
        <w:spacing w:after="0"/>
        <w:ind w:left="2127" w:right="51"/>
        <w:jc w:val="both"/>
        <w:rPr>
          <w:rFonts w:ascii="Tahoma" w:hAnsi="Tahoma" w:cs="Tahoma"/>
          <w:bCs/>
          <w:sz w:val="18"/>
          <w:szCs w:val="18"/>
        </w:rPr>
      </w:pPr>
    </w:p>
    <w:p w:rsidR="006B1059" w:rsidRDefault="006B1059" w:rsidP="001C14EA">
      <w:pPr>
        <w:pStyle w:val="Textoindependiente"/>
        <w:spacing w:after="0"/>
        <w:ind w:left="2127" w:right="51"/>
        <w:jc w:val="both"/>
        <w:rPr>
          <w:rFonts w:ascii="Tahoma" w:hAnsi="Tahoma" w:cs="Tahoma"/>
          <w:bCs/>
          <w:sz w:val="18"/>
          <w:szCs w:val="18"/>
        </w:rPr>
      </w:pP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F64F37">
        <w:rPr>
          <w:rFonts w:ascii="Tahoma" w:hAnsi="Tahoma" w:cs="Tahoma"/>
          <w:sz w:val="22"/>
          <w:szCs w:val="22"/>
          <w:lang w:val="es-ES_tradnl"/>
        </w:rPr>
        <w:t>9</w:t>
      </w:r>
      <w:r w:rsidR="0014623C">
        <w:rPr>
          <w:rFonts w:ascii="Tahoma" w:hAnsi="Tahoma" w:cs="Tahoma"/>
          <w:sz w:val="22"/>
          <w:szCs w:val="22"/>
          <w:lang w:val="es-ES_tradnl"/>
        </w:rPr>
        <w:t>:</w:t>
      </w:r>
      <w:r w:rsidR="001E0812">
        <w:rPr>
          <w:rFonts w:ascii="Tahoma" w:hAnsi="Tahoma" w:cs="Tahoma"/>
          <w:sz w:val="22"/>
          <w:szCs w:val="22"/>
          <w:lang w:val="es-ES_tradnl"/>
        </w:rPr>
        <w:t>0</w:t>
      </w:r>
      <w:r w:rsidR="00F64F37">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E0812">
        <w:rPr>
          <w:rFonts w:ascii="Tahoma" w:hAnsi="Tahoma" w:cs="Tahoma"/>
          <w:sz w:val="22"/>
          <w:szCs w:val="22"/>
          <w:lang w:val="es-ES_tradnl"/>
        </w:rPr>
        <w:t>23</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977A78">
        <w:rPr>
          <w:rFonts w:ascii="Tahoma" w:hAnsi="Tahoma" w:cs="Tahoma"/>
          <w:sz w:val="22"/>
          <w:szCs w:val="22"/>
          <w:lang w:val="es-ES_tradnl"/>
        </w:rPr>
        <w:t>marzo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1E0812">
        <w:rPr>
          <w:rFonts w:ascii="Tahoma" w:hAnsi="Tahoma" w:cs="Tahoma"/>
          <w:b/>
          <w:sz w:val="22"/>
          <w:szCs w:val="22"/>
          <w:lang w:val="es-ES_tradnl"/>
        </w:rPr>
        <w:t xml:space="preserve">María Esperanza Ríos </w:t>
      </w:r>
      <w:proofErr w:type="spellStart"/>
      <w:r w:rsidR="001E0812">
        <w:rPr>
          <w:rFonts w:ascii="Tahoma" w:hAnsi="Tahoma" w:cs="Tahoma"/>
          <w:b/>
          <w:sz w:val="22"/>
          <w:szCs w:val="22"/>
          <w:lang w:val="es-ES_tradnl"/>
        </w:rPr>
        <w:t>Mape</w:t>
      </w:r>
      <w:proofErr w:type="spellEnd"/>
      <w:r w:rsidR="001E0812">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1E0812" w:rsidRPr="001E0812">
        <w:rPr>
          <w:rFonts w:ascii="Tahoma" w:hAnsi="Tahoma" w:cs="Tahoma"/>
          <w:sz w:val="22"/>
          <w:szCs w:val="22"/>
          <w:lang w:val="es-ES_tradnl"/>
        </w:rPr>
        <w:t xml:space="preserve">; proceso al que fue vinculado el </w:t>
      </w:r>
      <w:r w:rsidR="001E0812">
        <w:rPr>
          <w:rFonts w:ascii="Tahoma" w:hAnsi="Tahoma" w:cs="Tahoma"/>
          <w:b/>
          <w:sz w:val="22"/>
          <w:szCs w:val="22"/>
          <w:lang w:val="es-ES_tradnl"/>
        </w:rPr>
        <w:t>Municipio de Pereira</w:t>
      </w:r>
      <w:r w:rsidR="008C0B28" w:rsidRPr="00DA7C2A">
        <w:rPr>
          <w:rFonts w:ascii="Tahoma" w:hAnsi="Tahoma" w:cs="Tahoma"/>
          <w:sz w:val="22"/>
          <w:szCs w:val="22"/>
          <w:lang w:val="es-ES_tradnl"/>
        </w:rPr>
        <w:t>.</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94213C">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1E0812">
        <w:rPr>
          <w:rFonts w:ascii="Tahoma" w:hAnsi="Tahoma" w:cs="Tahoma"/>
          <w:sz w:val="22"/>
          <w:szCs w:val="22"/>
        </w:rPr>
        <w:t>4 de mayo</w:t>
      </w:r>
      <w:r w:rsidR="008977D7">
        <w:rPr>
          <w:rFonts w:ascii="Tahoma" w:hAnsi="Tahoma" w:cs="Tahoma"/>
          <w:sz w:val="22"/>
          <w:szCs w:val="22"/>
        </w:rPr>
        <w:t xml:space="preserve">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94C14">
        <w:rPr>
          <w:rFonts w:ascii="Tahoma" w:hAnsi="Tahoma" w:cs="Tahoma"/>
          <w:sz w:val="22"/>
          <w:szCs w:val="22"/>
        </w:rPr>
        <w:t xml:space="preserve">y a resolver el recurso de apelación propuesto por la parte demandante, </w:t>
      </w:r>
      <w:r w:rsidR="00E61862" w:rsidRPr="00EA3EFB">
        <w:rPr>
          <w:rFonts w:ascii="Tahoma" w:hAnsi="Tahoma" w:cs="Tahoma"/>
          <w:sz w:val="22"/>
          <w:szCs w:val="22"/>
        </w:rPr>
        <w:t>dentro del proceso ordinario laboral reseñado con anterioridad.</w:t>
      </w:r>
    </w:p>
    <w:p w:rsidR="00D3431C" w:rsidRPr="00EA3EFB"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6B0EE8" w:rsidRPr="006102BF"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lastRenderedPageBreak/>
        <w:t>De acuerdo a los argumentos expuestos en la sentencia de primera instancia le corresponde a la Sala determinar</w:t>
      </w:r>
      <w:r w:rsidRPr="00197A2D">
        <w:rPr>
          <w:rFonts w:ascii="Tahoma" w:hAnsi="Tahoma" w:cs="Tahoma"/>
          <w:sz w:val="22"/>
          <w:szCs w:val="22"/>
        </w:rPr>
        <w:t xml:space="preserve">: i) a partir de qué momento le asiste derecho al demandante a disfrutar de su pensión de vejez; ii) </w:t>
      </w:r>
      <w:r w:rsidR="00197A2D">
        <w:rPr>
          <w:rFonts w:ascii="Tahoma" w:hAnsi="Tahoma" w:cs="Tahoma"/>
          <w:sz w:val="22"/>
          <w:szCs w:val="22"/>
        </w:rPr>
        <w:t xml:space="preserve">si en el presente asunto operó el fenómeno extintivo de la prescripción y, iii) </w:t>
      </w:r>
      <w:r w:rsidRPr="00197A2D">
        <w:rPr>
          <w:rFonts w:ascii="Tahoma" w:hAnsi="Tahoma" w:cs="Tahoma"/>
          <w:sz w:val="22"/>
          <w:szCs w:val="22"/>
        </w:rPr>
        <w:t xml:space="preserve">si </w:t>
      </w:r>
      <w:r w:rsidR="00197A2D">
        <w:rPr>
          <w:rFonts w:ascii="Tahoma" w:hAnsi="Tahoma" w:cs="Tahoma"/>
          <w:sz w:val="22"/>
          <w:szCs w:val="22"/>
        </w:rPr>
        <w:t xml:space="preserve">a la demandante </w:t>
      </w:r>
      <w:r w:rsidRPr="00197A2D">
        <w:rPr>
          <w:rFonts w:ascii="Tahoma" w:hAnsi="Tahoma" w:cs="Tahoma"/>
          <w:sz w:val="22"/>
          <w:szCs w:val="22"/>
        </w:rPr>
        <w:t>le asiste derecho al reconocimiento de intereses moratorios, en caso afirmativo, a partir de cuándo.</w:t>
      </w: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AD6D51">
      <w:pPr>
        <w:widowControl w:val="0"/>
        <w:autoSpaceDE w:val="0"/>
        <w:autoSpaceDN w:val="0"/>
        <w:adjustRightInd w:val="0"/>
        <w:ind w:firstLine="708"/>
        <w:jc w:val="both"/>
        <w:rPr>
          <w:rFonts w:ascii="Tahoma" w:hAnsi="Tahoma" w:cs="Tahoma"/>
          <w:sz w:val="22"/>
          <w:szCs w:val="22"/>
        </w:rPr>
      </w:pPr>
    </w:p>
    <w:p w:rsidR="00F64F37" w:rsidRDefault="00F64F37" w:rsidP="0092655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 condene a Colpensiones, previa declaración del derecho, a que le reconozca y pague el</w:t>
      </w:r>
      <w:r>
        <w:rPr>
          <w:rFonts w:ascii="Tahoma" w:hAnsi="Tahoma" w:cs="Tahoma"/>
          <w:sz w:val="22"/>
          <w:szCs w:val="22"/>
        </w:rPr>
        <w:t xml:space="preserve"> retroactivo pensional causado entre el 1º de </w:t>
      </w:r>
      <w:r w:rsidR="001E0812">
        <w:rPr>
          <w:rFonts w:ascii="Tahoma" w:hAnsi="Tahoma" w:cs="Tahoma"/>
          <w:sz w:val="22"/>
          <w:szCs w:val="22"/>
        </w:rPr>
        <w:t>agosto de 2009</w:t>
      </w:r>
      <w:r>
        <w:rPr>
          <w:rFonts w:ascii="Tahoma" w:hAnsi="Tahoma" w:cs="Tahoma"/>
          <w:sz w:val="22"/>
          <w:szCs w:val="22"/>
        </w:rPr>
        <w:t xml:space="preserve"> y el </w:t>
      </w:r>
      <w:r w:rsidR="001E0812">
        <w:rPr>
          <w:rFonts w:ascii="Tahoma" w:hAnsi="Tahoma" w:cs="Tahoma"/>
          <w:sz w:val="22"/>
          <w:szCs w:val="22"/>
        </w:rPr>
        <w:t>1º de diciembre de 2011</w:t>
      </w:r>
      <w:r>
        <w:rPr>
          <w:rFonts w:ascii="Tahoma" w:hAnsi="Tahoma" w:cs="Tahoma"/>
          <w:sz w:val="22"/>
          <w:szCs w:val="22"/>
        </w:rPr>
        <w:t>; más los intereses moratorios de que trata el artículo 141 de la Ley 100 de 1993</w:t>
      </w:r>
      <w:r w:rsidR="001E0812">
        <w:rPr>
          <w:rFonts w:ascii="Tahoma" w:hAnsi="Tahoma" w:cs="Tahoma"/>
          <w:sz w:val="22"/>
          <w:szCs w:val="22"/>
        </w:rPr>
        <w:t>;</w:t>
      </w:r>
      <w:r>
        <w:rPr>
          <w:rFonts w:ascii="Tahoma" w:hAnsi="Tahoma" w:cs="Tahoma"/>
          <w:sz w:val="22"/>
          <w:szCs w:val="22"/>
        </w:rPr>
        <w:t xml:space="preserve"> la indexación</w:t>
      </w:r>
      <w:r w:rsidR="001E0812">
        <w:rPr>
          <w:rFonts w:ascii="Tahoma" w:hAnsi="Tahoma" w:cs="Tahoma"/>
          <w:sz w:val="22"/>
          <w:szCs w:val="22"/>
        </w:rPr>
        <w:t>;</w:t>
      </w:r>
      <w:r>
        <w:rPr>
          <w:rFonts w:ascii="Tahoma" w:hAnsi="Tahoma" w:cs="Tahoma"/>
          <w:sz w:val="22"/>
          <w:szCs w:val="22"/>
        </w:rPr>
        <w:t xml:space="preserve"> las costas procesales</w:t>
      </w:r>
      <w:r w:rsidR="001E0812">
        <w:rPr>
          <w:rFonts w:ascii="Tahoma" w:hAnsi="Tahoma" w:cs="Tahoma"/>
          <w:sz w:val="22"/>
          <w:szCs w:val="22"/>
        </w:rPr>
        <w:t xml:space="preserve"> y lo ultra y extra </w:t>
      </w:r>
      <w:proofErr w:type="spellStart"/>
      <w:r w:rsidR="001E0812">
        <w:rPr>
          <w:rFonts w:ascii="Tahoma" w:hAnsi="Tahoma" w:cs="Tahoma"/>
          <w:sz w:val="22"/>
          <w:szCs w:val="22"/>
        </w:rPr>
        <w:t>petita</w:t>
      </w:r>
      <w:proofErr w:type="spellEnd"/>
      <w:r>
        <w:rPr>
          <w:rFonts w:ascii="Tahoma" w:hAnsi="Tahoma" w:cs="Tahoma"/>
          <w:sz w:val="22"/>
          <w:szCs w:val="22"/>
        </w:rPr>
        <w:t>.</w:t>
      </w:r>
      <w:r w:rsidR="001E0812">
        <w:rPr>
          <w:rFonts w:ascii="Tahoma" w:hAnsi="Tahoma" w:cs="Tahoma"/>
          <w:sz w:val="22"/>
          <w:szCs w:val="22"/>
        </w:rPr>
        <w:t xml:space="preserve"> </w:t>
      </w:r>
    </w:p>
    <w:p w:rsidR="000B0DC6" w:rsidRDefault="00595856"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8F5C9C" w:rsidRDefault="000277BB" w:rsidP="0091018E">
      <w:pPr>
        <w:widowControl w:val="0"/>
        <w:autoSpaceDE w:val="0"/>
        <w:autoSpaceDN w:val="0"/>
        <w:adjustRightInd w:val="0"/>
        <w:spacing w:line="276" w:lineRule="auto"/>
        <w:ind w:firstLine="708"/>
        <w:jc w:val="both"/>
        <w:rPr>
          <w:rFonts w:ascii="Tahoma" w:hAnsi="Tahoma" w:cs="Tahoma"/>
          <w:sz w:val="22"/>
          <w:szCs w:val="22"/>
        </w:rPr>
      </w:pPr>
      <w:r w:rsidRPr="003F0413">
        <w:rPr>
          <w:rFonts w:ascii="Tahoma" w:hAnsi="Tahoma" w:cs="Tahoma"/>
          <w:sz w:val="22"/>
          <w:szCs w:val="22"/>
        </w:rPr>
        <w:t>Para fundar dichas pretensiones manifiesta que</w:t>
      </w:r>
      <w:r w:rsidR="002E5803" w:rsidRPr="003F0413">
        <w:rPr>
          <w:rFonts w:ascii="Tahoma" w:hAnsi="Tahoma" w:cs="Tahoma"/>
          <w:sz w:val="22"/>
          <w:szCs w:val="22"/>
        </w:rPr>
        <w:t xml:space="preserve"> </w:t>
      </w:r>
      <w:r w:rsidR="00B95B18" w:rsidRPr="003F0413">
        <w:rPr>
          <w:rFonts w:ascii="Tahoma" w:hAnsi="Tahoma" w:cs="Tahoma"/>
          <w:sz w:val="22"/>
          <w:szCs w:val="22"/>
        </w:rPr>
        <w:t xml:space="preserve">cumplió los 55 años de edad </w:t>
      </w:r>
      <w:r w:rsidR="00704B0E" w:rsidRPr="003F0413">
        <w:rPr>
          <w:rFonts w:ascii="Tahoma" w:hAnsi="Tahoma" w:cs="Tahoma"/>
          <w:sz w:val="22"/>
          <w:szCs w:val="22"/>
        </w:rPr>
        <w:t>e</w:t>
      </w:r>
      <w:r w:rsidR="00F77CFE" w:rsidRPr="003F0413">
        <w:rPr>
          <w:rFonts w:ascii="Tahoma" w:hAnsi="Tahoma" w:cs="Tahoma"/>
          <w:sz w:val="22"/>
          <w:szCs w:val="22"/>
        </w:rPr>
        <w:t xml:space="preserve">l 2 de enero de </w:t>
      </w:r>
      <w:r w:rsidR="003F0413" w:rsidRPr="003F0413">
        <w:rPr>
          <w:rFonts w:ascii="Tahoma" w:hAnsi="Tahoma" w:cs="Tahoma"/>
          <w:sz w:val="22"/>
          <w:szCs w:val="22"/>
        </w:rPr>
        <w:t>2009</w:t>
      </w:r>
      <w:r w:rsidR="00F77CFE">
        <w:rPr>
          <w:rFonts w:ascii="Tahoma" w:hAnsi="Tahoma" w:cs="Tahoma"/>
          <w:sz w:val="22"/>
          <w:szCs w:val="22"/>
        </w:rPr>
        <w:t xml:space="preserve"> y que el 9 de julio de</w:t>
      </w:r>
      <w:r w:rsidR="003F0413">
        <w:rPr>
          <w:rFonts w:ascii="Tahoma" w:hAnsi="Tahoma" w:cs="Tahoma"/>
          <w:sz w:val="22"/>
          <w:szCs w:val="22"/>
        </w:rPr>
        <w:t>l mismo año</w:t>
      </w:r>
      <w:r w:rsidR="00F77CFE">
        <w:rPr>
          <w:rFonts w:ascii="Tahoma" w:hAnsi="Tahoma" w:cs="Tahoma"/>
          <w:sz w:val="22"/>
          <w:szCs w:val="22"/>
        </w:rPr>
        <w:t xml:space="preserve"> solicitó ante el I.S.S. el reconocimiento de su pensión de vejez, </w:t>
      </w:r>
      <w:r w:rsidR="003F0413">
        <w:rPr>
          <w:rFonts w:ascii="Tahoma" w:hAnsi="Tahoma" w:cs="Tahoma"/>
          <w:sz w:val="22"/>
          <w:szCs w:val="22"/>
        </w:rPr>
        <w:t>misma que</w:t>
      </w:r>
      <w:r w:rsidR="00F77CFE">
        <w:rPr>
          <w:rFonts w:ascii="Tahoma" w:hAnsi="Tahoma" w:cs="Tahoma"/>
          <w:sz w:val="22"/>
          <w:szCs w:val="22"/>
        </w:rPr>
        <w:t xml:space="preserve"> fue negada mediante la Resolución 2916 del 28 de junio de 2011</w:t>
      </w:r>
      <w:r w:rsidR="003F0413">
        <w:rPr>
          <w:rFonts w:ascii="Tahoma" w:hAnsi="Tahoma" w:cs="Tahoma"/>
          <w:sz w:val="22"/>
          <w:szCs w:val="22"/>
        </w:rPr>
        <w:t xml:space="preserve">. Agrega que interpuso </w:t>
      </w:r>
      <w:r w:rsidR="00F77CFE">
        <w:rPr>
          <w:rFonts w:ascii="Tahoma" w:hAnsi="Tahoma" w:cs="Tahoma"/>
          <w:sz w:val="22"/>
          <w:szCs w:val="22"/>
        </w:rPr>
        <w:t xml:space="preserve"> recurso de reposición</w:t>
      </w:r>
      <w:r w:rsidR="003F0413">
        <w:rPr>
          <w:rFonts w:ascii="Tahoma" w:hAnsi="Tahoma" w:cs="Tahoma"/>
          <w:sz w:val="22"/>
          <w:szCs w:val="22"/>
        </w:rPr>
        <w:t xml:space="preserve"> en contra de dicho acto</w:t>
      </w:r>
      <w:r w:rsidR="00F77CFE">
        <w:rPr>
          <w:rFonts w:ascii="Tahoma" w:hAnsi="Tahoma" w:cs="Tahoma"/>
          <w:sz w:val="22"/>
          <w:szCs w:val="22"/>
        </w:rPr>
        <w:t xml:space="preserve">, el cual fue resuelto a través de la Resolución 07172 del 15 de noviembre de 2011, en la que se le reconoció la aludida prestación </w:t>
      </w:r>
      <w:r w:rsidR="00C84210">
        <w:rPr>
          <w:rFonts w:ascii="Tahoma" w:hAnsi="Tahoma" w:cs="Tahoma"/>
          <w:sz w:val="22"/>
          <w:szCs w:val="22"/>
        </w:rPr>
        <w:t>bajo los parámetros</w:t>
      </w:r>
      <w:r w:rsidR="004906E1">
        <w:rPr>
          <w:rFonts w:ascii="Tahoma" w:hAnsi="Tahoma" w:cs="Tahoma"/>
          <w:sz w:val="22"/>
          <w:szCs w:val="22"/>
        </w:rPr>
        <w:t xml:space="preserve"> del artículo 9º de la Ley 797 de 2003</w:t>
      </w:r>
      <w:r w:rsidR="00C02C55">
        <w:rPr>
          <w:rFonts w:ascii="Tahoma" w:hAnsi="Tahoma" w:cs="Tahoma"/>
          <w:sz w:val="22"/>
          <w:szCs w:val="22"/>
        </w:rPr>
        <w:t>, a partir del 1º de diciembre de 2011</w:t>
      </w:r>
      <w:r w:rsidR="00D369C8">
        <w:rPr>
          <w:rFonts w:ascii="Tahoma" w:hAnsi="Tahoma" w:cs="Tahoma"/>
          <w:sz w:val="22"/>
          <w:szCs w:val="22"/>
        </w:rPr>
        <w:t xml:space="preserve"> y en cuantía de </w:t>
      </w:r>
      <w:r w:rsidR="00D369C8" w:rsidRPr="00197A2D">
        <w:rPr>
          <w:rFonts w:ascii="Tahoma" w:hAnsi="Tahoma" w:cs="Tahoma"/>
          <w:sz w:val="22"/>
          <w:szCs w:val="22"/>
          <w:u w:val="single"/>
        </w:rPr>
        <w:t>$1.845.330</w:t>
      </w:r>
      <w:r w:rsidR="00D369C8">
        <w:rPr>
          <w:rFonts w:ascii="Tahoma" w:hAnsi="Tahoma" w:cs="Tahoma"/>
          <w:sz w:val="22"/>
          <w:szCs w:val="22"/>
        </w:rPr>
        <w:t>.</w:t>
      </w:r>
    </w:p>
    <w:p w:rsidR="00D369C8" w:rsidRDefault="00D369C8" w:rsidP="0091018E">
      <w:pPr>
        <w:widowControl w:val="0"/>
        <w:autoSpaceDE w:val="0"/>
        <w:autoSpaceDN w:val="0"/>
        <w:adjustRightInd w:val="0"/>
        <w:spacing w:line="276" w:lineRule="auto"/>
        <w:ind w:firstLine="708"/>
        <w:jc w:val="both"/>
        <w:rPr>
          <w:rFonts w:ascii="Tahoma" w:hAnsi="Tahoma" w:cs="Tahoma"/>
          <w:sz w:val="22"/>
          <w:szCs w:val="22"/>
        </w:rPr>
      </w:pPr>
    </w:p>
    <w:p w:rsidR="00D369C8" w:rsidRDefault="00B95B18"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que la </w:t>
      </w:r>
      <w:r w:rsidR="00A52FB6">
        <w:rPr>
          <w:rFonts w:ascii="Tahoma" w:hAnsi="Tahoma" w:cs="Tahoma"/>
          <w:sz w:val="22"/>
          <w:szCs w:val="22"/>
        </w:rPr>
        <w:t xml:space="preserve">Resolución </w:t>
      </w:r>
      <w:r>
        <w:rPr>
          <w:rFonts w:ascii="Tahoma" w:hAnsi="Tahoma" w:cs="Tahoma"/>
          <w:sz w:val="22"/>
          <w:szCs w:val="22"/>
        </w:rPr>
        <w:t>07172 del 15 de noviembre de 2011 fue modificada por medio de la Resolución VPB 10902 del 10 de julio de 2014, reajustando el valor de las mesadas</w:t>
      </w:r>
      <w:r w:rsidR="006F3BA5">
        <w:rPr>
          <w:rFonts w:ascii="Tahoma" w:hAnsi="Tahoma" w:cs="Tahoma"/>
          <w:sz w:val="22"/>
          <w:szCs w:val="22"/>
        </w:rPr>
        <w:t xml:space="preserve"> pero negando el retroactivo pensional.</w:t>
      </w:r>
    </w:p>
    <w:p w:rsidR="006F3BA5" w:rsidRDefault="000935EE"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6F3BA5" w:rsidRDefault="006F3BA5"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hizo su último aporte para cotización</w:t>
      </w:r>
      <w:r w:rsidR="004347CA">
        <w:rPr>
          <w:rFonts w:ascii="Tahoma" w:hAnsi="Tahoma" w:cs="Tahoma"/>
          <w:sz w:val="22"/>
          <w:szCs w:val="22"/>
        </w:rPr>
        <w:t xml:space="preserve"> el 31 de julio de 2009 con el empleador “Telecomunicaciones”</w:t>
      </w:r>
      <w:r w:rsidR="006A41E6">
        <w:rPr>
          <w:rFonts w:ascii="Tahoma" w:hAnsi="Tahoma" w:cs="Tahoma"/>
          <w:sz w:val="22"/>
          <w:szCs w:val="22"/>
        </w:rPr>
        <w:t>;</w:t>
      </w:r>
      <w:r w:rsidR="004347CA">
        <w:rPr>
          <w:rFonts w:ascii="Tahoma" w:hAnsi="Tahoma" w:cs="Tahoma"/>
          <w:sz w:val="22"/>
          <w:szCs w:val="22"/>
        </w:rPr>
        <w:t xml:space="preserve"> que el 15 de agosto de 2014 solicitó </w:t>
      </w:r>
      <w:r w:rsidR="002A7835">
        <w:rPr>
          <w:rFonts w:ascii="Tahoma" w:hAnsi="Tahoma" w:cs="Tahoma"/>
          <w:sz w:val="22"/>
          <w:szCs w:val="22"/>
        </w:rPr>
        <w:t xml:space="preserve">ante Colpensiones </w:t>
      </w:r>
      <w:r w:rsidR="004347CA">
        <w:rPr>
          <w:rFonts w:ascii="Tahoma" w:hAnsi="Tahoma" w:cs="Tahoma"/>
          <w:sz w:val="22"/>
          <w:szCs w:val="22"/>
        </w:rPr>
        <w:t>el pago de los intereses moratorios de que trata el artículo 141 de la Ley 100 de 1993</w:t>
      </w:r>
      <w:r w:rsidR="006A41E6">
        <w:rPr>
          <w:rFonts w:ascii="Tahoma" w:hAnsi="Tahoma" w:cs="Tahoma"/>
          <w:sz w:val="22"/>
          <w:szCs w:val="22"/>
        </w:rPr>
        <w:t xml:space="preserve"> y </w:t>
      </w:r>
      <w:r w:rsidR="00A52FB6">
        <w:rPr>
          <w:rFonts w:ascii="Tahoma" w:hAnsi="Tahoma" w:cs="Tahoma"/>
          <w:sz w:val="22"/>
          <w:szCs w:val="22"/>
        </w:rPr>
        <w:t xml:space="preserve">que </w:t>
      </w:r>
      <w:r w:rsidR="006A41E6">
        <w:rPr>
          <w:rFonts w:ascii="Tahoma" w:hAnsi="Tahoma" w:cs="Tahoma"/>
          <w:sz w:val="22"/>
          <w:szCs w:val="22"/>
        </w:rPr>
        <w:t xml:space="preserve">el 19 de septiembre del mismo año </w:t>
      </w:r>
      <w:r w:rsidR="002A7835">
        <w:rPr>
          <w:rFonts w:ascii="Tahoma" w:hAnsi="Tahoma" w:cs="Tahoma"/>
          <w:sz w:val="22"/>
          <w:szCs w:val="22"/>
        </w:rPr>
        <w:t xml:space="preserve"> </w:t>
      </w:r>
      <w:r w:rsidR="006A41E6">
        <w:rPr>
          <w:rFonts w:ascii="Tahoma" w:hAnsi="Tahoma" w:cs="Tahoma"/>
          <w:sz w:val="22"/>
          <w:szCs w:val="22"/>
        </w:rPr>
        <w:t xml:space="preserve">requirió </w:t>
      </w:r>
      <w:r w:rsidR="00A52FB6">
        <w:rPr>
          <w:rFonts w:ascii="Tahoma" w:hAnsi="Tahoma" w:cs="Tahoma"/>
          <w:sz w:val="22"/>
          <w:szCs w:val="22"/>
        </w:rPr>
        <w:t xml:space="preserve">a dicha entidad </w:t>
      </w:r>
      <w:r w:rsidR="002A7835">
        <w:rPr>
          <w:rFonts w:ascii="Tahoma" w:hAnsi="Tahoma" w:cs="Tahoma"/>
          <w:sz w:val="22"/>
          <w:szCs w:val="22"/>
        </w:rPr>
        <w:t xml:space="preserve">para </w:t>
      </w:r>
      <w:r w:rsidR="006A41E6">
        <w:rPr>
          <w:rFonts w:ascii="Tahoma" w:hAnsi="Tahoma" w:cs="Tahoma"/>
          <w:sz w:val="22"/>
          <w:szCs w:val="22"/>
        </w:rPr>
        <w:t>que le cancelara el retroactivo causado entre el 1º de agosto de 2009 y el 1º de diciembre de 2011</w:t>
      </w:r>
      <w:r w:rsidR="002A7835">
        <w:rPr>
          <w:rFonts w:ascii="Tahoma" w:hAnsi="Tahoma" w:cs="Tahoma"/>
          <w:sz w:val="22"/>
          <w:szCs w:val="22"/>
        </w:rPr>
        <w:t>, sin que a la fecha de presentación de la demanda hubiera obtenido respuesta por par</w:t>
      </w:r>
      <w:r w:rsidR="00D64DC3">
        <w:rPr>
          <w:rFonts w:ascii="Tahoma" w:hAnsi="Tahoma" w:cs="Tahoma"/>
          <w:sz w:val="22"/>
          <w:szCs w:val="22"/>
        </w:rPr>
        <w:t>t</w:t>
      </w:r>
      <w:r w:rsidR="002A7835">
        <w:rPr>
          <w:rFonts w:ascii="Tahoma" w:hAnsi="Tahoma" w:cs="Tahoma"/>
          <w:sz w:val="22"/>
          <w:szCs w:val="22"/>
        </w:rPr>
        <w:t xml:space="preserve">e </w:t>
      </w:r>
      <w:r w:rsidR="00A52FB6">
        <w:rPr>
          <w:rFonts w:ascii="Tahoma" w:hAnsi="Tahoma" w:cs="Tahoma"/>
          <w:sz w:val="22"/>
          <w:szCs w:val="22"/>
        </w:rPr>
        <w:t>aquella</w:t>
      </w:r>
      <w:r w:rsidR="004347CA">
        <w:rPr>
          <w:rFonts w:ascii="Tahoma" w:hAnsi="Tahoma" w:cs="Tahoma"/>
          <w:sz w:val="22"/>
          <w:szCs w:val="22"/>
        </w:rPr>
        <w:t>.</w:t>
      </w:r>
      <w:r>
        <w:rPr>
          <w:rFonts w:ascii="Tahoma" w:hAnsi="Tahoma" w:cs="Tahoma"/>
          <w:sz w:val="22"/>
          <w:szCs w:val="22"/>
        </w:rPr>
        <w:t xml:space="preserve"> </w:t>
      </w:r>
    </w:p>
    <w:p w:rsidR="00AA1037" w:rsidRDefault="00AA1037" w:rsidP="0091018E">
      <w:pPr>
        <w:widowControl w:val="0"/>
        <w:autoSpaceDE w:val="0"/>
        <w:autoSpaceDN w:val="0"/>
        <w:adjustRightInd w:val="0"/>
        <w:spacing w:line="276" w:lineRule="auto"/>
        <w:ind w:firstLine="708"/>
        <w:jc w:val="both"/>
        <w:rPr>
          <w:rFonts w:ascii="Tahoma" w:hAnsi="Tahoma" w:cs="Tahoma"/>
          <w:sz w:val="22"/>
          <w:szCs w:val="22"/>
        </w:rPr>
      </w:pPr>
    </w:p>
    <w:p w:rsidR="00AA1037" w:rsidRDefault="00AA1037"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indicó que el 11 de febrero de 2015 la empresa UNE expidió certificado laboral en el que indica que ella estuvo vinculada hasta el 15 de febrero de 2012, pero se le efectuaron aportes para pensión hasta el mes de julio de 2009.</w:t>
      </w:r>
    </w:p>
    <w:p w:rsidR="00402C0E" w:rsidRDefault="00402C0E" w:rsidP="00795283">
      <w:pPr>
        <w:widowControl w:val="0"/>
        <w:autoSpaceDE w:val="0"/>
        <w:autoSpaceDN w:val="0"/>
        <w:adjustRightInd w:val="0"/>
        <w:ind w:firstLine="708"/>
        <w:jc w:val="both"/>
        <w:rPr>
          <w:rFonts w:ascii="Tahoma" w:hAnsi="Tahoma" w:cs="Tahoma"/>
          <w:sz w:val="22"/>
          <w:szCs w:val="22"/>
        </w:rPr>
      </w:pPr>
    </w:p>
    <w:p w:rsidR="0058746D" w:rsidRDefault="004C5151" w:rsidP="008C76A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 xml:space="preserve">de la demanda, salvo </w:t>
      </w:r>
      <w:r w:rsidR="0058746D">
        <w:rPr>
          <w:rFonts w:ascii="Tahoma" w:hAnsi="Tahoma" w:cs="Tahoma"/>
          <w:sz w:val="22"/>
          <w:szCs w:val="22"/>
        </w:rPr>
        <w:t xml:space="preserve">los relacionados con la edad de la </w:t>
      </w:r>
      <w:r w:rsidR="000935EE">
        <w:rPr>
          <w:rFonts w:ascii="Tahoma" w:hAnsi="Tahoma" w:cs="Tahoma"/>
          <w:sz w:val="22"/>
          <w:szCs w:val="22"/>
        </w:rPr>
        <w:t>señora Ríos</w:t>
      </w:r>
      <w:r w:rsidR="0058746D">
        <w:rPr>
          <w:rFonts w:ascii="Tahoma" w:hAnsi="Tahoma" w:cs="Tahoma"/>
          <w:sz w:val="22"/>
          <w:szCs w:val="22"/>
        </w:rPr>
        <w:t>; que e</w:t>
      </w:r>
      <w:r w:rsidR="00B871BD">
        <w:rPr>
          <w:rFonts w:ascii="Tahoma" w:hAnsi="Tahoma" w:cs="Tahoma"/>
          <w:sz w:val="22"/>
          <w:szCs w:val="22"/>
        </w:rPr>
        <w:t>sta</w:t>
      </w:r>
      <w:r w:rsidR="0058746D">
        <w:rPr>
          <w:rFonts w:ascii="Tahoma" w:hAnsi="Tahoma" w:cs="Tahoma"/>
          <w:sz w:val="22"/>
          <w:szCs w:val="22"/>
        </w:rPr>
        <w:t xml:space="preserve"> hizo su última cotización el 31 de julio de 2009 a través del empleador Telecomu</w:t>
      </w:r>
      <w:r w:rsidR="004848CB">
        <w:rPr>
          <w:rFonts w:ascii="Tahoma" w:hAnsi="Tahoma" w:cs="Tahoma"/>
          <w:sz w:val="22"/>
          <w:szCs w:val="22"/>
        </w:rPr>
        <w:t>n</w:t>
      </w:r>
      <w:r w:rsidR="0058746D">
        <w:rPr>
          <w:rFonts w:ascii="Tahoma" w:hAnsi="Tahoma" w:cs="Tahoma"/>
          <w:sz w:val="22"/>
          <w:szCs w:val="22"/>
        </w:rPr>
        <w:t xml:space="preserve">icaciones y que </w:t>
      </w:r>
      <w:r w:rsidR="00B871BD">
        <w:rPr>
          <w:rFonts w:ascii="Tahoma" w:hAnsi="Tahoma" w:cs="Tahoma"/>
          <w:sz w:val="22"/>
          <w:szCs w:val="22"/>
        </w:rPr>
        <w:t xml:space="preserve">dicha entidad </w:t>
      </w:r>
      <w:r w:rsidR="0058746D">
        <w:rPr>
          <w:rFonts w:ascii="Tahoma" w:hAnsi="Tahoma" w:cs="Tahoma"/>
          <w:sz w:val="22"/>
          <w:szCs w:val="22"/>
        </w:rPr>
        <w:t xml:space="preserve">no ha dado respuesta a las reclamaciones presentadas en el año 2014, respecto de los cuales manifestó que no le constaban o que no eran ciertos. </w:t>
      </w:r>
    </w:p>
    <w:p w:rsidR="0058746D" w:rsidRDefault="0058746D" w:rsidP="008C76AE">
      <w:pPr>
        <w:widowControl w:val="0"/>
        <w:autoSpaceDE w:val="0"/>
        <w:autoSpaceDN w:val="0"/>
        <w:adjustRightInd w:val="0"/>
        <w:spacing w:line="276" w:lineRule="auto"/>
        <w:ind w:firstLine="708"/>
        <w:jc w:val="both"/>
        <w:rPr>
          <w:rFonts w:ascii="Tahoma" w:hAnsi="Tahoma" w:cs="Tahoma"/>
          <w:sz w:val="22"/>
          <w:szCs w:val="22"/>
        </w:rPr>
      </w:pPr>
    </w:p>
    <w:p w:rsidR="004848CB" w:rsidRDefault="004848CB" w:rsidP="008C76A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que denominó “Estricto cumplimiento de los mandatos legales”; “Inexistencia de la obligación” y “Prescripción”.</w:t>
      </w:r>
    </w:p>
    <w:p w:rsidR="004848CB" w:rsidRDefault="004848CB" w:rsidP="008C76AE">
      <w:pPr>
        <w:widowControl w:val="0"/>
        <w:autoSpaceDE w:val="0"/>
        <w:autoSpaceDN w:val="0"/>
        <w:adjustRightInd w:val="0"/>
        <w:spacing w:line="276" w:lineRule="auto"/>
        <w:ind w:firstLine="708"/>
        <w:jc w:val="both"/>
        <w:rPr>
          <w:rFonts w:ascii="Tahoma" w:hAnsi="Tahoma" w:cs="Tahoma"/>
          <w:sz w:val="22"/>
          <w:szCs w:val="22"/>
        </w:rPr>
      </w:pPr>
    </w:p>
    <w:p w:rsidR="002819FE" w:rsidRDefault="002819FE" w:rsidP="00F9173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del conocimiento, a solicitud de Colpensiones, ordenó la vinculación </w:t>
      </w:r>
      <w:r w:rsidR="00F91733">
        <w:rPr>
          <w:rFonts w:ascii="Tahoma" w:hAnsi="Tahoma" w:cs="Tahoma"/>
          <w:sz w:val="22"/>
          <w:szCs w:val="22"/>
        </w:rPr>
        <w:t>-</w:t>
      </w:r>
      <w:r w:rsidR="00847A45">
        <w:rPr>
          <w:rFonts w:ascii="Tahoma" w:hAnsi="Tahoma" w:cs="Tahoma"/>
          <w:sz w:val="22"/>
          <w:szCs w:val="22"/>
        </w:rPr>
        <w:t xml:space="preserve">como </w:t>
      </w:r>
      <w:proofErr w:type="spellStart"/>
      <w:r w:rsidR="00847A45" w:rsidRPr="00F91733">
        <w:rPr>
          <w:rFonts w:ascii="Tahoma" w:hAnsi="Tahoma" w:cs="Tahoma"/>
          <w:i/>
          <w:sz w:val="22"/>
          <w:szCs w:val="22"/>
        </w:rPr>
        <w:t>litis</w:t>
      </w:r>
      <w:proofErr w:type="spellEnd"/>
      <w:r w:rsidR="00847A45" w:rsidRPr="00F91733">
        <w:rPr>
          <w:rFonts w:ascii="Tahoma" w:hAnsi="Tahoma" w:cs="Tahoma"/>
          <w:i/>
          <w:sz w:val="22"/>
          <w:szCs w:val="22"/>
        </w:rPr>
        <w:t xml:space="preserve"> consorte necesario</w:t>
      </w:r>
      <w:r w:rsidR="00F91733">
        <w:rPr>
          <w:rFonts w:ascii="Tahoma" w:hAnsi="Tahoma" w:cs="Tahoma"/>
          <w:i/>
          <w:sz w:val="22"/>
          <w:szCs w:val="22"/>
        </w:rPr>
        <w:t>-</w:t>
      </w:r>
      <w:r w:rsidR="00847A45">
        <w:rPr>
          <w:rFonts w:ascii="Tahoma" w:hAnsi="Tahoma" w:cs="Tahoma"/>
          <w:sz w:val="22"/>
          <w:szCs w:val="22"/>
        </w:rPr>
        <w:t xml:space="preserve"> </w:t>
      </w:r>
      <w:r>
        <w:rPr>
          <w:rFonts w:ascii="Tahoma" w:hAnsi="Tahoma" w:cs="Tahoma"/>
          <w:sz w:val="22"/>
          <w:szCs w:val="22"/>
        </w:rPr>
        <w:t>del Municipio de Pereira</w:t>
      </w:r>
      <w:r w:rsidR="00847A45">
        <w:rPr>
          <w:rFonts w:ascii="Tahoma" w:hAnsi="Tahoma" w:cs="Tahoma"/>
          <w:sz w:val="22"/>
          <w:szCs w:val="22"/>
        </w:rPr>
        <w:t xml:space="preserve">, ente que se opuso a las pretensiones </w:t>
      </w:r>
      <w:r w:rsidR="00A52FB6">
        <w:rPr>
          <w:rFonts w:ascii="Tahoma" w:hAnsi="Tahoma" w:cs="Tahoma"/>
          <w:sz w:val="22"/>
          <w:szCs w:val="22"/>
        </w:rPr>
        <w:t>que eventualmente estuvieran dirigidas en su contra</w:t>
      </w:r>
      <w:r w:rsidR="00847A45">
        <w:rPr>
          <w:rFonts w:ascii="Tahoma" w:hAnsi="Tahoma" w:cs="Tahoma"/>
          <w:sz w:val="22"/>
          <w:szCs w:val="22"/>
        </w:rPr>
        <w:t xml:space="preserve"> y que </w:t>
      </w:r>
      <w:r w:rsidR="00741F8B">
        <w:rPr>
          <w:rFonts w:ascii="Tahoma" w:hAnsi="Tahoma" w:cs="Tahoma"/>
          <w:sz w:val="22"/>
          <w:szCs w:val="22"/>
        </w:rPr>
        <w:t>propuso las excepciones “Genérica”, “Falta de legitimación en la causa por pasiva” y “Prescripción”.</w:t>
      </w:r>
    </w:p>
    <w:p w:rsidR="00644D88" w:rsidRDefault="00644D88" w:rsidP="00F91733">
      <w:pPr>
        <w:widowControl w:val="0"/>
        <w:autoSpaceDE w:val="0"/>
        <w:autoSpaceDN w:val="0"/>
        <w:adjustRightInd w:val="0"/>
        <w:ind w:firstLine="708"/>
        <w:jc w:val="both"/>
        <w:rPr>
          <w:rFonts w:ascii="Tahoma" w:hAnsi="Tahoma" w:cs="Tahoma"/>
          <w:sz w:val="22"/>
          <w:szCs w:val="22"/>
        </w:rPr>
      </w:pPr>
    </w:p>
    <w:p w:rsidR="003A3BBB" w:rsidRPr="00EA3EFB" w:rsidRDefault="003A3BBB" w:rsidP="00F91733">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F91733">
      <w:pPr>
        <w:pStyle w:val="Sinespaciado"/>
        <w:rPr>
          <w:sz w:val="22"/>
          <w:szCs w:val="22"/>
        </w:rPr>
      </w:pPr>
    </w:p>
    <w:p w:rsidR="003A3FDF" w:rsidRDefault="00DD1394" w:rsidP="00F9173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3A3FDF">
        <w:rPr>
          <w:rFonts w:ascii="Tahoma" w:hAnsi="Tahoma" w:cs="Tahoma"/>
          <w:sz w:val="22"/>
          <w:szCs w:val="22"/>
        </w:rPr>
        <w:t xml:space="preserve">no probadas las excepciones propuestas por las demandadas y determinó que la señora María Esperanza Ríos tiene derecho a que Colpensiones le reconozca la pensión de vejez desde el 1º de agosto de 2009, con una mesada pensional de </w:t>
      </w:r>
      <w:r w:rsidR="003A3FDF" w:rsidRPr="007E78E7">
        <w:rPr>
          <w:rFonts w:ascii="Tahoma" w:hAnsi="Tahoma" w:cs="Tahoma"/>
          <w:sz w:val="22"/>
          <w:szCs w:val="22"/>
          <w:u w:val="single"/>
        </w:rPr>
        <w:t>$1.759.198</w:t>
      </w:r>
      <w:r w:rsidR="003A3FDF">
        <w:rPr>
          <w:rFonts w:ascii="Tahoma" w:hAnsi="Tahoma" w:cs="Tahoma"/>
          <w:sz w:val="22"/>
          <w:szCs w:val="22"/>
        </w:rPr>
        <w:t>.</w:t>
      </w:r>
      <w:r w:rsidR="00A52FB6">
        <w:rPr>
          <w:rFonts w:ascii="Tahoma" w:hAnsi="Tahoma" w:cs="Tahoma"/>
          <w:sz w:val="22"/>
          <w:szCs w:val="22"/>
        </w:rPr>
        <w:t xml:space="preserve"> </w:t>
      </w:r>
      <w:r w:rsidR="003A3FDF">
        <w:rPr>
          <w:rFonts w:ascii="Tahoma" w:hAnsi="Tahoma" w:cs="Tahoma"/>
          <w:sz w:val="22"/>
          <w:szCs w:val="22"/>
        </w:rPr>
        <w:t xml:space="preserve">Como </w:t>
      </w:r>
      <w:r w:rsidR="003A3FDF">
        <w:rPr>
          <w:rFonts w:ascii="Tahoma" w:hAnsi="Tahoma" w:cs="Tahoma"/>
          <w:sz w:val="22"/>
          <w:szCs w:val="22"/>
        </w:rPr>
        <w:lastRenderedPageBreak/>
        <w:t xml:space="preserve">consecuencia de lo anterior, condenó a Colpensiones a cancelar </w:t>
      </w:r>
      <w:r w:rsidR="00A52FB6">
        <w:rPr>
          <w:rFonts w:ascii="Tahoma" w:hAnsi="Tahoma" w:cs="Tahoma"/>
          <w:sz w:val="22"/>
          <w:szCs w:val="22"/>
        </w:rPr>
        <w:t xml:space="preserve">la suma de </w:t>
      </w:r>
      <w:r w:rsidR="003A3FDF" w:rsidRPr="0096726E">
        <w:rPr>
          <w:rFonts w:ascii="Tahoma" w:hAnsi="Tahoma" w:cs="Tahoma"/>
          <w:sz w:val="22"/>
          <w:szCs w:val="22"/>
          <w:u w:val="single"/>
        </w:rPr>
        <w:t>$52.487.099</w:t>
      </w:r>
      <w:r w:rsidR="003A3FDF">
        <w:rPr>
          <w:rFonts w:ascii="Tahoma" w:hAnsi="Tahoma" w:cs="Tahoma"/>
          <w:sz w:val="22"/>
          <w:szCs w:val="22"/>
        </w:rPr>
        <w:t xml:space="preserve"> por concepto de retroactivo pensional</w:t>
      </w:r>
      <w:r w:rsidR="004826F7">
        <w:rPr>
          <w:rFonts w:ascii="Tahoma" w:hAnsi="Tahoma" w:cs="Tahoma"/>
          <w:sz w:val="22"/>
          <w:szCs w:val="22"/>
        </w:rPr>
        <w:t>,</w:t>
      </w:r>
      <w:r w:rsidR="003A3FDF">
        <w:rPr>
          <w:rFonts w:ascii="Tahoma" w:hAnsi="Tahoma" w:cs="Tahoma"/>
          <w:sz w:val="22"/>
          <w:szCs w:val="22"/>
        </w:rPr>
        <w:t xml:space="preserve"> causado desde la aludida calenda hasta el 30 de noviembre de 2011</w:t>
      </w:r>
      <w:r w:rsidR="00A52FB6">
        <w:rPr>
          <w:rFonts w:ascii="Tahoma" w:hAnsi="Tahoma" w:cs="Tahoma"/>
          <w:sz w:val="22"/>
          <w:szCs w:val="22"/>
        </w:rPr>
        <w:t>,</w:t>
      </w:r>
      <w:r w:rsidR="004826F7">
        <w:rPr>
          <w:rFonts w:ascii="Tahoma" w:hAnsi="Tahoma" w:cs="Tahoma"/>
          <w:sz w:val="22"/>
          <w:szCs w:val="22"/>
        </w:rPr>
        <w:t xml:space="preserve"> y al pago de </w:t>
      </w:r>
      <w:r w:rsidR="0096726E" w:rsidRPr="0096726E">
        <w:rPr>
          <w:rFonts w:ascii="Tahoma" w:hAnsi="Tahoma" w:cs="Tahoma"/>
          <w:sz w:val="22"/>
          <w:szCs w:val="22"/>
          <w:u w:val="single"/>
        </w:rPr>
        <w:t>$14.212.983</w:t>
      </w:r>
      <w:r w:rsidR="0096726E">
        <w:rPr>
          <w:rFonts w:ascii="Tahoma" w:hAnsi="Tahoma" w:cs="Tahoma"/>
          <w:sz w:val="22"/>
          <w:szCs w:val="22"/>
        </w:rPr>
        <w:t xml:space="preserve"> de </w:t>
      </w:r>
      <w:r w:rsidR="004826F7">
        <w:rPr>
          <w:rFonts w:ascii="Tahoma" w:hAnsi="Tahoma" w:cs="Tahoma"/>
          <w:sz w:val="22"/>
          <w:szCs w:val="22"/>
        </w:rPr>
        <w:t xml:space="preserve">intereses moratorios causados entre el 10 de enero de 2010 y el </w:t>
      </w:r>
      <w:r w:rsidR="00671DDA">
        <w:rPr>
          <w:rFonts w:ascii="Tahoma" w:hAnsi="Tahoma" w:cs="Tahoma"/>
          <w:sz w:val="22"/>
          <w:szCs w:val="22"/>
        </w:rPr>
        <w:t>30 de noviembre de 2011</w:t>
      </w:r>
      <w:r w:rsidR="00A52FB6">
        <w:rPr>
          <w:rFonts w:ascii="Tahoma" w:hAnsi="Tahoma" w:cs="Tahoma"/>
          <w:sz w:val="22"/>
          <w:szCs w:val="22"/>
        </w:rPr>
        <w:t>,</w:t>
      </w:r>
      <w:r w:rsidR="004826F7">
        <w:rPr>
          <w:rFonts w:ascii="Tahoma" w:hAnsi="Tahoma" w:cs="Tahoma"/>
          <w:sz w:val="22"/>
          <w:szCs w:val="22"/>
        </w:rPr>
        <w:t xml:space="preserve"> debiendo modificar la Resolución 07172 del 15 de noviembre de 2011.</w:t>
      </w:r>
    </w:p>
    <w:p w:rsidR="00B24852" w:rsidRDefault="004826F7"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autorizó a Colpensiones a que descontara del retroactivo reconocido el porcentaje por concepto de aportes al sistema de seguridad social en salud</w:t>
      </w:r>
      <w:r w:rsidR="00B24852">
        <w:rPr>
          <w:rFonts w:ascii="Tahoma" w:hAnsi="Tahoma" w:cs="Tahoma"/>
          <w:sz w:val="22"/>
          <w:szCs w:val="22"/>
        </w:rPr>
        <w:t>, y para que recobrara ante el Municipio de Pereira el porcentaje que a esa entidad le correspondiera asumir del retroactivo pensional.</w:t>
      </w:r>
    </w:p>
    <w:p w:rsidR="00B24852" w:rsidRDefault="00B24852" w:rsidP="00E41882">
      <w:pPr>
        <w:widowControl w:val="0"/>
        <w:autoSpaceDE w:val="0"/>
        <w:autoSpaceDN w:val="0"/>
        <w:adjustRightInd w:val="0"/>
        <w:spacing w:line="276" w:lineRule="auto"/>
        <w:ind w:firstLine="708"/>
        <w:jc w:val="both"/>
        <w:rPr>
          <w:rFonts w:ascii="Tahoma" w:hAnsi="Tahoma" w:cs="Tahoma"/>
          <w:sz w:val="22"/>
          <w:szCs w:val="22"/>
        </w:rPr>
      </w:pPr>
    </w:p>
    <w:p w:rsidR="004826F7" w:rsidRDefault="00B24852"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negó las demás pretensiones de la demanda; condenó en costas procesales a Colpensiones a favor de la demandante y se abstuvo de imponer costas a cargo del Municipio de Pereira. </w:t>
      </w:r>
    </w:p>
    <w:p w:rsidR="00941914" w:rsidRDefault="00941914" w:rsidP="00E41882">
      <w:pPr>
        <w:widowControl w:val="0"/>
        <w:autoSpaceDE w:val="0"/>
        <w:autoSpaceDN w:val="0"/>
        <w:adjustRightInd w:val="0"/>
        <w:spacing w:line="276" w:lineRule="auto"/>
        <w:ind w:firstLine="708"/>
        <w:jc w:val="both"/>
        <w:rPr>
          <w:rFonts w:ascii="Tahoma" w:hAnsi="Tahoma" w:cs="Tahoma"/>
          <w:sz w:val="22"/>
          <w:szCs w:val="22"/>
        </w:rPr>
      </w:pPr>
    </w:p>
    <w:p w:rsidR="001410C3" w:rsidRPr="00905838" w:rsidRDefault="00941914" w:rsidP="001410C3">
      <w:pPr>
        <w:widowControl w:val="0"/>
        <w:autoSpaceDE w:val="0"/>
        <w:autoSpaceDN w:val="0"/>
        <w:adjustRightInd w:val="0"/>
        <w:spacing w:line="276" w:lineRule="auto"/>
        <w:ind w:firstLine="708"/>
        <w:jc w:val="both"/>
        <w:rPr>
          <w:rFonts w:ascii="Tahoma" w:hAnsi="Tahoma" w:cs="Tahoma"/>
          <w:sz w:val="22"/>
          <w:szCs w:val="22"/>
        </w:rPr>
      </w:pPr>
      <w:r w:rsidRPr="00724299">
        <w:rPr>
          <w:rFonts w:ascii="Tahoma" w:hAnsi="Tahoma" w:cs="Tahoma"/>
          <w:sz w:val="22"/>
          <w:szCs w:val="22"/>
        </w:rPr>
        <w:t>Para llegar a tal determinación la A-quo consideró, en síntesis, qu</w:t>
      </w:r>
      <w:r w:rsidR="001410C3" w:rsidRPr="00724299">
        <w:rPr>
          <w:rFonts w:ascii="Tahoma" w:hAnsi="Tahoma" w:cs="Tahoma"/>
          <w:sz w:val="22"/>
          <w:szCs w:val="22"/>
        </w:rPr>
        <w:t xml:space="preserve">e se encontraba demostrado que </w:t>
      </w:r>
      <w:r w:rsidR="00291A2F" w:rsidRPr="00724299">
        <w:rPr>
          <w:rFonts w:ascii="Tahoma" w:hAnsi="Tahoma" w:cs="Tahoma"/>
          <w:sz w:val="22"/>
          <w:szCs w:val="22"/>
        </w:rPr>
        <w:t>la</w:t>
      </w:r>
      <w:r w:rsidR="001410C3" w:rsidRPr="00724299">
        <w:rPr>
          <w:rFonts w:ascii="Tahoma" w:hAnsi="Tahoma" w:cs="Tahoma"/>
          <w:sz w:val="22"/>
          <w:szCs w:val="22"/>
        </w:rPr>
        <w:t xml:space="preserve"> demandante dejó de cotizar el 3</w:t>
      </w:r>
      <w:r w:rsidR="001A5C23">
        <w:rPr>
          <w:rFonts w:ascii="Tahoma" w:hAnsi="Tahoma" w:cs="Tahoma"/>
          <w:sz w:val="22"/>
          <w:szCs w:val="22"/>
        </w:rPr>
        <w:t>1</w:t>
      </w:r>
      <w:r w:rsidR="001410C3" w:rsidRPr="00724299">
        <w:rPr>
          <w:rFonts w:ascii="Tahoma" w:hAnsi="Tahoma" w:cs="Tahoma"/>
          <w:sz w:val="22"/>
          <w:szCs w:val="22"/>
        </w:rPr>
        <w:t xml:space="preserve"> de </w:t>
      </w:r>
      <w:r w:rsidR="001A5C23">
        <w:rPr>
          <w:rFonts w:ascii="Tahoma" w:hAnsi="Tahoma" w:cs="Tahoma"/>
          <w:sz w:val="22"/>
          <w:szCs w:val="22"/>
        </w:rPr>
        <w:t xml:space="preserve">julio </w:t>
      </w:r>
      <w:r w:rsidR="001410C3" w:rsidRPr="00724299">
        <w:rPr>
          <w:rFonts w:ascii="Tahoma" w:hAnsi="Tahoma" w:cs="Tahoma"/>
          <w:sz w:val="22"/>
          <w:szCs w:val="22"/>
        </w:rPr>
        <w:t>de 20</w:t>
      </w:r>
      <w:r w:rsidR="001A5C23">
        <w:rPr>
          <w:rFonts w:ascii="Tahoma" w:hAnsi="Tahoma" w:cs="Tahoma"/>
          <w:sz w:val="22"/>
          <w:szCs w:val="22"/>
        </w:rPr>
        <w:t>09</w:t>
      </w:r>
      <w:r w:rsidR="001410C3" w:rsidRPr="00724299">
        <w:rPr>
          <w:rFonts w:ascii="Tahoma" w:hAnsi="Tahoma" w:cs="Tahoma"/>
          <w:sz w:val="22"/>
          <w:szCs w:val="22"/>
        </w:rPr>
        <w:t xml:space="preserve">, cuando contaba con </w:t>
      </w:r>
      <w:r w:rsidR="00392F6F" w:rsidRPr="00724299">
        <w:rPr>
          <w:rFonts w:ascii="Tahoma" w:hAnsi="Tahoma" w:cs="Tahoma"/>
          <w:sz w:val="22"/>
          <w:szCs w:val="22"/>
        </w:rPr>
        <w:t>55 años de edad</w:t>
      </w:r>
      <w:r w:rsidR="00392F6F">
        <w:rPr>
          <w:rFonts w:ascii="Tahoma" w:hAnsi="Tahoma" w:cs="Tahoma"/>
          <w:sz w:val="22"/>
          <w:szCs w:val="22"/>
        </w:rPr>
        <w:t xml:space="preserve"> y las </w:t>
      </w:r>
      <w:r w:rsidR="001410C3" w:rsidRPr="00724299">
        <w:rPr>
          <w:rFonts w:ascii="Tahoma" w:hAnsi="Tahoma" w:cs="Tahoma"/>
          <w:sz w:val="22"/>
          <w:szCs w:val="22"/>
        </w:rPr>
        <w:t xml:space="preserve"> semanas </w:t>
      </w:r>
      <w:r w:rsidR="00392F6F">
        <w:rPr>
          <w:rFonts w:ascii="Tahoma" w:hAnsi="Tahoma" w:cs="Tahoma"/>
          <w:sz w:val="22"/>
          <w:szCs w:val="22"/>
        </w:rPr>
        <w:t>exigidas por el artículo 33 de la Ley 100 de 1993, modificado por el artículo 9º de la Ley 797 de 2003</w:t>
      </w:r>
      <w:r w:rsidR="00893843">
        <w:rPr>
          <w:rFonts w:ascii="Tahoma" w:hAnsi="Tahoma" w:cs="Tahoma"/>
          <w:sz w:val="22"/>
          <w:szCs w:val="22"/>
        </w:rPr>
        <w:t>;</w:t>
      </w:r>
      <w:r w:rsidR="00392F6F">
        <w:rPr>
          <w:rFonts w:ascii="Tahoma" w:hAnsi="Tahoma" w:cs="Tahoma"/>
          <w:sz w:val="22"/>
          <w:szCs w:val="22"/>
        </w:rPr>
        <w:t xml:space="preserve"> </w:t>
      </w:r>
      <w:r w:rsidR="001410C3" w:rsidRPr="00724299">
        <w:rPr>
          <w:rFonts w:ascii="Tahoma" w:hAnsi="Tahoma" w:cs="Tahoma"/>
          <w:sz w:val="22"/>
          <w:szCs w:val="22"/>
        </w:rPr>
        <w:t xml:space="preserve">por </w:t>
      </w:r>
      <w:r w:rsidR="001410C3" w:rsidRPr="00905838">
        <w:rPr>
          <w:rFonts w:ascii="Tahoma" w:hAnsi="Tahoma" w:cs="Tahoma"/>
          <w:sz w:val="22"/>
          <w:szCs w:val="22"/>
        </w:rPr>
        <w:t xml:space="preserve">lo que la pensión debió reconocerse desde el </w:t>
      </w:r>
      <w:r w:rsidR="001410C3">
        <w:rPr>
          <w:rFonts w:ascii="Tahoma" w:hAnsi="Tahoma" w:cs="Tahoma"/>
          <w:sz w:val="22"/>
          <w:szCs w:val="22"/>
        </w:rPr>
        <w:t xml:space="preserve">día siguiente a aquel en que realizó su última cotización, </w:t>
      </w:r>
      <w:r w:rsidR="001410C3" w:rsidRPr="00905838">
        <w:rPr>
          <w:rFonts w:ascii="Tahoma" w:hAnsi="Tahoma" w:cs="Tahoma"/>
          <w:sz w:val="22"/>
          <w:szCs w:val="22"/>
        </w:rPr>
        <w:t xml:space="preserve">tal como se </w:t>
      </w:r>
      <w:r w:rsidR="00893843">
        <w:rPr>
          <w:rFonts w:ascii="Tahoma" w:hAnsi="Tahoma" w:cs="Tahoma"/>
          <w:sz w:val="22"/>
          <w:szCs w:val="22"/>
        </w:rPr>
        <w:t xml:space="preserve">pidió </w:t>
      </w:r>
      <w:r w:rsidR="001410C3" w:rsidRPr="00905838">
        <w:rPr>
          <w:rFonts w:ascii="Tahoma" w:hAnsi="Tahoma" w:cs="Tahoma"/>
          <w:sz w:val="22"/>
          <w:szCs w:val="22"/>
        </w:rPr>
        <w:t>en la demanda.</w:t>
      </w:r>
    </w:p>
    <w:p w:rsidR="001410C3" w:rsidRPr="00905838" w:rsidRDefault="001410C3" w:rsidP="001410C3">
      <w:pPr>
        <w:tabs>
          <w:tab w:val="left" w:pos="748"/>
        </w:tabs>
        <w:jc w:val="both"/>
        <w:rPr>
          <w:rFonts w:ascii="Tahoma" w:hAnsi="Tahoma" w:cs="Tahoma"/>
          <w:sz w:val="22"/>
          <w:szCs w:val="22"/>
        </w:rPr>
      </w:pPr>
    </w:p>
    <w:p w:rsidR="001410C3" w:rsidRPr="00905838" w:rsidRDefault="001410C3" w:rsidP="001410C3">
      <w:pPr>
        <w:tabs>
          <w:tab w:val="left" w:pos="748"/>
        </w:tabs>
        <w:spacing w:line="276" w:lineRule="auto"/>
        <w:jc w:val="both"/>
        <w:rPr>
          <w:rFonts w:ascii="Tahoma" w:hAnsi="Tahoma" w:cs="Tahoma"/>
          <w:sz w:val="22"/>
          <w:szCs w:val="22"/>
        </w:rPr>
      </w:pPr>
      <w:r w:rsidRPr="00905838">
        <w:rPr>
          <w:rFonts w:ascii="Tahoma" w:hAnsi="Tahoma" w:cs="Tahoma"/>
          <w:sz w:val="22"/>
          <w:szCs w:val="22"/>
        </w:rPr>
        <w:tab/>
        <w:t>Así las cosas, procedió a calcular el retroactivo causado entre el 1</w:t>
      </w:r>
      <w:r>
        <w:rPr>
          <w:rFonts w:ascii="Tahoma" w:hAnsi="Tahoma" w:cs="Tahoma"/>
          <w:sz w:val="22"/>
          <w:szCs w:val="22"/>
        </w:rPr>
        <w:t xml:space="preserve">º de </w:t>
      </w:r>
      <w:r w:rsidR="009234D1">
        <w:rPr>
          <w:rFonts w:ascii="Tahoma" w:hAnsi="Tahoma" w:cs="Tahoma"/>
          <w:sz w:val="22"/>
          <w:szCs w:val="22"/>
        </w:rPr>
        <w:t>agosto d</w:t>
      </w:r>
      <w:r>
        <w:rPr>
          <w:rFonts w:ascii="Tahoma" w:hAnsi="Tahoma" w:cs="Tahoma"/>
          <w:sz w:val="22"/>
          <w:szCs w:val="22"/>
        </w:rPr>
        <w:t>e 20</w:t>
      </w:r>
      <w:r w:rsidR="009234D1">
        <w:rPr>
          <w:rFonts w:ascii="Tahoma" w:hAnsi="Tahoma" w:cs="Tahoma"/>
          <w:sz w:val="22"/>
          <w:szCs w:val="22"/>
        </w:rPr>
        <w:t>09</w:t>
      </w:r>
      <w:r w:rsidRPr="00905838">
        <w:rPr>
          <w:rFonts w:ascii="Tahoma" w:hAnsi="Tahoma" w:cs="Tahoma"/>
          <w:sz w:val="22"/>
          <w:szCs w:val="22"/>
        </w:rPr>
        <w:t xml:space="preserve"> y el </w:t>
      </w:r>
      <w:r w:rsidR="009234D1">
        <w:rPr>
          <w:rFonts w:ascii="Tahoma" w:hAnsi="Tahoma" w:cs="Tahoma"/>
          <w:sz w:val="22"/>
          <w:szCs w:val="22"/>
        </w:rPr>
        <w:t>3</w:t>
      </w:r>
      <w:r w:rsidR="00CE07B1">
        <w:rPr>
          <w:rFonts w:ascii="Tahoma" w:hAnsi="Tahoma" w:cs="Tahoma"/>
          <w:sz w:val="22"/>
          <w:szCs w:val="22"/>
        </w:rPr>
        <w:t>0 de noviembre de 2011</w:t>
      </w:r>
      <w:r w:rsidRPr="00905838">
        <w:rPr>
          <w:rFonts w:ascii="Tahoma" w:hAnsi="Tahoma" w:cs="Tahoma"/>
          <w:sz w:val="22"/>
          <w:szCs w:val="22"/>
        </w:rPr>
        <w:t xml:space="preserve">, </w:t>
      </w:r>
      <w:r>
        <w:rPr>
          <w:rFonts w:ascii="Tahoma" w:hAnsi="Tahoma" w:cs="Tahoma"/>
          <w:sz w:val="22"/>
          <w:szCs w:val="22"/>
        </w:rPr>
        <w:t xml:space="preserve">día anterior al reconocimiento de la pensión de vejez, </w:t>
      </w:r>
      <w:r w:rsidRPr="00905838">
        <w:rPr>
          <w:rFonts w:ascii="Tahoma" w:hAnsi="Tahoma" w:cs="Tahoma"/>
          <w:sz w:val="22"/>
          <w:szCs w:val="22"/>
        </w:rPr>
        <w:t xml:space="preserve">con base en el salario </w:t>
      </w:r>
      <w:r>
        <w:rPr>
          <w:rFonts w:ascii="Tahoma" w:hAnsi="Tahoma" w:cs="Tahoma"/>
          <w:sz w:val="22"/>
          <w:szCs w:val="22"/>
        </w:rPr>
        <w:t xml:space="preserve">concedido por la demandada </w:t>
      </w:r>
      <w:r w:rsidRPr="00905838">
        <w:rPr>
          <w:rFonts w:ascii="Tahoma" w:hAnsi="Tahoma" w:cs="Tahoma"/>
          <w:sz w:val="22"/>
          <w:szCs w:val="22"/>
        </w:rPr>
        <w:t>y por 1</w:t>
      </w:r>
      <w:r w:rsidR="00CE07B1">
        <w:rPr>
          <w:rFonts w:ascii="Tahoma" w:hAnsi="Tahoma" w:cs="Tahoma"/>
          <w:sz w:val="22"/>
          <w:szCs w:val="22"/>
        </w:rPr>
        <w:t>4</w:t>
      </w:r>
      <w:r w:rsidRPr="00905838">
        <w:rPr>
          <w:rFonts w:ascii="Tahoma" w:hAnsi="Tahoma" w:cs="Tahoma"/>
          <w:sz w:val="22"/>
          <w:szCs w:val="22"/>
        </w:rPr>
        <w:t xml:space="preserve"> mesadas anuales, el cual estimó en la suma de </w:t>
      </w:r>
      <w:r w:rsidR="00724299" w:rsidRPr="003818BD">
        <w:rPr>
          <w:rFonts w:ascii="Tahoma" w:hAnsi="Tahoma" w:cs="Tahoma"/>
          <w:sz w:val="22"/>
          <w:szCs w:val="22"/>
          <w:u w:val="single"/>
        </w:rPr>
        <w:t>$</w:t>
      </w:r>
      <w:r w:rsidR="00CE07B1" w:rsidRPr="003818BD">
        <w:rPr>
          <w:rFonts w:ascii="Tahoma" w:hAnsi="Tahoma" w:cs="Tahoma"/>
          <w:sz w:val="22"/>
          <w:szCs w:val="22"/>
          <w:u w:val="single"/>
        </w:rPr>
        <w:t>52.487.099</w:t>
      </w:r>
      <w:r w:rsidRPr="00905838">
        <w:rPr>
          <w:rFonts w:ascii="Tahoma" w:hAnsi="Tahoma" w:cs="Tahoma"/>
          <w:sz w:val="22"/>
          <w:szCs w:val="22"/>
        </w:rPr>
        <w:t>.</w:t>
      </w:r>
    </w:p>
    <w:p w:rsidR="001410C3" w:rsidRDefault="001410C3" w:rsidP="001410C3">
      <w:pPr>
        <w:tabs>
          <w:tab w:val="left" w:pos="748"/>
        </w:tabs>
        <w:spacing w:line="276" w:lineRule="auto"/>
        <w:jc w:val="both"/>
        <w:rPr>
          <w:rFonts w:ascii="Tahoma" w:hAnsi="Tahoma" w:cs="Tahoma"/>
          <w:sz w:val="22"/>
          <w:szCs w:val="22"/>
        </w:rPr>
      </w:pPr>
    </w:p>
    <w:p w:rsidR="00CF0DAA" w:rsidRDefault="00CF0DAA" w:rsidP="001410C3">
      <w:pPr>
        <w:tabs>
          <w:tab w:val="left" w:pos="748"/>
        </w:tabs>
        <w:spacing w:line="276" w:lineRule="auto"/>
        <w:jc w:val="both"/>
        <w:rPr>
          <w:rFonts w:ascii="Tahoma" w:hAnsi="Tahoma" w:cs="Tahoma"/>
          <w:sz w:val="22"/>
          <w:szCs w:val="22"/>
        </w:rPr>
      </w:pPr>
      <w:r>
        <w:rPr>
          <w:rFonts w:ascii="Tahoma" w:hAnsi="Tahoma" w:cs="Tahoma"/>
          <w:sz w:val="22"/>
          <w:szCs w:val="22"/>
        </w:rPr>
        <w:tab/>
        <w:t>Aclaró que el retroactivo le correspondía a la demandante y no al Municipio de Pereira por cuanto no se trataba de una pensión compartida</w:t>
      </w:r>
      <w:r w:rsidR="003818BD">
        <w:rPr>
          <w:rFonts w:ascii="Tahoma" w:hAnsi="Tahoma" w:cs="Tahoma"/>
          <w:sz w:val="22"/>
          <w:szCs w:val="22"/>
        </w:rPr>
        <w:t>,</w:t>
      </w:r>
      <w:r>
        <w:rPr>
          <w:rFonts w:ascii="Tahoma" w:hAnsi="Tahoma" w:cs="Tahoma"/>
          <w:sz w:val="22"/>
          <w:szCs w:val="22"/>
        </w:rPr>
        <w:t xml:space="preserve"> donde a dicho ente le hubiera correspondido asumir el mayor valor; por el contrario, aut</w:t>
      </w:r>
      <w:r w:rsidR="003818BD">
        <w:rPr>
          <w:rFonts w:ascii="Tahoma" w:hAnsi="Tahoma" w:cs="Tahoma"/>
          <w:sz w:val="22"/>
          <w:szCs w:val="22"/>
        </w:rPr>
        <w:t xml:space="preserve">orizó a Colpensiones para que </w:t>
      </w:r>
      <w:r>
        <w:rPr>
          <w:rFonts w:ascii="Tahoma" w:hAnsi="Tahoma" w:cs="Tahoma"/>
          <w:sz w:val="22"/>
          <w:szCs w:val="22"/>
        </w:rPr>
        <w:t>recobrara</w:t>
      </w:r>
      <w:r w:rsidR="003818BD">
        <w:rPr>
          <w:rFonts w:ascii="Tahoma" w:hAnsi="Tahoma" w:cs="Tahoma"/>
          <w:sz w:val="22"/>
          <w:szCs w:val="22"/>
        </w:rPr>
        <w:t xml:space="preserve"> a ese ente </w:t>
      </w:r>
      <w:r>
        <w:rPr>
          <w:rFonts w:ascii="Tahoma" w:hAnsi="Tahoma" w:cs="Tahoma"/>
          <w:sz w:val="22"/>
          <w:szCs w:val="22"/>
        </w:rPr>
        <w:t>el monto que le correspondiera asumir del retroactivo reconocido.</w:t>
      </w:r>
    </w:p>
    <w:p w:rsidR="00CF0DAA" w:rsidRDefault="00CF0DAA" w:rsidP="001410C3">
      <w:pPr>
        <w:tabs>
          <w:tab w:val="left" w:pos="748"/>
        </w:tabs>
        <w:spacing w:line="276" w:lineRule="auto"/>
        <w:jc w:val="both"/>
        <w:rPr>
          <w:rFonts w:ascii="Tahoma" w:hAnsi="Tahoma" w:cs="Tahoma"/>
          <w:sz w:val="22"/>
          <w:szCs w:val="22"/>
        </w:rPr>
      </w:pPr>
    </w:p>
    <w:p w:rsidR="00CE07B1" w:rsidRPr="00922FC4" w:rsidRDefault="00CF0DAA" w:rsidP="00CF4F84">
      <w:pPr>
        <w:tabs>
          <w:tab w:val="left" w:pos="748"/>
        </w:tabs>
        <w:spacing w:line="276" w:lineRule="auto"/>
        <w:jc w:val="both"/>
        <w:rPr>
          <w:rFonts w:ascii="Tahoma" w:hAnsi="Tahoma" w:cs="Tahoma"/>
          <w:sz w:val="22"/>
          <w:szCs w:val="22"/>
        </w:rPr>
      </w:pPr>
      <w:r>
        <w:rPr>
          <w:rFonts w:ascii="Tahoma" w:hAnsi="Tahoma" w:cs="Tahoma"/>
          <w:sz w:val="22"/>
          <w:szCs w:val="22"/>
        </w:rPr>
        <w:tab/>
        <w:t xml:space="preserve">Igualmente, autorizó al fondo de pensiones que </w:t>
      </w:r>
      <w:r w:rsidR="00CF4F84">
        <w:rPr>
          <w:rFonts w:ascii="Tahoma" w:hAnsi="Tahoma" w:cs="Tahoma"/>
          <w:sz w:val="22"/>
          <w:szCs w:val="22"/>
        </w:rPr>
        <w:t>descontara del monto a reconocer el 12% para que fuera destinado al sistema de seguridad social en salud, de conformidad con el criterio jurisprudencial  que sobre el tema se ha establecido.</w:t>
      </w:r>
    </w:p>
    <w:p w:rsidR="00724299" w:rsidRPr="00922FC4" w:rsidRDefault="00724299" w:rsidP="00CF4F84">
      <w:pPr>
        <w:tabs>
          <w:tab w:val="left" w:pos="748"/>
        </w:tabs>
        <w:spacing w:line="276" w:lineRule="auto"/>
        <w:jc w:val="both"/>
        <w:rPr>
          <w:rFonts w:ascii="Tahoma" w:hAnsi="Tahoma" w:cs="Tahoma"/>
          <w:sz w:val="22"/>
          <w:szCs w:val="22"/>
        </w:rPr>
      </w:pPr>
    </w:p>
    <w:p w:rsidR="00CD6847" w:rsidRDefault="00CF4F84" w:rsidP="0087587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w:t>
      </w:r>
      <w:r w:rsidRPr="00905838">
        <w:rPr>
          <w:rFonts w:ascii="Tahoma" w:hAnsi="Tahoma" w:cs="Tahoma"/>
          <w:sz w:val="22"/>
          <w:szCs w:val="22"/>
        </w:rPr>
        <w:t>especto de los intereses moratorios</w:t>
      </w:r>
      <w:r>
        <w:rPr>
          <w:rFonts w:ascii="Tahoma" w:hAnsi="Tahoma" w:cs="Tahoma"/>
          <w:sz w:val="22"/>
          <w:szCs w:val="22"/>
        </w:rPr>
        <w:t xml:space="preserve">, </w:t>
      </w:r>
      <w:r w:rsidRPr="00905838">
        <w:rPr>
          <w:rFonts w:ascii="Tahoma" w:hAnsi="Tahoma" w:cs="Tahoma"/>
          <w:sz w:val="22"/>
          <w:szCs w:val="22"/>
        </w:rPr>
        <w:t>señaló que</w:t>
      </w:r>
      <w:r>
        <w:rPr>
          <w:rFonts w:ascii="Tahoma" w:hAnsi="Tahoma" w:cs="Tahoma"/>
          <w:sz w:val="22"/>
          <w:szCs w:val="22"/>
        </w:rPr>
        <w:t xml:space="preserve"> al haberse solicitado la prestación el </w:t>
      </w:r>
      <w:r w:rsidR="0014705B">
        <w:rPr>
          <w:rFonts w:ascii="Tahoma" w:hAnsi="Tahoma" w:cs="Tahoma"/>
          <w:sz w:val="22"/>
          <w:szCs w:val="22"/>
        </w:rPr>
        <w:t>9 de julio de 2009</w:t>
      </w:r>
      <w:r>
        <w:rPr>
          <w:rFonts w:ascii="Tahoma" w:hAnsi="Tahoma" w:cs="Tahoma"/>
          <w:sz w:val="22"/>
          <w:szCs w:val="22"/>
        </w:rPr>
        <w:t xml:space="preserve">, los mismos se generaban desde </w:t>
      </w:r>
      <w:r w:rsidR="00F021C4">
        <w:rPr>
          <w:rFonts w:ascii="Tahoma" w:hAnsi="Tahoma" w:cs="Tahoma"/>
          <w:sz w:val="22"/>
          <w:szCs w:val="22"/>
        </w:rPr>
        <w:t>10 de enero de 2010, cuando vencieron los 6 meses con los que contaba la demandada para reconocer la prestación, y el 30 de noviembre de 2011, día anterior al reconocimiento de la pensión por parte del entonces I.S.S.</w:t>
      </w:r>
    </w:p>
    <w:p w:rsidR="00CF4F84" w:rsidRDefault="00CF4F84" w:rsidP="00875875">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F021C4" w:rsidP="00875875">
      <w:pPr>
        <w:widowControl w:val="0"/>
        <w:numPr>
          <w:ilvl w:val="0"/>
          <w:numId w:val="8"/>
        </w:numPr>
        <w:tabs>
          <w:tab w:val="clear" w:pos="1080"/>
          <w:tab w:val="num" w:pos="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 </w:t>
      </w:r>
      <w:r w:rsidR="0096726E">
        <w:rPr>
          <w:rFonts w:ascii="Tahoma" w:hAnsi="Tahoma" w:cs="Tahoma"/>
          <w:b/>
          <w:sz w:val="22"/>
          <w:szCs w:val="22"/>
        </w:rPr>
        <w:t>Recurso de apelación y p</w:t>
      </w:r>
      <w:r w:rsidR="007E4040">
        <w:rPr>
          <w:rFonts w:ascii="Tahoma" w:hAnsi="Tahoma" w:cs="Tahoma"/>
          <w:b/>
          <w:sz w:val="22"/>
          <w:szCs w:val="22"/>
        </w:rPr>
        <w:t>rocedencia de la consulta</w:t>
      </w:r>
    </w:p>
    <w:p w:rsidR="00875875" w:rsidRDefault="00875875" w:rsidP="00875875">
      <w:pPr>
        <w:spacing w:line="276" w:lineRule="auto"/>
        <w:ind w:firstLine="708"/>
        <w:jc w:val="both"/>
        <w:rPr>
          <w:rFonts w:ascii="Tahoma" w:hAnsi="Tahoma" w:cs="Tahoma"/>
          <w:sz w:val="22"/>
          <w:szCs w:val="22"/>
        </w:rPr>
      </w:pPr>
    </w:p>
    <w:p w:rsidR="004175DE" w:rsidRDefault="00875875" w:rsidP="00875875">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demandante apeló la decisión </w:t>
      </w:r>
      <w:r w:rsidR="004175DE">
        <w:rPr>
          <w:rFonts w:ascii="Tahoma" w:hAnsi="Tahoma" w:cs="Tahoma"/>
          <w:sz w:val="22"/>
          <w:szCs w:val="22"/>
        </w:rPr>
        <w:t xml:space="preserve">únicamente en lo relacionado con el monto del retroactivo causado entre el </w:t>
      </w:r>
      <w:r w:rsidR="004175DE" w:rsidRPr="00905838">
        <w:rPr>
          <w:rFonts w:ascii="Tahoma" w:hAnsi="Tahoma" w:cs="Tahoma"/>
          <w:sz w:val="22"/>
          <w:szCs w:val="22"/>
        </w:rPr>
        <w:t>1</w:t>
      </w:r>
      <w:r w:rsidR="004175DE">
        <w:rPr>
          <w:rFonts w:ascii="Tahoma" w:hAnsi="Tahoma" w:cs="Tahoma"/>
          <w:sz w:val="22"/>
          <w:szCs w:val="22"/>
        </w:rPr>
        <w:t>º de agosto de 2009</w:t>
      </w:r>
      <w:r w:rsidR="004175DE" w:rsidRPr="00905838">
        <w:rPr>
          <w:rFonts w:ascii="Tahoma" w:hAnsi="Tahoma" w:cs="Tahoma"/>
          <w:sz w:val="22"/>
          <w:szCs w:val="22"/>
        </w:rPr>
        <w:t xml:space="preserve"> y el </w:t>
      </w:r>
      <w:r w:rsidR="004175DE">
        <w:rPr>
          <w:rFonts w:ascii="Tahoma" w:hAnsi="Tahoma" w:cs="Tahoma"/>
          <w:sz w:val="22"/>
          <w:szCs w:val="22"/>
        </w:rPr>
        <w:t>30 de noviembre de 2011, arguyendo que según la liquidación plasmada en la demanda este asciende a $64.609.941, por lo que solicita que se revise ese punto en sede de segunda instancia.</w:t>
      </w:r>
    </w:p>
    <w:p w:rsidR="00875875" w:rsidRDefault="00875875" w:rsidP="00E94C14">
      <w:pPr>
        <w:ind w:firstLine="708"/>
        <w:jc w:val="both"/>
        <w:rPr>
          <w:rFonts w:ascii="Tahoma" w:hAnsi="Tahoma" w:cs="Tahoma"/>
          <w:sz w:val="22"/>
          <w:szCs w:val="22"/>
        </w:rPr>
      </w:pPr>
    </w:p>
    <w:p w:rsidR="00167EBE" w:rsidRDefault="004175DE" w:rsidP="00875875">
      <w:pPr>
        <w:spacing w:line="276" w:lineRule="auto"/>
        <w:ind w:firstLine="708"/>
        <w:jc w:val="both"/>
        <w:rPr>
          <w:rFonts w:ascii="Tahoma" w:hAnsi="Tahoma" w:cs="Tahoma"/>
          <w:sz w:val="22"/>
          <w:szCs w:val="22"/>
        </w:rPr>
      </w:pPr>
      <w:r>
        <w:rPr>
          <w:rFonts w:ascii="Tahoma" w:hAnsi="Tahoma" w:cs="Tahoma"/>
          <w:sz w:val="22"/>
          <w:szCs w:val="22"/>
        </w:rPr>
        <w:t>Por otra parte, c</w:t>
      </w:r>
      <w:r w:rsidR="00AB3EE5">
        <w:rPr>
          <w:rFonts w:ascii="Tahoma" w:hAnsi="Tahoma" w:cs="Tahoma"/>
          <w:sz w:val="22"/>
          <w:szCs w:val="22"/>
        </w:rPr>
        <w:t>omo la decisión de primera instancia fue desfavorable para los intereses de</w:t>
      </w:r>
      <w:r w:rsidR="00485FDB">
        <w:rPr>
          <w:rFonts w:ascii="Tahoma" w:hAnsi="Tahoma" w:cs="Tahoma"/>
          <w:sz w:val="22"/>
          <w:szCs w:val="22"/>
        </w:rPr>
        <w:t xml:space="preserve"> Colpensiones</w:t>
      </w:r>
      <w:r w:rsidR="00AB3EE5">
        <w:rPr>
          <w:rFonts w:ascii="Tahoma" w:hAnsi="Tahoma" w:cs="Tahoma"/>
          <w:sz w:val="22"/>
          <w:szCs w:val="22"/>
        </w:rPr>
        <w:t>, se dispuso el grado jurisdiccional de consulta.</w:t>
      </w:r>
    </w:p>
    <w:p w:rsidR="004F2069" w:rsidRDefault="004F2069" w:rsidP="000F6917">
      <w:pPr>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0F6917">
      <w:pPr>
        <w:ind w:firstLine="708"/>
        <w:jc w:val="both"/>
        <w:rPr>
          <w:rFonts w:ascii="Tahoma" w:hAnsi="Tahoma" w:cs="Tahoma"/>
          <w:b/>
          <w:sz w:val="22"/>
          <w:szCs w:val="22"/>
        </w:rPr>
      </w:pPr>
    </w:p>
    <w:p w:rsidR="006B0EE8" w:rsidRPr="006102BF" w:rsidRDefault="006B0EE8" w:rsidP="006B0EE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Supuestos fácticos demostrados</w:t>
      </w:r>
    </w:p>
    <w:p w:rsidR="006B0EE8" w:rsidRPr="006102BF" w:rsidRDefault="006B0EE8" w:rsidP="000F6917">
      <w:pPr>
        <w:pStyle w:val="Prrafodelista"/>
        <w:ind w:left="1080"/>
        <w:jc w:val="both"/>
        <w:rPr>
          <w:rFonts w:ascii="Tahoma" w:hAnsi="Tahoma" w:cs="Tahoma"/>
          <w:sz w:val="22"/>
          <w:szCs w:val="22"/>
        </w:rPr>
      </w:pPr>
    </w:p>
    <w:p w:rsidR="0032681D"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Son hechos que se encuentran por fuera de debate los siguientes:</w:t>
      </w:r>
    </w:p>
    <w:p w:rsidR="0032681D" w:rsidRDefault="0032681D" w:rsidP="006B0EE8">
      <w:pPr>
        <w:spacing w:line="276" w:lineRule="auto"/>
        <w:ind w:firstLine="708"/>
        <w:jc w:val="both"/>
        <w:rPr>
          <w:rFonts w:ascii="Tahoma" w:hAnsi="Tahoma" w:cs="Tahoma"/>
          <w:sz w:val="22"/>
          <w:szCs w:val="22"/>
        </w:rPr>
      </w:pPr>
    </w:p>
    <w:p w:rsidR="0032681D" w:rsidRPr="0032681D" w:rsidRDefault="006B0EE8" w:rsidP="0032681D">
      <w:pPr>
        <w:pStyle w:val="Prrafodelista"/>
        <w:numPr>
          <w:ilvl w:val="0"/>
          <w:numId w:val="36"/>
        </w:numPr>
        <w:tabs>
          <w:tab w:val="left" w:pos="993"/>
        </w:tabs>
        <w:spacing w:line="276" w:lineRule="auto"/>
        <w:ind w:left="709" w:firstLine="0"/>
        <w:jc w:val="both"/>
        <w:rPr>
          <w:rFonts w:ascii="Tahoma" w:hAnsi="Tahoma" w:cs="Tahoma"/>
          <w:sz w:val="22"/>
          <w:szCs w:val="22"/>
        </w:rPr>
      </w:pPr>
      <w:r w:rsidRPr="0032681D">
        <w:rPr>
          <w:rFonts w:ascii="Tahoma" w:hAnsi="Tahoma" w:cs="Tahoma"/>
          <w:sz w:val="22"/>
          <w:szCs w:val="22"/>
        </w:rPr>
        <w:t xml:space="preserve">Que </w:t>
      </w:r>
      <w:r w:rsidR="001410C3" w:rsidRPr="0032681D">
        <w:rPr>
          <w:rFonts w:ascii="Tahoma" w:hAnsi="Tahoma" w:cs="Tahoma"/>
          <w:sz w:val="22"/>
          <w:szCs w:val="22"/>
        </w:rPr>
        <w:t>la</w:t>
      </w:r>
      <w:r w:rsidRPr="0032681D">
        <w:rPr>
          <w:rFonts w:ascii="Tahoma" w:hAnsi="Tahoma" w:cs="Tahoma"/>
          <w:sz w:val="22"/>
          <w:szCs w:val="22"/>
        </w:rPr>
        <w:t xml:space="preserve"> señor</w:t>
      </w:r>
      <w:r w:rsidR="001410C3" w:rsidRPr="0032681D">
        <w:rPr>
          <w:rFonts w:ascii="Tahoma" w:hAnsi="Tahoma" w:cs="Tahoma"/>
          <w:sz w:val="22"/>
          <w:szCs w:val="22"/>
        </w:rPr>
        <w:t>a</w:t>
      </w:r>
      <w:r w:rsidRPr="0032681D">
        <w:rPr>
          <w:rFonts w:ascii="Tahoma" w:hAnsi="Tahoma" w:cs="Tahoma"/>
          <w:sz w:val="22"/>
          <w:szCs w:val="22"/>
        </w:rPr>
        <w:t xml:space="preserve"> </w:t>
      </w:r>
      <w:r w:rsidR="00D91C22" w:rsidRPr="0032681D">
        <w:rPr>
          <w:rFonts w:ascii="Tahoma" w:hAnsi="Tahoma" w:cs="Tahoma"/>
          <w:sz w:val="22"/>
          <w:szCs w:val="22"/>
        </w:rPr>
        <w:t xml:space="preserve">María Esperanza Ríos </w:t>
      </w:r>
      <w:proofErr w:type="spellStart"/>
      <w:r w:rsidR="00D91C22" w:rsidRPr="0032681D">
        <w:rPr>
          <w:rFonts w:ascii="Tahoma" w:hAnsi="Tahoma" w:cs="Tahoma"/>
          <w:sz w:val="22"/>
          <w:szCs w:val="22"/>
        </w:rPr>
        <w:t>Mape</w:t>
      </w:r>
      <w:proofErr w:type="spellEnd"/>
      <w:r w:rsidR="00D91C22" w:rsidRPr="0032681D">
        <w:rPr>
          <w:rFonts w:ascii="Tahoma" w:hAnsi="Tahoma" w:cs="Tahoma"/>
          <w:sz w:val="22"/>
          <w:szCs w:val="22"/>
        </w:rPr>
        <w:t xml:space="preserve"> </w:t>
      </w:r>
      <w:r w:rsidRPr="0032681D">
        <w:rPr>
          <w:rFonts w:ascii="Tahoma" w:hAnsi="Tahoma" w:cs="Tahoma"/>
          <w:sz w:val="22"/>
          <w:szCs w:val="22"/>
        </w:rPr>
        <w:t xml:space="preserve">nació el </w:t>
      </w:r>
      <w:r w:rsidR="001410C3" w:rsidRPr="0032681D">
        <w:rPr>
          <w:rFonts w:ascii="Tahoma" w:hAnsi="Tahoma" w:cs="Tahoma"/>
          <w:sz w:val="22"/>
          <w:szCs w:val="22"/>
        </w:rPr>
        <w:t>2</w:t>
      </w:r>
      <w:r w:rsidRPr="0032681D">
        <w:rPr>
          <w:rFonts w:ascii="Tahoma" w:hAnsi="Tahoma" w:cs="Tahoma"/>
          <w:sz w:val="22"/>
          <w:szCs w:val="22"/>
        </w:rPr>
        <w:t xml:space="preserve"> de </w:t>
      </w:r>
      <w:r w:rsidR="00255716" w:rsidRPr="0032681D">
        <w:rPr>
          <w:rFonts w:ascii="Tahoma" w:hAnsi="Tahoma" w:cs="Tahoma"/>
          <w:sz w:val="22"/>
          <w:szCs w:val="22"/>
        </w:rPr>
        <w:t>enero de 1954</w:t>
      </w:r>
      <w:r w:rsidRPr="0032681D">
        <w:rPr>
          <w:rFonts w:ascii="Tahoma" w:hAnsi="Tahoma" w:cs="Tahoma"/>
          <w:sz w:val="22"/>
          <w:szCs w:val="22"/>
        </w:rPr>
        <w:t xml:space="preserve"> (</w:t>
      </w:r>
      <w:proofErr w:type="spellStart"/>
      <w:r w:rsidRPr="0032681D">
        <w:rPr>
          <w:rFonts w:ascii="Tahoma" w:hAnsi="Tahoma" w:cs="Tahoma"/>
          <w:sz w:val="22"/>
          <w:szCs w:val="22"/>
        </w:rPr>
        <w:t>fl</w:t>
      </w:r>
      <w:proofErr w:type="spellEnd"/>
      <w:r w:rsidRPr="0032681D">
        <w:rPr>
          <w:rFonts w:ascii="Tahoma" w:hAnsi="Tahoma" w:cs="Tahoma"/>
          <w:sz w:val="22"/>
          <w:szCs w:val="22"/>
        </w:rPr>
        <w:t>.</w:t>
      </w:r>
      <w:r w:rsidR="00255716" w:rsidRPr="0032681D">
        <w:rPr>
          <w:rFonts w:ascii="Tahoma" w:hAnsi="Tahoma" w:cs="Tahoma"/>
          <w:sz w:val="22"/>
          <w:szCs w:val="22"/>
        </w:rPr>
        <w:t xml:space="preserve"> 23</w:t>
      </w:r>
      <w:r w:rsidRPr="0032681D">
        <w:rPr>
          <w:rFonts w:ascii="Tahoma" w:hAnsi="Tahoma" w:cs="Tahoma"/>
          <w:sz w:val="22"/>
          <w:szCs w:val="22"/>
        </w:rPr>
        <w:t>);</w:t>
      </w:r>
    </w:p>
    <w:p w:rsidR="0032681D" w:rsidRDefault="0032681D" w:rsidP="0032681D">
      <w:pPr>
        <w:pStyle w:val="Prrafodelista"/>
        <w:tabs>
          <w:tab w:val="left" w:pos="993"/>
        </w:tabs>
        <w:spacing w:line="276" w:lineRule="auto"/>
        <w:ind w:left="709"/>
        <w:jc w:val="both"/>
        <w:rPr>
          <w:rFonts w:ascii="Tahoma" w:hAnsi="Tahoma" w:cs="Tahoma"/>
          <w:sz w:val="22"/>
          <w:szCs w:val="22"/>
        </w:rPr>
      </w:pPr>
    </w:p>
    <w:p w:rsidR="0032681D" w:rsidRDefault="0032681D" w:rsidP="0032681D">
      <w:pPr>
        <w:pStyle w:val="Prrafodelista"/>
        <w:numPr>
          <w:ilvl w:val="0"/>
          <w:numId w:val="36"/>
        </w:numPr>
        <w:tabs>
          <w:tab w:val="left" w:pos="993"/>
        </w:tabs>
        <w:spacing w:line="276" w:lineRule="auto"/>
        <w:ind w:left="709" w:firstLine="0"/>
        <w:jc w:val="both"/>
        <w:rPr>
          <w:rFonts w:ascii="Tahoma" w:hAnsi="Tahoma" w:cs="Tahoma"/>
          <w:sz w:val="22"/>
          <w:szCs w:val="22"/>
        </w:rPr>
      </w:pPr>
      <w:r>
        <w:rPr>
          <w:rFonts w:ascii="Tahoma" w:hAnsi="Tahoma" w:cs="Tahoma"/>
          <w:sz w:val="22"/>
          <w:szCs w:val="22"/>
        </w:rPr>
        <w:lastRenderedPageBreak/>
        <w:t xml:space="preserve"> </w:t>
      </w:r>
      <w:r w:rsidR="006B0EE8" w:rsidRPr="0032681D">
        <w:rPr>
          <w:rFonts w:ascii="Tahoma" w:hAnsi="Tahoma" w:cs="Tahoma"/>
          <w:sz w:val="22"/>
          <w:szCs w:val="22"/>
        </w:rPr>
        <w:t xml:space="preserve">Que solicitó el reconocimiento y pago de la pensión de vejez el </w:t>
      </w:r>
      <w:r w:rsidR="00255716" w:rsidRPr="0032681D">
        <w:rPr>
          <w:rFonts w:ascii="Tahoma" w:hAnsi="Tahoma" w:cs="Tahoma"/>
          <w:sz w:val="22"/>
          <w:szCs w:val="22"/>
        </w:rPr>
        <w:t>9</w:t>
      </w:r>
      <w:r w:rsidR="006B0EE8" w:rsidRPr="0032681D">
        <w:rPr>
          <w:rFonts w:ascii="Tahoma" w:hAnsi="Tahoma" w:cs="Tahoma"/>
          <w:sz w:val="22"/>
          <w:szCs w:val="22"/>
        </w:rPr>
        <w:t xml:space="preserve"> de </w:t>
      </w:r>
      <w:r w:rsidR="00255716" w:rsidRPr="0032681D">
        <w:rPr>
          <w:rFonts w:ascii="Tahoma" w:hAnsi="Tahoma" w:cs="Tahoma"/>
          <w:sz w:val="22"/>
          <w:szCs w:val="22"/>
        </w:rPr>
        <w:t>julio de 2009</w:t>
      </w:r>
      <w:r w:rsidR="00B12B6C" w:rsidRPr="0032681D">
        <w:rPr>
          <w:rFonts w:ascii="Tahoma" w:hAnsi="Tahoma" w:cs="Tahoma"/>
          <w:sz w:val="22"/>
          <w:szCs w:val="22"/>
        </w:rPr>
        <w:t xml:space="preserve"> (</w:t>
      </w:r>
      <w:proofErr w:type="spellStart"/>
      <w:r w:rsidR="00B12B6C" w:rsidRPr="0032681D">
        <w:rPr>
          <w:rFonts w:ascii="Tahoma" w:hAnsi="Tahoma" w:cs="Tahoma"/>
          <w:sz w:val="22"/>
          <w:szCs w:val="22"/>
        </w:rPr>
        <w:t>fl</w:t>
      </w:r>
      <w:proofErr w:type="spellEnd"/>
      <w:r w:rsidR="00B12B6C" w:rsidRPr="0032681D">
        <w:rPr>
          <w:rFonts w:ascii="Tahoma" w:hAnsi="Tahoma" w:cs="Tahoma"/>
          <w:sz w:val="22"/>
          <w:szCs w:val="22"/>
        </w:rPr>
        <w:t xml:space="preserve">. </w:t>
      </w:r>
      <w:r w:rsidR="00EB0F5D">
        <w:rPr>
          <w:rFonts w:ascii="Tahoma" w:hAnsi="Tahoma" w:cs="Tahoma"/>
          <w:sz w:val="22"/>
          <w:szCs w:val="22"/>
        </w:rPr>
        <w:t>8);</w:t>
      </w:r>
    </w:p>
    <w:p w:rsidR="0032681D" w:rsidRDefault="00EB0F5D" w:rsidP="00EB0F5D">
      <w:pPr>
        <w:pStyle w:val="Prrafodelista"/>
        <w:numPr>
          <w:ilvl w:val="0"/>
          <w:numId w:val="36"/>
        </w:numPr>
        <w:tabs>
          <w:tab w:val="left" w:pos="993"/>
        </w:tabs>
        <w:spacing w:line="276" w:lineRule="auto"/>
        <w:ind w:left="709" w:firstLine="0"/>
        <w:jc w:val="both"/>
        <w:rPr>
          <w:rFonts w:ascii="Tahoma" w:hAnsi="Tahoma" w:cs="Tahoma"/>
          <w:sz w:val="22"/>
          <w:szCs w:val="22"/>
        </w:rPr>
      </w:pPr>
      <w:r w:rsidRPr="0032681D">
        <w:rPr>
          <w:rFonts w:ascii="Tahoma" w:hAnsi="Tahoma" w:cs="Tahoma"/>
          <w:sz w:val="22"/>
          <w:szCs w:val="22"/>
        </w:rPr>
        <w:t>Que a través de la Resolución 07172 del 15 de noviembre de 2011 se revocó la Resolución 2916 del 28 de junio de 2011</w:t>
      </w:r>
      <w:r>
        <w:rPr>
          <w:rStyle w:val="Refdenotaalpie"/>
          <w:rFonts w:ascii="Tahoma" w:hAnsi="Tahoma" w:cs="Tahoma"/>
          <w:sz w:val="22"/>
          <w:szCs w:val="22"/>
        </w:rPr>
        <w:footnoteReference w:id="1"/>
      </w:r>
      <w:r w:rsidRPr="0032681D">
        <w:rPr>
          <w:rFonts w:ascii="Tahoma" w:hAnsi="Tahoma" w:cs="Tahoma"/>
          <w:sz w:val="22"/>
          <w:szCs w:val="22"/>
        </w:rPr>
        <w:t>, reconociendo la pensión</w:t>
      </w:r>
      <w:r>
        <w:rPr>
          <w:rFonts w:ascii="Tahoma" w:hAnsi="Tahoma" w:cs="Tahoma"/>
          <w:sz w:val="22"/>
          <w:szCs w:val="22"/>
        </w:rPr>
        <w:t xml:space="preserve"> de vejez establecida en el artículo 33 de la Ley 100 de 1993, modificado por el artículo 9º de la Ley 797 de 2003, </w:t>
      </w:r>
      <w:r w:rsidR="00D32CFD">
        <w:rPr>
          <w:rFonts w:ascii="Tahoma" w:hAnsi="Tahoma" w:cs="Tahoma"/>
          <w:sz w:val="22"/>
          <w:szCs w:val="22"/>
        </w:rPr>
        <w:t>a partir del 1º de diciembre de 2011</w:t>
      </w:r>
      <w:r w:rsidR="001021A0">
        <w:rPr>
          <w:rFonts w:ascii="Tahoma" w:hAnsi="Tahoma" w:cs="Tahoma"/>
          <w:sz w:val="22"/>
          <w:szCs w:val="22"/>
        </w:rPr>
        <w:t>, en cuantía de $1.845.330</w:t>
      </w:r>
      <w:r w:rsidR="00FA1167">
        <w:rPr>
          <w:rFonts w:ascii="Tahoma" w:hAnsi="Tahoma" w:cs="Tahoma"/>
          <w:sz w:val="22"/>
          <w:szCs w:val="22"/>
        </w:rPr>
        <w:t>, sin retroactivo alguno (</w:t>
      </w:r>
      <w:proofErr w:type="spellStart"/>
      <w:r w:rsidR="00FA1167">
        <w:rPr>
          <w:rFonts w:ascii="Tahoma" w:hAnsi="Tahoma" w:cs="Tahoma"/>
          <w:sz w:val="22"/>
          <w:szCs w:val="22"/>
        </w:rPr>
        <w:t>fl</w:t>
      </w:r>
      <w:proofErr w:type="spellEnd"/>
      <w:r w:rsidR="00FA1167">
        <w:rPr>
          <w:rFonts w:ascii="Tahoma" w:hAnsi="Tahoma" w:cs="Tahoma"/>
          <w:sz w:val="22"/>
          <w:szCs w:val="22"/>
        </w:rPr>
        <w:t>. 11)</w:t>
      </w:r>
      <w:r w:rsidR="00BA31EB">
        <w:rPr>
          <w:rFonts w:ascii="Tahoma" w:hAnsi="Tahoma" w:cs="Tahoma"/>
          <w:sz w:val="22"/>
          <w:szCs w:val="22"/>
        </w:rPr>
        <w:t>.</w:t>
      </w:r>
    </w:p>
    <w:p w:rsidR="00FA1167" w:rsidRDefault="00FA1167" w:rsidP="00FA1167">
      <w:pPr>
        <w:pStyle w:val="Prrafodelista"/>
        <w:tabs>
          <w:tab w:val="left" w:pos="993"/>
        </w:tabs>
        <w:spacing w:line="276" w:lineRule="auto"/>
        <w:ind w:left="709"/>
        <w:jc w:val="both"/>
        <w:rPr>
          <w:rFonts w:ascii="Tahoma" w:hAnsi="Tahoma" w:cs="Tahoma"/>
          <w:sz w:val="22"/>
          <w:szCs w:val="22"/>
        </w:rPr>
      </w:pPr>
    </w:p>
    <w:p w:rsidR="00BA31EB" w:rsidRDefault="00BA31EB" w:rsidP="00BA31EB">
      <w:pPr>
        <w:pStyle w:val="Prrafodelista"/>
        <w:numPr>
          <w:ilvl w:val="0"/>
          <w:numId w:val="36"/>
        </w:numPr>
        <w:tabs>
          <w:tab w:val="left" w:pos="993"/>
        </w:tabs>
        <w:spacing w:line="276" w:lineRule="auto"/>
        <w:ind w:left="709" w:firstLine="0"/>
        <w:jc w:val="both"/>
        <w:rPr>
          <w:rFonts w:ascii="Tahoma" w:hAnsi="Tahoma" w:cs="Tahoma"/>
          <w:sz w:val="22"/>
          <w:szCs w:val="22"/>
        </w:rPr>
      </w:pPr>
      <w:r w:rsidRPr="0032681D">
        <w:rPr>
          <w:rFonts w:ascii="Tahoma" w:hAnsi="Tahoma" w:cs="Tahoma"/>
          <w:sz w:val="22"/>
          <w:szCs w:val="22"/>
        </w:rPr>
        <w:t>Que a través de la Resolución</w:t>
      </w:r>
      <w:r>
        <w:rPr>
          <w:rFonts w:ascii="Tahoma" w:hAnsi="Tahoma" w:cs="Tahoma"/>
          <w:sz w:val="22"/>
          <w:szCs w:val="22"/>
        </w:rPr>
        <w:t xml:space="preserve"> VPB 10902 del 10 de julio 2014</w:t>
      </w:r>
      <w:r>
        <w:rPr>
          <w:rStyle w:val="Refdenotaalpie"/>
          <w:rFonts w:ascii="Tahoma" w:hAnsi="Tahoma" w:cs="Tahoma"/>
          <w:sz w:val="22"/>
          <w:szCs w:val="22"/>
        </w:rPr>
        <w:footnoteReference w:id="2"/>
      </w:r>
      <w:r>
        <w:rPr>
          <w:rFonts w:ascii="Tahoma" w:hAnsi="Tahoma" w:cs="Tahoma"/>
          <w:sz w:val="22"/>
          <w:szCs w:val="22"/>
        </w:rPr>
        <w:t xml:space="preserve"> </w:t>
      </w:r>
      <w:r w:rsidRPr="0032681D">
        <w:rPr>
          <w:rFonts w:ascii="Tahoma" w:hAnsi="Tahoma" w:cs="Tahoma"/>
          <w:sz w:val="22"/>
          <w:szCs w:val="22"/>
        </w:rPr>
        <w:t xml:space="preserve">se </w:t>
      </w:r>
      <w:r w:rsidR="00144535">
        <w:rPr>
          <w:rFonts w:ascii="Tahoma" w:hAnsi="Tahoma" w:cs="Tahoma"/>
          <w:sz w:val="22"/>
          <w:szCs w:val="22"/>
        </w:rPr>
        <w:t xml:space="preserve">modificó </w:t>
      </w:r>
      <w:r w:rsidR="00144535" w:rsidRPr="0032681D">
        <w:rPr>
          <w:rFonts w:ascii="Tahoma" w:hAnsi="Tahoma" w:cs="Tahoma"/>
          <w:sz w:val="22"/>
          <w:szCs w:val="22"/>
        </w:rPr>
        <w:t>la Resolución 07172 del 15 de noviembre de 2011</w:t>
      </w:r>
      <w:r w:rsidR="00144535">
        <w:rPr>
          <w:rFonts w:ascii="Tahoma" w:hAnsi="Tahoma" w:cs="Tahoma"/>
          <w:sz w:val="22"/>
          <w:szCs w:val="22"/>
        </w:rPr>
        <w:t>, aumentando el valor de la mesada del año 2011 a la suma de $1.851.286</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1</w:t>
      </w:r>
      <w:r w:rsidR="00144535">
        <w:rPr>
          <w:rFonts w:ascii="Tahoma" w:hAnsi="Tahoma" w:cs="Tahoma"/>
          <w:sz w:val="22"/>
          <w:szCs w:val="22"/>
        </w:rPr>
        <w:t>4</w:t>
      </w:r>
      <w:r>
        <w:rPr>
          <w:rFonts w:ascii="Tahoma" w:hAnsi="Tahoma" w:cs="Tahoma"/>
          <w:sz w:val="22"/>
          <w:szCs w:val="22"/>
        </w:rPr>
        <w:t>)</w:t>
      </w:r>
      <w:r w:rsidR="00E13E6C">
        <w:rPr>
          <w:rFonts w:ascii="Tahoma" w:hAnsi="Tahoma" w:cs="Tahoma"/>
          <w:sz w:val="22"/>
          <w:szCs w:val="22"/>
        </w:rPr>
        <w:t xml:space="preserve"> y,</w:t>
      </w:r>
    </w:p>
    <w:p w:rsidR="00BA31EB" w:rsidRPr="00BA31EB" w:rsidRDefault="00BA31EB" w:rsidP="00BA31EB">
      <w:pPr>
        <w:pStyle w:val="Prrafodelista"/>
        <w:rPr>
          <w:rFonts w:ascii="Tahoma" w:hAnsi="Tahoma" w:cs="Tahoma"/>
          <w:sz w:val="22"/>
          <w:szCs w:val="22"/>
        </w:rPr>
      </w:pPr>
    </w:p>
    <w:p w:rsidR="00E13E6C" w:rsidRDefault="00FA1167" w:rsidP="00EB0F5D">
      <w:pPr>
        <w:pStyle w:val="Prrafodelista"/>
        <w:numPr>
          <w:ilvl w:val="0"/>
          <w:numId w:val="36"/>
        </w:numPr>
        <w:tabs>
          <w:tab w:val="left" w:pos="993"/>
        </w:tabs>
        <w:spacing w:line="276" w:lineRule="auto"/>
        <w:ind w:left="709" w:firstLine="0"/>
        <w:jc w:val="both"/>
        <w:rPr>
          <w:rFonts w:ascii="Tahoma" w:hAnsi="Tahoma" w:cs="Tahoma"/>
          <w:sz w:val="22"/>
          <w:szCs w:val="22"/>
        </w:rPr>
      </w:pPr>
      <w:r w:rsidRPr="006102BF">
        <w:rPr>
          <w:rFonts w:ascii="Tahoma" w:hAnsi="Tahoma" w:cs="Tahoma"/>
          <w:sz w:val="22"/>
          <w:szCs w:val="22"/>
        </w:rPr>
        <w:t xml:space="preserve">Que </w:t>
      </w:r>
      <w:r>
        <w:rPr>
          <w:rFonts w:ascii="Tahoma" w:hAnsi="Tahoma" w:cs="Tahoma"/>
          <w:sz w:val="22"/>
          <w:szCs w:val="22"/>
        </w:rPr>
        <w:t xml:space="preserve">el </w:t>
      </w:r>
      <w:r w:rsidR="00E13E6C">
        <w:rPr>
          <w:rFonts w:ascii="Tahoma" w:hAnsi="Tahoma" w:cs="Tahoma"/>
          <w:sz w:val="22"/>
          <w:szCs w:val="22"/>
        </w:rPr>
        <w:t>19</w:t>
      </w:r>
      <w:r>
        <w:rPr>
          <w:rFonts w:ascii="Tahoma" w:hAnsi="Tahoma" w:cs="Tahoma"/>
          <w:sz w:val="22"/>
          <w:szCs w:val="22"/>
        </w:rPr>
        <w:t xml:space="preserve"> de </w:t>
      </w:r>
      <w:r w:rsidR="00E13E6C">
        <w:rPr>
          <w:rFonts w:ascii="Tahoma" w:hAnsi="Tahoma" w:cs="Tahoma"/>
          <w:sz w:val="22"/>
          <w:szCs w:val="22"/>
        </w:rPr>
        <w:t xml:space="preserve">septiembre de 2014 solicitó el reconocimiento del retroactivo causado entre el 4 de enero de 2009 y el 1º de diciembre de 2011, </w:t>
      </w:r>
      <w:r w:rsidR="00E13E6C" w:rsidRPr="006102BF">
        <w:rPr>
          <w:rFonts w:ascii="Tahoma" w:hAnsi="Tahoma" w:cs="Tahoma"/>
          <w:sz w:val="22"/>
          <w:szCs w:val="22"/>
        </w:rPr>
        <w:t>sin que a la fecha de presentación de la demanda</w:t>
      </w:r>
      <w:r w:rsidR="00E13E6C">
        <w:rPr>
          <w:rFonts w:ascii="Tahoma" w:hAnsi="Tahoma" w:cs="Tahoma"/>
          <w:sz w:val="22"/>
          <w:szCs w:val="22"/>
        </w:rPr>
        <w:t xml:space="preserve"> Colpensiones </w:t>
      </w:r>
      <w:r w:rsidR="00E13E6C" w:rsidRPr="006102BF">
        <w:rPr>
          <w:rFonts w:ascii="Tahoma" w:hAnsi="Tahoma" w:cs="Tahoma"/>
          <w:sz w:val="22"/>
          <w:szCs w:val="22"/>
        </w:rPr>
        <w:t xml:space="preserve">se hubiera pronunciado </w:t>
      </w:r>
      <w:r w:rsidR="00E13E6C">
        <w:rPr>
          <w:rFonts w:ascii="Tahoma" w:hAnsi="Tahoma" w:cs="Tahoma"/>
          <w:sz w:val="22"/>
          <w:szCs w:val="22"/>
        </w:rPr>
        <w:t>al respecto</w:t>
      </w:r>
      <w:r w:rsidR="00E13E6C" w:rsidRPr="006102BF">
        <w:rPr>
          <w:rFonts w:ascii="Tahoma" w:hAnsi="Tahoma" w:cs="Tahoma"/>
          <w:sz w:val="22"/>
          <w:szCs w:val="22"/>
        </w:rPr>
        <w:t xml:space="preserve"> </w:t>
      </w:r>
      <w:r w:rsidR="00E13E6C">
        <w:rPr>
          <w:rFonts w:ascii="Tahoma" w:hAnsi="Tahoma" w:cs="Tahoma"/>
          <w:sz w:val="22"/>
          <w:szCs w:val="22"/>
        </w:rPr>
        <w:t>(</w:t>
      </w:r>
      <w:proofErr w:type="spellStart"/>
      <w:r w:rsidR="00E13E6C">
        <w:rPr>
          <w:rFonts w:ascii="Tahoma" w:hAnsi="Tahoma" w:cs="Tahoma"/>
          <w:sz w:val="22"/>
          <w:szCs w:val="22"/>
        </w:rPr>
        <w:t>fl</w:t>
      </w:r>
      <w:proofErr w:type="spellEnd"/>
      <w:r w:rsidR="00E13E6C">
        <w:rPr>
          <w:rFonts w:ascii="Tahoma" w:hAnsi="Tahoma" w:cs="Tahoma"/>
          <w:sz w:val="22"/>
          <w:szCs w:val="22"/>
        </w:rPr>
        <w:t xml:space="preserve">. 21) </w:t>
      </w:r>
    </w:p>
    <w:p w:rsidR="006B0EE8" w:rsidRPr="006102BF" w:rsidRDefault="006B0EE8" w:rsidP="00E13E6C">
      <w:pPr>
        <w:spacing w:line="276" w:lineRule="auto"/>
        <w:ind w:firstLine="708"/>
        <w:jc w:val="both"/>
        <w:rPr>
          <w:rFonts w:ascii="Tahoma" w:hAnsi="Tahoma" w:cs="Tahoma"/>
          <w:sz w:val="22"/>
          <w:szCs w:val="22"/>
        </w:rPr>
      </w:pPr>
    </w:p>
    <w:p w:rsidR="006B0EE8" w:rsidRPr="006102BF" w:rsidRDefault="006B0EE8" w:rsidP="006B0EE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6B0EE8">
      <w:pPr>
        <w:pStyle w:val="Prrafodelista"/>
        <w:ind w:left="1080"/>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 xml:space="preserve">En respuesta al problema jurídico planteado, debe manifestar la Sala que al haber alcanzado los </w:t>
      </w:r>
      <w:r w:rsidR="00617CF9">
        <w:rPr>
          <w:rFonts w:ascii="Tahoma" w:hAnsi="Tahoma" w:cs="Tahoma"/>
          <w:sz w:val="22"/>
          <w:szCs w:val="22"/>
        </w:rPr>
        <w:t>55</w:t>
      </w:r>
      <w:r w:rsidRPr="006102BF">
        <w:rPr>
          <w:rFonts w:ascii="Tahoma" w:hAnsi="Tahoma" w:cs="Tahoma"/>
          <w:sz w:val="22"/>
          <w:szCs w:val="22"/>
        </w:rPr>
        <w:t xml:space="preserve"> años de edad el </w:t>
      </w:r>
      <w:r w:rsidR="00617CF9">
        <w:rPr>
          <w:rFonts w:ascii="Tahoma" w:hAnsi="Tahoma" w:cs="Tahoma"/>
          <w:sz w:val="22"/>
          <w:szCs w:val="22"/>
        </w:rPr>
        <w:t>2</w:t>
      </w:r>
      <w:r w:rsidRPr="006102BF">
        <w:rPr>
          <w:rFonts w:ascii="Tahoma" w:hAnsi="Tahoma" w:cs="Tahoma"/>
          <w:sz w:val="22"/>
          <w:szCs w:val="22"/>
        </w:rPr>
        <w:t xml:space="preserve"> de </w:t>
      </w:r>
      <w:r w:rsidR="00E13E6C">
        <w:rPr>
          <w:rFonts w:ascii="Tahoma" w:hAnsi="Tahoma" w:cs="Tahoma"/>
          <w:sz w:val="22"/>
          <w:szCs w:val="22"/>
        </w:rPr>
        <w:t xml:space="preserve">enero </w:t>
      </w:r>
      <w:r w:rsidRPr="006102BF">
        <w:rPr>
          <w:rFonts w:ascii="Tahoma" w:hAnsi="Tahoma" w:cs="Tahoma"/>
          <w:sz w:val="22"/>
          <w:szCs w:val="22"/>
        </w:rPr>
        <w:t>de 20</w:t>
      </w:r>
      <w:r w:rsidR="00E13E6C">
        <w:rPr>
          <w:rFonts w:ascii="Tahoma" w:hAnsi="Tahoma" w:cs="Tahoma"/>
          <w:sz w:val="22"/>
          <w:szCs w:val="22"/>
        </w:rPr>
        <w:t>09</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E13E6C">
        <w:rPr>
          <w:rFonts w:ascii="Tahoma" w:hAnsi="Tahoma" w:cs="Tahoma"/>
          <w:sz w:val="22"/>
          <w:szCs w:val="22"/>
        </w:rPr>
        <w:t>23</w:t>
      </w:r>
      <w:r w:rsidRPr="006102BF">
        <w:rPr>
          <w:rFonts w:ascii="Tahoma" w:hAnsi="Tahoma" w:cs="Tahoma"/>
          <w:sz w:val="22"/>
          <w:szCs w:val="22"/>
        </w:rPr>
        <w:t xml:space="preserve">); haber solicitado la prestación el </w:t>
      </w:r>
      <w:r w:rsidR="00E13E6C">
        <w:rPr>
          <w:rFonts w:ascii="Tahoma" w:hAnsi="Tahoma" w:cs="Tahoma"/>
          <w:sz w:val="22"/>
          <w:szCs w:val="22"/>
        </w:rPr>
        <w:t>9</w:t>
      </w:r>
      <w:r w:rsidR="00617CF9">
        <w:rPr>
          <w:rFonts w:ascii="Tahoma" w:hAnsi="Tahoma" w:cs="Tahoma"/>
          <w:sz w:val="22"/>
          <w:szCs w:val="22"/>
        </w:rPr>
        <w:t xml:space="preserve"> de </w:t>
      </w:r>
      <w:r w:rsidR="00E13E6C">
        <w:rPr>
          <w:rFonts w:ascii="Tahoma" w:hAnsi="Tahoma" w:cs="Tahoma"/>
          <w:sz w:val="22"/>
          <w:szCs w:val="22"/>
        </w:rPr>
        <w:t>julio</w:t>
      </w:r>
      <w:r w:rsidR="00617CF9">
        <w:rPr>
          <w:rFonts w:ascii="Tahoma" w:hAnsi="Tahoma" w:cs="Tahoma"/>
          <w:sz w:val="22"/>
          <w:szCs w:val="22"/>
        </w:rPr>
        <w:t xml:space="preserve"> </w:t>
      </w:r>
      <w:r w:rsidRPr="006102BF">
        <w:rPr>
          <w:rFonts w:ascii="Tahoma" w:hAnsi="Tahoma" w:cs="Tahoma"/>
          <w:sz w:val="22"/>
          <w:szCs w:val="22"/>
        </w:rPr>
        <w:t>(</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E13E6C">
        <w:rPr>
          <w:rFonts w:ascii="Tahoma" w:hAnsi="Tahoma" w:cs="Tahoma"/>
          <w:sz w:val="22"/>
          <w:szCs w:val="22"/>
        </w:rPr>
        <w:t>8</w:t>
      </w:r>
      <w:r w:rsidRPr="006102BF">
        <w:rPr>
          <w:rFonts w:ascii="Tahoma" w:hAnsi="Tahoma" w:cs="Tahoma"/>
          <w:sz w:val="22"/>
          <w:szCs w:val="22"/>
        </w:rPr>
        <w:t xml:space="preserve">), y haber efectuado cotizaciones hasta el </w:t>
      </w:r>
      <w:r w:rsidR="00617CF9">
        <w:rPr>
          <w:rFonts w:ascii="Tahoma" w:hAnsi="Tahoma" w:cs="Tahoma"/>
          <w:sz w:val="22"/>
          <w:szCs w:val="22"/>
        </w:rPr>
        <w:t>3</w:t>
      </w:r>
      <w:r w:rsidR="00E13E6C">
        <w:rPr>
          <w:rFonts w:ascii="Tahoma" w:hAnsi="Tahoma" w:cs="Tahoma"/>
          <w:sz w:val="22"/>
          <w:szCs w:val="22"/>
        </w:rPr>
        <w:t xml:space="preserve">1 de julio </w:t>
      </w:r>
      <w:r w:rsidR="00617CF9">
        <w:rPr>
          <w:rFonts w:ascii="Tahoma" w:hAnsi="Tahoma" w:cs="Tahoma"/>
          <w:sz w:val="22"/>
          <w:szCs w:val="22"/>
        </w:rPr>
        <w:t>del mismo año</w:t>
      </w:r>
      <w:r>
        <w:rPr>
          <w:rFonts w:ascii="Tahoma" w:hAnsi="Tahoma" w:cs="Tahoma"/>
          <w:sz w:val="22"/>
          <w:szCs w:val="22"/>
        </w:rPr>
        <w:t xml:space="preserve">, cuando contaba con </w:t>
      </w:r>
      <w:r w:rsidR="00617CF9">
        <w:rPr>
          <w:rFonts w:ascii="Tahoma" w:hAnsi="Tahoma" w:cs="Tahoma"/>
          <w:sz w:val="22"/>
          <w:szCs w:val="22"/>
        </w:rPr>
        <w:t>1</w:t>
      </w:r>
      <w:r w:rsidR="00EE5EF2">
        <w:rPr>
          <w:rFonts w:ascii="Tahoma" w:hAnsi="Tahoma" w:cs="Tahoma"/>
          <w:sz w:val="22"/>
          <w:szCs w:val="22"/>
        </w:rPr>
        <w:t>236</w:t>
      </w:r>
      <w:r>
        <w:rPr>
          <w:rFonts w:ascii="Tahoma" w:hAnsi="Tahoma" w:cs="Tahoma"/>
          <w:sz w:val="22"/>
          <w:szCs w:val="22"/>
        </w:rPr>
        <w:t xml:space="preserve"> semanas cotizadas</w:t>
      </w:r>
      <w:r w:rsidR="00EE5EF2">
        <w:rPr>
          <w:rFonts w:ascii="Tahoma" w:hAnsi="Tahoma" w:cs="Tahoma"/>
          <w:sz w:val="22"/>
          <w:szCs w:val="22"/>
        </w:rPr>
        <w:t xml:space="preserve"> –según se acepta en la Resolución VPB 10902 del 10 de julio de 2014</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EE5EF2">
        <w:rPr>
          <w:rFonts w:ascii="Tahoma" w:hAnsi="Tahoma" w:cs="Tahoma"/>
          <w:sz w:val="22"/>
          <w:szCs w:val="22"/>
        </w:rPr>
        <w:t>1</w:t>
      </w:r>
      <w:r w:rsidR="00E567BA">
        <w:rPr>
          <w:rFonts w:ascii="Tahoma" w:hAnsi="Tahoma" w:cs="Tahoma"/>
          <w:sz w:val="22"/>
          <w:szCs w:val="22"/>
        </w:rPr>
        <w:t>4</w:t>
      </w:r>
      <w:r w:rsidRPr="006102BF">
        <w:rPr>
          <w:rFonts w:ascii="Tahoma" w:hAnsi="Tahoma" w:cs="Tahoma"/>
          <w:sz w:val="22"/>
          <w:szCs w:val="22"/>
        </w:rPr>
        <w:t xml:space="preserve">); la fecha en la que </w:t>
      </w:r>
      <w:r w:rsidR="00E567BA">
        <w:rPr>
          <w:rFonts w:ascii="Tahoma" w:hAnsi="Tahoma" w:cs="Tahoma"/>
          <w:sz w:val="22"/>
          <w:szCs w:val="22"/>
        </w:rPr>
        <w:t>la</w:t>
      </w:r>
      <w:r w:rsidRPr="006102BF">
        <w:rPr>
          <w:rFonts w:ascii="Tahoma" w:hAnsi="Tahoma" w:cs="Tahoma"/>
          <w:sz w:val="22"/>
          <w:szCs w:val="22"/>
        </w:rPr>
        <w:t xml:space="preserve"> señor</w:t>
      </w:r>
      <w:r w:rsidR="00E567BA">
        <w:rPr>
          <w:rFonts w:ascii="Tahoma" w:hAnsi="Tahoma" w:cs="Tahoma"/>
          <w:sz w:val="22"/>
          <w:szCs w:val="22"/>
        </w:rPr>
        <w:t xml:space="preserve">a </w:t>
      </w:r>
      <w:r w:rsidR="00EE5EF2">
        <w:rPr>
          <w:rFonts w:ascii="Tahoma" w:hAnsi="Tahoma" w:cs="Tahoma"/>
          <w:sz w:val="22"/>
          <w:szCs w:val="22"/>
        </w:rPr>
        <w:t xml:space="preserve">María Esperanza Ríos </w:t>
      </w:r>
      <w:r w:rsidRPr="006102BF">
        <w:rPr>
          <w:rFonts w:ascii="Tahoma" w:hAnsi="Tahoma" w:cs="Tahoma"/>
          <w:sz w:val="22"/>
          <w:szCs w:val="22"/>
        </w:rPr>
        <w:t xml:space="preserve">tenía derecho a disfrutar de la pensión no era otro que el día siguiente a aquel que realizó la última cotización al sistema, esto es, desde el 1º de </w:t>
      </w:r>
      <w:r w:rsidR="00EE5EF2">
        <w:rPr>
          <w:rFonts w:ascii="Tahoma" w:hAnsi="Tahoma" w:cs="Tahoma"/>
          <w:sz w:val="22"/>
          <w:szCs w:val="22"/>
        </w:rPr>
        <w:t>agosto de 2009</w:t>
      </w:r>
      <w:r w:rsidRPr="006102BF">
        <w:rPr>
          <w:rFonts w:ascii="Tahoma" w:hAnsi="Tahoma" w:cs="Tahoma"/>
          <w:sz w:val="22"/>
          <w:szCs w:val="22"/>
        </w:rPr>
        <w:t>.</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Pr="005E04A9">
        <w:rPr>
          <w:rFonts w:ascii="Tahoma" w:hAnsi="Tahoma" w:cs="Tahoma"/>
          <w:sz w:val="22"/>
          <w:szCs w:val="22"/>
        </w:rPr>
        <w:t>Buelvas</w:t>
      </w:r>
      <w:proofErr w:type="spellEnd"/>
      <w:r w:rsidRPr="005E04A9">
        <w:rPr>
          <w:rFonts w:ascii="Tahoma" w:hAnsi="Tahoma" w:cs="Tahoma"/>
          <w:sz w:val="22"/>
          <w:szCs w:val="22"/>
        </w:rPr>
        <w:t xml:space="preserve">,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rsidR="006B0EE8" w:rsidRPr="005E04A9" w:rsidRDefault="006B0EE8" w:rsidP="006B0EE8">
      <w:pPr>
        <w:pStyle w:val="Prrafodelista"/>
        <w:spacing w:line="276" w:lineRule="auto"/>
        <w:ind w:left="1080"/>
        <w:jc w:val="both"/>
        <w:rPr>
          <w:rFonts w:ascii="Tahoma" w:hAnsi="Tahoma" w:cs="Tahoma"/>
          <w:bCs/>
          <w:sz w:val="22"/>
          <w:szCs w:val="22"/>
        </w:rPr>
      </w:pPr>
    </w:p>
    <w:p w:rsidR="006B0EE8" w:rsidRPr="005E04A9" w:rsidRDefault="006B0EE8" w:rsidP="006B0EE8">
      <w:pPr>
        <w:pStyle w:val="Prrafodelista"/>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Pr>
          <w:rFonts w:ascii="Arial Narrow" w:hAnsi="Arial Narrow"/>
          <w:sz w:val="22"/>
          <w:szCs w:val="22"/>
        </w:rPr>
        <w:t>.</w:t>
      </w:r>
      <w:r w:rsidRPr="005E04A9">
        <w:rPr>
          <w:rFonts w:ascii="Arial Narrow" w:hAnsi="Arial Narrow"/>
          <w:sz w:val="22"/>
          <w:szCs w:val="22"/>
        </w:rPr>
        <w:t>”</w:t>
      </w:r>
    </w:p>
    <w:p w:rsidR="006B0EE8" w:rsidRPr="005E04A9" w:rsidRDefault="006B0EE8" w:rsidP="006B0EE8">
      <w:pPr>
        <w:pStyle w:val="Prrafodelista"/>
        <w:ind w:left="1080"/>
        <w:jc w:val="both"/>
        <w:rPr>
          <w:rFonts w:ascii="Tahoma" w:hAnsi="Tahoma" w:cs="Tahoma"/>
          <w:sz w:val="22"/>
          <w:szCs w:val="22"/>
        </w:rPr>
      </w:pPr>
    </w:p>
    <w:p w:rsidR="006B0EE8" w:rsidRPr="00814B6A" w:rsidRDefault="006B0EE8" w:rsidP="00814B6A">
      <w:pPr>
        <w:pStyle w:val="Prrafodelista"/>
        <w:spacing w:line="276" w:lineRule="auto"/>
        <w:ind w:left="0" w:firstLine="709"/>
        <w:jc w:val="both"/>
        <w:rPr>
          <w:rFonts w:ascii="Tahoma" w:hAnsi="Tahoma" w:cs="Tahoma"/>
          <w:sz w:val="22"/>
          <w:szCs w:val="22"/>
          <w:highlight w:val="yellow"/>
        </w:rPr>
      </w:pPr>
      <w:r>
        <w:rPr>
          <w:rFonts w:ascii="Tahoma" w:hAnsi="Tahoma" w:cs="Tahoma"/>
          <w:sz w:val="22"/>
          <w:szCs w:val="22"/>
        </w:rPr>
        <w:t>Por lo anterior e</w:t>
      </w:r>
      <w:r w:rsidRPr="00814B6A">
        <w:rPr>
          <w:rFonts w:ascii="Tahoma" w:hAnsi="Tahoma" w:cs="Tahoma"/>
          <w:sz w:val="22"/>
          <w:szCs w:val="22"/>
        </w:rPr>
        <w:t xml:space="preserve">s evidente que acertó la Jueza de instancia al conceder la prestación a partir del 1º de </w:t>
      </w:r>
      <w:r w:rsidR="00EE5EF2" w:rsidRPr="00814B6A">
        <w:rPr>
          <w:rFonts w:ascii="Tahoma" w:hAnsi="Tahoma" w:cs="Tahoma"/>
          <w:sz w:val="22"/>
          <w:szCs w:val="22"/>
        </w:rPr>
        <w:t>agosto de 2009</w:t>
      </w:r>
      <w:r w:rsidRPr="00814B6A">
        <w:rPr>
          <w:rFonts w:ascii="Tahoma" w:hAnsi="Tahoma" w:cs="Tahoma"/>
          <w:sz w:val="22"/>
          <w:szCs w:val="22"/>
        </w:rPr>
        <w:t>. Por otra parte, fue acertado el hito final hasta el cual calculó el retroactivo, 3</w:t>
      </w:r>
      <w:r w:rsidR="00EE5EF2" w:rsidRPr="00814B6A">
        <w:rPr>
          <w:rFonts w:ascii="Tahoma" w:hAnsi="Tahoma" w:cs="Tahoma"/>
          <w:sz w:val="22"/>
          <w:szCs w:val="22"/>
        </w:rPr>
        <w:t>0 de noviembre de 2011</w:t>
      </w:r>
      <w:r w:rsidRPr="00814B6A">
        <w:rPr>
          <w:rFonts w:ascii="Tahoma" w:hAnsi="Tahoma" w:cs="Tahoma"/>
          <w:sz w:val="22"/>
          <w:szCs w:val="22"/>
        </w:rPr>
        <w:t xml:space="preserve">, pues la prestación se reconoció a partir del día siguiente, 1º de </w:t>
      </w:r>
      <w:r w:rsidR="00EE5EF2" w:rsidRPr="00814B6A">
        <w:rPr>
          <w:rFonts w:ascii="Tahoma" w:hAnsi="Tahoma" w:cs="Tahoma"/>
          <w:sz w:val="22"/>
          <w:szCs w:val="22"/>
        </w:rPr>
        <w:t>diciembre</w:t>
      </w:r>
      <w:r w:rsidRPr="00814B6A">
        <w:rPr>
          <w:rFonts w:ascii="Tahoma" w:hAnsi="Tahoma" w:cs="Tahoma"/>
          <w:sz w:val="22"/>
          <w:szCs w:val="22"/>
        </w:rPr>
        <w:t>.</w:t>
      </w:r>
    </w:p>
    <w:p w:rsidR="006B0EE8" w:rsidRPr="00814B6A" w:rsidRDefault="006B0EE8" w:rsidP="00814B6A">
      <w:pPr>
        <w:pStyle w:val="Prrafodelista"/>
        <w:spacing w:line="276" w:lineRule="auto"/>
        <w:ind w:left="0" w:firstLine="709"/>
        <w:jc w:val="both"/>
        <w:rPr>
          <w:rFonts w:ascii="Tahoma" w:hAnsi="Tahoma" w:cs="Tahoma"/>
          <w:sz w:val="22"/>
          <w:szCs w:val="22"/>
          <w:highlight w:val="yellow"/>
        </w:rPr>
      </w:pPr>
    </w:p>
    <w:p w:rsidR="00814B6A" w:rsidRDefault="006B0EE8" w:rsidP="00814B6A">
      <w:pPr>
        <w:spacing w:line="276" w:lineRule="auto"/>
        <w:ind w:firstLine="708"/>
        <w:jc w:val="both"/>
        <w:rPr>
          <w:rFonts w:ascii="Tahoma" w:hAnsi="Tahoma" w:cs="Tahoma"/>
          <w:sz w:val="22"/>
          <w:szCs w:val="22"/>
        </w:rPr>
      </w:pPr>
      <w:r w:rsidRPr="00814B6A">
        <w:rPr>
          <w:rFonts w:ascii="Tahoma" w:hAnsi="Tahoma" w:cs="Tahoma"/>
          <w:sz w:val="22"/>
          <w:szCs w:val="22"/>
        </w:rPr>
        <w:t xml:space="preserve">Así las cosas, la Sala procedió a verificar si el retroactivo decretado en primer grado se encuentra ajustado a derecho. Para ello, se avalará como primera medida la disposición por la cual se calculó el monto adeudado por trece mesadas anuales, como quiera que la pensión </w:t>
      </w:r>
      <w:r w:rsidR="00A51F6E" w:rsidRPr="00814B6A">
        <w:rPr>
          <w:rFonts w:ascii="Tahoma" w:hAnsi="Tahoma" w:cs="Tahoma"/>
          <w:sz w:val="22"/>
          <w:szCs w:val="22"/>
        </w:rPr>
        <w:t xml:space="preserve">se causó en vigencia del Acto Legislativo 01 de 2005 y </w:t>
      </w:r>
      <w:r w:rsidRPr="00814B6A">
        <w:rPr>
          <w:rFonts w:ascii="Tahoma" w:hAnsi="Tahoma" w:cs="Tahoma"/>
          <w:sz w:val="22"/>
          <w:szCs w:val="22"/>
        </w:rPr>
        <w:t>s</w:t>
      </w:r>
      <w:r w:rsidR="00A51F6E" w:rsidRPr="00814B6A">
        <w:rPr>
          <w:rFonts w:ascii="Tahoma" w:hAnsi="Tahoma" w:cs="Tahoma"/>
          <w:sz w:val="22"/>
          <w:szCs w:val="22"/>
        </w:rPr>
        <w:t>upera los 3 salarios mínimos legales</w:t>
      </w:r>
      <w:r w:rsidRPr="00814B6A">
        <w:rPr>
          <w:rFonts w:ascii="Tahoma" w:hAnsi="Tahoma" w:cs="Tahoma"/>
          <w:sz w:val="22"/>
          <w:szCs w:val="22"/>
        </w:rPr>
        <w:t>. Ahora bien, debe decirse que el valor que tomó la Jueza de instancia para el año 201</w:t>
      </w:r>
      <w:r w:rsidR="0069400F" w:rsidRPr="00814B6A">
        <w:rPr>
          <w:rFonts w:ascii="Tahoma" w:hAnsi="Tahoma" w:cs="Tahoma"/>
          <w:sz w:val="22"/>
          <w:szCs w:val="22"/>
        </w:rPr>
        <w:t>2</w:t>
      </w:r>
      <w:r w:rsidRPr="00814B6A">
        <w:rPr>
          <w:rFonts w:ascii="Tahoma" w:hAnsi="Tahoma" w:cs="Tahoma"/>
          <w:sz w:val="22"/>
          <w:szCs w:val="22"/>
        </w:rPr>
        <w:t>, por $</w:t>
      </w:r>
      <w:r w:rsidR="00B95040" w:rsidRPr="00814B6A">
        <w:rPr>
          <w:rFonts w:ascii="Tahoma" w:hAnsi="Tahoma" w:cs="Tahoma"/>
          <w:sz w:val="22"/>
          <w:szCs w:val="22"/>
        </w:rPr>
        <w:t>1.759.198</w:t>
      </w:r>
      <w:r w:rsidRPr="00814B6A">
        <w:rPr>
          <w:rFonts w:ascii="Tahoma" w:hAnsi="Tahoma" w:cs="Tahoma"/>
          <w:sz w:val="22"/>
          <w:szCs w:val="22"/>
        </w:rPr>
        <w:t xml:space="preserve">, </w:t>
      </w:r>
      <w:r w:rsidRPr="00814B6A">
        <w:rPr>
          <w:rFonts w:ascii="Tahoma" w:hAnsi="Tahoma" w:cs="Tahoma"/>
          <w:i/>
          <w:sz w:val="22"/>
          <w:szCs w:val="22"/>
        </w:rPr>
        <w:t>-con base en la mesada reconocida por Colpensiones para el año 201</w:t>
      </w:r>
      <w:r w:rsidR="00B95040" w:rsidRPr="00814B6A">
        <w:rPr>
          <w:rFonts w:ascii="Tahoma" w:hAnsi="Tahoma" w:cs="Tahoma"/>
          <w:i/>
          <w:sz w:val="22"/>
          <w:szCs w:val="22"/>
        </w:rPr>
        <w:t>1</w:t>
      </w:r>
      <w:r w:rsidRPr="00814B6A">
        <w:rPr>
          <w:rFonts w:ascii="Tahoma" w:hAnsi="Tahoma" w:cs="Tahoma"/>
          <w:i/>
          <w:sz w:val="22"/>
          <w:szCs w:val="22"/>
        </w:rPr>
        <w:t xml:space="preserve">-, </w:t>
      </w:r>
      <w:r w:rsidRPr="00814B6A">
        <w:rPr>
          <w:rFonts w:ascii="Tahoma" w:hAnsi="Tahoma" w:cs="Tahoma"/>
          <w:sz w:val="22"/>
          <w:szCs w:val="22"/>
        </w:rPr>
        <w:t>es acertado,</w:t>
      </w:r>
      <w:r w:rsidRPr="00814B6A">
        <w:rPr>
          <w:rFonts w:ascii="Tahoma" w:hAnsi="Tahoma" w:cs="Tahoma"/>
          <w:i/>
          <w:sz w:val="22"/>
          <w:szCs w:val="22"/>
        </w:rPr>
        <w:t xml:space="preserve"> </w:t>
      </w:r>
      <w:r w:rsidR="00DD6A22" w:rsidRPr="00814B6A">
        <w:rPr>
          <w:rFonts w:ascii="Tahoma" w:hAnsi="Tahoma" w:cs="Tahoma"/>
          <w:sz w:val="22"/>
          <w:szCs w:val="22"/>
        </w:rPr>
        <w:t>no obstante</w:t>
      </w:r>
      <w:r w:rsidR="00814B6A" w:rsidRPr="00814B6A">
        <w:rPr>
          <w:rFonts w:ascii="Tahoma" w:hAnsi="Tahoma" w:cs="Tahoma"/>
          <w:sz w:val="22"/>
          <w:szCs w:val="22"/>
        </w:rPr>
        <w:t>, se advierte que en la liquidación –visible a folio 128- se omitió calcular la mesada adicional del año 2009, por lo que en realidad el retroactivo adeudado asciende a $</w:t>
      </w:r>
      <w:r w:rsidR="00814B6A" w:rsidRPr="00814B6A">
        <w:rPr>
          <w:rFonts w:ascii="Tahoma" w:hAnsi="Tahoma" w:cs="Tahoma"/>
          <w:color w:val="000000"/>
          <w:sz w:val="22"/>
          <w:szCs w:val="22"/>
        </w:rPr>
        <w:t>54.246.297</w:t>
      </w:r>
      <w:r w:rsidR="00814B6A" w:rsidRPr="00814B6A">
        <w:rPr>
          <w:rFonts w:ascii="Tahoma" w:hAnsi="Tahoma" w:cs="Tahoma"/>
          <w:color w:val="000000"/>
          <w:sz w:val="18"/>
          <w:szCs w:val="18"/>
        </w:rPr>
        <w:t>,27</w:t>
      </w:r>
      <w:r w:rsidR="00814B6A" w:rsidRPr="0069400F">
        <w:rPr>
          <w:rFonts w:ascii="Tahoma" w:hAnsi="Tahoma" w:cs="Tahoma"/>
          <w:sz w:val="22"/>
          <w:szCs w:val="22"/>
        </w:rPr>
        <w:t xml:space="preserve">, </w:t>
      </w:r>
      <w:r w:rsidR="00065335">
        <w:rPr>
          <w:rFonts w:ascii="Tahoma" w:hAnsi="Tahoma" w:cs="Tahoma"/>
          <w:sz w:val="22"/>
          <w:szCs w:val="22"/>
        </w:rPr>
        <w:t xml:space="preserve">sin perjuicio de los descuentos de ley, </w:t>
      </w:r>
      <w:r w:rsidR="00814B6A" w:rsidRPr="0069400F">
        <w:rPr>
          <w:rFonts w:ascii="Tahoma" w:hAnsi="Tahoma" w:cs="Tahoma"/>
          <w:sz w:val="22"/>
          <w:szCs w:val="22"/>
        </w:rPr>
        <w:t>tal como se observa en la liquidación que se pone de presente a los asistentes y que hará parte del acta que se levante con ocasión de la presente diligencia.</w:t>
      </w:r>
    </w:p>
    <w:p w:rsidR="00814B6A" w:rsidRDefault="00814B6A" w:rsidP="00814B6A">
      <w:pPr>
        <w:spacing w:line="276" w:lineRule="auto"/>
        <w:ind w:firstLine="708"/>
        <w:jc w:val="both"/>
        <w:rPr>
          <w:rFonts w:ascii="Tahoma" w:hAnsi="Tahoma" w:cs="Tahoma"/>
          <w:sz w:val="22"/>
          <w:szCs w:val="22"/>
        </w:rPr>
      </w:pPr>
    </w:p>
    <w:p w:rsidR="00CE0231" w:rsidRDefault="00814B6A" w:rsidP="00814B6A">
      <w:pPr>
        <w:spacing w:line="276" w:lineRule="auto"/>
        <w:jc w:val="both"/>
        <w:rPr>
          <w:rFonts w:ascii="Tahoma" w:hAnsi="Tahoma" w:cs="Tahoma"/>
          <w:sz w:val="22"/>
          <w:szCs w:val="22"/>
        </w:rPr>
      </w:pPr>
      <w:r>
        <w:rPr>
          <w:rFonts w:ascii="Tahoma" w:hAnsi="Tahoma" w:cs="Tahoma"/>
          <w:sz w:val="22"/>
          <w:szCs w:val="22"/>
        </w:rPr>
        <w:lastRenderedPageBreak/>
        <w:tab/>
        <w:t xml:space="preserve">Por lo anterior se modificará el ordinal tercero de la sentencia de primer grado, siendo del caso </w:t>
      </w:r>
      <w:r w:rsidR="009B354F">
        <w:rPr>
          <w:rFonts w:ascii="Tahoma" w:hAnsi="Tahoma" w:cs="Tahoma"/>
          <w:sz w:val="22"/>
          <w:szCs w:val="22"/>
        </w:rPr>
        <w:t xml:space="preserve">indicar al apelante que el monto que </w:t>
      </w:r>
      <w:r w:rsidR="00CE0231">
        <w:rPr>
          <w:rFonts w:ascii="Tahoma" w:hAnsi="Tahoma" w:cs="Tahoma"/>
          <w:sz w:val="22"/>
          <w:szCs w:val="22"/>
        </w:rPr>
        <w:t xml:space="preserve">señala </w:t>
      </w:r>
      <w:r w:rsidR="009B354F">
        <w:rPr>
          <w:rFonts w:ascii="Tahoma" w:hAnsi="Tahoma" w:cs="Tahoma"/>
          <w:sz w:val="22"/>
          <w:szCs w:val="22"/>
        </w:rPr>
        <w:t xml:space="preserve">en la demanda no </w:t>
      </w:r>
      <w:r w:rsidR="00CE0231">
        <w:rPr>
          <w:rFonts w:ascii="Tahoma" w:hAnsi="Tahoma" w:cs="Tahoma"/>
          <w:sz w:val="22"/>
          <w:szCs w:val="22"/>
        </w:rPr>
        <w:t>puede contrastarse con el obtenido en esta sede por cuanto no emerge de una liquidación sino de un mero enunciado, desconociéndose de qué valores proviene.</w:t>
      </w:r>
    </w:p>
    <w:p w:rsidR="00065335" w:rsidRDefault="00065335" w:rsidP="00814B6A">
      <w:pPr>
        <w:spacing w:line="276" w:lineRule="auto"/>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sz w:val="22"/>
          <w:szCs w:val="22"/>
        </w:rPr>
      </w:pPr>
      <w:r w:rsidRPr="005E04A9">
        <w:rPr>
          <w:rFonts w:ascii="Tahoma" w:hAnsi="Tahoma" w:cs="Tahoma"/>
          <w:sz w:val="22"/>
          <w:szCs w:val="22"/>
        </w:rPr>
        <w:t xml:space="preserve">Se dirá </w:t>
      </w:r>
      <w:r>
        <w:rPr>
          <w:rFonts w:ascii="Tahoma" w:hAnsi="Tahoma" w:cs="Tahoma"/>
          <w:sz w:val="22"/>
          <w:szCs w:val="22"/>
        </w:rPr>
        <w:t xml:space="preserve">igualmente </w:t>
      </w:r>
      <w:r w:rsidRPr="005E04A9">
        <w:rPr>
          <w:rFonts w:ascii="Tahoma" w:hAnsi="Tahoma" w:cs="Tahoma"/>
          <w:sz w:val="22"/>
          <w:szCs w:val="22"/>
        </w:rPr>
        <w:t>que ninguna de las mesadas reclamadas se vio afectada por el fenómeno de la prescripción</w:t>
      </w:r>
      <w:r w:rsidR="0069400F">
        <w:rPr>
          <w:rFonts w:ascii="Tahoma" w:hAnsi="Tahoma" w:cs="Tahoma"/>
          <w:sz w:val="22"/>
          <w:szCs w:val="22"/>
        </w:rPr>
        <w:t xml:space="preserve">, </w:t>
      </w:r>
      <w:r w:rsidRPr="005E04A9">
        <w:rPr>
          <w:rFonts w:ascii="Tahoma" w:hAnsi="Tahoma" w:cs="Tahoma"/>
          <w:sz w:val="22"/>
          <w:szCs w:val="22"/>
        </w:rPr>
        <w:t xml:space="preserve">en razón </w:t>
      </w:r>
      <w:r w:rsidR="00CE0231">
        <w:rPr>
          <w:rFonts w:ascii="Tahoma" w:hAnsi="Tahoma" w:cs="Tahoma"/>
          <w:sz w:val="22"/>
          <w:szCs w:val="22"/>
        </w:rPr>
        <w:t xml:space="preserve">a </w:t>
      </w:r>
      <w:r w:rsidRPr="005E04A9">
        <w:rPr>
          <w:rFonts w:ascii="Tahoma" w:hAnsi="Tahoma" w:cs="Tahoma"/>
          <w:sz w:val="22"/>
          <w:szCs w:val="22"/>
        </w:rPr>
        <w:t>que entre la fecha en que quedó en firme la Resolución</w:t>
      </w:r>
      <w:r w:rsidRPr="004A349C">
        <w:rPr>
          <w:rFonts w:ascii="Tahoma" w:hAnsi="Tahoma" w:cs="Tahoma"/>
          <w:sz w:val="22"/>
          <w:szCs w:val="22"/>
        </w:rPr>
        <w:t xml:space="preserve"> </w:t>
      </w:r>
      <w:r w:rsidR="00CE0231">
        <w:rPr>
          <w:rFonts w:ascii="Tahoma" w:hAnsi="Tahoma" w:cs="Tahoma"/>
          <w:sz w:val="22"/>
          <w:szCs w:val="22"/>
        </w:rPr>
        <w:t>2916 de 2011</w:t>
      </w:r>
      <w:r w:rsidR="00CE0231">
        <w:rPr>
          <w:rStyle w:val="Refdenotaalpie"/>
          <w:rFonts w:ascii="Tahoma" w:hAnsi="Tahoma" w:cs="Tahoma"/>
          <w:sz w:val="22"/>
          <w:szCs w:val="22"/>
        </w:rPr>
        <w:footnoteReference w:id="3"/>
      </w:r>
      <w:r w:rsidRPr="005E04A9">
        <w:rPr>
          <w:rFonts w:ascii="Tahoma" w:hAnsi="Tahoma" w:cs="Tahoma"/>
          <w:sz w:val="22"/>
          <w:szCs w:val="22"/>
        </w:rPr>
        <w:t xml:space="preserve">, por medio de la cual se </w:t>
      </w:r>
      <w:r w:rsidR="00CE0231">
        <w:rPr>
          <w:rFonts w:ascii="Tahoma" w:hAnsi="Tahoma" w:cs="Tahoma"/>
          <w:sz w:val="22"/>
          <w:szCs w:val="22"/>
        </w:rPr>
        <w:t>negó inicialmente la pensión</w:t>
      </w:r>
      <w:r w:rsidRPr="005E04A9">
        <w:rPr>
          <w:rFonts w:ascii="Tahoma" w:hAnsi="Tahoma" w:cs="Tahoma"/>
          <w:sz w:val="22"/>
          <w:szCs w:val="22"/>
        </w:rPr>
        <w:t>, y la presentación de la demanda, no transcurrieron más de 3 años.</w:t>
      </w:r>
    </w:p>
    <w:p w:rsidR="006B0EE8" w:rsidRDefault="006B0EE8" w:rsidP="006B0EE8">
      <w:pPr>
        <w:spacing w:line="276" w:lineRule="auto"/>
        <w:jc w:val="both"/>
        <w:rPr>
          <w:rFonts w:ascii="Tahoma" w:hAnsi="Tahoma" w:cs="Tahoma"/>
          <w:sz w:val="22"/>
          <w:szCs w:val="22"/>
        </w:rPr>
      </w:pPr>
    </w:p>
    <w:p w:rsidR="000F6BA9" w:rsidRDefault="006B0EE8" w:rsidP="006B0EE8">
      <w:pPr>
        <w:spacing w:line="276" w:lineRule="auto"/>
        <w:ind w:firstLine="708"/>
        <w:jc w:val="both"/>
        <w:rPr>
          <w:rFonts w:ascii="Tahoma" w:hAnsi="Tahoma" w:cs="Tahoma"/>
          <w:sz w:val="22"/>
          <w:szCs w:val="22"/>
        </w:rPr>
      </w:pPr>
      <w:r w:rsidRPr="000C663A">
        <w:rPr>
          <w:rFonts w:ascii="Tahoma" w:hAnsi="Tahoma" w:cs="Tahoma"/>
          <w:sz w:val="22"/>
          <w:szCs w:val="22"/>
        </w:rPr>
        <w:t>Finalmente,</w:t>
      </w:r>
      <w:r>
        <w:rPr>
          <w:rFonts w:ascii="Tahoma" w:hAnsi="Tahoma" w:cs="Tahoma"/>
          <w:sz w:val="22"/>
          <w:szCs w:val="22"/>
        </w:rPr>
        <w:t xml:space="preserve"> </w:t>
      </w:r>
      <w:r w:rsidR="000E1FFC">
        <w:rPr>
          <w:rFonts w:ascii="Tahoma" w:hAnsi="Tahoma" w:cs="Tahoma"/>
          <w:sz w:val="22"/>
          <w:szCs w:val="22"/>
        </w:rPr>
        <w:t xml:space="preserve">debe indicar la Sala que </w:t>
      </w:r>
      <w:r w:rsidR="000F6BA9">
        <w:rPr>
          <w:rFonts w:ascii="Tahoma" w:hAnsi="Tahoma" w:cs="Tahoma"/>
          <w:sz w:val="22"/>
          <w:szCs w:val="22"/>
        </w:rPr>
        <w:t xml:space="preserve">a pesar de que a la demandante le asistía derecho a percibir los intereses moratorios desde el 10 de noviembre de 2009, cuando vencieron los 4 meses con los que contaba la entidad para reconocerle y cancelarle la gracia pensional, hasta el pago efectivo del retroactivo a que tiene derecho, al no haber sido apelado ese punto y al conocerse el presente asunto en virtud del grado jurisdiccional de consulta a favor de Colpensiones, la determinación de la Jueza de instancia, que ordenó su pago desde el 10 de enero de 2010 hasta el 1º de diciembre de 2011 </w:t>
      </w:r>
      <w:r w:rsidR="000F6BA9" w:rsidRPr="000F6BA9">
        <w:rPr>
          <w:rFonts w:ascii="Arial Narrow" w:hAnsi="Arial Narrow" w:cs="Tahoma"/>
          <w:i/>
          <w:sz w:val="22"/>
          <w:szCs w:val="22"/>
        </w:rPr>
        <w:t>–por un valor de $14.212.983-</w:t>
      </w:r>
      <w:r w:rsidR="000F6BA9">
        <w:rPr>
          <w:rFonts w:ascii="Tahoma" w:hAnsi="Tahoma" w:cs="Tahoma"/>
          <w:sz w:val="22"/>
          <w:szCs w:val="22"/>
        </w:rPr>
        <w:t xml:space="preserve"> se mantendrá incólume.</w:t>
      </w:r>
    </w:p>
    <w:p w:rsidR="006B0EE8" w:rsidRDefault="006B0EE8" w:rsidP="006B0EE8">
      <w:pPr>
        <w:spacing w:line="276" w:lineRule="auto"/>
        <w:ind w:firstLine="708"/>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w:t>
      </w:r>
      <w:r w:rsidR="00AF51DB">
        <w:rPr>
          <w:rFonts w:ascii="Tahoma" w:hAnsi="Tahoma" w:cs="Tahoma"/>
          <w:bCs/>
          <w:sz w:val="22"/>
          <w:szCs w:val="22"/>
        </w:rPr>
        <w:t>a instancia por haber prosperado parcialmente el recurso</w:t>
      </w:r>
    </w:p>
    <w:p w:rsidR="006B0EE8" w:rsidRDefault="006B0EE8" w:rsidP="006B0EE8">
      <w:pPr>
        <w:pStyle w:val="Textoindependiente"/>
        <w:spacing w:after="0" w:line="276" w:lineRule="auto"/>
        <w:ind w:right="51"/>
        <w:jc w:val="both"/>
        <w:rPr>
          <w:rFonts w:ascii="Tahoma" w:hAnsi="Tahoma" w:cs="Tahoma"/>
          <w:sz w:val="22"/>
          <w:szCs w:val="22"/>
        </w:rPr>
      </w:pPr>
    </w:p>
    <w:p w:rsidR="006B0EE8" w:rsidRDefault="006B0EE8" w:rsidP="006B0EE8">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9325CB" w:rsidRPr="005E04A9" w:rsidRDefault="009325CB" w:rsidP="006B0EE8">
      <w:pPr>
        <w:pStyle w:val="Prrafodelista"/>
        <w:tabs>
          <w:tab w:val="left" w:pos="748"/>
        </w:tabs>
        <w:spacing w:line="276" w:lineRule="auto"/>
        <w:ind w:left="1080"/>
        <w:jc w:val="both"/>
        <w:rPr>
          <w:sz w:val="22"/>
          <w:szCs w:val="22"/>
        </w:rPr>
      </w:pPr>
    </w:p>
    <w:p w:rsidR="006B0EE8" w:rsidRPr="005E04A9" w:rsidRDefault="000F6BA9" w:rsidP="000F6BA9">
      <w:pPr>
        <w:pStyle w:val="Prrafodelista"/>
        <w:widowControl w:val="0"/>
        <w:numPr>
          <w:ilvl w:val="0"/>
          <w:numId w:val="8"/>
        </w:numPr>
        <w:tabs>
          <w:tab w:val="clear" w:pos="1080"/>
          <w:tab w:val="left" w:pos="28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RESUELVE</w:t>
      </w:r>
    </w:p>
    <w:p w:rsidR="006B0EE8" w:rsidRPr="005E04A9" w:rsidRDefault="006B0EE8" w:rsidP="006B0EE8">
      <w:pPr>
        <w:pStyle w:val="Prrafodelista"/>
        <w:widowControl w:val="0"/>
        <w:autoSpaceDE w:val="0"/>
        <w:autoSpaceDN w:val="0"/>
        <w:adjustRightInd w:val="0"/>
        <w:spacing w:line="276" w:lineRule="auto"/>
        <w:ind w:left="1080"/>
        <w:jc w:val="both"/>
        <w:rPr>
          <w:rFonts w:ascii="Tahoma" w:hAnsi="Tahoma" w:cs="Tahoma"/>
          <w:sz w:val="22"/>
          <w:szCs w:val="22"/>
        </w:rPr>
      </w:pPr>
    </w:p>
    <w:p w:rsidR="00AF51DB" w:rsidRDefault="006B0EE8" w:rsidP="006B0EE8">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AF51DB" w:rsidRPr="00065335">
        <w:rPr>
          <w:rFonts w:ascii="Tahoma" w:hAnsi="Tahoma" w:cs="Tahoma"/>
          <w:b/>
          <w:sz w:val="22"/>
          <w:szCs w:val="22"/>
        </w:rPr>
        <w:t>MODIFICAR</w:t>
      </w:r>
      <w:r w:rsidR="00AF51DB">
        <w:rPr>
          <w:rFonts w:ascii="Tahoma" w:hAnsi="Tahoma" w:cs="Tahoma"/>
          <w:sz w:val="22"/>
          <w:szCs w:val="22"/>
        </w:rPr>
        <w:t xml:space="preserve"> el ordinal tercero de la sentencia proferida </w:t>
      </w:r>
      <w:r w:rsidR="00AF51DB" w:rsidRPr="005E04A9">
        <w:rPr>
          <w:rFonts w:ascii="Tahoma" w:hAnsi="Tahoma" w:cs="Tahoma"/>
          <w:sz w:val="22"/>
          <w:szCs w:val="22"/>
        </w:rPr>
        <w:t xml:space="preserve">por el Juzgado </w:t>
      </w:r>
      <w:r w:rsidR="00AF51DB">
        <w:rPr>
          <w:rFonts w:ascii="Tahoma" w:hAnsi="Tahoma" w:cs="Tahoma"/>
          <w:sz w:val="22"/>
          <w:szCs w:val="22"/>
        </w:rPr>
        <w:t xml:space="preserve">Primero </w:t>
      </w:r>
      <w:r w:rsidR="00AF51DB" w:rsidRPr="005E04A9">
        <w:rPr>
          <w:rFonts w:ascii="Tahoma" w:hAnsi="Tahoma" w:cs="Tahoma"/>
          <w:sz w:val="22"/>
          <w:szCs w:val="22"/>
        </w:rPr>
        <w:t xml:space="preserve">Laboral del Circuito de Pereira, dentro del proceso iniciado por </w:t>
      </w:r>
      <w:r w:rsidR="00AF51DB">
        <w:rPr>
          <w:rFonts w:ascii="Tahoma" w:hAnsi="Tahoma" w:cs="Tahoma"/>
          <w:b/>
          <w:sz w:val="22"/>
          <w:szCs w:val="22"/>
        </w:rPr>
        <w:t xml:space="preserve">María Esperanza Ríos </w:t>
      </w:r>
      <w:proofErr w:type="spellStart"/>
      <w:r w:rsidR="00AF51DB">
        <w:rPr>
          <w:rFonts w:ascii="Tahoma" w:hAnsi="Tahoma" w:cs="Tahoma"/>
          <w:b/>
          <w:sz w:val="22"/>
          <w:szCs w:val="22"/>
        </w:rPr>
        <w:t>Mape</w:t>
      </w:r>
      <w:proofErr w:type="spellEnd"/>
      <w:r w:rsidR="00AF51DB">
        <w:rPr>
          <w:rFonts w:ascii="Tahoma" w:hAnsi="Tahoma" w:cs="Tahoma"/>
          <w:b/>
          <w:sz w:val="22"/>
          <w:szCs w:val="22"/>
        </w:rPr>
        <w:t xml:space="preserve"> </w:t>
      </w:r>
      <w:r w:rsidR="00AF51DB" w:rsidRPr="003071C6">
        <w:rPr>
          <w:rFonts w:ascii="Tahoma" w:hAnsi="Tahoma" w:cs="Tahoma"/>
          <w:sz w:val="22"/>
          <w:szCs w:val="22"/>
        </w:rPr>
        <w:t>e</w:t>
      </w:r>
      <w:r w:rsidR="00AF51DB" w:rsidRPr="003071C6">
        <w:rPr>
          <w:rFonts w:ascii="Tahoma" w:hAnsi="Tahoma" w:cs="Tahoma"/>
          <w:sz w:val="22"/>
          <w:szCs w:val="22"/>
          <w:lang w:val="es-ES_tradnl"/>
        </w:rPr>
        <w:t>n</w:t>
      </w:r>
      <w:r w:rsidR="00AF51DB" w:rsidRPr="005E04A9">
        <w:rPr>
          <w:rFonts w:ascii="Tahoma" w:hAnsi="Tahoma" w:cs="Tahoma"/>
          <w:sz w:val="22"/>
          <w:szCs w:val="22"/>
          <w:lang w:val="es-ES_tradnl"/>
        </w:rPr>
        <w:t xml:space="preserve"> contra de la </w:t>
      </w:r>
      <w:r w:rsidR="00AF51DB" w:rsidRPr="005E04A9">
        <w:rPr>
          <w:rFonts w:ascii="Tahoma" w:hAnsi="Tahoma" w:cs="Tahoma"/>
          <w:b/>
          <w:sz w:val="22"/>
          <w:szCs w:val="22"/>
          <w:lang w:val="es-ES_tradnl"/>
        </w:rPr>
        <w:t>Administradora Colombiana de Pensiones – Colpensiones</w:t>
      </w:r>
      <w:r w:rsidR="00AF51DB" w:rsidRPr="00065335">
        <w:rPr>
          <w:rFonts w:ascii="Tahoma" w:hAnsi="Tahoma" w:cs="Tahoma"/>
          <w:sz w:val="22"/>
          <w:szCs w:val="22"/>
          <w:lang w:val="es-ES_tradnl"/>
        </w:rPr>
        <w:t xml:space="preserve">, en el sentido de que el retroactivo a que tiene derecho la demandante, causado entre el 1º de agosto de 2009 y el </w:t>
      </w:r>
      <w:r w:rsidR="00065335" w:rsidRPr="00065335">
        <w:rPr>
          <w:rFonts w:ascii="Tahoma" w:hAnsi="Tahoma" w:cs="Tahoma"/>
          <w:sz w:val="22"/>
          <w:szCs w:val="22"/>
          <w:lang w:val="es-ES_tradnl"/>
        </w:rPr>
        <w:t>30 de noviembre de 2011</w:t>
      </w:r>
      <w:r w:rsidR="003071C6">
        <w:rPr>
          <w:rFonts w:ascii="Tahoma" w:hAnsi="Tahoma" w:cs="Tahoma"/>
          <w:sz w:val="22"/>
          <w:szCs w:val="22"/>
          <w:lang w:val="es-ES_tradnl"/>
        </w:rPr>
        <w:t>,</w:t>
      </w:r>
      <w:r w:rsidR="00065335" w:rsidRPr="00065335">
        <w:rPr>
          <w:rFonts w:ascii="Tahoma" w:hAnsi="Tahoma" w:cs="Tahoma"/>
          <w:sz w:val="22"/>
          <w:szCs w:val="22"/>
          <w:lang w:val="es-ES_tradnl"/>
        </w:rPr>
        <w:t xml:space="preserve"> asciende a </w:t>
      </w:r>
      <w:r w:rsidR="00065335" w:rsidRPr="00814B6A">
        <w:rPr>
          <w:rFonts w:ascii="Tahoma" w:hAnsi="Tahoma" w:cs="Tahoma"/>
          <w:sz w:val="22"/>
          <w:szCs w:val="22"/>
        </w:rPr>
        <w:t>$</w:t>
      </w:r>
      <w:r w:rsidR="00065335" w:rsidRPr="00814B6A">
        <w:rPr>
          <w:rFonts w:ascii="Tahoma" w:hAnsi="Tahoma" w:cs="Tahoma"/>
          <w:color w:val="000000"/>
          <w:sz w:val="22"/>
          <w:szCs w:val="22"/>
        </w:rPr>
        <w:t>54.246.297</w:t>
      </w:r>
      <w:r w:rsidR="00065335" w:rsidRPr="00814B6A">
        <w:rPr>
          <w:rFonts w:ascii="Tahoma" w:hAnsi="Tahoma" w:cs="Tahoma"/>
          <w:color w:val="000000"/>
          <w:sz w:val="18"/>
          <w:szCs w:val="18"/>
        </w:rPr>
        <w:t>,27</w:t>
      </w:r>
      <w:r w:rsidR="00065335">
        <w:rPr>
          <w:rFonts w:ascii="Tahoma" w:hAnsi="Tahoma" w:cs="Tahoma"/>
          <w:sz w:val="22"/>
          <w:szCs w:val="22"/>
        </w:rPr>
        <w:t>, sin perjuicio de los descuentos de ley.</w:t>
      </w:r>
    </w:p>
    <w:p w:rsidR="00AF51DB" w:rsidRDefault="00AF51DB" w:rsidP="006B0EE8">
      <w:pPr>
        <w:pStyle w:val="Prrafodelista"/>
        <w:spacing w:line="276" w:lineRule="auto"/>
        <w:ind w:left="0" w:firstLine="709"/>
        <w:jc w:val="both"/>
        <w:rPr>
          <w:rFonts w:ascii="Tahoma" w:hAnsi="Tahoma" w:cs="Tahoma"/>
          <w:sz w:val="22"/>
          <w:szCs w:val="22"/>
        </w:rPr>
      </w:pPr>
    </w:p>
    <w:p w:rsidR="006B0EE8" w:rsidRPr="005E04A9" w:rsidRDefault="003071C6" w:rsidP="006B0EE8">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6B0EE8" w:rsidRPr="005E04A9">
        <w:rPr>
          <w:rFonts w:ascii="Tahoma" w:hAnsi="Tahoma" w:cs="Tahoma"/>
          <w:b/>
          <w:sz w:val="22"/>
          <w:szCs w:val="22"/>
        </w:rPr>
        <w:t>CONFIRMAR</w:t>
      </w:r>
      <w:r w:rsidR="006B0EE8" w:rsidRPr="005E04A9">
        <w:rPr>
          <w:rFonts w:ascii="Tahoma" w:hAnsi="Tahoma" w:cs="Tahoma"/>
          <w:sz w:val="22"/>
          <w:szCs w:val="22"/>
        </w:rPr>
        <w:t xml:space="preserve"> </w:t>
      </w:r>
      <w:r>
        <w:rPr>
          <w:rFonts w:ascii="Tahoma" w:hAnsi="Tahoma" w:cs="Tahoma"/>
          <w:sz w:val="22"/>
          <w:szCs w:val="22"/>
        </w:rPr>
        <w:t xml:space="preserve">en todo lo demás </w:t>
      </w:r>
      <w:r w:rsidR="006B0EE8" w:rsidRPr="005E04A9">
        <w:rPr>
          <w:rFonts w:ascii="Tahoma" w:hAnsi="Tahoma" w:cs="Tahoma"/>
          <w:sz w:val="22"/>
          <w:szCs w:val="22"/>
        </w:rPr>
        <w:t xml:space="preserve">la sentencia proferida </w:t>
      </w:r>
      <w:r>
        <w:rPr>
          <w:rFonts w:ascii="Tahoma" w:hAnsi="Tahoma" w:cs="Tahoma"/>
          <w:sz w:val="22"/>
          <w:szCs w:val="22"/>
        </w:rPr>
        <w:t>en primer grado.</w:t>
      </w:r>
    </w:p>
    <w:p w:rsidR="006B0EE8" w:rsidRPr="005E04A9" w:rsidRDefault="006B0EE8" w:rsidP="006B0EE8">
      <w:pPr>
        <w:pStyle w:val="Prrafodelista"/>
        <w:spacing w:line="276" w:lineRule="auto"/>
        <w:ind w:left="0" w:firstLine="709"/>
        <w:jc w:val="both"/>
        <w:rPr>
          <w:rFonts w:ascii="Tahoma" w:hAnsi="Tahoma" w:cs="Tahoma"/>
          <w:sz w:val="22"/>
          <w:szCs w:val="22"/>
        </w:rPr>
      </w:pPr>
    </w:p>
    <w:p w:rsidR="006B0EE8" w:rsidRPr="005E04A9" w:rsidRDefault="003071C6" w:rsidP="006B0EE8">
      <w:pPr>
        <w:pStyle w:val="Prrafodelista"/>
        <w:spacing w:line="276" w:lineRule="auto"/>
        <w:ind w:left="0" w:firstLine="709"/>
        <w:jc w:val="both"/>
        <w:rPr>
          <w:rFonts w:ascii="Tahoma" w:hAnsi="Tahoma" w:cs="Tahoma"/>
          <w:sz w:val="22"/>
          <w:szCs w:val="22"/>
        </w:rPr>
      </w:pPr>
      <w:r>
        <w:rPr>
          <w:rFonts w:ascii="Tahoma" w:hAnsi="Tahoma" w:cs="Tahoma"/>
          <w:b/>
          <w:sz w:val="22"/>
          <w:szCs w:val="22"/>
          <w:u w:val="single"/>
        </w:rPr>
        <w:t>TERCERO</w:t>
      </w:r>
      <w:r w:rsidR="006B0EE8" w:rsidRPr="005E04A9">
        <w:rPr>
          <w:rFonts w:ascii="Tahoma" w:hAnsi="Tahoma" w:cs="Tahoma"/>
          <w:b/>
          <w:sz w:val="22"/>
          <w:szCs w:val="22"/>
        </w:rPr>
        <w:t xml:space="preserve">.- </w:t>
      </w:r>
      <w:r w:rsidR="006B0EE8" w:rsidRPr="005E04A9">
        <w:rPr>
          <w:rFonts w:ascii="Tahoma" w:hAnsi="Tahoma" w:cs="Tahoma"/>
          <w:sz w:val="22"/>
          <w:szCs w:val="22"/>
        </w:rPr>
        <w:t>Sin condena en costas en este grado jurisdiccional.</w:t>
      </w:r>
    </w:p>
    <w:p w:rsidR="006B0EE8" w:rsidRPr="005E04A9" w:rsidRDefault="006B0EE8" w:rsidP="006B0EE8">
      <w:pPr>
        <w:pStyle w:val="Prrafodelista"/>
        <w:spacing w:line="276" w:lineRule="auto"/>
        <w:ind w:left="0" w:firstLine="709"/>
        <w:jc w:val="both"/>
        <w:rPr>
          <w:rFonts w:ascii="Tahoma" w:hAnsi="Tahoma" w:cs="Tahoma"/>
          <w:sz w:val="22"/>
          <w:szCs w:val="22"/>
        </w:rPr>
      </w:pPr>
    </w:p>
    <w:p w:rsidR="006B0EE8" w:rsidRPr="005E04A9" w:rsidRDefault="006B0EE8" w:rsidP="006B0EE8">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6B0EE8">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6B0EE8">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0B4F1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007112">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0B4F1F">
      <w:pPr>
        <w:rPr>
          <w:rFonts w:ascii="Tahoma" w:hAnsi="Tahoma" w:cs="Tahoma"/>
          <w:sz w:val="22"/>
          <w:szCs w:val="22"/>
        </w:rPr>
      </w:pPr>
    </w:p>
    <w:p w:rsidR="006B0EE8" w:rsidRDefault="006B0EE8" w:rsidP="000B4F1F">
      <w:pPr>
        <w:rPr>
          <w:rFonts w:ascii="Tahoma" w:hAnsi="Tahoma" w:cs="Tahoma"/>
          <w:sz w:val="22"/>
          <w:szCs w:val="22"/>
        </w:rPr>
      </w:pPr>
    </w:p>
    <w:p w:rsidR="00007112" w:rsidRDefault="00007112" w:rsidP="000B4F1F">
      <w:pPr>
        <w:rPr>
          <w:rFonts w:ascii="Tahoma" w:hAnsi="Tahoma" w:cs="Tahoma"/>
          <w:sz w:val="22"/>
          <w:szCs w:val="22"/>
        </w:rPr>
      </w:pPr>
    </w:p>
    <w:p w:rsidR="000B4F1F" w:rsidRPr="007834F9" w:rsidRDefault="000B4F1F" w:rsidP="000B4F1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B4F1F" w:rsidRDefault="000B4F1F" w:rsidP="000B4F1F">
      <w:pPr>
        <w:ind w:firstLine="708"/>
        <w:jc w:val="both"/>
        <w:rPr>
          <w:rFonts w:ascii="Tahoma" w:hAnsi="Tahoma" w:cs="Tahoma"/>
          <w:sz w:val="22"/>
          <w:szCs w:val="22"/>
        </w:rPr>
      </w:pPr>
    </w:p>
    <w:p w:rsidR="000B4F1F" w:rsidRDefault="000B4F1F" w:rsidP="000B4F1F">
      <w:pPr>
        <w:rPr>
          <w:rFonts w:ascii="Tahoma" w:hAnsi="Tahoma" w:cs="Tahoma"/>
          <w:b/>
          <w:sz w:val="22"/>
          <w:szCs w:val="22"/>
        </w:rPr>
      </w:pPr>
    </w:p>
    <w:p w:rsidR="000B4F1F" w:rsidRDefault="000B4F1F" w:rsidP="000B4F1F">
      <w:pPr>
        <w:rPr>
          <w:rFonts w:ascii="Tahoma" w:hAnsi="Tahoma" w:cs="Tahoma"/>
          <w:b/>
          <w:sz w:val="22"/>
          <w:szCs w:val="22"/>
        </w:rPr>
      </w:pPr>
    </w:p>
    <w:p w:rsidR="00007112" w:rsidRDefault="00007112"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jc w:val="both"/>
        <w:rPr>
          <w:rFonts w:ascii="Tahoma" w:hAnsi="Tahoma" w:cs="Tahoma"/>
          <w:b/>
          <w:sz w:val="22"/>
          <w:szCs w:val="22"/>
        </w:rPr>
      </w:pPr>
      <w:r>
        <w:rPr>
          <w:rFonts w:ascii="Tahoma" w:hAnsi="Tahoma" w:cs="Tahoma"/>
          <w:b/>
          <w:sz w:val="22"/>
          <w:szCs w:val="22"/>
        </w:rPr>
        <w:lastRenderedPageBreak/>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0B4F1F" w:rsidP="000B4F1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3071C6" w:rsidRDefault="003071C6" w:rsidP="0069400F">
      <w:pPr>
        <w:widowControl w:val="0"/>
        <w:autoSpaceDE w:val="0"/>
        <w:autoSpaceDN w:val="0"/>
        <w:adjustRightInd w:val="0"/>
        <w:spacing w:line="276" w:lineRule="auto"/>
        <w:ind w:firstLine="708"/>
        <w:jc w:val="center"/>
        <w:rPr>
          <w:rFonts w:ascii="Tahoma" w:hAnsi="Tahoma" w:cs="Tahoma"/>
          <w:b/>
          <w:sz w:val="22"/>
          <w:szCs w:val="22"/>
        </w:rPr>
      </w:pPr>
    </w:p>
    <w:p w:rsidR="0069400F" w:rsidRPr="0069400F" w:rsidRDefault="0069400F" w:rsidP="0069400F">
      <w:pPr>
        <w:widowControl w:val="0"/>
        <w:autoSpaceDE w:val="0"/>
        <w:autoSpaceDN w:val="0"/>
        <w:adjustRightInd w:val="0"/>
        <w:spacing w:line="276" w:lineRule="auto"/>
        <w:ind w:firstLine="708"/>
        <w:jc w:val="center"/>
        <w:rPr>
          <w:rFonts w:ascii="Tahoma" w:hAnsi="Tahoma" w:cs="Tahoma"/>
          <w:b/>
          <w:sz w:val="22"/>
          <w:szCs w:val="22"/>
        </w:rPr>
      </w:pPr>
      <w:r w:rsidRPr="0069400F">
        <w:rPr>
          <w:rFonts w:ascii="Tahoma" w:hAnsi="Tahoma" w:cs="Tahoma"/>
          <w:b/>
          <w:sz w:val="22"/>
          <w:szCs w:val="22"/>
        </w:rPr>
        <w:t xml:space="preserve">Liquidación </w:t>
      </w:r>
      <w:proofErr w:type="gramStart"/>
      <w:r w:rsidRPr="0069400F">
        <w:rPr>
          <w:rFonts w:ascii="Tahoma" w:hAnsi="Tahoma" w:cs="Tahoma"/>
          <w:b/>
          <w:sz w:val="22"/>
          <w:szCs w:val="22"/>
        </w:rPr>
        <w:t>retroactivo</w:t>
      </w:r>
      <w:proofErr w:type="gramEnd"/>
      <w:r w:rsidRPr="0069400F">
        <w:rPr>
          <w:rFonts w:ascii="Tahoma" w:hAnsi="Tahoma" w:cs="Tahoma"/>
          <w:b/>
          <w:sz w:val="22"/>
          <w:szCs w:val="22"/>
        </w:rPr>
        <w:t xml:space="preserve"> </w:t>
      </w:r>
      <w:r w:rsidR="00B90BD5">
        <w:rPr>
          <w:rFonts w:ascii="Tahoma" w:hAnsi="Tahoma" w:cs="Tahoma"/>
          <w:b/>
          <w:sz w:val="22"/>
          <w:szCs w:val="22"/>
        </w:rPr>
        <w:t xml:space="preserve">María Esperanza Ríos </w:t>
      </w:r>
      <w:proofErr w:type="spellStart"/>
      <w:r w:rsidR="00B90BD5">
        <w:rPr>
          <w:rFonts w:ascii="Tahoma" w:hAnsi="Tahoma" w:cs="Tahoma"/>
          <w:b/>
          <w:sz w:val="22"/>
          <w:szCs w:val="22"/>
        </w:rPr>
        <w:t>Mape</w:t>
      </w:r>
      <w:proofErr w:type="spellEnd"/>
    </w:p>
    <w:p w:rsidR="00B90BD5" w:rsidRDefault="00B90BD5" w:rsidP="000B4F1F">
      <w:pPr>
        <w:widowControl w:val="0"/>
        <w:autoSpaceDE w:val="0"/>
        <w:autoSpaceDN w:val="0"/>
        <w:adjustRightInd w:val="0"/>
        <w:spacing w:line="276" w:lineRule="auto"/>
        <w:ind w:firstLine="708"/>
        <w:jc w:val="both"/>
      </w:pPr>
    </w:p>
    <w:p w:rsidR="00B90BD5" w:rsidRDefault="00B90BD5" w:rsidP="000B4F1F">
      <w:pPr>
        <w:widowControl w:val="0"/>
        <w:autoSpaceDE w:val="0"/>
        <w:autoSpaceDN w:val="0"/>
        <w:adjustRightInd w:val="0"/>
        <w:spacing w:line="276" w:lineRule="auto"/>
        <w:ind w:firstLine="708"/>
        <w:jc w:val="both"/>
      </w:pPr>
    </w:p>
    <w:tbl>
      <w:tblPr>
        <w:tblW w:w="0" w:type="auto"/>
        <w:jc w:val="center"/>
        <w:tblCellMar>
          <w:left w:w="70" w:type="dxa"/>
          <w:right w:w="70" w:type="dxa"/>
        </w:tblCellMar>
        <w:tblLook w:val="04A0" w:firstRow="1" w:lastRow="0" w:firstColumn="1" w:lastColumn="0" w:noHBand="0" w:noVBand="1"/>
      </w:tblPr>
      <w:tblGrid>
        <w:gridCol w:w="1715"/>
        <w:gridCol w:w="806"/>
        <w:gridCol w:w="804"/>
        <w:gridCol w:w="762"/>
        <w:gridCol w:w="1340"/>
        <w:gridCol w:w="2175"/>
      </w:tblGrid>
      <w:tr w:rsidR="003071C6" w:rsidTr="003071C6">
        <w:trPr>
          <w:trHeight w:val="20"/>
          <w:jc w:val="center"/>
        </w:trPr>
        <w:tc>
          <w:tcPr>
            <w:tcW w:w="0" w:type="auto"/>
            <w:tcBorders>
              <w:top w:val="single" w:sz="8" w:space="0" w:color="auto"/>
              <w:left w:val="single" w:sz="8" w:space="0" w:color="auto"/>
              <w:bottom w:val="single" w:sz="8" w:space="0" w:color="auto"/>
              <w:right w:val="nil"/>
            </w:tcBorders>
            <w:shd w:val="clear" w:color="000000" w:fill="FFFF99"/>
            <w:vAlign w:val="center"/>
            <w:hideMark/>
          </w:tcPr>
          <w:p w:rsidR="003071C6" w:rsidRPr="003071C6" w:rsidRDefault="003071C6">
            <w:pPr>
              <w:jc w:val="center"/>
              <w:rPr>
                <w:rFonts w:ascii="Calibri" w:hAnsi="Calibri"/>
                <w:b/>
                <w:bCs/>
                <w:color w:val="000000"/>
                <w:sz w:val="16"/>
                <w:szCs w:val="16"/>
              </w:rPr>
            </w:pPr>
            <w:r w:rsidRPr="003071C6">
              <w:rPr>
                <w:rFonts w:ascii="Calibri" w:hAnsi="Calibri"/>
                <w:b/>
                <w:bCs/>
                <w:color w:val="000000"/>
                <w:sz w:val="16"/>
                <w:szCs w:val="16"/>
              </w:rPr>
              <w:t>IPC</w:t>
            </w:r>
            <w:r w:rsidRPr="003071C6">
              <w:rPr>
                <w:rFonts w:ascii="Calibri" w:hAnsi="Calibri"/>
                <w:b/>
                <w:bCs/>
                <w:sz w:val="16"/>
                <w:szCs w:val="16"/>
              </w:rPr>
              <w:t xml:space="preserve">   (Var. Año anterior)</w:t>
            </w:r>
          </w:p>
        </w:tc>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3071C6" w:rsidRPr="003071C6" w:rsidRDefault="003071C6">
            <w:pPr>
              <w:jc w:val="center"/>
              <w:rPr>
                <w:rFonts w:ascii="Calibri" w:hAnsi="Calibri"/>
                <w:b/>
                <w:bCs/>
                <w:color w:val="000000"/>
                <w:sz w:val="16"/>
                <w:szCs w:val="16"/>
              </w:rPr>
            </w:pPr>
            <w:r w:rsidRPr="003071C6">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3071C6" w:rsidRPr="003071C6" w:rsidRDefault="003071C6">
            <w:pPr>
              <w:jc w:val="center"/>
              <w:rPr>
                <w:rFonts w:ascii="Calibri" w:hAnsi="Calibri"/>
                <w:b/>
                <w:bCs/>
                <w:color w:val="000000"/>
                <w:sz w:val="16"/>
                <w:szCs w:val="16"/>
              </w:rPr>
            </w:pPr>
            <w:r w:rsidRPr="003071C6">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3071C6" w:rsidRPr="003071C6" w:rsidRDefault="003071C6">
            <w:pPr>
              <w:jc w:val="center"/>
              <w:rPr>
                <w:rFonts w:ascii="Calibri" w:hAnsi="Calibri"/>
                <w:b/>
                <w:bCs/>
                <w:color w:val="000000"/>
                <w:sz w:val="16"/>
                <w:szCs w:val="16"/>
              </w:rPr>
            </w:pPr>
            <w:r w:rsidRPr="003071C6">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3071C6" w:rsidRPr="003071C6" w:rsidRDefault="003071C6">
            <w:pPr>
              <w:jc w:val="center"/>
              <w:rPr>
                <w:rFonts w:ascii="Calibri" w:hAnsi="Calibri"/>
                <w:b/>
                <w:bCs/>
                <w:color w:val="000000"/>
                <w:sz w:val="16"/>
                <w:szCs w:val="16"/>
              </w:rPr>
            </w:pPr>
            <w:r w:rsidRPr="003071C6">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3071C6" w:rsidRPr="003071C6" w:rsidRDefault="003071C6">
            <w:pPr>
              <w:jc w:val="center"/>
              <w:rPr>
                <w:rFonts w:ascii="Calibri" w:hAnsi="Calibri"/>
                <w:b/>
                <w:bCs/>
                <w:color w:val="000000"/>
                <w:sz w:val="16"/>
                <w:szCs w:val="16"/>
              </w:rPr>
            </w:pPr>
            <w:r w:rsidRPr="003071C6">
              <w:rPr>
                <w:rFonts w:ascii="Calibri" w:hAnsi="Calibri"/>
                <w:b/>
                <w:bCs/>
                <w:color w:val="000000"/>
                <w:sz w:val="16"/>
                <w:szCs w:val="16"/>
              </w:rPr>
              <w:t xml:space="preserve"> Mesadas </w:t>
            </w:r>
          </w:p>
        </w:tc>
      </w:tr>
      <w:tr w:rsidR="003071C6" w:rsidTr="003071C6">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3071C6" w:rsidRPr="003071C6" w:rsidRDefault="003071C6">
            <w:pPr>
              <w:jc w:val="center"/>
              <w:rPr>
                <w:rFonts w:ascii="Calibri" w:hAnsi="Calibri"/>
                <w:sz w:val="16"/>
                <w:szCs w:val="16"/>
              </w:rPr>
            </w:pPr>
            <w:r w:rsidRPr="003071C6">
              <w:rPr>
                <w:rFonts w:ascii="Calibri" w:hAnsi="Calibri"/>
                <w:sz w:val="16"/>
                <w:szCs w:val="16"/>
              </w:rPr>
              <w:t>2,00</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071C6" w:rsidRPr="003071C6" w:rsidRDefault="003071C6">
            <w:pPr>
              <w:jc w:val="right"/>
              <w:rPr>
                <w:rFonts w:ascii="Calibri" w:hAnsi="Calibri"/>
                <w:color w:val="000000"/>
                <w:sz w:val="16"/>
                <w:szCs w:val="16"/>
              </w:rPr>
            </w:pPr>
            <w:r w:rsidRPr="003071C6">
              <w:rPr>
                <w:rFonts w:ascii="Calibri" w:hAnsi="Calibri"/>
                <w:color w:val="000000"/>
                <w:sz w:val="16"/>
                <w:szCs w:val="16"/>
              </w:rPr>
              <w:t>01-ago-09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071C6" w:rsidRPr="003071C6" w:rsidRDefault="003071C6">
            <w:pPr>
              <w:jc w:val="right"/>
              <w:rPr>
                <w:rFonts w:ascii="Calibri" w:hAnsi="Calibri"/>
                <w:color w:val="000000"/>
                <w:sz w:val="16"/>
                <w:szCs w:val="16"/>
              </w:rPr>
            </w:pPr>
            <w:r w:rsidRPr="003071C6">
              <w:rPr>
                <w:rFonts w:ascii="Calibri" w:hAnsi="Calibri"/>
                <w:color w:val="000000"/>
                <w:sz w:val="16"/>
                <w:szCs w:val="16"/>
              </w:rPr>
              <w:t>31-dic-09</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3071C6" w:rsidRPr="003071C6" w:rsidRDefault="003071C6">
            <w:pPr>
              <w:jc w:val="center"/>
              <w:rPr>
                <w:rFonts w:ascii="Calibri" w:hAnsi="Calibri"/>
                <w:sz w:val="16"/>
                <w:szCs w:val="16"/>
              </w:rPr>
            </w:pPr>
            <w:r w:rsidRPr="003071C6">
              <w:rPr>
                <w:rFonts w:ascii="Calibri" w:hAnsi="Calibri"/>
                <w:sz w:val="16"/>
                <w:szCs w:val="16"/>
              </w:rPr>
              <w:t>6</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3071C6" w:rsidRPr="003071C6" w:rsidRDefault="003071C6">
            <w:pPr>
              <w:rPr>
                <w:rFonts w:ascii="Calibri" w:hAnsi="Calibri"/>
                <w:sz w:val="16"/>
                <w:szCs w:val="16"/>
              </w:rPr>
            </w:pPr>
            <w:r w:rsidRPr="003071C6">
              <w:rPr>
                <w:rFonts w:ascii="Calibri" w:hAnsi="Calibri"/>
                <w:sz w:val="16"/>
                <w:szCs w:val="16"/>
              </w:rPr>
              <w:t xml:space="preserve"> $            1.759.198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3071C6" w:rsidRPr="003071C6" w:rsidRDefault="003071C6">
            <w:pPr>
              <w:rPr>
                <w:rFonts w:ascii="Calibri" w:hAnsi="Calibri"/>
                <w:color w:val="000000"/>
                <w:sz w:val="16"/>
                <w:szCs w:val="16"/>
              </w:rPr>
            </w:pPr>
            <w:r w:rsidRPr="003071C6">
              <w:rPr>
                <w:rFonts w:ascii="Calibri" w:hAnsi="Calibri"/>
                <w:color w:val="000000"/>
                <w:sz w:val="16"/>
                <w:szCs w:val="16"/>
              </w:rPr>
              <w:t xml:space="preserve"> $                     10.555.188 </w:t>
            </w:r>
          </w:p>
        </w:tc>
      </w:tr>
      <w:tr w:rsidR="003071C6" w:rsidTr="003071C6">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3071C6" w:rsidRPr="003071C6" w:rsidRDefault="003071C6">
            <w:pPr>
              <w:jc w:val="center"/>
              <w:rPr>
                <w:rFonts w:ascii="Calibri" w:hAnsi="Calibri"/>
                <w:sz w:val="16"/>
                <w:szCs w:val="16"/>
              </w:rPr>
            </w:pPr>
            <w:r w:rsidRPr="003071C6">
              <w:rPr>
                <w:rFonts w:ascii="Calibri" w:hAnsi="Calibri"/>
                <w:sz w:val="16"/>
                <w:szCs w:val="16"/>
              </w:rPr>
              <w:t>3,17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071C6" w:rsidRPr="003071C6" w:rsidRDefault="003071C6">
            <w:pPr>
              <w:jc w:val="right"/>
              <w:rPr>
                <w:rFonts w:ascii="Calibri" w:hAnsi="Calibri"/>
                <w:color w:val="000000"/>
                <w:sz w:val="16"/>
                <w:szCs w:val="16"/>
              </w:rPr>
            </w:pPr>
            <w:r w:rsidRPr="003071C6">
              <w:rPr>
                <w:rFonts w:ascii="Calibri" w:hAnsi="Calibri"/>
                <w:color w:val="000000"/>
                <w:sz w:val="16"/>
                <w:szCs w:val="16"/>
              </w:rPr>
              <w:t>01-ene-10</w:t>
            </w:r>
          </w:p>
        </w:tc>
        <w:tc>
          <w:tcPr>
            <w:tcW w:w="0" w:type="auto"/>
            <w:tcBorders>
              <w:top w:val="nil"/>
              <w:left w:val="nil"/>
              <w:bottom w:val="single" w:sz="4" w:space="0" w:color="auto"/>
              <w:right w:val="single" w:sz="4" w:space="0" w:color="auto"/>
            </w:tcBorders>
            <w:shd w:val="clear" w:color="auto" w:fill="auto"/>
            <w:noWrap/>
            <w:vAlign w:val="center"/>
            <w:hideMark/>
          </w:tcPr>
          <w:p w:rsidR="003071C6" w:rsidRPr="003071C6" w:rsidRDefault="003071C6">
            <w:pPr>
              <w:jc w:val="right"/>
              <w:rPr>
                <w:rFonts w:ascii="Calibri" w:hAnsi="Calibri"/>
                <w:color w:val="000000"/>
                <w:sz w:val="16"/>
                <w:szCs w:val="16"/>
              </w:rPr>
            </w:pPr>
            <w:r w:rsidRPr="003071C6">
              <w:rPr>
                <w:rFonts w:ascii="Calibri" w:hAnsi="Calibri"/>
                <w:color w:val="000000"/>
                <w:sz w:val="16"/>
                <w:szCs w:val="16"/>
              </w:rPr>
              <w:t>31-dic-10</w:t>
            </w:r>
          </w:p>
        </w:tc>
        <w:tc>
          <w:tcPr>
            <w:tcW w:w="0" w:type="auto"/>
            <w:tcBorders>
              <w:top w:val="nil"/>
              <w:left w:val="nil"/>
              <w:bottom w:val="single" w:sz="4" w:space="0" w:color="auto"/>
              <w:right w:val="single" w:sz="4" w:space="0" w:color="auto"/>
            </w:tcBorders>
            <w:shd w:val="clear" w:color="000000" w:fill="FFFFCC"/>
            <w:noWrap/>
            <w:vAlign w:val="bottom"/>
            <w:hideMark/>
          </w:tcPr>
          <w:p w:rsidR="003071C6" w:rsidRPr="003071C6" w:rsidRDefault="003071C6">
            <w:pPr>
              <w:jc w:val="center"/>
              <w:rPr>
                <w:rFonts w:ascii="Calibri" w:hAnsi="Calibri"/>
                <w:sz w:val="16"/>
                <w:szCs w:val="16"/>
              </w:rPr>
            </w:pPr>
            <w:r w:rsidRPr="003071C6">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3071C6" w:rsidRPr="003071C6" w:rsidRDefault="003071C6">
            <w:pPr>
              <w:rPr>
                <w:rFonts w:ascii="Calibri" w:hAnsi="Calibri"/>
                <w:sz w:val="16"/>
                <w:szCs w:val="16"/>
              </w:rPr>
            </w:pPr>
            <w:r w:rsidRPr="003071C6">
              <w:rPr>
                <w:rFonts w:ascii="Calibri" w:hAnsi="Calibri"/>
                <w:sz w:val="16"/>
                <w:szCs w:val="16"/>
              </w:rPr>
              <w:t xml:space="preserve"> $            1.794.382 </w:t>
            </w:r>
          </w:p>
        </w:tc>
        <w:tc>
          <w:tcPr>
            <w:tcW w:w="0" w:type="auto"/>
            <w:tcBorders>
              <w:top w:val="nil"/>
              <w:left w:val="nil"/>
              <w:bottom w:val="single" w:sz="4" w:space="0" w:color="auto"/>
              <w:right w:val="single" w:sz="8" w:space="0" w:color="auto"/>
            </w:tcBorders>
            <w:shd w:val="clear" w:color="000000" w:fill="FFFFCC"/>
            <w:noWrap/>
            <w:vAlign w:val="center"/>
            <w:hideMark/>
          </w:tcPr>
          <w:p w:rsidR="003071C6" w:rsidRPr="003071C6" w:rsidRDefault="003071C6">
            <w:pPr>
              <w:rPr>
                <w:rFonts w:ascii="Calibri" w:hAnsi="Calibri"/>
                <w:color w:val="000000"/>
                <w:sz w:val="16"/>
                <w:szCs w:val="16"/>
              </w:rPr>
            </w:pPr>
            <w:r w:rsidRPr="003071C6">
              <w:rPr>
                <w:rFonts w:ascii="Calibri" w:hAnsi="Calibri"/>
                <w:color w:val="000000"/>
                <w:sz w:val="16"/>
                <w:szCs w:val="16"/>
              </w:rPr>
              <w:t xml:space="preserve"> $                     23.326.965 </w:t>
            </w:r>
          </w:p>
        </w:tc>
      </w:tr>
      <w:tr w:rsidR="003071C6" w:rsidTr="003071C6">
        <w:trPr>
          <w:trHeight w:val="20"/>
          <w:jc w:val="center"/>
        </w:trPr>
        <w:tc>
          <w:tcPr>
            <w:tcW w:w="0" w:type="auto"/>
            <w:tcBorders>
              <w:top w:val="nil"/>
              <w:left w:val="single" w:sz="8" w:space="0" w:color="auto"/>
              <w:right w:val="nil"/>
            </w:tcBorders>
            <w:shd w:val="clear" w:color="000000" w:fill="FFFFCC"/>
            <w:noWrap/>
            <w:vAlign w:val="bottom"/>
            <w:hideMark/>
          </w:tcPr>
          <w:p w:rsidR="003071C6" w:rsidRPr="003071C6" w:rsidRDefault="003071C6">
            <w:pPr>
              <w:jc w:val="center"/>
              <w:rPr>
                <w:rFonts w:ascii="Calibri" w:hAnsi="Calibri"/>
                <w:sz w:val="16"/>
                <w:szCs w:val="16"/>
              </w:rPr>
            </w:pPr>
            <w:r w:rsidRPr="003071C6">
              <w:rPr>
                <w:rFonts w:ascii="Calibri" w:hAnsi="Calibri"/>
                <w:sz w:val="16"/>
                <w:szCs w:val="16"/>
              </w:rPr>
              <w:t>3,73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071C6" w:rsidRPr="003071C6" w:rsidRDefault="003071C6">
            <w:pPr>
              <w:jc w:val="right"/>
              <w:rPr>
                <w:rFonts w:ascii="Calibri" w:hAnsi="Calibri"/>
                <w:color w:val="000000"/>
                <w:sz w:val="16"/>
                <w:szCs w:val="16"/>
              </w:rPr>
            </w:pPr>
            <w:r w:rsidRPr="003071C6">
              <w:rPr>
                <w:rFonts w:ascii="Calibri" w:hAnsi="Calibri"/>
                <w:color w:val="000000"/>
                <w:sz w:val="16"/>
                <w:szCs w:val="16"/>
              </w:rPr>
              <w:t>01-ene-11</w:t>
            </w:r>
          </w:p>
        </w:tc>
        <w:tc>
          <w:tcPr>
            <w:tcW w:w="0" w:type="auto"/>
            <w:tcBorders>
              <w:top w:val="nil"/>
              <w:left w:val="nil"/>
              <w:bottom w:val="single" w:sz="4" w:space="0" w:color="auto"/>
              <w:right w:val="single" w:sz="4" w:space="0" w:color="auto"/>
            </w:tcBorders>
            <w:shd w:val="clear" w:color="auto" w:fill="auto"/>
            <w:noWrap/>
            <w:vAlign w:val="center"/>
            <w:hideMark/>
          </w:tcPr>
          <w:p w:rsidR="003071C6" w:rsidRPr="003071C6" w:rsidRDefault="003071C6">
            <w:pPr>
              <w:jc w:val="right"/>
              <w:rPr>
                <w:rFonts w:ascii="Calibri" w:hAnsi="Calibri"/>
                <w:color w:val="000000"/>
                <w:sz w:val="16"/>
                <w:szCs w:val="16"/>
              </w:rPr>
            </w:pPr>
            <w:r w:rsidRPr="003071C6">
              <w:rPr>
                <w:rFonts w:ascii="Calibri" w:hAnsi="Calibri"/>
                <w:color w:val="000000"/>
                <w:sz w:val="16"/>
                <w:szCs w:val="16"/>
              </w:rPr>
              <w:t>30-nov-11</w:t>
            </w:r>
          </w:p>
        </w:tc>
        <w:tc>
          <w:tcPr>
            <w:tcW w:w="0" w:type="auto"/>
            <w:tcBorders>
              <w:top w:val="nil"/>
              <w:left w:val="nil"/>
              <w:bottom w:val="single" w:sz="4" w:space="0" w:color="auto"/>
              <w:right w:val="single" w:sz="4" w:space="0" w:color="auto"/>
            </w:tcBorders>
            <w:shd w:val="clear" w:color="000000" w:fill="FFFFCC"/>
            <w:noWrap/>
            <w:vAlign w:val="bottom"/>
            <w:hideMark/>
          </w:tcPr>
          <w:p w:rsidR="003071C6" w:rsidRPr="003071C6" w:rsidRDefault="003071C6">
            <w:pPr>
              <w:jc w:val="center"/>
              <w:rPr>
                <w:rFonts w:ascii="Calibri" w:hAnsi="Calibri"/>
                <w:sz w:val="16"/>
                <w:szCs w:val="16"/>
              </w:rPr>
            </w:pPr>
            <w:r w:rsidRPr="003071C6">
              <w:rPr>
                <w:rFonts w:ascii="Calibri" w:hAnsi="Calibri"/>
                <w:sz w:val="16"/>
                <w:szCs w:val="16"/>
              </w:rPr>
              <w:t>11</w:t>
            </w:r>
          </w:p>
        </w:tc>
        <w:tc>
          <w:tcPr>
            <w:tcW w:w="0" w:type="auto"/>
            <w:tcBorders>
              <w:top w:val="nil"/>
              <w:left w:val="nil"/>
              <w:bottom w:val="single" w:sz="4" w:space="0" w:color="auto"/>
              <w:right w:val="single" w:sz="4" w:space="0" w:color="auto"/>
            </w:tcBorders>
            <w:shd w:val="clear" w:color="000000" w:fill="FFFFCC"/>
            <w:vAlign w:val="bottom"/>
            <w:hideMark/>
          </w:tcPr>
          <w:p w:rsidR="003071C6" w:rsidRPr="003071C6" w:rsidRDefault="003071C6">
            <w:pPr>
              <w:rPr>
                <w:rFonts w:ascii="Calibri" w:hAnsi="Calibri"/>
                <w:sz w:val="16"/>
                <w:szCs w:val="16"/>
              </w:rPr>
            </w:pPr>
            <w:r w:rsidRPr="003071C6">
              <w:rPr>
                <w:rFonts w:ascii="Calibri" w:hAnsi="Calibri"/>
                <w:sz w:val="16"/>
                <w:szCs w:val="16"/>
              </w:rPr>
              <w:t xml:space="preserve"> $            1.851.286 </w:t>
            </w:r>
          </w:p>
        </w:tc>
        <w:tc>
          <w:tcPr>
            <w:tcW w:w="0" w:type="auto"/>
            <w:tcBorders>
              <w:top w:val="nil"/>
              <w:left w:val="nil"/>
              <w:bottom w:val="single" w:sz="4" w:space="0" w:color="auto"/>
              <w:right w:val="single" w:sz="8" w:space="0" w:color="auto"/>
            </w:tcBorders>
            <w:shd w:val="clear" w:color="000000" w:fill="FFFFCC"/>
            <w:noWrap/>
            <w:vAlign w:val="center"/>
            <w:hideMark/>
          </w:tcPr>
          <w:p w:rsidR="003071C6" w:rsidRPr="003071C6" w:rsidRDefault="003071C6">
            <w:pPr>
              <w:rPr>
                <w:rFonts w:ascii="Calibri" w:hAnsi="Calibri"/>
                <w:color w:val="000000"/>
                <w:sz w:val="16"/>
                <w:szCs w:val="16"/>
              </w:rPr>
            </w:pPr>
            <w:r w:rsidRPr="003071C6">
              <w:rPr>
                <w:rFonts w:ascii="Calibri" w:hAnsi="Calibri"/>
                <w:color w:val="000000"/>
                <w:sz w:val="16"/>
                <w:szCs w:val="16"/>
              </w:rPr>
              <w:t xml:space="preserve"> $                     20.364.144 </w:t>
            </w:r>
          </w:p>
        </w:tc>
      </w:tr>
      <w:tr w:rsidR="003071C6" w:rsidTr="003071C6">
        <w:trPr>
          <w:trHeight w:val="20"/>
          <w:jc w:val="center"/>
        </w:trPr>
        <w:tc>
          <w:tcPr>
            <w:tcW w:w="0" w:type="auto"/>
            <w:tcBorders>
              <w:top w:val="nil"/>
              <w:bottom w:val="nil"/>
              <w:right w:val="nil"/>
            </w:tcBorders>
            <w:shd w:val="clear" w:color="auto" w:fill="auto"/>
            <w:noWrap/>
            <w:vAlign w:val="bottom"/>
            <w:hideMark/>
          </w:tcPr>
          <w:p w:rsidR="003071C6" w:rsidRDefault="003071C6">
            <w:pPr>
              <w:jc w:val="center"/>
              <w:rPr>
                <w:rFonts w:ascii="Calibri" w:hAnsi="Calibri"/>
                <w:sz w:val="20"/>
                <w:szCs w:val="20"/>
              </w:rPr>
            </w:pPr>
            <w:r>
              <w:rPr>
                <w:rFonts w:ascii="Calibri" w:hAnsi="Calibri"/>
                <w:sz w:val="20"/>
                <w:szCs w:val="20"/>
              </w:rPr>
              <w:t> </w:t>
            </w:r>
          </w:p>
        </w:tc>
        <w:tc>
          <w:tcPr>
            <w:tcW w:w="0" w:type="auto"/>
            <w:tcBorders>
              <w:top w:val="nil"/>
              <w:left w:val="nil"/>
              <w:bottom w:val="nil"/>
              <w:right w:val="nil"/>
            </w:tcBorders>
            <w:shd w:val="clear" w:color="auto" w:fill="auto"/>
            <w:noWrap/>
            <w:vAlign w:val="center"/>
            <w:hideMark/>
          </w:tcPr>
          <w:p w:rsidR="003071C6" w:rsidRDefault="003071C6">
            <w:pPr>
              <w:jc w:val="cente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3071C6" w:rsidRDefault="003071C6">
            <w:pPr>
              <w:rPr>
                <w:sz w:val="20"/>
                <w:szCs w:val="20"/>
              </w:rPr>
            </w:pPr>
          </w:p>
        </w:tc>
        <w:tc>
          <w:tcPr>
            <w:tcW w:w="0" w:type="auto"/>
            <w:tcBorders>
              <w:top w:val="nil"/>
              <w:left w:val="nil"/>
              <w:bottom w:val="nil"/>
              <w:right w:val="nil"/>
            </w:tcBorders>
            <w:shd w:val="clear" w:color="auto" w:fill="auto"/>
            <w:noWrap/>
            <w:vAlign w:val="bottom"/>
            <w:hideMark/>
          </w:tcPr>
          <w:p w:rsidR="003071C6" w:rsidRDefault="003071C6">
            <w:pPr>
              <w:rPr>
                <w:sz w:val="20"/>
                <w:szCs w:val="20"/>
              </w:rPr>
            </w:pPr>
          </w:p>
        </w:tc>
        <w:tc>
          <w:tcPr>
            <w:tcW w:w="0" w:type="auto"/>
            <w:tcBorders>
              <w:top w:val="nil"/>
              <w:left w:val="nil"/>
              <w:bottom w:val="nil"/>
              <w:right w:val="nil"/>
            </w:tcBorders>
            <w:shd w:val="clear" w:color="auto" w:fill="auto"/>
            <w:vAlign w:val="bottom"/>
            <w:hideMark/>
          </w:tcPr>
          <w:p w:rsidR="003071C6" w:rsidRDefault="003071C6">
            <w:pPr>
              <w:jc w:val="cente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071C6" w:rsidRDefault="003071C6">
            <w:pPr>
              <w:rPr>
                <w:rFonts w:ascii="Calibri" w:hAnsi="Calibri"/>
                <w:color w:val="000000"/>
                <w:sz w:val="20"/>
                <w:szCs w:val="20"/>
              </w:rPr>
            </w:pPr>
            <w:r>
              <w:rPr>
                <w:rFonts w:ascii="Calibri" w:hAnsi="Calibri"/>
                <w:color w:val="000000"/>
                <w:sz w:val="20"/>
                <w:szCs w:val="20"/>
              </w:rPr>
              <w:t xml:space="preserve"> $                54.246.297,27 </w:t>
            </w:r>
          </w:p>
        </w:tc>
      </w:tr>
    </w:tbl>
    <w:p w:rsidR="0069400F" w:rsidRDefault="0069400F" w:rsidP="000B4F1F">
      <w:pPr>
        <w:widowControl w:val="0"/>
        <w:autoSpaceDE w:val="0"/>
        <w:autoSpaceDN w:val="0"/>
        <w:adjustRightInd w:val="0"/>
        <w:spacing w:line="276" w:lineRule="auto"/>
        <w:ind w:firstLine="708"/>
        <w:jc w:val="both"/>
      </w:pPr>
    </w:p>
    <w:p w:rsidR="0069400F" w:rsidRDefault="0069400F" w:rsidP="0069400F">
      <w:pPr>
        <w:rPr>
          <w:rFonts w:ascii="Tahoma" w:hAnsi="Tahoma" w:cs="Tahoma"/>
          <w:sz w:val="22"/>
          <w:szCs w:val="22"/>
        </w:rPr>
      </w:pPr>
    </w:p>
    <w:p w:rsidR="0069400F" w:rsidRDefault="0069400F" w:rsidP="0069400F">
      <w:pPr>
        <w:rPr>
          <w:rFonts w:ascii="Tahoma" w:hAnsi="Tahoma" w:cs="Tahoma"/>
          <w:sz w:val="22"/>
          <w:szCs w:val="22"/>
        </w:rPr>
      </w:pPr>
    </w:p>
    <w:p w:rsidR="0069400F" w:rsidRDefault="0069400F" w:rsidP="0069400F">
      <w:pPr>
        <w:rPr>
          <w:rFonts w:ascii="Tahoma" w:hAnsi="Tahoma" w:cs="Tahoma"/>
          <w:sz w:val="22"/>
          <w:szCs w:val="22"/>
        </w:rPr>
      </w:pPr>
    </w:p>
    <w:p w:rsidR="0069400F" w:rsidRPr="007834F9" w:rsidRDefault="0069400F" w:rsidP="0069400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69400F" w:rsidRDefault="0069400F" w:rsidP="0069400F">
      <w:pPr>
        <w:widowControl w:val="0"/>
        <w:autoSpaceDE w:val="0"/>
        <w:autoSpaceDN w:val="0"/>
        <w:adjustRightInd w:val="0"/>
        <w:spacing w:line="276" w:lineRule="auto"/>
        <w:jc w:val="center"/>
      </w:pPr>
      <w:r w:rsidRPr="007834F9">
        <w:rPr>
          <w:rFonts w:ascii="Tahoma" w:hAnsi="Tahoma" w:cs="Tahoma"/>
          <w:sz w:val="22"/>
          <w:szCs w:val="22"/>
        </w:rPr>
        <w:t>Magistrada</w:t>
      </w:r>
    </w:p>
    <w:sectPr w:rsidR="0069400F"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96" w:rsidRDefault="00DF1596">
      <w:r>
        <w:separator/>
      </w:r>
    </w:p>
  </w:endnote>
  <w:endnote w:type="continuationSeparator" w:id="0">
    <w:p w:rsidR="00DF1596" w:rsidRDefault="00DF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B" w:rsidRPr="0002458E" w:rsidRDefault="00BA31EB">
    <w:pPr>
      <w:pStyle w:val="Piedepgina"/>
      <w:jc w:val="right"/>
    </w:pPr>
    <w:r w:rsidRPr="0002458E">
      <w:fldChar w:fldCharType="begin"/>
    </w:r>
    <w:r w:rsidRPr="0002458E">
      <w:instrText>PAGE   \* MERGEFORMAT</w:instrText>
    </w:r>
    <w:r w:rsidRPr="0002458E">
      <w:fldChar w:fldCharType="separate"/>
    </w:r>
    <w:r w:rsidR="006B1059">
      <w:rPr>
        <w:noProof/>
      </w:rPr>
      <w:t>6</w:t>
    </w:r>
    <w:r w:rsidRPr="0002458E">
      <w:fldChar w:fldCharType="end"/>
    </w:r>
  </w:p>
  <w:p w:rsidR="00BA31EB" w:rsidRDefault="00BA31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B" w:rsidRDefault="00BA31EB">
    <w:pPr>
      <w:pStyle w:val="Piedepgina"/>
      <w:jc w:val="right"/>
    </w:pPr>
    <w:r>
      <w:fldChar w:fldCharType="begin"/>
    </w:r>
    <w:r>
      <w:instrText>PAGE   \* MERGEFORMAT</w:instrText>
    </w:r>
    <w:r>
      <w:fldChar w:fldCharType="separate"/>
    </w:r>
    <w:r w:rsidR="006B1059">
      <w:rPr>
        <w:noProof/>
      </w:rPr>
      <w:t>1</w:t>
    </w:r>
    <w:r>
      <w:fldChar w:fldCharType="end"/>
    </w:r>
  </w:p>
  <w:p w:rsidR="00BA31EB" w:rsidRDefault="00BA31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96" w:rsidRDefault="00DF1596">
      <w:r>
        <w:separator/>
      </w:r>
    </w:p>
  </w:footnote>
  <w:footnote w:type="continuationSeparator" w:id="0">
    <w:p w:rsidR="00DF1596" w:rsidRDefault="00DF1596">
      <w:r>
        <w:continuationSeparator/>
      </w:r>
    </w:p>
  </w:footnote>
  <w:footnote w:id="1">
    <w:p w:rsidR="00BA31EB" w:rsidRPr="00A51F6E" w:rsidRDefault="00BA31EB" w:rsidP="00EB0F5D">
      <w:pPr>
        <w:pStyle w:val="Textonotapie"/>
        <w:rPr>
          <w:sz w:val="16"/>
          <w:szCs w:val="16"/>
          <w:lang w:val="es-CO"/>
        </w:rPr>
      </w:pPr>
      <w:r w:rsidRPr="00A51F6E">
        <w:rPr>
          <w:rStyle w:val="Refdenotaalpie"/>
          <w:sz w:val="16"/>
          <w:szCs w:val="16"/>
        </w:rPr>
        <w:footnoteRef/>
      </w:r>
      <w:r w:rsidRPr="00A51F6E">
        <w:rPr>
          <w:sz w:val="16"/>
          <w:szCs w:val="16"/>
        </w:rPr>
        <w:t xml:space="preserve"> </w:t>
      </w:r>
      <w:r w:rsidRPr="00A51F6E">
        <w:rPr>
          <w:sz w:val="16"/>
          <w:szCs w:val="16"/>
          <w:lang w:val="es-CO"/>
        </w:rPr>
        <w:t>Que negó la pensión de sobrevivientes a la demandante.</w:t>
      </w:r>
    </w:p>
  </w:footnote>
  <w:footnote w:id="2">
    <w:p w:rsidR="00BA31EB" w:rsidRPr="00BA31EB" w:rsidRDefault="00BA31EB">
      <w:pPr>
        <w:pStyle w:val="Textonotapie"/>
      </w:pPr>
      <w:r w:rsidRPr="00A51F6E">
        <w:rPr>
          <w:rStyle w:val="Refdenotaalpie"/>
          <w:sz w:val="16"/>
          <w:szCs w:val="16"/>
        </w:rPr>
        <w:footnoteRef/>
      </w:r>
      <w:r w:rsidRPr="00A51F6E">
        <w:rPr>
          <w:sz w:val="16"/>
          <w:szCs w:val="16"/>
        </w:rPr>
        <w:t xml:space="preserve"> Por medio de la cual se resolvió el recurso de apelación propuesto en contra de la Resolución </w:t>
      </w:r>
      <w:r w:rsidR="00A51F6E" w:rsidRPr="00A51F6E">
        <w:rPr>
          <w:sz w:val="16"/>
          <w:szCs w:val="16"/>
        </w:rPr>
        <w:t>2916 del 28 de junio de 2011.</w:t>
      </w:r>
    </w:p>
  </w:footnote>
  <w:footnote w:id="3">
    <w:p w:rsidR="00CE0231" w:rsidRPr="00CE0231" w:rsidRDefault="00CE0231">
      <w:pPr>
        <w:pStyle w:val="Textonotapie"/>
        <w:rPr>
          <w:lang w:val="es-CO"/>
        </w:rPr>
      </w:pPr>
      <w:r>
        <w:rPr>
          <w:rStyle w:val="Refdenotaalpie"/>
        </w:rPr>
        <w:footnoteRef/>
      </w:r>
      <w:r>
        <w:t xml:space="preserve"> </w:t>
      </w:r>
      <w:r w:rsidRPr="00CE0231">
        <w:rPr>
          <w:sz w:val="16"/>
          <w:szCs w:val="16"/>
          <w:lang w:val="es-CO"/>
        </w:rPr>
        <w:t>Cuando se profirió la Resolución VPB 10902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B" w:rsidRDefault="00BA31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31EB" w:rsidRDefault="00BA31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B" w:rsidRPr="001E0812" w:rsidRDefault="00BA31EB" w:rsidP="001E0812">
    <w:pPr>
      <w:pStyle w:val="Puesto"/>
      <w:spacing w:line="240" w:lineRule="auto"/>
      <w:jc w:val="both"/>
      <w:rPr>
        <w:rFonts w:ascii="Times New Roman" w:hAnsi="Times New Roman" w:cs="Times New Roman"/>
        <w:b w:val="0"/>
        <w:sz w:val="16"/>
        <w:szCs w:val="16"/>
      </w:rPr>
    </w:pPr>
    <w:r w:rsidRPr="001E081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E0812">
      <w:rPr>
        <w:rFonts w:ascii="Times New Roman" w:hAnsi="Times New Roman" w:cs="Times New Roman"/>
        <w:b w:val="0"/>
        <w:sz w:val="16"/>
        <w:szCs w:val="16"/>
      </w:rPr>
      <w:t>66001-31-05-003-2014-00637-01</w:t>
    </w:r>
  </w:p>
  <w:p w:rsidR="00BA31EB" w:rsidRPr="001E0812" w:rsidRDefault="00BA31EB" w:rsidP="001E0812">
    <w:pPr>
      <w:pStyle w:val="Puesto"/>
      <w:spacing w:line="240" w:lineRule="auto"/>
      <w:jc w:val="both"/>
      <w:rPr>
        <w:rFonts w:ascii="Times New Roman" w:hAnsi="Times New Roman" w:cs="Times New Roman"/>
        <w:b w:val="0"/>
        <w:sz w:val="16"/>
        <w:szCs w:val="16"/>
      </w:rPr>
    </w:pPr>
    <w:r w:rsidRPr="001E081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E0812">
      <w:rPr>
        <w:rFonts w:ascii="Times New Roman" w:hAnsi="Times New Roman" w:cs="Times New Roman"/>
        <w:b w:val="0"/>
        <w:sz w:val="16"/>
        <w:szCs w:val="16"/>
      </w:rPr>
      <w:t xml:space="preserve">María Esperanza Ríos </w:t>
    </w:r>
    <w:proofErr w:type="spellStart"/>
    <w:r w:rsidRPr="001E0812">
      <w:rPr>
        <w:rFonts w:ascii="Times New Roman" w:hAnsi="Times New Roman" w:cs="Times New Roman"/>
        <w:b w:val="0"/>
        <w:sz w:val="16"/>
        <w:szCs w:val="16"/>
      </w:rPr>
      <w:t>Mape</w:t>
    </w:r>
    <w:proofErr w:type="spellEnd"/>
  </w:p>
  <w:p w:rsidR="00BA31EB" w:rsidRPr="001E0812" w:rsidRDefault="00BA31EB" w:rsidP="001E0812">
    <w:pPr>
      <w:pStyle w:val="Puesto"/>
      <w:spacing w:line="240" w:lineRule="auto"/>
      <w:jc w:val="both"/>
      <w:rPr>
        <w:rFonts w:ascii="Times New Roman" w:hAnsi="Times New Roman" w:cs="Times New Roman"/>
        <w:b w:val="0"/>
        <w:sz w:val="16"/>
        <w:szCs w:val="16"/>
      </w:rPr>
    </w:pPr>
    <w:r w:rsidRPr="001E081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E0812">
      <w:rPr>
        <w:rFonts w:ascii="Times New Roman" w:hAnsi="Times New Roman" w:cs="Times New Roman"/>
        <w:b w:val="0"/>
        <w:sz w:val="16"/>
        <w:szCs w:val="16"/>
      </w:rPr>
      <w:t xml:space="preserve">Colpensiones </w:t>
    </w:r>
  </w:p>
  <w:p w:rsidR="00BA31EB" w:rsidRDefault="00BA31EB"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3C376D6"/>
    <w:multiLevelType w:val="hybridMultilevel"/>
    <w:tmpl w:val="2C0AFBB8"/>
    <w:lvl w:ilvl="0" w:tplc="C548FBF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4"/>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2"/>
  </w:num>
  <w:num w:numId="19">
    <w:abstractNumId w:val="33"/>
  </w:num>
  <w:num w:numId="20">
    <w:abstractNumId w:val="23"/>
  </w:num>
  <w:num w:numId="21">
    <w:abstractNumId w:val="31"/>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5"/>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335"/>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5EE"/>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013"/>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B06"/>
    <w:rsid w:val="000F6BA9"/>
    <w:rsid w:val="000F7199"/>
    <w:rsid w:val="000F719F"/>
    <w:rsid w:val="001001C8"/>
    <w:rsid w:val="00100D4D"/>
    <w:rsid w:val="001015B5"/>
    <w:rsid w:val="001021A0"/>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0C3"/>
    <w:rsid w:val="00141D49"/>
    <w:rsid w:val="00143418"/>
    <w:rsid w:val="00144535"/>
    <w:rsid w:val="001446C7"/>
    <w:rsid w:val="00144DF0"/>
    <w:rsid w:val="0014623C"/>
    <w:rsid w:val="00146321"/>
    <w:rsid w:val="001464C6"/>
    <w:rsid w:val="00146FF0"/>
    <w:rsid w:val="00147041"/>
    <w:rsid w:val="0014705B"/>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A2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16"/>
    <w:rsid w:val="00255760"/>
    <w:rsid w:val="002557C5"/>
    <w:rsid w:val="002557C8"/>
    <w:rsid w:val="002565B2"/>
    <w:rsid w:val="002568B4"/>
    <w:rsid w:val="00261293"/>
    <w:rsid w:val="00262666"/>
    <w:rsid w:val="00262975"/>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EF3"/>
    <w:rsid w:val="00284A68"/>
    <w:rsid w:val="00285115"/>
    <w:rsid w:val="00285425"/>
    <w:rsid w:val="00286578"/>
    <w:rsid w:val="00286916"/>
    <w:rsid w:val="00287075"/>
    <w:rsid w:val="002871EE"/>
    <w:rsid w:val="00290751"/>
    <w:rsid w:val="00291521"/>
    <w:rsid w:val="00291A2F"/>
    <w:rsid w:val="00292402"/>
    <w:rsid w:val="00293351"/>
    <w:rsid w:val="002938A3"/>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1C6"/>
    <w:rsid w:val="0030730A"/>
    <w:rsid w:val="00307FC0"/>
    <w:rsid w:val="0031092F"/>
    <w:rsid w:val="00310C08"/>
    <w:rsid w:val="0031125C"/>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81D"/>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18BD"/>
    <w:rsid w:val="003821B0"/>
    <w:rsid w:val="003822EF"/>
    <w:rsid w:val="003837C8"/>
    <w:rsid w:val="00384432"/>
    <w:rsid w:val="00385042"/>
    <w:rsid w:val="0038616C"/>
    <w:rsid w:val="00386E56"/>
    <w:rsid w:val="00386EC9"/>
    <w:rsid w:val="003870B2"/>
    <w:rsid w:val="00387D04"/>
    <w:rsid w:val="003913BF"/>
    <w:rsid w:val="00391F0D"/>
    <w:rsid w:val="003921C9"/>
    <w:rsid w:val="00392F6F"/>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413"/>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5DE"/>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FDB"/>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1FD"/>
    <w:rsid w:val="004F6882"/>
    <w:rsid w:val="004F69C5"/>
    <w:rsid w:val="004F71FA"/>
    <w:rsid w:val="004F7351"/>
    <w:rsid w:val="004F7C33"/>
    <w:rsid w:val="00500756"/>
    <w:rsid w:val="005014A9"/>
    <w:rsid w:val="00503101"/>
    <w:rsid w:val="005051A9"/>
    <w:rsid w:val="00505E54"/>
    <w:rsid w:val="00506061"/>
    <w:rsid w:val="005065A4"/>
    <w:rsid w:val="005079BC"/>
    <w:rsid w:val="00510586"/>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3B62"/>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1329"/>
    <w:rsid w:val="005918AF"/>
    <w:rsid w:val="00592A13"/>
    <w:rsid w:val="00593452"/>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59"/>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4B0E"/>
    <w:rsid w:val="00705943"/>
    <w:rsid w:val="00707856"/>
    <w:rsid w:val="00707D90"/>
    <w:rsid w:val="00710EDE"/>
    <w:rsid w:val="0071154D"/>
    <w:rsid w:val="00711B3E"/>
    <w:rsid w:val="007122E4"/>
    <w:rsid w:val="007125FE"/>
    <w:rsid w:val="00713DAF"/>
    <w:rsid w:val="00714338"/>
    <w:rsid w:val="00714870"/>
    <w:rsid w:val="00714B35"/>
    <w:rsid w:val="00715566"/>
    <w:rsid w:val="00715E20"/>
    <w:rsid w:val="00716C54"/>
    <w:rsid w:val="00717064"/>
    <w:rsid w:val="0071752E"/>
    <w:rsid w:val="00723BD9"/>
    <w:rsid w:val="00723FD3"/>
    <w:rsid w:val="00724299"/>
    <w:rsid w:val="00724E3A"/>
    <w:rsid w:val="007250F3"/>
    <w:rsid w:val="007255D0"/>
    <w:rsid w:val="00725BD5"/>
    <w:rsid w:val="00725FC0"/>
    <w:rsid w:val="00726102"/>
    <w:rsid w:val="00727AF6"/>
    <w:rsid w:val="00730B52"/>
    <w:rsid w:val="007310CB"/>
    <w:rsid w:val="00731B4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5283"/>
    <w:rsid w:val="0079623D"/>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8E7"/>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B6A"/>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875"/>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3843"/>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6C43"/>
    <w:rsid w:val="008E72F2"/>
    <w:rsid w:val="008F02C2"/>
    <w:rsid w:val="008F0382"/>
    <w:rsid w:val="008F0439"/>
    <w:rsid w:val="008F0536"/>
    <w:rsid w:val="008F1C52"/>
    <w:rsid w:val="008F236D"/>
    <w:rsid w:val="008F3386"/>
    <w:rsid w:val="008F43E6"/>
    <w:rsid w:val="008F468C"/>
    <w:rsid w:val="008F4C75"/>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341"/>
    <w:rsid w:val="0093685F"/>
    <w:rsid w:val="00937BDE"/>
    <w:rsid w:val="00940331"/>
    <w:rsid w:val="009403A0"/>
    <w:rsid w:val="00940725"/>
    <w:rsid w:val="00940D13"/>
    <w:rsid w:val="00940EDF"/>
    <w:rsid w:val="009417F2"/>
    <w:rsid w:val="00941914"/>
    <w:rsid w:val="00941BC6"/>
    <w:rsid w:val="009420F1"/>
    <w:rsid w:val="0094213C"/>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26E"/>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54F"/>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6E"/>
    <w:rsid w:val="00A52CBE"/>
    <w:rsid w:val="00A52FB6"/>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51DB"/>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1BD"/>
    <w:rsid w:val="00B875BD"/>
    <w:rsid w:val="00B90285"/>
    <w:rsid w:val="00B90554"/>
    <w:rsid w:val="00B90BD5"/>
    <w:rsid w:val="00B929BA"/>
    <w:rsid w:val="00B931B7"/>
    <w:rsid w:val="00B9358A"/>
    <w:rsid w:val="00B937D1"/>
    <w:rsid w:val="00B943B5"/>
    <w:rsid w:val="00B9486D"/>
    <w:rsid w:val="00B94B44"/>
    <w:rsid w:val="00B94E3E"/>
    <w:rsid w:val="00B95040"/>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1EB"/>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2C55"/>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231"/>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DAA"/>
    <w:rsid w:val="00CF1693"/>
    <w:rsid w:val="00CF1E45"/>
    <w:rsid w:val="00CF2084"/>
    <w:rsid w:val="00CF2C37"/>
    <w:rsid w:val="00CF3705"/>
    <w:rsid w:val="00CF3E20"/>
    <w:rsid w:val="00CF4509"/>
    <w:rsid w:val="00CF4F84"/>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2CFD"/>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1C22"/>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6A22"/>
    <w:rsid w:val="00DE0119"/>
    <w:rsid w:val="00DE0F1D"/>
    <w:rsid w:val="00DE1CF2"/>
    <w:rsid w:val="00DE2020"/>
    <w:rsid w:val="00DE3A97"/>
    <w:rsid w:val="00DE3FAA"/>
    <w:rsid w:val="00DE5002"/>
    <w:rsid w:val="00DE5D5E"/>
    <w:rsid w:val="00DE5E8D"/>
    <w:rsid w:val="00DE7825"/>
    <w:rsid w:val="00DF0309"/>
    <w:rsid w:val="00DF03D7"/>
    <w:rsid w:val="00DF1596"/>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8B9"/>
    <w:rsid w:val="00E06B63"/>
    <w:rsid w:val="00E06CAA"/>
    <w:rsid w:val="00E0719A"/>
    <w:rsid w:val="00E07908"/>
    <w:rsid w:val="00E07983"/>
    <w:rsid w:val="00E10DB9"/>
    <w:rsid w:val="00E11139"/>
    <w:rsid w:val="00E1161C"/>
    <w:rsid w:val="00E11C08"/>
    <w:rsid w:val="00E1224B"/>
    <w:rsid w:val="00E122E7"/>
    <w:rsid w:val="00E12858"/>
    <w:rsid w:val="00E13DBC"/>
    <w:rsid w:val="00E13E6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C14"/>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0F5D"/>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5EF2"/>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1C4"/>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1733"/>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167"/>
    <w:rsid w:val="00FA1C72"/>
    <w:rsid w:val="00FA3231"/>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6984554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56964946">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F9BC-1A42-4012-9CC0-465FB1D4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10532</TotalTime>
  <Pages>6</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294</cp:revision>
  <cp:lastPrinted>2018-03-15T19:05:00Z</cp:lastPrinted>
  <dcterms:created xsi:type="dcterms:W3CDTF">2016-08-26T00:07:00Z</dcterms:created>
  <dcterms:modified xsi:type="dcterms:W3CDTF">2018-04-16T19:13:00Z</dcterms:modified>
  <cp:category>Sala Laboral Tribunal Superior de Periera</cp:category>
</cp:coreProperties>
</file>