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2D96" w:rsidRPr="00FF0A79" w:rsidRDefault="008F2D96" w:rsidP="008F2D96">
      <w:pPr>
        <w:pStyle w:val="Puesto"/>
        <w:spacing w:line="240" w:lineRule="auto"/>
        <w:jc w:val="both"/>
        <w:rPr>
          <w:rFonts w:ascii="Tahoma" w:hAnsi="Tahoma" w:cs="Tahoma"/>
          <w:b w:val="0"/>
          <w:sz w:val="18"/>
          <w:szCs w:val="18"/>
          <w:u w:val="single"/>
        </w:rPr>
      </w:pPr>
      <w:bookmarkStart w:id="0" w:name="_GoBack"/>
      <w:bookmarkEnd w:id="0"/>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404139">
        <w:rPr>
          <w:rFonts w:ascii="Tahoma" w:hAnsi="Tahoma" w:cs="Tahoma"/>
          <w:b w:val="0"/>
          <w:sz w:val="18"/>
          <w:szCs w:val="18"/>
        </w:rPr>
        <w:t>18</w:t>
      </w:r>
      <w:r w:rsidR="00A254EE">
        <w:rPr>
          <w:rFonts w:ascii="Tahoma" w:hAnsi="Tahoma" w:cs="Tahoma"/>
          <w:b w:val="0"/>
          <w:sz w:val="18"/>
          <w:szCs w:val="18"/>
        </w:rPr>
        <w:t xml:space="preserve"> de </w:t>
      </w:r>
      <w:r w:rsidR="00404139">
        <w:rPr>
          <w:rFonts w:ascii="Tahoma" w:hAnsi="Tahoma" w:cs="Tahoma"/>
          <w:b w:val="0"/>
          <w:sz w:val="18"/>
          <w:szCs w:val="18"/>
        </w:rPr>
        <w:t xml:space="preserve">mayo </w:t>
      </w:r>
      <w:r w:rsidR="0084707C">
        <w:rPr>
          <w:rFonts w:ascii="Tahoma" w:hAnsi="Tahoma" w:cs="Tahoma"/>
          <w:b w:val="0"/>
          <w:sz w:val="18"/>
          <w:szCs w:val="18"/>
        </w:rPr>
        <w:t>de 201</w:t>
      </w:r>
      <w:r w:rsidR="00404139">
        <w:rPr>
          <w:rFonts w:ascii="Tahoma" w:hAnsi="Tahoma" w:cs="Tahoma"/>
          <w:b w:val="0"/>
          <w:sz w:val="18"/>
          <w:szCs w:val="18"/>
        </w:rPr>
        <w:t>8</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404139">
        <w:rPr>
          <w:rFonts w:ascii="Tahoma" w:hAnsi="Tahoma" w:cs="Tahoma"/>
          <w:b w:val="0"/>
          <w:sz w:val="18"/>
          <w:szCs w:val="18"/>
        </w:rPr>
        <w:t>2</w:t>
      </w:r>
      <w:r w:rsidRPr="00FF0A79">
        <w:rPr>
          <w:rFonts w:ascii="Tahoma" w:hAnsi="Tahoma" w:cs="Tahoma"/>
          <w:b w:val="0"/>
          <w:sz w:val="18"/>
          <w:szCs w:val="18"/>
        </w:rPr>
        <w:t>-201</w:t>
      </w:r>
      <w:r w:rsidR="00404139">
        <w:rPr>
          <w:rFonts w:ascii="Tahoma" w:hAnsi="Tahoma" w:cs="Tahoma"/>
          <w:b w:val="0"/>
          <w:sz w:val="18"/>
          <w:szCs w:val="18"/>
        </w:rPr>
        <w:t>5</w:t>
      </w:r>
      <w:r w:rsidRPr="00FF0A79">
        <w:rPr>
          <w:rFonts w:ascii="Tahoma" w:hAnsi="Tahoma" w:cs="Tahoma"/>
          <w:b w:val="0"/>
          <w:sz w:val="18"/>
          <w:szCs w:val="18"/>
        </w:rPr>
        <w:t>-00</w:t>
      </w:r>
      <w:r w:rsidR="00404139">
        <w:rPr>
          <w:rFonts w:ascii="Tahoma" w:hAnsi="Tahoma" w:cs="Tahoma"/>
          <w:b w:val="0"/>
          <w:sz w:val="18"/>
          <w:szCs w:val="18"/>
        </w:rPr>
        <w:t>612</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404139">
        <w:rPr>
          <w:rFonts w:ascii="Tahoma" w:hAnsi="Tahoma" w:cs="Tahoma"/>
          <w:b w:val="0"/>
          <w:sz w:val="18"/>
          <w:szCs w:val="18"/>
        </w:rPr>
        <w:t>Ramón Erasmo Zapata Vázquez</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C1D">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FF0A79" w:rsidRPr="00404139" w:rsidRDefault="00FF0A79" w:rsidP="008F2D96">
      <w:pPr>
        <w:rPr>
          <w:lang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Pr="00404139" w:rsidRDefault="008F2D96" w:rsidP="00404139">
      <w:pPr>
        <w:spacing w:line="276" w:lineRule="auto"/>
        <w:ind w:firstLine="709"/>
        <w:jc w:val="both"/>
        <w:rPr>
          <w:rFonts w:ascii="Tahoma" w:hAnsi="Tahoma" w:cs="Tahoma"/>
          <w:sz w:val="22"/>
          <w:szCs w:val="22"/>
        </w:rPr>
      </w:pPr>
      <w:r w:rsidRPr="00404139">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sidR="00404139" w:rsidRPr="00404139">
        <w:rPr>
          <w:rFonts w:ascii="Tahoma" w:hAnsi="Tahoma" w:cs="Tahoma"/>
          <w:sz w:val="22"/>
          <w:szCs w:val="22"/>
        </w:rPr>
        <w:t>invalidez</w:t>
      </w:r>
      <w:r w:rsidR="00964549" w:rsidRPr="00404139">
        <w:rPr>
          <w:rFonts w:ascii="Tahoma" w:hAnsi="Tahoma" w:cs="Tahoma"/>
          <w:sz w:val="22"/>
          <w:szCs w:val="22"/>
        </w:rPr>
        <w:t xml:space="preserve"> </w:t>
      </w:r>
      <w:r w:rsidRPr="00404139">
        <w:rPr>
          <w:rFonts w:ascii="Tahoma" w:hAnsi="Tahoma" w:cs="Tahoma"/>
          <w:sz w:val="22"/>
          <w:szCs w:val="22"/>
        </w:rPr>
        <w:t xml:space="preserve">deprecada en la demanda por las siguientes razones: </w:t>
      </w:r>
    </w:p>
    <w:p w:rsidR="00A462A2" w:rsidRPr="00404139" w:rsidRDefault="00A462A2" w:rsidP="00404139">
      <w:pPr>
        <w:spacing w:line="276" w:lineRule="auto"/>
        <w:ind w:firstLine="709"/>
        <w:jc w:val="both"/>
        <w:rPr>
          <w:rFonts w:ascii="Tahoma" w:hAnsi="Tahoma" w:cs="Tahoma"/>
          <w:sz w:val="22"/>
          <w:szCs w:val="22"/>
        </w:rPr>
      </w:pPr>
    </w:p>
    <w:p w:rsidR="00404139" w:rsidRPr="00404139" w:rsidRDefault="00404139" w:rsidP="00404139">
      <w:pPr>
        <w:spacing w:line="276" w:lineRule="auto"/>
        <w:ind w:firstLine="708"/>
        <w:jc w:val="both"/>
        <w:rPr>
          <w:rFonts w:ascii="Tahoma" w:hAnsi="Tahoma" w:cs="Tahoma"/>
          <w:color w:val="FF0000"/>
          <w:sz w:val="22"/>
          <w:szCs w:val="22"/>
        </w:rPr>
      </w:pPr>
      <w:r w:rsidRPr="00404139">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404139">
        <w:rPr>
          <w:rFonts w:ascii="Tahoma" w:hAnsi="Tahoma" w:cs="Tahoma"/>
          <w:b/>
          <w:sz w:val="22"/>
          <w:szCs w:val="22"/>
        </w:rPr>
        <w:t xml:space="preserve"> </w:t>
      </w:r>
      <w:r w:rsidRPr="00404139">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404139">
        <w:rPr>
          <w:rStyle w:val="Refdenotaalpie"/>
          <w:rFonts w:ascii="Tahoma" w:hAnsi="Tahoma" w:cs="Tahoma"/>
          <w:spacing w:val="-2"/>
          <w:sz w:val="22"/>
          <w:szCs w:val="22"/>
        </w:rPr>
        <w:footnoteReference w:id="1"/>
      </w:r>
      <w:r w:rsidRPr="00404139">
        <w:rPr>
          <w:rFonts w:ascii="Tahoma" w:hAnsi="Tahoma" w:cs="Tahoma"/>
          <w:spacing w:val="-2"/>
          <w:sz w:val="22"/>
          <w:szCs w:val="22"/>
        </w:rPr>
        <w:t xml:space="preserve">. </w:t>
      </w:r>
    </w:p>
    <w:p w:rsidR="00404139" w:rsidRPr="00404139" w:rsidRDefault="00404139" w:rsidP="00404139">
      <w:pPr>
        <w:spacing w:line="276" w:lineRule="auto"/>
        <w:ind w:firstLine="709"/>
        <w:jc w:val="both"/>
        <w:rPr>
          <w:rFonts w:ascii="Tahoma" w:hAnsi="Tahoma" w:cs="Tahoma"/>
          <w:spacing w:val="-2"/>
          <w:sz w:val="22"/>
          <w:szCs w:val="22"/>
        </w:rPr>
      </w:pPr>
    </w:p>
    <w:p w:rsidR="00404139" w:rsidRPr="00404139" w:rsidRDefault="00404139" w:rsidP="00404139">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Sin embargo, hace poco la Sala de Casación Laboral redujo aún más su postura en la aplicación de este principio en el tránsito de la Ley 100 original a la Ley 860 de 2003, en la Sentencia SL4650,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2003 y el 26 de diciembre de 2006, </w:t>
      </w:r>
      <w:r w:rsidRPr="00404139">
        <w:rPr>
          <w:rFonts w:ascii="Tahoma" w:hAnsi="Tahoma" w:cs="Tahoma"/>
          <w:i/>
          <w:spacing w:val="-2"/>
          <w:sz w:val="22"/>
          <w:szCs w:val="22"/>
        </w:rPr>
        <w:t>-y si se da ese requisito, se puede entrar a analizar otros señalados en la misma providencia-</w:t>
      </w:r>
      <w:r w:rsidRPr="00404139">
        <w:rPr>
          <w:rFonts w:ascii="Tahoma" w:hAnsi="Tahoma" w:cs="Tahoma"/>
          <w:spacing w:val="-2"/>
          <w:sz w:val="22"/>
          <w:szCs w:val="22"/>
        </w:rPr>
        <w:t>.</w:t>
      </w:r>
    </w:p>
    <w:p w:rsidR="00404139" w:rsidRPr="00404139" w:rsidRDefault="00404139" w:rsidP="00404139">
      <w:pPr>
        <w:spacing w:line="276" w:lineRule="auto"/>
        <w:ind w:firstLine="709"/>
        <w:jc w:val="both"/>
        <w:rPr>
          <w:rFonts w:ascii="Tahoma" w:hAnsi="Tahoma" w:cs="Tahoma"/>
          <w:spacing w:val="-2"/>
          <w:sz w:val="22"/>
          <w:szCs w:val="22"/>
        </w:rPr>
      </w:pPr>
    </w:p>
    <w:p w:rsidR="00404139" w:rsidRPr="00404139" w:rsidRDefault="00404139" w:rsidP="00404139">
      <w:pPr>
        <w:spacing w:line="276" w:lineRule="auto"/>
        <w:ind w:firstLine="709"/>
        <w:jc w:val="both"/>
        <w:rPr>
          <w:rFonts w:ascii="Tahoma" w:hAnsi="Tahoma" w:cs="Tahoma"/>
          <w:sz w:val="22"/>
          <w:szCs w:val="22"/>
        </w:rPr>
      </w:pPr>
      <w:r w:rsidRPr="00404139">
        <w:rPr>
          <w:rFonts w:ascii="Tahoma" w:hAnsi="Tahoma" w:cs="Tahoma"/>
          <w:spacing w:val="-2"/>
          <w:sz w:val="22"/>
          <w:szCs w:val="22"/>
        </w:rPr>
        <w:t xml:space="preserve">Tal como lo he expuesto en distintos salvamentos de voto, no comparto aquella </w:t>
      </w:r>
      <w:r w:rsidRPr="00404139">
        <w:rPr>
          <w:rFonts w:ascii="Tahoma" w:hAnsi="Tahoma" w:cs="Tahoma"/>
          <w:sz w:val="22"/>
          <w:szCs w:val="22"/>
        </w:rPr>
        <w:t xml:space="preserve">nueva restricción a la aplicación del principio de la condición más beneficiosa en el tránsito legislativo de la Ley 100 original a la Ley 860 de 2003, pues impone una limitación temporal e </w:t>
      </w:r>
      <w:r w:rsidRPr="00404139">
        <w:rPr>
          <w:rFonts w:ascii="Tahoma" w:hAnsi="Tahoma" w:cs="Tahoma"/>
          <w:color w:val="000000"/>
          <w:sz w:val="22"/>
          <w:szCs w:val="22"/>
        </w:rPr>
        <w:t xml:space="preserve">incorpora una sub-regla de adjudicación que hace aún más gravosa la aplicación del aludido principio; por lo tanto, el despacho que presido continúa aplicando la anterior postura de dicha Corporación, que exigía 26 semanas en el año anterior a la entrada en vigencia de </w:t>
      </w:r>
      <w:r w:rsidRPr="00404139">
        <w:rPr>
          <w:rFonts w:ascii="Tahoma" w:hAnsi="Tahoma" w:cs="Tahoma"/>
          <w:sz w:val="22"/>
          <w:szCs w:val="22"/>
        </w:rPr>
        <w:t>la Ley 860 de 2003, y la misma cantidad en el año anterior a la estructuración, las cuales no se dan en el caso de marras.</w:t>
      </w:r>
    </w:p>
    <w:p w:rsidR="00404139" w:rsidRPr="00404139" w:rsidRDefault="00404139" w:rsidP="00404139">
      <w:pPr>
        <w:spacing w:line="276" w:lineRule="auto"/>
        <w:ind w:firstLine="709"/>
        <w:jc w:val="both"/>
        <w:rPr>
          <w:rFonts w:ascii="Tahoma" w:hAnsi="Tahoma" w:cs="Tahoma"/>
          <w:sz w:val="22"/>
          <w:szCs w:val="22"/>
        </w:rPr>
      </w:pPr>
    </w:p>
    <w:p w:rsidR="00404139" w:rsidRPr="00404139" w:rsidRDefault="00404139" w:rsidP="00404139">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No obstante, el caso puede analizarse a la luz del Acuerdo 049 de 1990 que, si bien no es la norma inmediatamente anterior, se acompasa al precedente de la Corte Constitucional, quien a través de la sentencia SU-442 del 18 de agosto de 2016 </w:t>
      </w:r>
      <w:r w:rsidRPr="00404139">
        <w:rPr>
          <w:rFonts w:ascii="Tahoma" w:hAnsi="Tahoma" w:cs="Tahoma"/>
          <w:i/>
          <w:spacing w:val="-2"/>
          <w:sz w:val="22"/>
          <w:szCs w:val="22"/>
        </w:rPr>
        <w:t>–en la que se analizó una pensión de invalidez-</w:t>
      </w:r>
      <w:r w:rsidRPr="00404139">
        <w:rPr>
          <w:rFonts w:ascii="Tahoma" w:hAnsi="Tahoma" w:cs="Tahoma"/>
          <w:spacing w:val="-2"/>
          <w:sz w:val="22"/>
          <w:szCs w:val="22"/>
        </w:rPr>
        <w:t xml:space="preserve">, unificó los criterios en relación con la aplicación de la condición más beneficiosa, reiterando los precedentes </w:t>
      </w:r>
      <w:r w:rsidRPr="00404139">
        <w:rPr>
          <w:rFonts w:ascii="Tahoma" w:hAnsi="Tahoma" w:cs="Tahoma"/>
          <w:spacing w:val="-2"/>
          <w:sz w:val="22"/>
          <w:szCs w:val="22"/>
        </w:rPr>
        <w:lastRenderedPageBreak/>
        <w:t xml:space="preserve">anteriores y precisando que </w:t>
      </w:r>
      <w:r w:rsidRPr="00404139">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404139">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404139">
        <w:rPr>
          <w:rFonts w:ascii="Tahoma" w:hAnsi="Tahoma" w:cs="Tahoma"/>
          <w:i/>
          <w:spacing w:val="-2"/>
          <w:sz w:val="22"/>
          <w:szCs w:val="22"/>
        </w:rPr>
        <w:t>“no puede hablarse de un detrimento para la sostenibilidad financiera del sistema pensional”.</w:t>
      </w:r>
    </w:p>
    <w:p w:rsidR="00404139" w:rsidRPr="00404139" w:rsidRDefault="00404139" w:rsidP="00404139">
      <w:pPr>
        <w:spacing w:line="276" w:lineRule="auto"/>
        <w:ind w:firstLine="708"/>
        <w:jc w:val="both"/>
        <w:rPr>
          <w:rFonts w:ascii="Tahoma" w:hAnsi="Tahoma" w:cs="Tahoma"/>
          <w:sz w:val="22"/>
          <w:szCs w:val="22"/>
        </w:rPr>
      </w:pPr>
    </w:p>
    <w:p w:rsidR="00404139" w:rsidRPr="00404139" w:rsidRDefault="00404139" w:rsidP="00404139">
      <w:pPr>
        <w:spacing w:line="276" w:lineRule="auto"/>
        <w:jc w:val="both"/>
        <w:rPr>
          <w:rFonts w:ascii="Tahoma" w:hAnsi="Tahoma" w:cs="Tahoma"/>
          <w:spacing w:val="-2"/>
          <w:sz w:val="22"/>
          <w:szCs w:val="22"/>
        </w:rPr>
      </w:pPr>
      <w:r w:rsidRPr="00404139">
        <w:rPr>
          <w:rFonts w:ascii="Tahoma" w:hAnsi="Tahoma" w:cs="Tahoma"/>
          <w:spacing w:val="-2"/>
          <w:sz w:val="22"/>
          <w:szCs w:val="22"/>
        </w:rPr>
        <w:tab/>
        <w:t>Este precedente de la Corte Constitucional había sido acogido por las antiguas Salas de Decisión Laboral No. 1 y 3 de esta Corporación</w:t>
      </w:r>
      <w:r w:rsidRPr="00404139">
        <w:rPr>
          <w:rStyle w:val="Refdenotaalpie"/>
          <w:rFonts w:ascii="Tahoma" w:hAnsi="Tahoma" w:cs="Tahoma"/>
          <w:spacing w:val="-2"/>
          <w:sz w:val="22"/>
          <w:szCs w:val="22"/>
        </w:rPr>
        <w:footnoteReference w:id="2"/>
      </w:r>
      <w:r w:rsidRPr="00404139">
        <w:rPr>
          <w:rFonts w:ascii="Tahoma" w:hAnsi="Tahoma" w:cs="Tahoma"/>
          <w:spacing w:val="-2"/>
          <w:sz w:val="22"/>
          <w:szCs w:val="22"/>
        </w:rPr>
        <w:t xml:space="preserve">,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404139" w:rsidRPr="00404139" w:rsidRDefault="00404139" w:rsidP="00404139">
      <w:pPr>
        <w:spacing w:line="276" w:lineRule="auto"/>
        <w:jc w:val="both"/>
        <w:rPr>
          <w:rFonts w:ascii="Tahoma" w:hAnsi="Tahoma" w:cs="Tahoma"/>
          <w:spacing w:val="-2"/>
          <w:sz w:val="22"/>
          <w:szCs w:val="22"/>
        </w:rPr>
      </w:pPr>
    </w:p>
    <w:p w:rsidR="00404139" w:rsidRPr="00404139" w:rsidRDefault="00404139" w:rsidP="00404139">
      <w:pPr>
        <w:spacing w:line="276" w:lineRule="auto"/>
        <w:jc w:val="both"/>
        <w:rPr>
          <w:rFonts w:ascii="Tahoma" w:hAnsi="Tahoma" w:cs="Tahoma"/>
          <w:spacing w:val="-2"/>
          <w:sz w:val="22"/>
          <w:szCs w:val="22"/>
        </w:rPr>
      </w:pPr>
      <w:r w:rsidRPr="00404139">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404139" w:rsidRPr="00404139" w:rsidRDefault="00404139" w:rsidP="00404139">
      <w:pPr>
        <w:spacing w:line="276" w:lineRule="auto"/>
        <w:jc w:val="both"/>
        <w:rPr>
          <w:rFonts w:ascii="Tahoma" w:hAnsi="Tahoma" w:cs="Tahoma"/>
          <w:spacing w:val="-2"/>
          <w:sz w:val="22"/>
          <w:szCs w:val="22"/>
        </w:rPr>
      </w:pPr>
    </w:p>
    <w:p w:rsidR="00404139" w:rsidRPr="00404139" w:rsidRDefault="00404139" w:rsidP="00404139">
      <w:pPr>
        <w:pStyle w:val="Textoindependiente31"/>
        <w:spacing w:line="276" w:lineRule="auto"/>
        <w:ind w:firstLine="851"/>
        <w:rPr>
          <w:rFonts w:ascii="Tahoma" w:hAnsi="Tahoma" w:cs="Tahoma"/>
          <w:sz w:val="22"/>
          <w:szCs w:val="22"/>
        </w:rPr>
      </w:pPr>
      <w:r w:rsidRPr="00404139">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404139" w:rsidRPr="00404139" w:rsidRDefault="00404139" w:rsidP="00404139">
      <w:pPr>
        <w:pStyle w:val="Sinespaciado"/>
        <w:spacing w:line="276" w:lineRule="auto"/>
      </w:pPr>
    </w:p>
    <w:p w:rsidR="00404139" w:rsidRPr="00404139" w:rsidRDefault="00404139" w:rsidP="00404139">
      <w:pPr>
        <w:overflowPunct w:val="0"/>
        <w:autoSpaceDE w:val="0"/>
        <w:autoSpaceDN w:val="0"/>
        <w:adjustRightInd w:val="0"/>
        <w:spacing w:line="276" w:lineRule="auto"/>
        <w:ind w:left="709" w:right="193"/>
        <w:jc w:val="both"/>
        <w:textAlignment w:val="baseline"/>
        <w:rPr>
          <w:rFonts w:ascii="Arial Narrow" w:hAnsi="Arial Narrow" w:cs="Tahoma"/>
          <w:i/>
          <w:sz w:val="22"/>
          <w:szCs w:val="22"/>
        </w:rPr>
      </w:pPr>
      <w:r w:rsidRPr="00404139">
        <w:rPr>
          <w:rFonts w:ascii="Arial Narrow" w:hAnsi="Arial Narrow" w:cs="Tahoma"/>
          <w:i/>
          <w:sz w:val="22"/>
          <w:szCs w:val="22"/>
        </w:rPr>
        <w:t>“</w:t>
      </w:r>
      <w:r w:rsidRPr="00404139">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404139">
        <w:rPr>
          <w:rFonts w:ascii="Arial Narrow" w:hAnsi="Arial Narrow" w:cs="Tahoma"/>
          <w:i/>
          <w:sz w:val="22"/>
          <w:szCs w:val="22"/>
        </w:rPr>
        <w:t xml:space="preserve">”. </w:t>
      </w:r>
    </w:p>
    <w:p w:rsidR="00404139" w:rsidRPr="00404139" w:rsidRDefault="00404139" w:rsidP="00404139">
      <w:pPr>
        <w:spacing w:line="276" w:lineRule="auto"/>
        <w:ind w:firstLine="709"/>
        <w:jc w:val="both"/>
        <w:rPr>
          <w:rFonts w:ascii="Tahoma" w:hAnsi="Tahoma" w:cs="Tahoma"/>
          <w:spacing w:val="-2"/>
          <w:sz w:val="22"/>
          <w:szCs w:val="22"/>
        </w:rPr>
      </w:pPr>
    </w:p>
    <w:p w:rsidR="00404139" w:rsidRPr="00404139" w:rsidRDefault="00404139" w:rsidP="00404139">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En virtud de lo anterior debe confirmarse la sentencia de primera instancia íntegramente, pues tal como se puede apreciar en la historia laboral visible a folio 70, entre el 31 de marzo de 1988 y el mismo día y mes de 1994 el demandante tiene 234,14 semanas cotizadas, y entre el 1º de abril de 1994 y el 1º de abril del año 2000 cuenta con 215,01 semanas cotizadas; no obstante, como los demás integrantes </w:t>
      </w:r>
      <w:r w:rsidRPr="00404139">
        <w:rPr>
          <w:rFonts w:ascii="Tahoma" w:hAnsi="Tahoma" w:cs="Tahoma"/>
          <w:spacing w:val="-2"/>
          <w:sz w:val="22"/>
          <w:szCs w:val="22"/>
        </w:rPr>
        <w:lastRenderedPageBreak/>
        <w:t>que conforman esta Sala de decisión no comparten la aplicación del principio de la condición más beneficiosa en los términos antes expuestos, resulta inútil edificar una sentencia que finalmente no será aprobada por el resto de la Sala.</w:t>
      </w:r>
    </w:p>
    <w:p w:rsidR="008F2D96" w:rsidRPr="00404139" w:rsidRDefault="008F2D96" w:rsidP="00404139">
      <w:pPr>
        <w:spacing w:line="276" w:lineRule="auto"/>
        <w:ind w:firstLine="709"/>
        <w:jc w:val="both"/>
        <w:rPr>
          <w:rFonts w:ascii="Tahoma" w:hAnsi="Tahoma" w:cs="Tahoma"/>
          <w:sz w:val="22"/>
          <w:szCs w:val="22"/>
        </w:rPr>
      </w:pPr>
      <w:r w:rsidRPr="00404139">
        <w:rPr>
          <w:rFonts w:ascii="Tahoma" w:hAnsi="Tahoma" w:cs="Tahoma"/>
          <w:spacing w:val="-2"/>
          <w:sz w:val="22"/>
          <w:szCs w:val="22"/>
        </w:rPr>
        <w:tab/>
      </w:r>
    </w:p>
    <w:p w:rsidR="008F2D96" w:rsidRPr="00404139" w:rsidRDefault="008F2D96" w:rsidP="00404139">
      <w:pPr>
        <w:pStyle w:val="Textoindependiente"/>
        <w:spacing w:line="276" w:lineRule="auto"/>
        <w:ind w:firstLine="709"/>
        <w:rPr>
          <w:rFonts w:ascii="Tahoma" w:hAnsi="Tahoma" w:cs="Tahoma"/>
          <w:sz w:val="22"/>
          <w:szCs w:val="22"/>
          <w:lang w:val="es-ES"/>
        </w:rPr>
      </w:pPr>
      <w:r w:rsidRPr="00404139">
        <w:rPr>
          <w:rFonts w:ascii="Tahoma" w:hAnsi="Tahoma" w:cs="Tahoma"/>
          <w:sz w:val="22"/>
          <w:szCs w:val="22"/>
          <w:lang w:val="es-ES"/>
        </w:rPr>
        <w:t>En estos términos sustento mi salvamento de voto.</w:t>
      </w:r>
    </w:p>
    <w:p w:rsidR="008F2D96" w:rsidRPr="00404139" w:rsidRDefault="008F2D96" w:rsidP="00404139">
      <w:pPr>
        <w:pStyle w:val="Textoindependiente"/>
        <w:autoSpaceDE/>
        <w:autoSpaceDN/>
        <w:adjustRightInd/>
        <w:spacing w:line="276" w:lineRule="auto"/>
        <w:ind w:firstLine="709"/>
        <w:rPr>
          <w:rFonts w:ascii="Tahoma" w:hAnsi="Tahoma" w:cs="Tahoma"/>
          <w:sz w:val="22"/>
          <w:szCs w:val="22"/>
          <w:lang w:val="es-ES"/>
        </w:rPr>
      </w:pPr>
    </w:p>
    <w:p w:rsidR="008F2D96" w:rsidRPr="00404139" w:rsidRDefault="008F2D96" w:rsidP="00404139">
      <w:pPr>
        <w:widowControl w:val="0"/>
        <w:autoSpaceDE w:val="0"/>
        <w:autoSpaceDN w:val="0"/>
        <w:adjustRightInd w:val="0"/>
        <w:spacing w:line="276" w:lineRule="auto"/>
        <w:ind w:firstLine="709"/>
        <w:jc w:val="both"/>
        <w:rPr>
          <w:rFonts w:ascii="Tahoma" w:hAnsi="Tahoma" w:cs="Tahoma"/>
          <w:sz w:val="22"/>
          <w:szCs w:val="22"/>
        </w:rPr>
      </w:pPr>
    </w:p>
    <w:p w:rsidR="00A462A2" w:rsidRDefault="00A462A2" w:rsidP="00404139">
      <w:pPr>
        <w:widowControl w:val="0"/>
        <w:autoSpaceDE w:val="0"/>
        <w:autoSpaceDN w:val="0"/>
        <w:adjustRightInd w:val="0"/>
        <w:spacing w:line="276" w:lineRule="auto"/>
        <w:ind w:firstLine="709"/>
        <w:jc w:val="both"/>
        <w:rPr>
          <w:rFonts w:ascii="Tahoma" w:hAnsi="Tahoma" w:cs="Tahoma"/>
          <w:sz w:val="22"/>
          <w:szCs w:val="22"/>
        </w:rPr>
      </w:pPr>
    </w:p>
    <w:p w:rsidR="00404139" w:rsidRPr="00404139" w:rsidRDefault="00404139" w:rsidP="00404139">
      <w:pPr>
        <w:widowControl w:val="0"/>
        <w:autoSpaceDE w:val="0"/>
        <w:autoSpaceDN w:val="0"/>
        <w:adjustRightInd w:val="0"/>
        <w:spacing w:line="276" w:lineRule="auto"/>
        <w:ind w:firstLine="709"/>
        <w:jc w:val="both"/>
        <w:rPr>
          <w:rFonts w:ascii="Tahoma" w:hAnsi="Tahoma" w:cs="Tahoma"/>
          <w:sz w:val="22"/>
          <w:szCs w:val="22"/>
        </w:rPr>
      </w:pPr>
    </w:p>
    <w:p w:rsidR="00344350" w:rsidRPr="00404139" w:rsidRDefault="00344350" w:rsidP="00404139">
      <w:pPr>
        <w:widowControl w:val="0"/>
        <w:autoSpaceDE w:val="0"/>
        <w:autoSpaceDN w:val="0"/>
        <w:adjustRightInd w:val="0"/>
        <w:spacing w:line="276" w:lineRule="auto"/>
        <w:ind w:firstLine="709"/>
        <w:jc w:val="both"/>
        <w:rPr>
          <w:rFonts w:ascii="Tahoma" w:hAnsi="Tahoma" w:cs="Tahoma"/>
          <w:sz w:val="22"/>
          <w:szCs w:val="22"/>
        </w:rPr>
      </w:pPr>
    </w:p>
    <w:p w:rsidR="008F2D96" w:rsidRPr="00404139" w:rsidRDefault="008F2D96" w:rsidP="00404139">
      <w:pPr>
        <w:widowControl w:val="0"/>
        <w:autoSpaceDE w:val="0"/>
        <w:autoSpaceDN w:val="0"/>
        <w:adjustRightInd w:val="0"/>
        <w:spacing w:line="276" w:lineRule="auto"/>
        <w:ind w:firstLine="709"/>
        <w:jc w:val="both"/>
        <w:rPr>
          <w:rFonts w:ascii="Tahoma" w:hAnsi="Tahoma" w:cs="Tahoma"/>
          <w:sz w:val="22"/>
          <w:szCs w:val="22"/>
        </w:rPr>
      </w:pPr>
    </w:p>
    <w:p w:rsidR="008F2D96" w:rsidRPr="00404139" w:rsidRDefault="008F2D96" w:rsidP="00404139">
      <w:pPr>
        <w:pStyle w:val="Ttulo3"/>
        <w:spacing w:line="276" w:lineRule="auto"/>
        <w:ind w:firstLine="709"/>
        <w:rPr>
          <w:rFonts w:ascii="Tahoma" w:hAnsi="Tahoma" w:cs="Tahoma"/>
          <w:sz w:val="22"/>
          <w:szCs w:val="22"/>
        </w:rPr>
      </w:pPr>
      <w:r w:rsidRPr="00404139">
        <w:rPr>
          <w:rFonts w:ascii="Tahoma" w:hAnsi="Tahoma" w:cs="Tahoma"/>
          <w:sz w:val="22"/>
          <w:szCs w:val="22"/>
        </w:rPr>
        <w:t>ANA LUCÍA CAICEDO CALDERÓN</w:t>
      </w:r>
    </w:p>
    <w:p w:rsidR="008F2D96" w:rsidRDefault="008F2D96"/>
    <w:sectPr w:rsidR="008F2D9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C1" w:rsidRDefault="008F20C1">
      <w:r>
        <w:separator/>
      </w:r>
    </w:p>
  </w:endnote>
  <w:endnote w:type="continuationSeparator" w:id="0">
    <w:p w:rsidR="008F20C1" w:rsidRDefault="008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8F20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31F">
      <w:rPr>
        <w:rStyle w:val="Nmerodepgina"/>
        <w:noProof/>
      </w:rPr>
      <w:t>2</w:t>
    </w:r>
    <w:r>
      <w:rPr>
        <w:rStyle w:val="Nmerodepgina"/>
      </w:rPr>
      <w:fldChar w:fldCharType="end"/>
    </w:r>
  </w:p>
  <w:p w:rsidR="00F0306B" w:rsidRDefault="008F2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C1" w:rsidRDefault="008F20C1">
      <w:r>
        <w:separator/>
      </w:r>
    </w:p>
  </w:footnote>
  <w:footnote w:type="continuationSeparator" w:id="0">
    <w:p w:rsidR="008F20C1" w:rsidRDefault="008F20C1">
      <w:r>
        <w:continuationSeparator/>
      </w:r>
    </w:p>
  </w:footnote>
  <w:footnote w:id="1">
    <w:p w:rsidR="00404139" w:rsidRDefault="00404139" w:rsidP="00404139">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404139" w:rsidRDefault="00404139" w:rsidP="00404139">
      <w:pPr>
        <w:tabs>
          <w:tab w:val="left" w:pos="8789"/>
        </w:tabs>
        <w:ind w:right="51"/>
        <w:jc w:val="both"/>
        <w:rPr>
          <w:sz w:val="16"/>
          <w:szCs w:val="16"/>
        </w:rPr>
      </w:pPr>
    </w:p>
    <w:p w:rsidR="00404139" w:rsidRPr="00F57ACA" w:rsidRDefault="00404139" w:rsidP="00404139">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404139" w:rsidRPr="00F57ACA" w:rsidRDefault="00404139" w:rsidP="00404139">
      <w:pPr>
        <w:tabs>
          <w:tab w:val="left" w:pos="8789"/>
        </w:tabs>
        <w:ind w:right="51"/>
        <w:jc w:val="both"/>
        <w:rPr>
          <w:rFonts w:ascii="Arial Narrow" w:hAnsi="Arial Narrow"/>
          <w:i/>
          <w:iCs/>
          <w:sz w:val="16"/>
          <w:szCs w:val="16"/>
        </w:rPr>
      </w:pPr>
    </w:p>
    <w:p w:rsidR="00404139" w:rsidRPr="00F57ACA" w:rsidRDefault="00404139" w:rsidP="00404139">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404139" w:rsidRPr="00F57ACA" w:rsidRDefault="00404139" w:rsidP="00404139">
      <w:pPr>
        <w:jc w:val="both"/>
        <w:rPr>
          <w:rFonts w:ascii="Tahoma" w:hAnsi="Tahoma" w:cs="Tahoma"/>
          <w:spacing w:val="-2"/>
          <w:sz w:val="16"/>
          <w:szCs w:val="16"/>
        </w:rPr>
      </w:pPr>
    </w:p>
    <w:p w:rsidR="00404139" w:rsidRPr="00F57ACA" w:rsidRDefault="00404139" w:rsidP="00404139">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404139" w:rsidRPr="00F57ACA" w:rsidRDefault="00404139" w:rsidP="00404139">
      <w:pPr>
        <w:jc w:val="both"/>
        <w:rPr>
          <w:rFonts w:ascii="Tahoma" w:hAnsi="Tahoma" w:cs="Tahoma"/>
          <w:spacing w:val="-2"/>
          <w:sz w:val="16"/>
          <w:szCs w:val="16"/>
        </w:rPr>
      </w:pPr>
    </w:p>
    <w:p w:rsidR="00404139" w:rsidRPr="00F57ACA" w:rsidRDefault="00404139" w:rsidP="00404139">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404139" w:rsidRPr="00F57ACA" w:rsidRDefault="00404139" w:rsidP="00404139">
      <w:pPr>
        <w:pStyle w:val="Textonotapie"/>
      </w:pPr>
    </w:p>
  </w:footnote>
  <w:footnote w:id="2">
    <w:p w:rsidR="00404139" w:rsidRPr="00742E50" w:rsidRDefault="00404139" w:rsidP="00404139">
      <w:pPr>
        <w:pStyle w:val="Textonotapie"/>
        <w:rPr>
          <w:lang w:val="es-CO"/>
        </w:rPr>
      </w:pPr>
      <w:r>
        <w:rPr>
          <w:rStyle w:val="Refdenotaalpie"/>
        </w:rPr>
        <w:footnoteRef/>
      </w:r>
      <w:r>
        <w:t xml:space="preserve"> </w:t>
      </w:r>
      <w:r w:rsidRPr="00742E50">
        <w:rPr>
          <w:sz w:val="16"/>
          <w:szCs w:val="16"/>
        </w:rPr>
        <w:t xml:space="preserve">A partir del </w:t>
      </w:r>
      <w:r w:rsidRPr="00742E50">
        <w:rPr>
          <w:sz w:val="16"/>
          <w:szCs w:val="16"/>
          <w:lang w:val="es-CO"/>
        </w:rPr>
        <w:t>5 de febrero de 2018</w:t>
      </w:r>
      <w:r>
        <w:rPr>
          <w:sz w:val="16"/>
          <w:szCs w:val="16"/>
          <w:lang w:val="es-CO"/>
        </w:rPr>
        <w:t>, con motivo de la organización alfabética de Salas de Decisión,  pasaron a ser las Salas números 1 y 4, pero la Sala 1 con distintos integrantes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15F3C"/>
    <w:rsid w:val="000D4908"/>
    <w:rsid w:val="00131AD3"/>
    <w:rsid w:val="002247BD"/>
    <w:rsid w:val="00237CAE"/>
    <w:rsid w:val="00246366"/>
    <w:rsid w:val="002E6083"/>
    <w:rsid w:val="00317433"/>
    <w:rsid w:val="00344350"/>
    <w:rsid w:val="00347152"/>
    <w:rsid w:val="00371E6A"/>
    <w:rsid w:val="00380143"/>
    <w:rsid w:val="00404139"/>
    <w:rsid w:val="004213A7"/>
    <w:rsid w:val="004634CD"/>
    <w:rsid w:val="004E3A76"/>
    <w:rsid w:val="00521F8D"/>
    <w:rsid w:val="0055223C"/>
    <w:rsid w:val="005A51BF"/>
    <w:rsid w:val="005C65B1"/>
    <w:rsid w:val="006437E3"/>
    <w:rsid w:val="00680EF9"/>
    <w:rsid w:val="006B696C"/>
    <w:rsid w:val="006E285D"/>
    <w:rsid w:val="0072408B"/>
    <w:rsid w:val="00792FA9"/>
    <w:rsid w:val="007E5E88"/>
    <w:rsid w:val="008155EB"/>
    <w:rsid w:val="0084707C"/>
    <w:rsid w:val="0089179B"/>
    <w:rsid w:val="00897C20"/>
    <w:rsid w:val="008B4BD9"/>
    <w:rsid w:val="008F20C1"/>
    <w:rsid w:val="008F2D96"/>
    <w:rsid w:val="009119E0"/>
    <w:rsid w:val="00941F67"/>
    <w:rsid w:val="00964549"/>
    <w:rsid w:val="00972239"/>
    <w:rsid w:val="009C2F50"/>
    <w:rsid w:val="009E7E9C"/>
    <w:rsid w:val="00A254EE"/>
    <w:rsid w:val="00A462A2"/>
    <w:rsid w:val="00A6571B"/>
    <w:rsid w:val="00AF0F47"/>
    <w:rsid w:val="00AF2AE0"/>
    <w:rsid w:val="00B37A3B"/>
    <w:rsid w:val="00C01A75"/>
    <w:rsid w:val="00C40590"/>
    <w:rsid w:val="00CE6C1D"/>
    <w:rsid w:val="00D04492"/>
    <w:rsid w:val="00D0563A"/>
    <w:rsid w:val="00D1601F"/>
    <w:rsid w:val="00D52B19"/>
    <w:rsid w:val="00D60231"/>
    <w:rsid w:val="00D62D12"/>
    <w:rsid w:val="00DB18DF"/>
    <w:rsid w:val="00DD7149"/>
    <w:rsid w:val="00DF032A"/>
    <w:rsid w:val="00E33B5B"/>
    <w:rsid w:val="00E709F2"/>
    <w:rsid w:val="00EE731F"/>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basedOn w:val="Normal"/>
    <w:link w:val="TextonotapieCar"/>
    <w:rsid w:val="00D52B19"/>
    <w:rPr>
      <w:sz w:val="20"/>
      <w:szCs w:val="20"/>
    </w:rPr>
  </w:style>
  <w:style w:type="character" w:customStyle="1" w:styleId="TextonotapieCar">
    <w:name w:val="Texto nota pie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FC5B-D595-4FD8-86E3-AD4C70A7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20</cp:revision>
  <cp:lastPrinted>2018-05-28T16:08:00Z</cp:lastPrinted>
  <dcterms:created xsi:type="dcterms:W3CDTF">2017-03-06T19:53:00Z</dcterms:created>
  <dcterms:modified xsi:type="dcterms:W3CDTF">2018-06-15T13:51:00Z</dcterms:modified>
</cp:coreProperties>
</file>