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2D96" w:rsidRPr="00F0797B" w:rsidRDefault="008F2D96" w:rsidP="008F2D96">
      <w:pPr>
        <w:pStyle w:val="Puesto"/>
        <w:spacing w:line="240" w:lineRule="auto"/>
        <w:jc w:val="both"/>
        <w:rPr>
          <w:rFonts w:ascii="Tahoma" w:hAnsi="Tahoma" w:cs="Tahoma"/>
          <w:b w:val="0"/>
          <w:sz w:val="16"/>
          <w:szCs w:val="16"/>
          <w:u w:val="single"/>
        </w:rPr>
      </w:pPr>
      <w:r w:rsidRPr="00F0797B">
        <w:rPr>
          <w:rFonts w:ascii="Tahoma" w:hAnsi="Tahoma" w:cs="Tahoma"/>
          <w:sz w:val="16"/>
          <w:szCs w:val="16"/>
        </w:rPr>
        <w:t>Providencia:</w:t>
      </w:r>
      <w:r w:rsidRPr="00F0797B">
        <w:rPr>
          <w:rFonts w:ascii="Tahoma" w:hAnsi="Tahoma" w:cs="Tahoma"/>
          <w:b w:val="0"/>
          <w:sz w:val="16"/>
          <w:szCs w:val="16"/>
        </w:rPr>
        <w:t xml:space="preserve"> </w:t>
      </w:r>
      <w:r w:rsidRPr="00F0797B">
        <w:rPr>
          <w:rFonts w:ascii="Tahoma" w:hAnsi="Tahoma" w:cs="Tahoma"/>
          <w:b w:val="0"/>
          <w:sz w:val="16"/>
          <w:szCs w:val="16"/>
        </w:rPr>
        <w:tab/>
      </w:r>
      <w:r w:rsidRPr="00F0797B">
        <w:rPr>
          <w:rFonts w:ascii="Tahoma" w:hAnsi="Tahoma" w:cs="Tahoma"/>
          <w:b w:val="0"/>
          <w:sz w:val="16"/>
          <w:szCs w:val="16"/>
        </w:rPr>
        <w:tab/>
      </w:r>
      <w:r w:rsidRPr="00F0797B">
        <w:rPr>
          <w:rFonts w:ascii="Tahoma" w:hAnsi="Tahoma" w:cs="Tahoma"/>
          <w:b w:val="0"/>
          <w:sz w:val="16"/>
          <w:szCs w:val="16"/>
        </w:rPr>
        <w:tab/>
        <w:t xml:space="preserve">Sentencia del </w:t>
      </w:r>
      <w:r w:rsidR="00A922BE" w:rsidRPr="00F0797B">
        <w:rPr>
          <w:rFonts w:ascii="Tahoma" w:hAnsi="Tahoma" w:cs="Tahoma"/>
          <w:b w:val="0"/>
          <w:sz w:val="16"/>
          <w:szCs w:val="16"/>
        </w:rPr>
        <w:t>18</w:t>
      </w:r>
      <w:r w:rsidR="00A254EE" w:rsidRPr="00F0797B">
        <w:rPr>
          <w:rFonts w:ascii="Tahoma" w:hAnsi="Tahoma" w:cs="Tahoma"/>
          <w:b w:val="0"/>
          <w:sz w:val="16"/>
          <w:szCs w:val="16"/>
        </w:rPr>
        <w:t xml:space="preserve"> de </w:t>
      </w:r>
      <w:r w:rsidR="00A922BE" w:rsidRPr="00F0797B">
        <w:rPr>
          <w:rFonts w:ascii="Tahoma" w:hAnsi="Tahoma" w:cs="Tahoma"/>
          <w:b w:val="0"/>
          <w:sz w:val="16"/>
          <w:szCs w:val="16"/>
        </w:rPr>
        <w:t>mayo</w:t>
      </w:r>
      <w:r w:rsidR="00A6571B" w:rsidRPr="00F0797B">
        <w:rPr>
          <w:rFonts w:ascii="Tahoma" w:hAnsi="Tahoma" w:cs="Tahoma"/>
          <w:b w:val="0"/>
          <w:sz w:val="16"/>
          <w:szCs w:val="16"/>
        </w:rPr>
        <w:t xml:space="preserve"> </w:t>
      </w:r>
      <w:r w:rsidR="0084707C" w:rsidRPr="00F0797B">
        <w:rPr>
          <w:rFonts w:ascii="Tahoma" w:hAnsi="Tahoma" w:cs="Tahoma"/>
          <w:b w:val="0"/>
          <w:sz w:val="16"/>
          <w:szCs w:val="16"/>
        </w:rPr>
        <w:t>de 201</w:t>
      </w:r>
      <w:r w:rsidR="00A922BE" w:rsidRPr="00F0797B">
        <w:rPr>
          <w:rFonts w:ascii="Tahoma" w:hAnsi="Tahoma" w:cs="Tahoma"/>
          <w:b w:val="0"/>
          <w:sz w:val="16"/>
          <w:szCs w:val="16"/>
        </w:rPr>
        <w:t>8</w:t>
      </w:r>
    </w:p>
    <w:p w:rsidR="008F2D96" w:rsidRPr="00F0797B" w:rsidRDefault="008F2D96" w:rsidP="008F2D96">
      <w:pPr>
        <w:pStyle w:val="Puesto"/>
        <w:spacing w:line="240" w:lineRule="auto"/>
        <w:jc w:val="both"/>
        <w:rPr>
          <w:rFonts w:ascii="Tahoma" w:hAnsi="Tahoma" w:cs="Tahoma"/>
          <w:b w:val="0"/>
          <w:sz w:val="16"/>
          <w:szCs w:val="16"/>
        </w:rPr>
      </w:pPr>
      <w:r w:rsidRPr="00F0797B">
        <w:rPr>
          <w:rFonts w:ascii="Tahoma" w:hAnsi="Tahoma" w:cs="Tahoma"/>
          <w:sz w:val="16"/>
          <w:szCs w:val="16"/>
        </w:rPr>
        <w:t>Radicación No.:</w:t>
      </w:r>
      <w:r w:rsidRPr="00F0797B">
        <w:rPr>
          <w:rFonts w:ascii="Tahoma" w:hAnsi="Tahoma" w:cs="Tahoma"/>
          <w:b w:val="0"/>
          <w:sz w:val="16"/>
          <w:szCs w:val="16"/>
        </w:rPr>
        <w:tab/>
      </w:r>
      <w:r w:rsidRPr="00F0797B">
        <w:rPr>
          <w:rFonts w:ascii="Tahoma" w:hAnsi="Tahoma" w:cs="Tahoma"/>
          <w:b w:val="0"/>
          <w:sz w:val="16"/>
          <w:szCs w:val="16"/>
        </w:rPr>
        <w:tab/>
      </w:r>
      <w:r w:rsidR="00FF0A79" w:rsidRPr="00F0797B">
        <w:rPr>
          <w:rFonts w:ascii="Tahoma" w:hAnsi="Tahoma" w:cs="Tahoma"/>
          <w:b w:val="0"/>
          <w:sz w:val="16"/>
          <w:szCs w:val="16"/>
        </w:rPr>
        <w:tab/>
      </w:r>
      <w:r w:rsidRPr="00F0797B">
        <w:rPr>
          <w:rFonts w:ascii="Tahoma" w:hAnsi="Tahoma" w:cs="Tahoma"/>
          <w:b w:val="0"/>
          <w:sz w:val="16"/>
          <w:szCs w:val="16"/>
        </w:rPr>
        <w:t>66001-31-05-00</w:t>
      </w:r>
      <w:r w:rsidR="006437E3" w:rsidRPr="00F0797B">
        <w:rPr>
          <w:rFonts w:ascii="Tahoma" w:hAnsi="Tahoma" w:cs="Tahoma"/>
          <w:b w:val="0"/>
          <w:sz w:val="16"/>
          <w:szCs w:val="16"/>
        </w:rPr>
        <w:t>4</w:t>
      </w:r>
      <w:r w:rsidRPr="00F0797B">
        <w:rPr>
          <w:rFonts w:ascii="Tahoma" w:hAnsi="Tahoma" w:cs="Tahoma"/>
          <w:b w:val="0"/>
          <w:sz w:val="16"/>
          <w:szCs w:val="16"/>
        </w:rPr>
        <w:t>-201</w:t>
      </w:r>
      <w:r w:rsidR="00A922BE" w:rsidRPr="00F0797B">
        <w:rPr>
          <w:rFonts w:ascii="Tahoma" w:hAnsi="Tahoma" w:cs="Tahoma"/>
          <w:b w:val="0"/>
          <w:sz w:val="16"/>
          <w:szCs w:val="16"/>
        </w:rPr>
        <w:t>7</w:t>
      </w:r>
      <w:r w:rsidRPr="00F0797B">
        <w:rPr>
          <w:rFonts w:ascii="Tahoma" w:hAnsi="Tahoma" w:cs="Tahoma"/>
          <w:b w:val="0"/>
          <w:sz w:val="16"/>
          <w:szCs w:val="16"/>
        </w:rPr>
        <w:t>-00</w:t>
      </w:r>
      <w:r w:rsidR="00A922BE" w:rsidRPr="00F0797B">
        <w:rPr>
          <w:rFonts w:ascii="Tahoma" w:hAnsi="Tahoma" w:cs="Tahoma"/>
          <w:b w:val="0"/>
          <w:sz w:val="16"/>
          <w:szCs w:val="16"/>
        </w:rPr>
        <w:t>020</w:t>
      </w:r>
      <w:r w:rsidRPr="00F0797B">
        <w:rPr>
          <w:rFonts w:ascii="Tahoma" w:hAnsi="Tahoma" w:cs="Tahoma"/>
          <w:b w:val="0"/>
          <w:sz w:val="16"/>
          <w:szCs w:val="16"/>
        </w:rPr>
        <w:t xml:space="preserve">-01 </w:t>
      </w:r>
    </w:p>
    <w:p w:rsidR="008F2D96" w:rsidRPr="00F0797B" w:rsidRDefault="008F2D96" w:rsidP="008F2D96">
      <w:pPr>
        <w:pStyle w:val="Puesto"/>
        <w:spacing w:line="240" w:lineRule="auto"/>
        <w:jc w:val="both"/>
        <w:rPr>
          <w:rFonts w:ascii="Tahoma" w:hAnsi="Tahoma" w:cs="Tahoma"/>
          <w:b w:val="0"/>
          <w:sz w:val="16"/>
          <w:szCs w:val="16"/>
        </w:rPr>
      </w:pPr>
      <w:r w:rsidRPr="00F0797B">
        <w:rPr>
          <w:rFonts w:ascii="Tahoma" w:hAnsi="Tahoma" w:cs="Tahoma"/>
          <w:sz w:val="16"/>
          <w:szCs w:val="16"/>
        </w:rPr>
        <w:t>Proceso:</w:t>
      </w:r>
      <w:r w:rsidRPr="00F0797B">
        <w:rPr>
          <w:rFonts w:ascii="Tahoma" w:hAnsi="Tahoma" w:cs="Tahoma"/>
          <w:b w:val="0"/>
          <w:sz w:val="16"/>
          <w:szCs w:val="16"/>
        </w:rPr>
        <w:t xml:space="preserve"> </w:t>
      </w:r>
      <w:r w:rsidRPr="00F0797B">
        <w:rPr>
          <w:rFonts w:ascii="Tahoma" w:hAnsi="Tahoma" w:cs="Tahoma"/>
          <w:b w:val="0"/>
          <w:sz w:val="16"/>
          <w:szCs w:val="16"/>
        </w:rPr>
        <w:tab/>
      </w:r>
      <w:r w:rsidRPr="00F0797B">
        <w:rPr>
          <w:rFonts w:ascii="Tahoma" w:hAnsi="Tahoma" w:cs="Tahoma"/>
          <w:b w:val="0"/>
          <w:sz w:val="16"/>
          <w:szCs w:val="16"/>
        </w:rPr>
        <w:tab/>
      </w:r>
      <w:r w:rsidRPr="00F0797B">
        <w:rPr>
          <w:rFonts w:ascii="Tahoma" w:hAnsi="Tahoma" w:cs="Tahoma"/>
          <w:b w:val="0"/>
          <w:sz w:val="16"/>
          <w:szCs w:val="16"/>
        </w:rPr>
        <w:tab/>
        <w:t>Ordinario Laboral</w:t>
      </w:r>
    </w:p>
    <w:p w:rsidR="008F2D96" w:rsidRPr="00F0797B" w:rsidRDefault="008F2D96" w:rsidP="008F2D96">
      <w:pPr>
        <w:pStyle w:val="Puesto"/>
        <w:spacing w:line="240" w:lineRule="auto"/>
        <w:jc w:val="both"/>
        <w:rPr>
          <w:rFonts w:ascii="Tahoma" w:hAnsi="Tahoma" w:cs="Tahoma"/>
          <w:b w:val="0"/>
          <w:sz w:val="16"/>
          <w:szCs w:val="16"/>
        </w:rPr>
      </w:pPr>
      <w:r w:rsidRPr="00F0797B">
        <w:rPr>
          <w:rFonts w:ascii="Tahoma" w:hAnsi="Tahoma" w:cs="Tahoma"/>
          <w:sz w:val="16"/>
          <w:szCs w:val="16"/>
        </w:rPr>
        <w:t>Demandante</w:t>
      </w:r>
      <w:r w:rsidR="0084707C" w:rsidRPr="00F0797B">
        <w:rPr>
          <w:rFonts w:ascii="Tahoma" w:hAnsi="Tahoma" w:cs="Tahoma"/>
          <w:b w:val="0"/>
          <w:sz w:val="16"/>
          <w:szCs w:val="16"/>
        </w:rPr>
        <w:t xml:space="preserve">:                 </w:t>
      </w:r>
      <w:r w:rsidRPr="00F0797B">
        <w:rPr>
          <w:rFonts w:ascii="Tahoma" w:hAnsi="Tahoma" w:cs="Tahoma"/>
          <w:b w:val="0"/>
          <w:sz w:val="16"/>
          <w:szCs w:val="16"/>
        </w:rPr>
        <w:tab/>
      </w:r>
      <w:r w:rsidR="00F0797B">
        <w:rPr>
          <w:rFonts w:ascii="Tahoma" w:hAnsi="Tahoma" w:cs="Tahoma"/>
          <w:b w:val="0"/>
          <w:sz w:val="16"/>
          <w:szCs w:val="16"/>
        </w:rPr>
        <w:tab/>
        <w:t>E</w:t>
      </w:r>
      <w:r w:rsidR="008D6C6D" w:rsidRPr="00F0797B">
        <w:rPr>
          <w:rFonts w:ascii="Tahoma" w:hAnsi="Tahoma" w:cs="Tahoma"/>
          <w:b w:val="0"/>
          <w:sz w:val="16"/>
          <w:szCs w:val="16"/>
        </w:rPr>
        <w:t xml:space="preserve">lmer de Jesús </w:t>
      </w:r>
      <w:proofErr w:type="spellStart"/>
      <w:r w:rsidR="008D6C6D" w:rsidRPr="00F0797B">
        <w:rPr>
          <w:rFonts w:ascii="Tahoma" w:hAnsi="Tahoma" w:cs="Tahoma"/>
          <w:b w:val="0"/>
          <w:sz w:val="16"/>
          <w:szCs w:val="16"/>
        </w:rPr>
        <w:t>Alzáte</w:t>
      </w:r>
      <w:proofErr w:type="spellEnd"/>
      <w:r w:rsidR="008D6C6D" w:rsidRPr="00F0797B">
        <w:rPr>
          <w:rFonts w:ascii="Tahoma" w:hAnsi="Tahoma" w:cs="Tahoma"/>
          <w:b w:val="0"/>
          <w:sz w:val="16"/>
          <w:szCs w:val="16"/>
        </w:rPr>
        <w:t xml:space="preserve"> Cárdenas</w:t>
      </w:r>
    </w:p>
    <w:p w:rsidR="008F2D96" w:rsidRPr="00F0797B" w:rsidRDefault="008F2D96" w:rsidP="008F2D96">
      <w:pPr>
        <w:pStyle w:val="Puesto"/>
        <w:spacing w:line="240" w:lineRule="auto"/>
        <w:ind w:left="2832" w:hanging="2832"/>
        <w:jc w:val="both"/>
        <w:rPr>
          <w:rFonts w:ascii="Tahoma" w:hAnsi="Tahoma" w:cs="Tahoma"/>
          <w:b w:val="0"/>
          <w:sz w:val="16"/>
          <w:szCs w:val="16"/>
        </w:rPr>
      </w:pPr>
      <w:r w:rsidRPr="00F0797B">
        <w:rPr>
          <w:rFonts w:ascii="Tahoma" w:hAnsi="Tahoma" w:cs="Tahoma"/>
          <w:sz w:val="16"/>
          <w:szCs w:val="16"/>
        </w:rPr>
        <w:t>Demandado:</w:t>
      </w:r>
      <w:r w:rsidRPr="00F0797B">
        <w:rPr>
          <w:rFonts w:ascii="Tahoma" w:hAnsi="Tahoma" w:cs="Tahoma"/>
          <w:b w:val="0"/>
          <w:sz w:val="16"/>
          <w:szCs w:val="16"/>
        </w:rPr>
        <w:tab/>
        <w:t xml:space="preserve">Colpensiones  </w:t>
      </w:r>
    </w:p>
    <w:p w:rsidR="008F2D96" w:rsidRPr="00F0797B" w:rsidRDefault="008F2D96" w:rsidP="008F2D96">
      <w:pPr>
        <w:pStyle w:val="Puesto"/>
        <w:spacing w:line="240" w:lineRule="auto"/>
        <w:jc w:val="both"/>
        <w:rPr>
          <w:rFonts w:ascii="Tahoma" w:hAnsi="Tahoma" w:cs="Tahoma"/>
          <w:b w:val="0"/>
          <w:sz w:val="16"/>
          <w:szCs w:val="16"/>
        </w:rPr>
      </w:pPr>
      <w:r w:rsidRPr="00F0797B">
        <w:rPr>
          <w:rFonts w:ascii="Tahoma" w:hAnsi="Tahoma" w:cs="Tahoma"/>
          <w:sz w:val="16"/>
          <w:szCs w:val="16"/>
        </w:rPr>
        <w:t>Magistrad</w:t>
      </w:r>
      <w:r w:rsidR="00CE6C1D" w:rsidRPr="00F0797B">
        <w:rPr>
          <w:rFonts w:ascii="Tahoma" w:hAnsi="Tahoma" w:cs="Tahoma"/>
          <w:sz w:val="16"/>
          <w:szCs w:val="16"/>
        </w:rPr>
        <w:t>a</w:t>
      </w:r>
      <w:r w:rsidRPr="00F0797B">
        <w:rPr>
          <w:rFonts w:ascii="Tahoma" w:hAnsi="Tahoma" w:cs="Tahoma"/>
          <w:sz w:val="16"/>
          <w:szCs w:val="16"/>
        </w:rPr>
        <w:t xml:space="preserve"> </w:t>
      </w:r>
      <w:r w:rsidR="00CE6C1D" w:rsidRPr="00F0797B">
        <w:rPr>
          <w:rFonts w:ascii="Tahoma" w:hAnsi="Tahoma" w:cs="Tahoma"/>
          <w:sz w:val="16"/>
          <w:szCs w:val="16"/>
        </w:rPr>
        <w:t>ponente</w:t>
      </w:r>
      <w:r w:rsidRPr="00F0797B">
        <w:rPr>
          <w:rFonts w:ascii="Tahoma" w:hAnsi="Tahoma" w:cs="Tahoma"/>
          <w:sz w:val="16"/>
          <w:szCs w:val="16"/>
        </w:rPr>
        <w:t>:</w:t>
      </w:r>
      <w:r w:rsidRPr="00F0797B">
        <w:rPr>
          <w:rFonts w:ascii="Tahoma" w:hAnsi="Tahoma" w:cs="Tahoma"/>
          <w:b w:val="0"/>
          <w:sz w:val="16"/>
          <w:szCs w:val="16"/>
        </w:rPr>
        <w:tab/>
      </w:r>
      <w:r w:rsidRPr="00F0797B">
        <w:rPr>
          <w:rFonts w:ascii="Tahoma" w:hAnsi="Tahoma" w:cs="Tahoma"/>
          <w:b w:val="0"/>
          <w:sz w:val="16"/>
          <w:szCs w:val="16"/>
        </w:rPr>
        <w:tab/>
        <w:t>Dr</w:t>
      </w:r>
      <w:r w:rsidR="002E6083" w:rsidRPr="00F0797B">
        <w:rPr>
          <w:rFonts w:ascii="Tahoma" w:hAnsi="Tahoma" w:cs="Tahoma"/>
          <w:b w:val="0"/>
          <w:sz w:val="16"/>
          <w:szCs w:val="16"/>
        </w:rPr>
        <w:t>a.</w:t>
      </w:r>
      <w:r w:rsidRPr="00F0797B">
        <w:rPr>
          <w:rFonts w:ascii="Tahoma" w:hAnsi="Tahoma" w:cs="Tahoma"/>
          <w:b w:val="0"/>
          <w:sz w:val="16"/>
          <w:szCs w:val="16"/>
        </w:rPr>
        <w:t xml:space="preserve"> </w:t>
      </w:r>
      <w:r w:rsidR="002E6083" w:rsidRPr="00F0797B">
        <w:rPr>
          <w:rFonts w:ascii="Tahoma" w:hAnsi="Tahoma" w:cs="Tahoma"/>
          <w:b w:val="0"/>
          <w:sz w:val="16"/>
          <w:szCs w:val="16"/>
        </w:rPr>
        <w:t xml:space="preserve">Olga Lucía Hoyos </w:t>
      </w:r>
      <w:r w:rsidR="00521F8D" w:rsidRPr="00F0797B">
        <w:rPr>
          <w:rFonts w:ascii="Tahoma" w:hAnsi="Tahoma" w:cs="Tahoma"/>
          <w:b w:val="0"/>
          <w:sz w:val="16"/>
          <w:szCs w:val="16"/>
        </w:rPr>
        <w:t>Sepúlveda</w:t>
      </w:r>
      <w:bookmarkStart w:id="0" w:name="_GoBack"/>
      <w:bookmarkEnd w:id="0"/>
    </w:p>
    <w:p w:rsidR="008F2D96" w:rsidRPr="00F0797B" w:rsidRDefault="008F2D96" w:rsidP="008F2D96">
      <w:pPr>
        <w:pStyle w:val="Puesto"/>
        <w:spacing w:line="240" w:lineRule="auto"/>
        <w:ind w:left="2805" w:hanging="2805"/>
        <w:jc w:val="both"/>
        <w:rPr>
          <w:rFonts w:ascii="Tahoma" w:hAnsi="Tahoma" w:cs="Tahoma"/>
          <w:b w:val="0"/>
          <w:sz w:val="16"/>
          <w:szCs w:val="16"/>
        </w:rPr>
      </w:pPr>
      <w:r w:rsidRPr="00F0797B">
        <w:rPr>
          <w:rFonts w:ascii="Tahoma" w:hAnsi="Tahoma" w:cs="Tahoma"/>
          <w:sz w:val="16"/>
          <w:szCs w:val="16"/>
        </w:rPr>
        <w:t>Magistrada que salva voto:</w:t>
      </w:r>
      <w:r w:rsidRPr="00F0797B">
        <w:rPr>
          <w:rFonts w:ascii="Tahoma" w:hAnsi="Tahoma" w:cs="Tahoma"/>
          <w:b w:val="0"/>
          <w:sz w:val="16"/>
          <w:szCs w:val="16"/>
        </w:rPr>
        <w:tab/>
        <w:t>Dra. Ana Lucia Caicedo Calderón</w:t>
      </w:r>
    </w:p>
    <w:p w:rsidR="00FF0A79" w:rsidRPr="00A922BE" w:rsidRDefault="00FF0A79" w:rsidP="008F2D96">
      <w:pPr>
        <w:rPr>
          <w:lang w:eastAsia="es-MX"/>
        </w:rPr>
      </w:pPr>
    </w:p>
    <w:p w:rsidR="008F2D96" w:rsidRPr="00F0797B" w:rsidRDefault="008F2D96" w:rsidP="0084707C">
      <w:pPr>
        <w:pStyle w:val="Ttulo1"/>
        <w:widowControl/>
        <w:autoSpaceDE/>
        <w:autoSpaceDN/>
        <w:adjustRightInd/>
        <w:spacing w:line="276" w:lineRule="auto"/>
        <w:rPr>
          <w:rFonts w:ascii="Tahoma" w:hAnsi="Tahoma" w:cs="Tahoma"/>
          <w:bCs/>
          <w:sz w:val="22"/>
          <w:szCs w:val="22"/>
          <w:u w:val="single"/>
        </w:rPr>
      </w:pPr>
      <w:r w:rsidRPr="00F0797B">
        <w:rPr>
          <w:rFonts w:ascii="Tahoma" w:hAnsi="Tahoma" w:cs="Tahoma"/>
          <w:bCs/>
          <w:sz w:val="22"/>
          <w:szCs w:val="22"/>
          <w:u w:val="single"/>
        </w:rPr>
        <w:t>SALVAMENTO DE VOTO</w:t>
      </w:r>
    </w:p>
    <w:p w:rsidR="008F2D96" w:rsidRPr="00F0797B" w:rsidRDefault="008F2D96" w:rsidP="0084707C">
      <w:pPr>
        <w:spacing w:line="276" w:lineRule="auto"/>
        <w:ind w:firstLine="709"/>
        <w:jc w:val="both"/>
        <w:rPr>
          <w:rFonts w:ascii="Tahoma" w:hAnsi="Tahoma" w:cs="Tahoma"/>
          <w:b/>
          <w:bCs/>
          <w:sz w:val="22"/>
          <w:szCs w:val="22"/>
        </w:rPr>
      </w:pPr>
    </w:p>
    <w:p w:rsidR="008F2D96" w:rsidRPr="00F0797B" w:rsidRDefault="008F2D96" w:rsidP="00F0797B">
      <w:pPr>
        <w:spacing w:line="276" w:lineRule="auto"/>
        <w:ind w:firstLine="709"/>
        <w:jc w:val="both"/>
        <w:rPr>
          <w:rFonts w:ascii="Tahoma" w:hAnsi="Tahoma" w:cs="Tahoma"/>
          <w:sz w:val="22"/>
          <w:szCs w:val="22"/>
        </w:rPr>
      </w:pPr>
      <w:r w:rsidRPr="00F0797B">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sidR="00F0797B" w:rsidRPr="00F0797B">
        <w:rPr>
          <w:rFonts w:ascii="Tahoma" w:hAnsi="Tahoma" w:cs="Tahoma"/>
          <w:sz w:val="22"/>
          <w:szCs w:val="22"/>
        </w:rPr>
        <w:t>invalidez</w:t>
      </w:r>
      <w:r w:rsidR="00964549" w:rsidRPr="00F0797B">
        <w:rPr>
          <w:rFonts w:ascii="Tahoma" w:hAnsi="Tahoma" w:cs="Tahoma"/>
          <w:sz w:val="22"/>
          <w:szCs w:val="22"/>
        </w:rPr>
        <w:t xml:space="preserve"> </w:t>
      </w:r>
      <w:r w:rsidRPr="00F0797B">
        <w:rPr>
          <w:rFonts w:ascii="Tahoma" w:hAnsi="Tahoma" w:cs="Tahoma"/>
          <w:sz w:val="22"/>
          <w:szCs w:val="22"/>
        </w:rPr>
        <w:t xml:space="preserve">deprecada en la demanda por las siguientes razones: </w:t>
      </w:r>
    </w:p>
    <w:p w:rsidR="00A462A2" w:rsidRPr="00F0797B" w:rsidRDefault="00A462A2" w:rsidP="00F0797B">
      <w:pPr>
        <w:ind w:firstLine="709"/>
        <w:jc w:val="both"/>
        <w:rPr>
          <w:rFonts w:ascii="Tahoma" w:hAnsi="Tahoma" w:cs="Tahoma"/>
          <w:sz w:val="22"/>
          <w:szCs w:val="22"/>
        </w:rPr>
      </w:pPr>
    </w:p>
    <w:p w:rsidR="008D6C6D" w:rsidRPr="00F0797B" w:rsidRDefault="008D6C6D" w:rsidP="00F0797B">
      <w:pPr>
        <w:spacing w:line="276" w:lineRule="auto"/>
        <w:ind w:firstLine="708"/>
        <w:jc w:val="both"/>
        <w:rPr>
          <w:rFonts w:ascii="Tahoma" w:hAnsi="Tahoma" w:cs="Tahoma"/>
          <w:color w:val="FF0000"/>
          <w:sz w:val="22"/>
          <w:szCs w:val="22"/>
        </w:rPr>
      </w:pPr>
      <w:r w:rsidRPr="00F0797B">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F0797B">
        <w:rPr>
          <w:rFonts w:ascii="Tahoma" w:hAnsi="Tahoma" w:cs="Tahoma"/>
          <w:b/>
          <w:sz w:val="22"/>
          <w:szCs w:val="22"/>
        </w:rPr>
        <w:t xml:space="preserve"> </w:t>
      </w:r>
      <w:r w:rsidRPr="00F0797B">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F0797B">
        <w:rPr>
          <w:rStyle w:val="Refdenotaalpie"/>
          <w:rFonts w:ascii="Tahoma" w:hAnsi="Tahoma" w:cs="Tahoma"/>
          <w:spacing w:val="-2"/>
          <w:sz w:val="22"/>
          <w:szCs w:val="22"/>
        </w:rPr>
        <w:footnoteReference w:id="1"/>
      </w:r>
      <w:r w:rsidRPr="00F0797B">
        <w:rPr>
          <w:rFonts w:ascii="Tahoma" w:hAnsi="Tahoma" w:cs="Tahoma"/>
          <w:spacing w:val="-2"/>
          <w:sz w:val="22"/>
          <w:szCs w:val="22"/>
        </w:rPr>
        <w:t xml:space="preserve">. </w:t>
      </w:r>
    </w:p>
    <w:p w:rsidR="008D6C6D" w:rsidRPr="00F0797B" w:rsidRDefault="008D6C6D" w:rsidP="00F0797B">
      <w:pPr>
        <w:ind w:firstLine="709"/>
        <w:jc w:val="both"/>
        <w:rPr>
          <w:rFonts w:ascii="Tahoma" w:hAnsi="Tahoma" w:cs="Tahoma"/>
          <w:spacing w:val="-2"/>
          <w:sz w:val="22"/>
          <w:szCs w:val="22"/>
        </w:rPr>
      </w:pPr>
    </w:p>
    <w:p w:rsidR="008D6C6D" w:rsidRPr="00F0797B" w:rsidRDefault="008D6C6D" w:rsidP="00F0797B">
      <w:pPr>
        <w:spacing w:line="276" w:lineRule="auto"/>
        <w:ind w:firstLine="709"/>
        <w:jc w:val="both"/>
        <w:rPr>
          <w:rFonts w:ascii="Tahoma" w:hAnsi="Tahoma" w:cs="Tahoma"/>
          <w:spacing w:val="-2"/>
          <w:sz w:val="22"/>
          <w:szCs w:val="22"/>
        </w:rPr>
      </w:pPr>
      <w:r w:rsidRPr="00F0797B">
        <w:rPr>
          <w:rFonts w:ascii="Tahoma" w:hAnsi="Tahoma" w:cs="Tahoma"/>
          <w:spacing w:val="-2"/>
          <w:sz w:val="22"/>
          <w:szCs w:val="22"/>
        </w:rPr>
        <w:t xml:space="preserve">Sin embargo, hace poco la Sala de Casación Laboral redujo aún más su postura en la aplicación de este principio en el tránsito de la Ley 100 original a la Ley 860 de 2003, en la Sentencia SL4650,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2003 y el 26 de diciembre de 2006, </w:t>
      </w:r>
      <w:r w:rsidRPr="00F0797B">
        <w:rPr>
          <w:rFonts w:ascii="Tahoma" w:hAnsi="Tahoma" w:cs="Tahoma"/>
          <w:i/>
          <w:spacing w:val="-2"/>
          <w:sz w:val="22"/>
          <w:szCs w:val="22"/>
        </w:rPr>
        <w:t>-y si se da ese requisito, se puede entrar a analizar otros señalados en la misma providencia-</w:t>
      </w:r>
      <w:r w:rsidRPr="00F0797B">
        <w:rPr>
          <w:rFonts w:ascii="Tahoma" w:hAnsi="Tahoma" w:cs="Tahoma"/>
          <w:spacing w:val="-2"/>
          <w:sz w:val="22"/>
          <w:szCs w:val="22"/>
        </w:rPr>
        <w:t>.</w:t>
      </w:r>
    </w:p>
    <w:p w:rsidR="008D6C6D" w:rsidRPr="00F0797B" w:rsidRDefault="008D6C6D" w:rsidP="00F0797B">
      <w:pPr>
        <w:ind w:firstLine="709"/>
        <w:jc w:val="both"/>
        <w:rPr>
          <w:rFonts w:ascii="Tahoma" w:hAnsi="Tahoma" w:cs="Tahoma"/>
          <w:spacing w:val="-2"/>
          <w:sz w:val="22"/>
          <w:szCs w:val="22"/>
        </w:rPr>
      </w:pPr>
    </w:p>
    <w:p w:rsidR="008D6C6D" w:rsidRPr="00F0797B" w:rsidRDefault="008D6C6D" w:rsidP="00F0797B">
      <w:pPr>
        <w:spacing w:line="276" w:lineRule="auto"/>
        <w:ind w:firstLine="709"/>
        <w:jc w:val="both"/>
        <w:rPr>
          <w:rFonts w:ascii="Tahoma" w:hAnsi="Tahoma" w:cs="Tahoma"/>
          <w:sz w:val="22"/>
          <w:szCs w:val="22"/>
        </w:rPr>
      </w:pPr>
      <w:r w:rsidRPr="00F0797B">
        <w:rPr>
          <w:rFonts w:ascii="Tahoma" w:hAnsi="Tahoma" w:cs="Tahoma"/>
          <w:spacing w:val="-2"/>
          <w:sz w:val="22"/>
          <w:szCs w:val="22"/>
        </w:rPr>
        <w:t xml:space="preserve">Tal como lo he expuesto en distintos salvamentos de voto, no comparto aquella </w:t>
      </w:r>
      <w:r w:rsidRPr="00F0797B">
        <w:rPr>
          <w:rFonts w:ascii="Tahoma" w:hAnsi="Tahoma" w:cs="Tahoma"/>
          <w:sz w:val="22"/>
          <w:szCs w:val="22"/>
        </w:rPr>
        <w:t xml:space="preserve">nueva restricción a la aplicación del principio de la condición más beneficiosa en el tránsito legislativo de la Ley 100 original a la Ley 860 de 2003, pues impone una limitación temporal e </w:t>
      </w:r>
      <w:r w:rsidRPr="00F0797B">
        <w:rPr>
          <w:rFonts w:ascii="Tahoma" w:hAnsi="Tahoma" w:cs="Tahoma"/>
          <w:color w:val="000000"/>
          <w:sz w:val="22"/>
          <w:szCs w:val="22"/>
        </w:rPr>
        <w:t xml:space="preserve">incorpora una sub-regla de adjudicación que hace aún más gravosa la aplicación del aludido principio; por lo tanto, el despacho que presido continúa aplicando la anterior postura de dicha Corporación, que exigía 26 semanas en el año anterior a la entrada en vigencia de </w:t>
      </w:r>
      <w:r w:rsidRPr="00F0797B">
        <w:rPr>
          <w:rFonts w:ascii="Tahoma" w:hAnsi="Tahoma" w:cs="Tahoma"/>
          <w:sz w:val="22"/>
          <w:szCs w:val="22"/>
        </w:rPr>
        <w:t>la Ley 860 de 2003, y la misma cantidad en el año anterior a la estructuración, las cuales no se dan en el caso de marras.</w:t>
      </w:r>
    </w:p>
    <w:p w:rsidR="008D6C6D" w:rsidRPr="00F0797B" w:rsidRDefault="008D6C6D" w:rsidP="00F0797B">
      <w:pPr>
        <w:spacing w:line="276" w:lineRule="auto"/>
        <w:ind w:firstLine="709"/>
        <w:jc w:val="both"/>
        <w:rPr>
          <w:rFonts w:ascii="Tahoma" w:hAnsi="Tahoma" w:cs="Tahoma"/>
          <w:sz w:val="22"/>
          <w:szCs w:val="22"/>
        </w:rPr>
      </w:pPr>
    </w:p>
    <w:p w:rsidR="008D6C6D" w:rsidRPr="00F0797B" w:rsidRDefault="008D6C6D" w:rsidP="00F0797B">
      <w:pPr>
        <w:spacing w:line="276" w:lineRule="auto"/>
        <w:ind w:firstLine="709"/>
        <w:jc w:val="both"/>
        <w:rPr>
          <w:rFonts w:ascii="Tahoma" w:hAnsi="Tahoma" w:cs="Tahoma"/>
          <w:spacing w:val="-2"/>
          <w:sz w:val="22"/>
          <w:szCs w:val="22"/>
        </w:rPr>
      </w:pPr>
      <w:r w:rsidRPr="00F0797B">
        <w:rPr>
          <w:rFonts w:ascii="Tahoma" w:hAnsi="Tahoma" w:cs="Tahoma"/>
          <w:spacing w:val="-2"/>
          <w:sz w:val="22"/>
          <w:szCs w:val="22"/>
        </w:rPr>
        <w:t xml:space="preserve">No obstante, el caso podía analizarse a la luz del Acuerdo 049 de 1990 que, si bien no es la norma inmediatamente anterior, se acompasa al precedente de la Corte Constitucional, quien a través de la sentencia SU-442 del 18 de agosto de 2016 </w:t>
      </w:r>
      <w:r w:rsidRPr="00F0797B">
        <w:rPr>
          <w:rFonts w:ascii="Tahoma" w:hAnsi="Tahoma" w:cs="Tahoma"/>
          <w:i/>
          <w:spacing w:val="-2"/>
          <w:sz w:val="22"/>
          <w:szCs w:val="22"/>
        </w:rPr>
        <w:t>–en la que se analizó una pensión de invalidez-</w:t>
      </w:r>
      <w:r w:rsidRPr="00F0797B">
        <w:rPr>
          <w:rFonts w:ascii="Tahoma" w:hAnsi="Tahoma" w:cs="Tahoma"/>
          <w:spacing w:val="-2"/>
          <w:sz w:val="22"/>
          <w:szCs w:val="22"/>
        </w:rPr>
        <w:t xml:space="preserve">, unificó los criterios en relación con la aplicación de la condición más beneficiosa, reiterando los precedentes anteriores y precisando que </w:t>
      </w:r>
      <w:r w:rsidRPr="00F0797B">
        <w:rPr>
          <w:rFonts w:ascii="Tahoma" w:hAnsi="Tahoma" w:cs="Tahoma"/>
          <w:i/>
          <w:spacing w:val="-2"/>
          <w:sz w:val="22"/>
          <w:szCs w:val="22"/>
        </w:rPr>
        <w:t xml:space="preserve">“Si bien el legislador podía introducir ajustes o incluso reformas estructurales </w:t>
      </w:r>
      <w:r w:rsidRPr="00F0797B">
        <w:rPr>
          <w:rFonts w:ascii="Tahoma" w:hAnsi="Tahoma" w:cs="Tahoma"/>
          <w:i/>
          <w:spacing w:val="-2"/>
          <w:sz w:val="22"/>
          <w:szCs w:val="22"/>
        </w:rPr>
        <w:lastRenderedPageBreak/>
        <w:t>al sistema pensional, debía hacerlo en un marco de respeto por los derechos adquiridos y las expectativas legítimas”</w:t>
      </w:r>
      <w:r w:rsidRPr="00F0797B">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F0797B">
        <w:rPr>
          <w:rFonts w:ascii="Tahoma" w:hAnsi="Tahoma" w:cs="Tahoma"/>
          <w:i/>
          <w:spacing w:val="-2"/>
          <w:sz w:val="22"/>
          <w:szCs w:val="22"/>
        </w:rPr>
        <w:t>“no puede hablarse de un detrimento para la sostenibilidad financiera del sistema pensional”.</w:t>
      </w:r>
    </w:p>
    <w:p w:rsidR="008D6C6D" w:rsidRPr="00F0797B" w:rsidRDefault="008D6C6D" w:rsidP="00F0797B">
      <w:pPr>
        <w:spacing w:line="276" w:lineRule="auto"/>
        <w:ind w:firstLine="708"/>
        <w:jc w:val="both"/>
        <w:rPr>
          <w:rFonts w:ascii="Tahoma" w:hAnsi="Tahoma" w:cs="Tahoma"/>
          <w:sz w:val="22"/>
          <w:szCs w:val="22"/>
        </w:rPr>
      </w:pPr>
    </w:p>
    <w:p w:rsidR="008D6C6D" w:rsidRPr="00F0797B" w:rsidRDefault="008D6C6D" w:rsidP="00F0797B">
      <w:pPr>
        <w:spacing w:line="276" w:lineRule="auto"/>
        <w:jc w:val="both"/>
        <w:rPr>
          <w:rFonts w:ascii="Tahoma" w:hAnsi="Tahoma" w:cs="Tahoma"/>
          <w:spacing w:val="-2"/>
          <w:sz w:val="22"/>
          <w:szCs w:val="22"/>
        </w:rPr>
      </w:pPr>
      <w:r w:rsidRPr="00F0797B">
        <w:rPr>
          <w:rFonts w:ascii="Tahoma" w:hAnsi="Tahoma" w:cs="Tahoma"/>
          <w:spacing w:val="-2"/>
          <w:sz w:val="22"/>
          <w:szCs w:val="22"/>
        </w:rPr>
        <w:tab/>
        <w:t>Este precedente de la Corte Constitucional había sido acogido por las antiguas Salas de Decisión Laboral No. 1 y 3 de esta Corporación</w:t>
      </w:r>
      <w:r w:rsidRPr="00F0797B">
        <w:rPr>
          <w:rStyle w:val="Refdenotaalpie"/>
          <w:rFonts w:ascii="Tahoma" w:hAnsi="Tahoma" w:cs="Tahoma"/>
          <w:spacing w:val="-2"/>
          <w:sz w:val="22"/>
          <w:szCs w:val="22"/>
        </w:rPr>
        <w:footnoteReference w:id="2"/>
      </w:r>
      <w:r w:rsidRPr="00F0797B">
        <w:rPr>
          <w:rFonts w:ascii="Tahoma" w:hAnsi="Tahoma" w:cs="Tahoma"/>
          <w:spacing w:val="-2"/>
          <w:sz w:val="22"/>
          <w:szCs w:val="22"/>
        </w:rPr>
        <w:t xml:space="preserve">,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8D6C6D" w:rsidRPr="00F0797B" w:rsidRDefault="008D6C6D" w:rsidP="00F0797B">
      <w:pPr>
        <w:spacing w:line="276" w:lineRule="auto"/>
        <w:jc w:val="both"/>
        <w:rPr>
          <w:rFonts w:ascii="Tahoma" w:hAnsi="Tahoma" w:cs="Tahoma"/>
          <w:spacing w:val="-2"/>
          <w:sz w:val="22"/>
          <w:szCs w:val="22"/>
        </w:rPr>
      </w:pPr>
    </w:p>
    <w:p w:rsidR="008D6C6D" w:rsidRPr="00F0797B" w:rsidRDefault="008D6C6D" w:rsidP="00F0797B">
      <w:pPr>
        <w:spacing w:line="276" w:lineRule="auto"/>
        <w:jc w:val="both"/>
        <w:rPr>
          <w:rFonts w:ascii="Tahoma" w:hAnsi="Tahoma" w:cs="Tahoma"/>
          <w:spacing w:val="-2"/>
          <w:sz w:val="22"/>
          <w:szCs w:val="22"/>
        </w:rPr>
      </w:pPr>
      <w:r w:rsidRPr="00F0797B">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8D6C6D" w:rsidRPr="00F0797B" w:rsidRDefault="008D6C6D" w:rsidP="00F0797B">
      <w:pPr>
        <w:spacing w:line="276" w:lineRule="auto"/>
        <w:jc w:val="both"/>
        <w:rPr>
          <w:rFonts w:ascii="Tahoma" w:hAnsi="Tahoma" w:cs="Tahoma"/>
          <w:spacing w:val="-2"/>
          <w:sz w:val="22"/>
          <w:szCs w:val="22"/>
        </w:rPr>
      </w:pPr>
    </w:p>
    <w:p w:rsidR="008D6C6D" w:rsidRPr="00F0797B" w:rsidRDefault="008D6C6D" w:rsidP="00F0797B">
      <w:pPr>
        <w:pStyle w:val="Textoindependiente31"/>
        <w:spacing w:line="276" w:lineRule="auto"/>
        <w:ind w:firstLine="851"/>
        <w:rPr>
          <w:rFonts w:ascii="Tahoma" w:hAnsi="Tahoma" w:cs="Tahoma"/>
          <w:sz w:val="22"/>
          <w:szCs w:val="22"/>
        </w:rPr>
      </w:pPr>
      <w:r w:rsidRPr="00F0797B">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8D6C6D" w:rsidRPr="00F0797B" w:rsidRDefault="008D6C6D" w:rsidP="008D6C6D">
      <w:pPr>
        <w:pStyle w:val="Sinespaciado"/>
      </w:pPr>
    </w:p>
    <w:p w:rsidR="008D6C6D" w:rsidRPr="00F0797B" w:rsidRDefault="008D6C6D" w:rsidP="008D6C6D">
      <w:pPr>
        <w:overflowPunct w:val="0"/>
        <w:autoSpaceDE w:val="0"/>
        <w:autoSpaceDN w:val="0"/>
        <w:adjustRightInd w:val="0"/>
        <w:ind w:left="709" w:right="193"/>
        <w:jc w:val="both"/>
        <w:textAlignment w:val="baseline"/>
        <w:rPr>
          <w:rFonts w:ascii="Arial Narrow" w:hAnsi="Arial Narrow" w:cs="Tahoma"/>
          <w:i/>
          <w:sz w:val="22"/>
          <w:szCs w:val="22"/>
        </w:rPr>
      </w:pPr>
      <w:r w:rsidRPr="00F0797B">
        <w:rPr>
          <w:rFonts w:ascii="Arial Narrow" w:hAnsi="Arial Narrow" w:cs="Tahoma"/>
          <w:i/>
          <w:sz w:val="22"/>
          <w:szCs w:val="22"/>
        </w:rPr>
        <w:t>“</w:t>
      </w:r>
      <w:r w:rsidRPr="00F0797B">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F0797B">
        <w:rPr>
          <w:rFonts w:ascii="Arial Narrow" w:hAnsi="Arial Narrow" w:cs="Tahoma"/>
          <w:i/>
          <w:sz w:val="22"/>
          <w:szCs w:val="22"/>
        </w:rPr>
        <w:t xml:space="preserve">”. </w:t>
      </w:r>
    </w:p>
    <w:p w:rsidR="008D6C6D" w:rsidRPr="00F0797B" w:rsidRDefault="008D6C6D" w:rsidP="008D6C6D">
      <w:pPr>
        <w:ind w:firstLine="709"/>
        <w:jc w:val="both"/>
        <w:rPr>
          <w:rFonts w:ascii="Tahoma" w:hAnsi="Tahoma" w:cs="Tahoma"/>
          <w:spacing w:val="-2"/>
          <w:sz w:val="22"/>
          <w:szCs w:val="22"/>
        </w:rPr>
      </w:pPr>
    </w:p>
    <w:p w:rsidR="008D6C6D" w:rsidRPr="00F0797B" w:rsidRDefault="008D6C6D" w:rsidP="008D6C6D">
      <w:pPr>
        <w:spacing w:line="276" w:lineRule="auto"/>
        <w:ind w:firstLine="709"/>
        <w:jc w:val="both"/>
        <w:rPr>
          <w:rFonts w:ascii="Tahoma" w:hAnsi="Tahoma" w:cs="Tahoma"/>
          <w:spacing w:val="-2"/>
          <w:sz w:val="22"/>
          <w:szCs w:val="22"/>
        </w:rPr>
      </w:pPr>
      <w:r w:rsidRPr="00F0797B">
        <w:rPr>
          <w:rFonts w:ascii="Tahoma" w:hAnsi="Tahoma" w:cs="Tahoma"/>
          <w:spacing w:val="-2"/>
          <w:sz w:val="22"/>
          <w:szCs w:val="22"/>
        </w:rPr>
        <w:t>Finalmente, debo indicar que la postura que adujo la A-quo para abstenerse de ahondar en el estudio de la prestación aplicando la condición más beneficiosa, esto es, que la invalidez se estructuró cuando el actor ya había superado la edad mínima para acceder a la pensión de vejez, ya ha sido replanteada por este Tribunal con ocasión de una sentencia de tutela resuelta por la Sala de Casación Laboral de la Corte Suprema de Justicia, en la que se indicó que dicha tesis no cuenta con respaldo jurídico.</w:t>
      </w:r>
    </w:p>
    <w:p w:rsidR="00A462A2" w:rsidRPr="00F0797B" w:rsidRDefault="00A462A2" w:rsidP="008D6C6D">
      <w:pPr>
        <w:spacing w:line="276" w:lineRule="auto"/>
        <w:ind w:firstLine="709"/>
        <w:jc w:val="both"/>
        <w:rPr>
          <w:rFonts w:ascii="Tahoma" w:hAnsi="Tahoma" w:cs="Tahoma"/>
          <w:spacing w:val="-2"/>
          <w:sz w:val="22"/>
          <w:szCs w:val="22"/>
        </w:rPr>
      </w:pPr>
    </w:p>
    <w:p w:rsidR="000D4908" w:rsidRPr="00F0797B" w:rsidRDefault="008F2D96" w:rsidP="008D6C6D">
      <w:pPr>
        <w:spacing w:line="276" w:lineRule="auto"/>
        <w:ind w:firstLine="709"/>
        <w:jc w:val="both"/>
        <w:rPr>
          <w:rFonts w:ascii="Tahoma" w:hAnsi="Tahoma" w:cs="Tahoma"/>
          <w:spacing w:val="-2"/>
          <w:sz w:val="22"/>
          <w:szCs w:val="22"/>
        </w:rPr>
      </w:pPr>
      <w:r w:rsidRPr="00F0797B">
        <w:rPr>
          <w:rFonts w:ascii="Tahoma" w:hAnsi="Tahoma" w:cs="Tahoma"/>
          <w:spacing w:val="-2"/>
          <w:sz w:val="22"/>
          <w:szCs w:val="22"/>
        </w:rPr>
        <w:t xml:space="preserve">En virtud de lo anterior debió </w:t>
      </w:r>
      <w:r w:rsidR="00317433" w:rsidRPr="00F0797B">
        <w:rPr>
          <w:rFonts w:ascii="Tahoma" w:hAnsi="Tahoma" w:cs="Tahoma"/>
          <w:spacing w:val="-2"/>
          <w:sz w:val="22"/>
          <w:szCs w:val="22"/>
        </w:rPr>
        <w:t xml:space="preserve">revocarse </w:t>
      </w:r>
      <w:r w:rsidRPr="00F0797B">
        <w:rPr>
          <w:rFonts w:ascii="Tahoma" w:hAnsi="Tahoma" w:cs="Tahoma"/>
          <w:spacing w:val="-2"/>
          <w:sz w:val="22"/>
          <w:szCs w:val="22"/>
        </w:rPr>
        <w:t>la sentencia de primera instancia</w:t>
      </w:r>
      <w:r w:rsidR="00317433" w:rsidRPr="00F0797B">
        <w:rPr>
          <w:rFonts w:ascii="Tahoma" w:hAnsi="Tahoma" w:cs="Tahoma"/>
          <w:spacing w:val="-2"/>
          <w:sz w:val="22"/>
          <w:szCs w:val="22"/>
        </w:rPr>
        <w:t xml:space="preserve"> y concederse la pensión de sobrevivientes</w:t>
      </w:r>
      <w:r w:rsidR="00AF2AE0" w:rsidRPr="00F0797B">
        <w:rPr>
          <w:rFonts w:ascii="Tahoma" w:hAnsi="Tahoma" w:cs="Tahoma"/>
          <w:spacing w:val="-2"/>
          <w:sz w:val="22"/>
          <w:szCs w:val="22"/>
        </w:rPr>
        <w:t xml:space="preserve"> </w:t>
      </w:r>
      <w:r w:rsidR="000D4908" w:rsidRPr="00F0797B">
        <w:rPr>
          <w:rFonts w:ascii="Tahoma" w:hAnsi="Tahoma" w:cs="Tahoma"/>
          <w:spacing w:val="-2"/>
          <w:sz w:val="22"/>
          <w:szCs w:val="22"/>
        </w:rPr>
        <w:t xml:space="preserve">pretendida por la </w:t>
      </w:r>
      <w:r w:rsidR="00CE6C1D" w:rsidRPr="00F0797B">
        <w:rPr>
          <w:rFonts w:ascii="Tahoma" w:hAnsi="Tahoma" w:cs="Tahoma"/>
          <w:spacing w:val="-2"/>
          <w:sz w:val="22"/>
          <w:szCs w:val="22"/>
        </w:rPr>
        <w:t xml:space="preserve">parte </w:t>
      </w:r>
      <w:r w:rsidR="000D4908" w:rsidRPr="00F0797B">
        <w:rPr>
          <w:rFonts w:ascii="Tahoma" w:hAnsi="Tahoma" w:cs="Tahoma"/>
          <w:spacing w:val="-2"/>
          <w:sz w:val="22"/>
          <w:szCs w:val="22"/>
        </w:rPr>
        <w:t xml:space="preserve">demandante, </w:t>
      </w:r>
      <w:r w:rsidR="00AF2AE0" w:rsidRPr="00F0797B">
        <w:rPr>
          <w:rFonts w:ascii="Tahoma" w:hAnsi="Tahoma" w:cs="Tahoma"/>
          <w:spacing w:val="-2"/>
          <w:sz w:val="22"/>
          <w:szCs w:val="22"/>
        </w:rPr>
        <w:t xml:space="preserve">pues su cónyuge contaba con más de 300 semanas cotizadas </w:t>
      </w:r>
      <w:r w:rsidR="000D4908" w:rsidRPr="00F0797B">
        <w:rPr>
          <w:rFonts w:ascii="Tahoma" w:hAnsi="Tahoma" w:cs="Tahoma"/>
          <w:spacing w:val="-2"/>
          <w:sz w:val="22"/>
          <w:szCs w:val="22"/>
        </w:rPr>
        <w:t xml:space="preserve">antes del 1º de </w:t>
      </w:r>
      <w:r w:rsidR="00792FA9" w:rsidRPr="00F0797B">
        <w:rPr>
          <w:rFonts w:ascii="Tahoma" w:hAnsi="Tahoma" w:cs="Tahoma"/>
          <w:spacing w:val="-2"/>
          <w:sz w:val="22"/>
          <w:szCs w:val="22"/>
        </w:rPr>
        <w:t>abril de 1994</w:t>
      </w:r>
      <w:r w:rsidR="000D4908" w:rsidRPr="00F0797B">
        <w:rPr>
          <w:rFonts w:ascii="Tahoma" w:hAnsi="Tahoma" w:cs="Tahoma"/>
          <w:spacing w:val="-2"/>
          <w:sz w:val="22"/>
          <w:szCs w:val="22"/>
        </w:rPr>
        <w:t xml:space="preserve">. </w:t>
      </w:r>
    </w:p>
    <w:p w:rsidR="008F2D96" w:rsidRPr="00F0797B" w:rsidRDefault="008F2D96" w:rsidP="008D6C6D">
      <w:pPr>
        <w:spacing w:line="276" w:lineRule="auto"/>
        <w:ind w:firstLine="709"/>
        <w:jc w:val="both"/>
        <w:rPr>
          <w:rFonts w:ascii="Tahoma" w:hAnsi="Tahoma" w:cs="Tahoma"/>
          <w:sz w:val="22"/>
          <w:szCs w:val="22"/>
        </w:rPr>
      </w:pPr>
      <w:r w:rsidRPr="00F0797B">
        <w:rPr>
          <w:rFonts w:ascii="Tahoma" w:hAnsi="Tahoma" w:cs="Tahoma"/>
          <w:spacing w:val="-2"/>
          <w:sz w:val="22"/>
          <w:szCs w:val="22"/>
        </w:rPr>
        <w:tab/>
      </w:r>
    </w:p>
    <w:p w:rsidR="008F2D96" w:rsidRPr="00F0797B" w:rsidRDefault="008F2D96" w:rsidP="008D6C6D">
      <w:pPr>
        <w:pStyle w:val="Textoindependiente"/>
        <w:spacing w:line="276" w:lineRule="auto"/>
        <w:ind w:firstLine="709"/>
        <w:rPr>
          <w:rFonts w:ascii="Tahoma" w:hAnsi="Tahoma" w:cs="Tahoma"/>
          <w:sz w:val="22"/>
          <w:szCs w:val="22"/>
          <w:lang w:val="es-ES"/>
        </w:rPr>
      </w:pPr>
      <w:r w:rsidRPr="00F0797B">
        <w:rPr>
          <w:rFonts w:ascii="Tahoma" w:hAnsi="Tahoma" w:cs="Tahoma"/>
          <w:sz w:val="22"/>
          <w:szCs w:val="22"/>
          <w:lang w:val="es-ES"/>
        </w:rPr>
        <w:t>En estos términos sustento mi salvamento de voto.</w:t>
      </w:r>
    </w:p>
    <w:p w:rsidR="008F2D96" w:rsidRPr="00A462A2" w:rsidRDefault="008F2D96" w:rsidP="008D6C6D">
      <w:pPr>
        <w:pStyle w:val="Textoindependiente"/>
        <w:autoSpaceDE/>
        <w:autoSpaceDN/>
        <w:adjustRightInd/>
        <w:spacing w:line="276" w:lineRule="auto"/>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A462A2" w:rsidRDefault="00A462A2" w:rsidP="00A462A2">
      <w:pPr>
        <w:widowControl w:val="0"/>
        <w:autoSpaceDE w:val="0"/>
        <w:autoSpaceDN w:val="0"/>
        <w:adjustRightInd w:val="0"/>
        <w:ind w:firstLine="709"/>
        <w:jc w:val="both"/>
        <w:rPr>
          <w:rFonts w:ascii="Tahoma" w:hAnsi="Tahoma" w:cs="Tahoma"/>
          <w:sz w:val="22"/>
          <w:szCs w:val="22"/>
        </w:rPr>
      </w:pPr>
    </w:p>
    <w:p w:rsidR="008D6C6D" w:rsidRPr="00A462A2" w:rsidRDefault="008D6C6D"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F0797B">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1D" w:rsidRDefault="0033371D">
      <w:r>
        <w:separator/>
      </w:r>
    </w:p>
  </w:endnote>
  <w:endnote w:type="continuationSeparator" w:id="0">
    <w:p w:rsidR="0033371D" w:rsidRDefault="0033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3337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4689">
      <w:rPr>
        <w:rStyle w:val="Nmerodepgina"/>
        <w:noProof/>
      </w:rPr>
      <w:t>3</w:t>
    </w:r>
    <w:r>
      <w:rPr>
        <w:rStyle w:val="Nmerodepgina"/>
      </w:rPr>
      <w:fldChar w:fldCharType="end"/>
    </w:r>
  </w:p>
  <w:p w:rsidR="00F0306B" w:rsidRDefault="003337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1D" w:rsidRDefault="0033371D">
      <w:r>
        <w:separator/>
      </w:r>
    </w:p>
  </w:footnote>
  <w:footnote w:type="continuationSeparator" w:id="0">
    <w:p w:rsidR="0033371D" w:rsidRDefault="0033371D">
      <w:r>
        <w:continuationSeparator/>
      </w:r>
    </w:p>
  </w:footnote>
  <w:footnote w:id="1">
    <w:p w:rsidR="008D6C6D" w:rsidRDefault="008D6C6D" w:rsidP="008D6C6D">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8D6C6D" w:rsidRDefault="008D6C6D" w:rsidP="008D6C6D">
      <w:pPr>
        <w:tabs>
          <w:tab w:val="left" w:pos="8789"/>
        </w:tabs>
        <w:ind w:right="51"/>
        <w:jc w:val="both"/>
        <w:rPr>
          <w:sz w:val="16"/>
          <w:szCs w:val="16"/>
        </w:rPr>
      </w:pPr>
    </w:p>
    <w:p w:rsidR="008D6C6D" w:rsidRPr="00F57ACA" w:rsidRDefault="008D6C6D" w:rsidP="008D6C6D">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D6C6D" w:rsidRPr="00F57ACA" w:rsidRDefault="008D6C6D" w:rsidP="008D6C6D">
      <w:pPr>
        <w:tabs>
          <w:tab w:val="left" w:pos="8789"/>
        </w:tabs>
        <w:ind w:right="51"/>
        <w:jc w:val="both"/>
        <w:rPr>
          <w:rFonts w:ascii="Arial Narrow" w:hAnsi="Arial Narrow"/>
          <w:i/>
          <w:iCs/>
          <w:sz w:val="16"/>
          <w:szCs w:val="16"/>
        </w:rPr>
      </w:pPr>
    </w:p>
    <w:p w:rsidR="008D6C6D" w:rsidRPr="00F57ACA" w:rsidRDefault="008D6C6D" w:rsidP="008D6C6D">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8D6C6D" w:rsidRPr="00F57ACA" w:rsidRDefault="008D6C6D" w:rsidP="008D6C6D">
      <w:pPr>
        <w:jc w:val="both"/>
        <w:rPr>
          <w:rFonts w:ascii="Tahoma" w:hAnsi="Tahoma" w:cs="Tahoma"/>
          <w:spacing w:val="-2"/>
          <w:sz w:val="16"/>
          <w:szCs w:val="16"/>
        </w:rPr>
      </w:pPr>
    </w:p>
    <w:p w:rsidR="008D6C6D" w:rsidRPr="00F57ACA" w:rsidRDefault="008D6C6D" w:rsidP="008D6C6D">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8D6C6D" w:rsidRPr="00F57ACA" w:rsidRDefault="008D6C6D" w:rsidP="008D6C6D">
      <w:pPr>
        <w:jc w:val="both"/>
        <w:rPr>
          <w:rFonts w:ascii="Tahoma" w:hAnsi="Tahoma" w:cs="Tahoma"/>
          <w:spacing w:val="-2"/>
          <w:sz w:val="16"/>
          <w:szCs w:val="16"/>
        </w:rPr>
      </w:pPr>
    </w:p>
    <w:p w:rsidR="008D6C6D" w:rsidRPr="00F57ACA" w:rsidRDefault="008D6C6D" w:rsidP="008D6C6D">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8D6C6D" w:rsidRPr="00F57ACA" w:rsidRDefault="008D6C6D" w:rsidP="008D6C6D">
      <w:pPr>
        <w:pStyle w:val="Textonotapie"/>
      </w:pPr>
    </w:p>
  </w:footnote>
  <w:footnote w:id="2">
    <w:p w:rsidR="008D6C6D" w:rsidRPr="00742E50" w:rsidRDefault="008D6C6D" w:rsidP="008D6C6D">
      <w:pPr>
        <w:pStyle w:val="Textonotapie"/>
        <w:rPr>
          <w:lang w:val="es-CO"/>
        </w:rPr>
      </w:pPr>
      <w:r>
        <w:rPr>
          <w:rStyle w:val="Refdenotaalpie"/>
        </w:rPr>
        <w:footnoteRef/>
      </w:r>
      <w:r>
        <w:t xml:space="preserve"> </w:t>
      </w:r>
      <w:r w:rsidRPr="00742E50">
        <w:rPr>
          <w:sz w:val="16"/>
          <w:szCs w:val="16"/>
        </w:rPr>
        <w:t xml:space="preserve">A partir del </w:t>
      </w:r>
      <w:r w:rsidRPr="00742E50">
        <w:rPr>
          <w:sz w:val="16"/>
          <w:szCs w:val="16"/>
          <w:lang w:val="es-CO"/>
        </w:rPr>
        <w:t>5 de febrero de 2018</w:t>
      </w:r>
      <w:r>
        <w:rPr>
          <w:sz w:val="16"/>
          <w:szCs w:val="16"/>
          <w:lang w:val="es-CO"/>
        </w:rPr>
        <w:t>, con motivo de la organización alfabética de Salas de Decisión,  pasaron a ser las Salas números 1 y 4, pero la Sala 1 con distintos integrantes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15F3C"/>
    <w:rsid w:val="000D4908"/>
    <w:rsid w:val="00131AD3"/>
    <w:rsid w:val="002247BD"/>
    <w:rsid w:val="00246366"/>
    <w:rsid w:val="002E6083"/>
    <w:rsid w:val="00317433"/>
    <w:rsid w:val="0033371D"/>
    <w:rsid w:val="00344350"/>
    <w:rsid w:val="00347152"/>
    <w:rsid w:val="00371E6A"/>
    <w:rsid w:val="00380143"/>
    <w:rsid w:val="004213A7"/>
    <w:rsid w:val="00451A6B"/>
    <w:rsid w:val="004634CD"/>
    <w:rsid w:val="004E3A76"/>
    <w:rsid w:val="00521F8D"/>
    <w:rsid w:val="0055223C"/>
    <w:rsid w:val="005A51BF"/>
    <w:rsid w:val="005C65B1"/>
    <w:rsid w:val="006437E3"/>
    <w:rsid w:val="00680EF9"/>
    <w:rsid w:val="006B696C"/>
    <w:rsid w:val="006E285D"/>
    <w:rsid w:val="0072408B"/>
    <w:rsid w:val="00792FA9"/>
    <w:rsid w:val="007E5E88"/>
    <w:rsid w:val="008155EB"/>
    <w:rsid w:val="0084707C"/>
    <w:rsid w:val="0089179B"/>
    <w:rsid w:val="008B4BD9"/>
    <w:rsid w:val="008D6C6D"/>
    <w:rsid w:val="008F2D96"/>
    <w:rsid w:val="009119E0"/>
    <w:rsid w:val="00941F67"/>
    <w:rsid w:val="00964549"/>
    <w:rsid w:val="00972239"/>
    <w:rsid w:val="009940BB"/>
    <w:rsid w:val="009C2F50"/>
    <w:rsid w:val="009E7E9C"/>
    <w:rsid w:val="00A254EE"/>
    <w:rsid w:val="00A462A2"/>
    <w:rsid w:val="00A6571B"/>
    <w:rsid w:val="00A922BE"/>
    <w:rsid w:val="00AF0F47"/>
    <w:rsid w:val="00AF2AE0"/>
    <w:rsid w:val="00B37A3B"/>
    <w:rsid w:val="00C01A75"/>
    <w:rsid w:val="00C40590"/>
    <w:rsid w:val="00CE6C1D"/>
    <w:rsid w:val="00D04492"/>
    <w:rsid w:val="00D0563A"/>
    <w:rsid w:val="00D1601F"/>
    <w:rsid w:val="00D52B19"/>
    <w:rsid w:val="00D60231"/>
    <w:rsid w:val="00D62D12"/>
    <w:rsid w:val="00DB18DF"/>
    <w:rsid w:val="00DD7149"/>
    <w:rsid w:val="00DF032A"/>
    <w:rsid w:val="00E33B5B"/>
    <w:rsid w:val="00E709F2"/>
    <w:rsid w:val="00ED4689"/>
    <w:rsid w:val="00F0797B"/>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basedOn w:val="Normal"/>
    <w:link w:val="TextonotapieCar"/>
    <w:rsid w:val="00D52B19"/>
    <w:rPr>
      <w:sz w:val="20"/>
      <w:szCs w:val="20"/>
    </w:rPr>
  </w:style>
  <w:style w:type="character" w:customStyle="1" w:styleId="TextonotapieCar">
    <w:name w:val="Texto nota pie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D778-F4A1-4D99-B60C-C20A7626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20</cp:revision>
  <cp:lastPrinted>2018-05-28T15:48:00Z</cp:lastPrinted>
  <dcterms:created xsi:type="dcterms:W3CDTF">2017-03-06T19:53:00Z</dcterms:created>
  <dcterms:modified xsi:type="dcterms:W3CDTF">2018-06-15T13:51:00Z</dcterms:modified>
</cp:coreProperties>
</file>