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B6" w:rsidRPr="00801EFA" w:rsidRDefault="00A512B6" w:rsidP="00A512B6">
      <w:pPr>
        <w:pStyle w:val="Puesto"/>
        <w:spacing w:line="240" w:lineRule="auto"/>
        <w:jc w:val="both"/>
        <w:rPr>
          <w:rFonts w:ascii="Tahoma" w:hAnsi="Tahoma" w:cs="Tahoma"/>
          <w:b w:val="0"/>
          <w:sz w:val="18"/>
          <w:szCs w:val="18"/>
        </w:rPr>
      </w:pPr>
      <w:r w:rsidRPr="00AD6FFB">
        <w:rPr>
          <w:rFonts w:ascii="Tahoma" w:hAnsi="Tahoma" w:cs="Tahoma"/>
          <w:sz w:val="18"/>
          <w:szCs w:val="18"/>
        </w:rPr>
        <w:t>Providencia:</w:t>
      </w:r>
      <w:r w:rsidR="00FC5C18">
        <w:rPr>
          <w:rFonts w:ascii="Tahoma" w:hAnsi="Tahoma" w:cs="Tahoma"/>
          <w:b w:val="0"/>
          <w:sz w:val="18"/>
          <w:szCs w:val="18"/>
        </w:rPr>
        <w:t xml:space="preserve"> </w:t>
      </w:r>
      <w:r w:rsidR="00FC5C18">
        <w:rPr>
          <w:rFonts w:ascii="Tahoma" w:hAnsi="Tahoma" w:cs="Tahoma"/>
          <w:b w:val="0"/>
          <w:sz w:val="18"/>
          <w:szCs w:val="18"/>
        </w:rPr>
        <w:tab/>
      </w:r>
      <w:r w:rsidR="00FC5C18">
        <w:rPr>
          <w:rFonts w:ascii="Tahoma" w:hAnsi="Tahoma" w:cs="Tahoma"/>
          <w:b w:val="0"/>
          <w:sz w:val="18"/>
          <w:szCs w:val="18"/>
        </w:rPr>
        <w:tab/>
      </w:r>
      <w:r w:rsidR="00FC5C18">
        <w:rPr>
          <w:rFonts w:ascii="Tahoma" w:hAnsi="Tahoma" w:cs="Tahoma"/>
          <w:b w:val="0"/>
          <w:sz w:val="18"/>
          <w:szCs w:val="18"/>
        </w:rPr>
        <w:tab/>
        <w:t>Sentencia del 1ro de junio</w:t>
      </w:r>
      <w:r>
        <w:rPr>
          <w:rFonts w:ascii="Tahoma" w:hAnsi="Tahoma" w:cs="Tahoma"/>
          <w:b w:val="0"/>
          <w:sz w:val="18"/>
          <w:szCs w:val="18"/>
        </w:rPr>
        <w:t xml:space="preserve"> de 2018</w:t>
      </w:r>
    </w:p>
    <w:p w:rsidR="00A512B6" w:rsidRPr="00801EFA" w:rsidRDefault="00A512B6" w:rsidP="00A512B6">
      <w:pPr>
        <w:pStyle w:val="Puesto"/>
        <w:spacing w:line="240" w:lineRule="auto"/>
        <w:jc w:val="both"/>
        <w:rPr>
          <w:rFonts w:ascii="Tahoma" w:hAnsi="Tahoma" w:cs="Tahoma"/>
          <w:b w:val="0"/>
          <w:sz w:val="18"/>
          <w:szCs w:val="18"/>
        </w:rPr>
      </w:pPr>
      <w:r w:rsidRPr="00801EFA">
        <w:rPr>
          <w:rFonts w:ascii="Tahoma" w:hAnsi="Tahoma" w:cs="Tahoma"/>
          <w:sz w:val="18"/>
          <w:szCs w:val="18"/>
        </w:rPr>
        <w:t>Radicación No.:</w:t>
      </w:r>
      <w:r w:rsidRPr="00801EFA">
        <w:rPr>
          <w:rFonts w:ascii="Tahoma" w:hAnsi="Tahoma" w:cs="Tahoma"/>
          <w:b w:val="0"/>
          <w:sz w:val="18"/>
          <w:szCs w:val="18"/>
        </w:rPr>
        <w:tab/>
      </w:r>
      <w:r w:rsidRPr="00801EFA">
        <w:rPr>
          <w:rFonts w:ascii="Tahoma" w:hAnsi="Tahoma" w:cs="Tahoma"/>
          <w:b w:val="0"/>
          <w:sz w:val="18"/>
          <w:szCs w:val="18"/>
        </w:rPr>
        <w:tab/>
      </w:r>
      <w:r w:rsidR="00FC5C18">
        <w:rPr>
          <w:rFonts w:ascii="Tahoma" w:hAnsi="Tahoma" w:cs="Tahoma"/>
          <w:b w:val="0"/>
          <w:sz w:val="18"/>
          <w:szCs w:val="18"/>
        </w:rPr>
        <w:tab/>
        <w:t>66001-31-05-003-2016-00345</w:t>
      </w:r>
      <w:r w:rsidRPr="00801EFA">
        <w:rPr>
          <w:rFonts w:ascii="Tahoma" w:hAnsi="Tahoma" w:cs="Tahoma"/>
          <w:b w:val="0"/>
          <w:sz w:val="18"/>
          <w:szCs w:val="18"/>
        </w:rPr>
        <w:t>-01</w:t>
      </w:r>
    </w:p>
    <w:p w:rsidR="00A512B6" w:rsidRPr="00801EFA" w:rsidRDefault="00A512B6" w:rsidP="00A512B6">
      <w:pPr>
        <w:pStyle w:val="Puesto"/>
        <w:spacing w:line="240" w:lineRule="auto"/>
        <w:jc w:val="both"/>
        <w:rPr>
          <w:rFonts w:ascii="Tahoma" w:hAnsi="Tahoma" w:cs="Tahoma"/>
          <w:b w:val="0"/>
          <w:sz w:val="18"/>
          <w:szCs w:val="18"/>
        </w:rPr>
      </w:pPr>
      <w:r w:rsidRPr="00801EFA">
        <w:rPr>
          <w:rFonts w:ascii="Tahoma" w:hAnsi="Tahoma" w:cs="Tahoma"/>
          <w:sz w:val="18"/>
          <w:szCs w:val="18"/>
        </w:rPr>
        <w:t>Proceso:</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Ordinario laboral </w:t>
      </w:r>
    </w:p>
    <w:p w:rsidR="00A512B6" w:rsidRPr="00801EFA" w:rsidRDefault="00A512B6" w:rsidP="00A512B6">
      <w:pPr>
        <w:pStyle w:val="Puesto"/>
        <w:spacing w:line="240" w:lineRule="auto"/>
        <w:jc w:val="both"/>
        <w:rPr>
          <w:rFonts w:ascii="Tahoma" w:hAnsi="Tahoma" w:cs="Tahoma"/>
          <w:b w:val="0"/>
          <w:sz w:val="18"/>
          <w:szCs w:val="18"/>
        </w:rPr>
      </w:pPr>
      <w:r w:rsidRPr="00801EFA">
        <w:rPr>
          <w:rFonts w:ascii="Tahoma" w:hAnsi="Tahoma" w:cs="Tahoma"/>
          <w:sz w:val="18"/>
          <w:szCs w:val="18"/>
        </w:rPr>
        <w:t>Demandante:</w:t>
      </w:r>
      <w:r w:rsidRPr="00801EFA">
        <w:rPr>
          <w:rFonts w:ascii="Tahoma" w:hAnsi="Tahoma" w:cs="Tahoma"/>
          <w:b w:val="0"/>
          <w:sz w:val="18"/>
          <w:szCs w:val="18"/>
        </w:rPr>
        <w:tab/>
      </w:r>
      <w:r w:rsidRPr="00801EFA">
        <w:rPr>
          <w:rFonts w:ascii="Tahoma" w:hAnsi="Tahoma" w:cs="Tahoma"/>
          <w:b w:val="0"/>
          <w:sz w:val="18"/>
          <w:szCs w:val="18"/>
        </w:rPr>
        <w:tab/>
      </w:r>
      <w:r>
        <w:rPr>
          <w:rFonts w:ascii="Tahoma" w:hAnsi="Tahoma" w:cs="Tahoma"/>
          <w:b w:val="0"/>
          <w:sz w:val="18"/>
          <w:szCs w:val="18"/>
        </w:rPr>
        <w:tab/>
      </w:r>
      <w:r w:rsidR="00FC5C18">
        <w:rPr>
          <w:rFonts w:ascii="Tahoma" w:hAnsi="Tahoma" w:cs="Tahoma"/>
          <w:b w:val="0"/>
          <w:sz w:val="18"/>
          <w:szCs w:val="18"/>
        </w:rPr>
        <w:t xml:space="preserve">Carlos Evelio Flórez Álzate </w:t>
      </w:r>
    </w:p>
    <w:p w:rsidR="00A512B6" w:rsidRPr="00801EFA" w:rsidRDefault="00A512B6" w:rsidP="00A512B6">
      <w:pPr>
        <w:pStyle w:val="Puesto"/>
        <w:spacing w:line="240" w:lineRule="auto"/>
        <w:ind w:left="708" w:hanging="708"/>
        <w:jc w:val="both"/>
        <w:rPr>
          <w:rFonts w:ascii="Tahoma" w:hAnsi="Tahoma" w:cs="Tahoma"/>
          <w:b w:val="0"/>
          <w:sz w:val="18"/>
          <w:szCs w:val="18"/>
        </w:rPr>
      </w:pPr>
      <w:r w:rsidRPr="00801EFA">
        <w:rPr>
          <w:rFonts w:ascii="Tahoma" w:hAnsi="Tahoma" w:cs="Tahoma"/>
          <w:sz w:val="18"/>
          <w:szCs w:val="18"/>
        </w:rPr>
        <w:t>Demandado:</w:t>
      </w:r>
      <w:r w:rsidRPr="00801EFA">
        <w:rPr>
          <w:rFonts w:ascii="Tahoma" w:hAnsi="Tahoma" w:cs="Tahoma"/>
          <w:b w:val="0"/>
          <w:sz w:val="18"/>
          <w:szCs w:val="18"/>
        </w:rPr>
        <w:tab/>
      </w:r>
      <w:r w:rsidRPr="00801EFA">
        <w:rPr>
          <w:rFonts w:ascii="Tahoma" w:hAnsi="Tahoma" w:cs="Tahoma"/>
          <w:b w:val="0"/>
          <w:sz w:val="18"/>
          <w:szCs w:val="18"/>
        </w:rPr>
        <w:tab/>
      </w:r>
      <w:r w:rsidR="00FC5C18">
        <w:rPr>
          <w:rFonts w:ascii="Tahoma" w:hAnsi="Tahoma" w:cs="Tahoma"/>
          <w:b w:val="0"/>
          <w:sz w:val="18"/>
          <w:szCs w:val="18"/>
        </w:rPr>
        <w:tab/>
        <w:t>Protección S.A.</w:t>
      </w:r>
    </w:p>
    <w:p w:rsidR="00A512B6" w:rsidRPr="00801EFA" w:rsidRDefault="00A512B6" w:rsidP="00A512B6">
      <w:pPr>
        <w:pStyle w:val="Puesto"/>
        <w:spacing w:line="240" w:lineRule="auto"/>
        <w:jc w:val="both"/>
        <w:rPr>
          <w:rFonts w:ascii="Tahoma" w:hAnsi="Tahoma" w:cs="Tahoma"/>
          <w:b w:val="0"/>
          <w:sz w:val="18"/>
          <w:szCs w:val="18"/>
        </w:rPr>
      </w:pPr>
      <w:r w:rsidRPr="00432D19">
        <w:rPr>
          <w:rFonts w:ascii="Tahoma" w:hAnsi="Tahoma" w:cs="Tahoma"/>
          <w:sz w:val="18"/>
          <w:szCs w:val="18"/>
        </w:rPr>
        <w:t>Juzgado de origen:</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sidRPr="00801EFA">
        <w:rPr>
          <w:rFonts w:ascii="Tahoma" w:hAnsi="Tahoma" w:cs="Tahoma"/>
          <w:b w:val="0"/>
          <w:sz w:val="18"/>
          <w:szCs w:val="18"/>
        </w:rPr>
        <w:t xml:space="preserve">Juzgado </w:t>
      </w:r>
      <w:r w:rsidR="00FC5C18">
        <w:rPr>
          <w:rFonts w:ascii="Tahoma" w:hAnsi="Tahoma" w:cs="Tahoma"/>
          <w:b w:val="0"/>
          <w:sz w:val="18"/>
          <w:szCs w:val="18"/>
        </w:rPr>
        <w:t>Tercero</w:t>
      </w:r>
      <w:r w:rsidRPr="00801EFA">
        <w:rPr>
          <w:rFonts w:ascii="Tahoma" w:hAnsi="Tahoma" w:cs="Tahoma"/>
          <w:b w:val="0"/>
          <w:sz w:val="18"/>
          <w:szCs w:val="18"/>
        </w:rPr>
        <w:t xml:space="preserve"> Laboral del Circuito de Pereira </w:t>
      </w:r>
    </w:p>
    <w:p w:rsidR="00A512B6" w:rsidRPr="00801EFA" w:rsidRDefault="00FC5C18" w:rsidP="00A512B6">
      <w:pPr>
        <w:pStyle w:val="Puesto"/>
        <w:spacing w:line="240" w:lineRule="auto"/>
        <w:jc w:val="both"/>
        <w:rPr>
          <w:rFonts w:ascii="Tahoma" w:hAnsi="Tahoma" w:cs="Tahoma"/>
          <w:b w:val="0"/>
          <w:sz w:val="18"/>
          <w:szCs w:val="18"/>
        </w:rPr>
      </w:pPr>
      <w:r>
        <w:rPr>
          <w:rFonts w:ascii="Tahoma" w:hAnsi="Tahoma" w:cs="Tahoma"/>
          <w:sz w:val="18"/>
          <w:szCs w:val="18"/>
        </w:rPr>
        <w:t>Magistrado</w:t>
      </w:r>
      <w:r w:rsidR="00A512B6" w:rsidRPr="00432D19">
        <w:rPr>
          <w:rFonts w:ascii="Tahoma" w:hAnsi="Tahoma" w:cs="Tahoma"/>
          <w:sz w:val="18"/>
          <w:szCs w:val="18"/>
        </w:rPr>
        <w:t xml:space="preserve"> Ponente:</w:t>
      </w:r>
      <w:r w:rsidR="00A512B6">
        <w:rPr>
          <w:rFonts w:ascii="Tahoma" w:hAnsi="Tahoma" w:cs="Tahoma"/>
          <w:b w:val="0"/>
          <w:sz w:val="18"/>
          <w:szCs w:val="18"/>
        </w:rPr>
        <w:tab/>
      </w:r>
      <w:r w:rsidR="00A512B6">
        <w:rPr>
          <w:rFonts w:ascii="Tahoma" w:hAnsi="Tahoma" w:cs="Tahoma"/>
          <w:b w:val="0"/>
          <w:sz w:val="18"/>
          <w:szCs w:val="18"/>
        </w:rPr>
        <w:tab/>
      </w:r>
      <w:r w:rsidR="00A512B6" w:rsidRPr="00801EFA">
        <w:rPr>
          <w:rFonts w:ascii="Tahoma" w:hAnsi="Tahoma" w:cs="Tahoma"/>
          <w:b w:val="0"/>
          <w:sz w:val="18"/>
          <w:szCs w:val="18"/>
        </w:rPr>
        <w:t>Dr.</w:t>
      </w:r>
      <w:r>
        <w:rPr>
          <w:rFonts w:ascii="Tahoma" w:hAnsi="Tahoma" w:cs="Tahoma"/>
          <w:b w:val="0"/>
          <w:sz w:val="18"/>
          <w:szCs w:val="18"/>
        </w:rPr>
        <w:t xml:space="preserve"> Julio César Salazar Muñoz</w:t>
      </w:r>
      <w:r w:rsidR="00A512B6" w:rsidRPr="00801EFA">
        <w:rPr>
          <w:rFonts w:ascii="Tahoma" w:hAnsi="Tahoma" w:cs="Tahoma"/>
          <w:b w:val="0"/>
          <w:sz w:val="18"/>
          <w:szCs w:val="18"/>
        </w:rPr>
        <w:t xml:space="preserve"> </w:t>
      </w:r>
    </w:p>
    <w:p w:rsidR="00A512B6" w:rsidRPr="00801EFA" w:rsidRDefault="00A512B6" w:rsidP="00A512B6">
      <w:pPr>
        <w:pStyle w:val="Puesto"/>
        <w:spacing w:line="240" w:lineRule="auto"/>
        <w:jc w:val="both"/>
        <w:rPr>
          <w:rFonts w:ascii="Tahoma" w:hAnsi="Tahoma" w:cs="Tahoma"/>
          <w:b w:val="0"/>
          <w:sz w:val="18"/>
          <w:szCs w:val="18"/>
        </w:rPr>
      </w:pPr>
      <w:r w:rsidRPr="00432D19">
        <w:rPr>
          <w:rFonts w:ascii="Tahoma" w:hAnsi="Tahoma" w:cs="Tahoma"/>
          <w:sz w:val="18"/>
          <w:szCs w:val="18"/>
        </w:rPr>
        <w:t>Magistrada que salva voto:</w:t>
      </w:r>
      <w:r>
        <w:rPr>
          <w:rFonts w:ascii="Tahoma" w:hAnsi="Tahoma" w:cs="Tahoma"/>
          <w:b w:val="0"/>
          <w:sz w:val="18"/>
          <w:szCs w:val="18"/>
        </w:rPr>
        <w:tab/>
        <w:t>Ana Lucía Caicedo Calderón</w:t>
      </w:r>
    </w:p>
    <w:p w:rsidR="00A512B6" w:rsidRPr="009C60CD" w:rsidRDefault="00A512B6" w:rsidP="00A512B6">
      <w:pPr>
        <w:pStyle w:val="Puesto"/>
        <w:spacing w:line="240" w:lineRule="auto"/>
        <w:jc w:val="both"/>
        <w:rPr>
          <w:rFonts w:ascii="Tahoma" w:hAnsi="Tahoma" w:cs="Tahoma"/>
          <w:b w:val="0"/>
          <w:sz w:val="20"/>
          <w:szCs w:val="20"/>
          <w:lang w:val="es-MX"/>
        </w:rPr>
      </w:pPr>
    </w:p>
    <w:p w:rsidR="00A512B6" w:rsidRPr="009C60CD" w:rsidRDefault="00A512B6" w:rsidP="00A512B6">
      <w:pPr>
        <w:spacing w:line="360" w:lineRule="auto"/>
        <w:jc w:val="center"/>
        <w:rPr>
          <w:rFonts w:ascii="Tahoma" w:hAnsi="Tahoma" w:cs="Tahoma"/>
          <w:b/>
          <w:lang w:val="es-MX"/>
        </w:rPr>
      </w:pPr>
      <w:r w:rsidRPr="009C60CD">
        <w:rPr>
          <w:rFonts w:ascii="Tahoma" w:hAnsi="Tahoma" w:cs="Tahoma"/>
          <w:b/>
          <w:lang w:val="es-MX"/>
        </w:rPr>
        <w:t>SALVAMENTO DE VOTO</w:t>
      </w:r>
    </w:p>
    <w:p w:rsidR="00A512B6" w:rsidRPr="009C60CD" w:rsidRDefault="00A512B6" w:rsidP="00A512B6">
      <w:pPr>
        <w:spacing w:after="0" w:line="276" w:lineRule="auto"/>
        <w:ind w:firstLine="708"/>
        <w:jc w:val="both"/>
        <w:rPr>
          <w:rFonts w:ascii="Tahoma" w:hAnsi="Tahoma" w:cs="Tahoma"/>
          <w:lang w:val="es-MX"/>
        </w:rPr>
      </w:pPr>
      <w:r w:rsidRPr="009C60CD">
        <w:rPr>
          <w:rFonts w:ascii="Tahoma" w:hAnsi="Tahoma" w:cs="Tahoma"/>
          <w:lang w:val="es-MX"/>
        </w:rPr>
        <w:t xml:space="preserve">Con el </w:t>
      </w:r>
      <w:r w:rsidR="009C60CD">
        <w:rPr>
          <w:rFonts w:ascii="Tahoma" w:hAnsi="Tahoma" w:cs="Tahoma"/>
          <w:lang w:val="es-MX"/>
        </w:rPr>
        <w:t xml:space="preserve">acostumbrado </w:t>
      </w:r>
      <w:r w:rsidRPr="009C60CD">
        <w:rPr>
          <w:rFonts w:ascii="Tahoma" w:hAnsi="Tahoma" w:cs="Tahoma"/>
          <w:lang w:val="es-MX"/>
        </w:rPr>
        <w:t>respeto que me merecen mis compañeros de Sala, me aparto de la decisión mayoritaria tomada en este asunto, con fundamento en las siguientes consideraciones:</w:t>
      </w:r>
    </w:p>
    <w:p w:rsidR="00A512B6" w:rsidRPr="009C60CD" w:rsidRDefault="00A512B6" w:rsidP="00A512B6">
      <w:pPr>
        <w:spacing w:after="0" w:line="276" w:lineRule="auto"/>
        <w:ind w:firstLine="708"/>
        <w:jc w:val="both"/>
        <w:rPr>
          <w:rFonts w:ascii="Tahoma" w:hAnsi="Tahoma" w:cs="Tahoma"/>
          <w:lang w:val="es-MX"/>
        </w:rPr>
      </w:pPr>
    </w:p>
    <w:p w:rsidR="009C60CD" w:rsidRPr="009C60CD" w:rsidRDefault="00A512B6" w:rsidP="009C60CD">
      <w:pPr>
        <w:tabs>
          <w:tab w:val="left" w:pos="-720"/>
        </w:tabs>
        <w:suppressAutoHyphens/>
        <w:spacing w:line="276" w:lineRule="auto"/>
        <w:jc w:val="both"/>
        <w:rPr>
          <w:rFonts w:ascii="Tahoma" w:hAnsi="Tahoma" w:cs="Tahoma"/>
          <w:spacing w:val="-3"/>
          <w:kern w:val="2"/>
        </w:rPr>
      </w:pPr>
      <w:r w:rsidRPr="009C60CD">
        <w:rPr>
          <w:rFonts w:ascii="Tahoma" w:hAnsi="Tahoma" w:cs="Tahoma"/>
          <w:lang w:val="es-MX"/>
        </w:rPr>
        <w:tab/>
      </w:r>
      <w:r w:rsidRPr="009C60CD">
        <w:rPr>
          <w:rFonts w:ascii="Tahoma" w:hAnsi="Tahoma" w:cs="Tahoma"/>
          <w:spacing w:val="-3"/>
          <w:kern w:val="2"/>
        </w:rPr>
        <w:t xml:space="preserve">La Sala mayoritaria, como es bien sabido, difiere de los argumentos que llevaron a la jueza de primera instancia a reconocer el derecho, con lo cuales me encuentro de acuerdo, por las siguientes razones: </w:t>
      </w:r>
    </w:p>
    <w:p w:rsidR="00FC5C18" w:rsidRPr="009C60CD" w:rsidRDefault="00A512B6" w:rsidP="00A512B6">
      <w:pPr>
        <w:tabs>
          <w:tab w:val="left" w:pos="-720"/>
        </w:tabs>
        <w:suppressAutoHyphens/>
        <w:spacing w:after="0" w:line="276" w:lineRule="auto"/>
        <w:jc w:val="both"/>
        <w:rPr>
          <w:rFonts w:ascii="Tahoma" w:hAnsi="Tahoma" w:cs="Tahoma"/>
        </w:rPr>
      </w:pPr>
      <w:r w:rsidRPr="009C60CD">
        <w:rPr>
          <w:rFonts w:ascii="Tahoma" w:hAnsi="Tahoma" w:cs="Tahoma"/>
        </w:rPr>
        <w:tab/>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w:t>
      </w:r>
      <w:r w:rsidR="00FC5C18" w:rsidRPr="009C60CD">
        <w:rPr>
          <w:rFonts w:ascii="Tahoma" w:hAnsi="Tahoma" w:cs="Tahoma"/>
        </w:rPr>
        <w:t>de la Corte Suprema de Justicia.</w:t>
      </w:r>
    </w:p>
    <w:p w:rsidR="00FC5C18" w:rsidRPr="009C60CD" w:rsidRDefault="00FC5C18" w:rsidP="00A512B6">
      <w:pPr>
        <w:tabs>
          <w:tab w:val="left" w:pos="-720"/>
        </w:tabs>
        <w:suppressAutoHyphens/>
        <w:spacing w:after="0" w:line="276" w:lineRule="auto"/>
        <w:jc w:val="both"/>
        <w:rPr>
          <w:rFonts w:ascii="Tahoma" w:hAnsi="Tahoma" w:cs="Tahoma"/>
        </w:rPr>
      </w:pPr>
    </w:p>
    <w:p w:rsidR="00A512B6" w:rsidRPr="009C60CD" w:rsidRDefault="00FC5C18" w:rsidP="00A512B6">
      <w:pPr>
        <w:tabs>
          <w:tab w:val="left" w:pos="-720"/>
        </w:tabs>
        <w:suppressAutoHyphens/>
        <w:spacing w:after="0" w:line="276" w:lineRule="auto"/>
        <w:jc w:val="both"/>
        <w:rPr>
          <w:rFonts w:ascii="Tahoma" w:hAnsi="Tahoma" w:cs="Tahoma"/>
        </w:rPr>
      </w:pPr>
      <w:r w:rsidRPr="009C60CD">
        <w:rPr>
          <w:rFonts w:ascii="Tahoma" w:hAnsi="Tahoma" w:cs="Tahoma"/>
        </w:rPr>
        <w:tab/>
        <w:t xml:space="preserve">Pese a esa primera premisa, </w:t>
      </w:r>
      <w:r w:rsidR="00A512B6" w:rsidRPr="009C60CD">
        <w:rPr>
          <w:rFonts w:ascii="Tahoma" w:hAnsi="Tahoma" w:cs="Tahoma"/>
        </w:rPr>
        <w:t>esta Sala Mayoritaria ha aceptado la incorporación del nuevo requisito señalado en la sentencia SL2358 -radicado No. 44596 del 25 de enero de 2017- para la aplicación de la condición más beneficiosa en el transito legislativo de la Ley 100 de 1993 (original) a la Ley 860 de 2003, en la que se analizó una pensión de invalidez, y se impuso una limitación temporal a la aplicación del referido principio, en el s</w:t>
      </w:r>
      <w:r w:rsidRPr="009C60CD">
        <w:rPr>
          <w:rFonts w:ascii="Tahoma" w:hAnsi="Tahoma" w:cs="Tahoma"/>
        </w:rPr>
        <w:t>entido de que la invalidez debía</w:t>
      </w:r>
      <w:r w:rsidR="00A512B6" w:rsidRPr="009C60CD">
        <w:rPr>
          <w:rFonts w:ascii="Tahoma" w:hAnsi="Tahoma" w:cs="Tahoma"/>
        </w:rPr>
        <w:t xml:space="preserve"> estructurarse en los tres (3) años siguientes a la entrada en vigencia de dicha norma; interpretación que, parafraseada</w:t>
      </w:r>
      <w:r w:rsidRPr="009C60CD">
        <w:rPr>
          <w:rFonts w:ascii="Tahoma" w:hAnsi="Tahoma" w:cs="Tahoma"/>
        </w:rPr>
        <w:t>, se traduce en que la invalidez haya acontecido entre el 26 de diciembre</w:t>
      </w:r>
      <w:r w:rsidR="00A512B6" w:rsidRPr="009C60CD">
        <w:rPr>
          <w:rFonts w:ascii="Tahoma" w:hAnsi="Tahoma" w:cs="Tahoma"/>
        </w:rPr>
        <w:t xml:space="preserve"> de 2003, fecha de e</w:t>
      </w:r>
      <w:r w:rsidRPr="009C60CD">
        <w:rPr>
          <w:rFonts w:ascii="Tahoma" w:hAnsi="Tahoma" w:cs="Tahoma"/>
        </w:rPr>
        <w:t>ntrada en vigencia de la Ley 860 del mismo año, y el 26 de diciembre</w:t>
      </w:r>
      <w:r w:rsidR="00A512B6" w:rsidRPr="009C60CD">
        <w:rPr>
          <w:rFonts w:ascii="Tahoma" w:hAnsi="Tahoma" w:cs="Tahoma"/>
        </w:rPr>
        <w:t xml:space="preserve"> de 2006. </w:t>
      </w:r>
    </w:p>
    <w:p w:rsidR="00A512B6" w:rsidRPr="009C60CD" w:rsidRDefault="00A512B6" w:rsidP="00A512B6">
      <w:pPr>
        <w:spacing w:after="0" w:line="240" w:lineRule="auto"/>
        <w:ind w:firstLine="709"/>
        <w:jc w:val="both"/>
        <w:rPr>
          <w:rFonts w:ascii="Tahoma" w:hAnsi="Tahoma" w:cs="Tahoma"/>
        </w:rPr>
      </w:pPr>
    </w:p>
    <w:p w:rsidR="00A512B6" w:rsidRPr="009C60CD" w:rsidRDefault="00A512B6" w:rsidP="00A512B6">
      <w:pPr>
        <w:spacing w:after="0" w:line="276" w:lineRule="auto"/>
        <w:ind w:firstLine="708"/>
        <w:jc w:val="both"/>
        <w:rPr>
          <w:rFonts w:ascii="Tahoma" w:hAnsi="Tahoma" w:cs="Tahoma"/>
        </w:rPr>
      </w:pPr>
      <w:r w:rsidRPr="009C60CD">
        <w:rPr>
          <w:rFonts w:ascii="Tahoma" w:hAnsi="Tahoma" w:cs="Tahoma"/>
        </w:rPr>
        <w:t xml:space="preserve">Antes de ese cambio de precedente, el órgano de cierre de la jurisdicción laboral era del criterio de que el principio de la condición más beneficiosa frente a casos gobernados por la Ley 860 de 2003 o por la 797 del mismo año, en virtud del principio de progresividad y en atención a que no existe un régimen de transición en materia de pensiones de sobrevivientes e invalidez, suponía </w:t>
      </w:r>
      <w:r w:rsidRPr="009C60CD">
        <w:rPr>
          <w:rFonts w:ascii="Arial Narrow" w:hAnsi="Arial Narrow" w:cs="Tahoma"/>
          <w:i/>
        </w:rPr>
        <w:t>“(…)</w:t>
      </w:r>
      <w:r w:rsidRPr="009C60CD">
        <w:rPr>
          <w:rFonts w:ascii="Arial Narrow" w:hAnsi="Arial Narrow" w:cs="Tahoma"/>
        </w:rPr>
        <w:t xml:space="preserve"> </w:t>
      </w:r>
      <w:r w:rsidRPr="009C60CD">
        <w:rPr>
          <w:rFonts w:ascii="Arial Narrow" w:hAnsi="Arial Narrow" w:cs="Tahoma"/>
          <w:i/>
        </w:rPr>
        <w:t>aplicar la condición más beneficiosa contenida en la norma inmediatamente derogada (…)”</w:t>
      </w:r>
      <w:r w:rsidRPr="009C60CD">
        <w:rPr>
          <w:rStyle w:val="Refdenotaalpie"/>
          <w:rFonts w:ascii="Arial Narrow" w:hAnsi="Arial Narrow" w:cs="Tahoma"/>
          <w:i/>
        </w:rPr>
        <w:footnoteReference w:id="1"/>
      </w:r>
      <w:r w:rsidRPr="009C60CD">
        <w:rPr>
          <w:rFonts w:ascii="Arial Narrow" w:hAnsi="Arial Narrow" w:cs="Tahoma"/>
          <w:i/>
        </w:rPr>
        <w:t>,</w:t>
      </w:r>
      <w:r w:rsidRPr="009C60CD">
        <w:rPr>
          <w:rFonts w:ascii="Tahoma" w:hAnsi="Tahoma" w:cs="Tahoma"/>
          <w:i/>
        </w:rPr>
        <w:t xml:space="preserve"> </w:t>
      </w:r>
      <w:r w:rsidRPr="009C60CD">
        <w:rPr>
          <w:rFonts w:ascii="Tahoma" w:hAnsi="Tahoma" w:cs="Tahoma"/>
        </w:rPr>
        <w:t>es decir, el artículo 39 de la Ley 100 de 1993, en su texto original, para pensiones de invalidez o el artículo 46 ídem (original), en el caso de pensión de sobrevivientes.</w:t>
      </w:r>
    </w:p>
    <w:p w:rsidR="00A512B6" w:rsidRPr="009C60CD" w:rsidRDefault="00A512B6" w:rsidP="00A512B6">
      <w:pPr>
        <w:spacing w:after="0" w:line="240" w:lineRule="auto"/>
        <w:ind w:firstLine="709"/>
        <w:jc w:val="both"/>
        <w:rPr>
          <w:rFonts w:ascii="Tahoma" w:hAnsi="Tahoma" w:cs="Tahoma"/>
        </w:rPr>
      </w:pPr>
    </w:p>
    <w:p w:rsidR="00A512B6" w:rsidRPr="009C60CD" w:rsidRDefault="00A512B6" w:rsidP="00FC5C18">
      <w:pPr>
        <w:spacing w:after="0" w:line="276" w:lineRule="auto"/>
        <w:ind w:firstLine="708"/>
        <w:jc w:val="both"/>
        <w:rPr>
          <w:rFonts w:ascii="Tahoma" w:hAnsi="Tahoma" w:cs="Tahoma"/>
        </w:rPr>
      </w:pPr>
      <w:r w:rsidRPr="009C60CD">
        <w:rPr>
          <w:rFonts w:ascii="Tahoma" w:hAnsi="Tahoma" w:cs="Tahoma"/>
        </w:rPr>
        <w:t>Para hacer efectiva la aplicación de dicho principio, señalaba la Corte Suprema que resultaba necesaria la acreditación de que el cotizante siniestrado -por invalidez o muerte- en vigencia de cualquiera de las normas modificatorias de la Ley 100 de 199</w:t>
      </w:r>
      <w:r w:rsidR="00FC5C18" w:rsidRPr="009C60CD">
        <w:rPr>
          <w:rFonts w:ascii="Tahoma" w:hAnsi="Tahoma" w:cs="Tahoma"/>
        </w:rPr>
        <w:t xml:space="preserve">3, en su texto original, reuniera </w:t>
      </w:r>
      <w:r w:rsidRPr="009C60CD">
        <w:rPr>
          <w:rFonts w:ascii="Tahoma" w:hAnsi="Tahoma" w:cs="Tahoma"/>
        </w:rPr>
        <w:t>los requisitos en cuanto a densidad de semanas que exigía el texto modificado.</w:t>
      </w:r>
    </w:p>
    <w:p w:rsidR="00A512B6" w:rsidRPr="009C60CD" w:rsidRDefault="00A512B6" w:rsidP="00A512B6">
      <w:pPr>
        <w:spacing w:after="0" w:line="240" w:lineRule="auto"/>
        <w:jc w:val="both"/>
        <w:rPr>
          <w:rFonts w:ascii="Tahoma" w:hAnsi="Tahoma" w:cs="Tahoma"/>
        </w:rPr>
      </w:pPr>
    </w:p>
    <w:p w:rsidR="00A512B6" w:rsidRPr="009C60CD" w:rsidRDefault="00A512B6" w:rsidP="00A512B6">
      <w:pPr>
        <w:spacing w:after="0" w:line="276" w:lineRule="auto"/>
        <w:ind w:firstLine="709"/>
        <w:jc w:val="both"/>
        <w:rPr>
          <w:rFonts w:ascii="Tahoma" w:hAnsi="Tahoma" w:cs="Tahoma"/>
        </w:rPr>
      </w:pPr>
      <w:r w:rsidRPr="009C60CD">
        <w:rPr>
          <w:rFonts w:ascii="Tahoma" w:hAnsi="Tahoma" w:cs="Tahoma"/>
        </w:rPr>
        <w:t>Valga recordar que dicho texto exigía, para aquellos que no estaban activos cotizando, una densidad de 26 semanas de cotización en el año inmediatamente anterior a la fecha en que se consolidó la discapacidad o la muerte, o 26 semanas en cualquier tiempo, para quienes sí estaban cotizando activamente al momento del siniestro.</w:t>
      </w:r>
    </w:p>
    <w:p w:rsidR="00A512B6" w:rsidRPr="009C60CD" w:rsidRDefault="00A512B6" w:rsidP="00A512B6">
      <w:pPr>
        <w:spacing w:after="0" w:line="276" w:lineRule="auto"/>
        <w:ind w:firstLine="708"/>
        <w:jc w:val="both"/>
        <w:rPr>
          <w:rFonts w:ascii="Bookman Old Style" w:hAnsi="Bookman Old Style"/>
        </w:rPr>
      </w:pPr>
    </w:p>
    <w:p w:rsidR="00A512B6" w:rsidRPr="009C60CD" w:rsidRDefault="00A512B6" w:rsidP="00A512B6">
      <w:pPr>
        <w:spacing w:after="0" w:line="276" w:lineRule="auto"/>
        <w:ind w:firstLine="708"/>
        <w:jc w:val="both"/>
        <w:rPr>
          <w:rFonts w:ascii="Tahoma" w:hAnsi="Tahoma" w:cs="Tahoma"/>
          <w:color w:val="000000"/>
          <w:shd w:val="clear" w:color="auto" w:fill="FEFEFE"/>
        </w:rPr>
      </w:pPr>
      <w:r w:rsidRPr="009C60CD">
        <w:rPr>
          <w:rFonts w:ascii="Tahoma" w:hAnsi="Tahoma" w:cs="Tahoma"/>
          <w:color w:val="000000"/>
        </w:rPr>
        <w:t xml:space="preserve">La variación jurisprudencial incorpora, como atrás se dijo, una sub-regla de adjudicación que hace aún más gravosa la aplicación del principio de la condición más beneficiosa, pues limita su aplicabilidad en el tiempo. Hasta antes de dicho cambio, la aplicación del principio de la condición más beneficiosa, ofrecía la virtualidad de darle efectos ultra-activos a la normativa </w:t>
      </w:r>
      <w:r w:rsidRPr="009C60CD">
        <w:rPr>
          <w:rFonts w:ascii="Tahoma" w:hAnsi="Tahoma" w:cs="Tahoma"/>
          <w:color w:val="000000"/>
        </w:rPr>
        <w:lastRenderedPageBreak/>
        <w:t>anterior, para así proteger las expectativas legítimas del asegurado que no alcanzó a consolidar el derecho a la pensión (de invalidez o sobrevivientes) bajo la égida de una nueva norma. Para aplicar dicho principio, la Corte, tanto Constitucional como Suprema, partían</w:t>
      </w:r>
      <w:r w:rsidRPr="009C60CD">
        <w:rPr>
          <w:rFonts w:ascii="Tahoma" w:hAnsi="Tahoma" w:cs="Tahoma"/>
          <w:color w:val="000000"/>
          <w:shd w:val="clear" w:color="auto" w:fill="F1F1F1"/>
        </w:rPr>
        <w:t xml:space="preserve"> de la base de que las expectativas legitimas (o las reglas juego para decirlo en otras palabras) se veían afectadas por un tránsito legislativo en el tiempo. </w:t>
      </w:r>
      <w:r w:rsidRPr="009C60CD">
        <w:rPr>
          <w:rFonts w:ascii="Tahoma" w:hAnsi="Tahoma" w:cs="Tahoma"/>
          <w:color w:val="000000"/>
          <w:shd w:val="clear" w:color="auto" w:fill="FEFEFE"/>
        </w:rPr>
        <w:t>Esto se presenta cuando la persona reúne los requisitos de una norma anterior, mas no los de la norma vigente. Es decir, de no haberse producido un tránsito</w:t>
      </w:r>
      <w:r w:rsidR="009C60CD" w:rsidRPr="009C60CD">
        <w:rPr>
          <w:rFonts w:ascii="Tahoma" w:hAnsi="Tahoma" w:cs="Tahoma"/>
          <w:color w:val="000000"/>
          <w:shd w:val="clear" w:color="auto" w:fill="FEFEFE"/>
        </w:rPr>
        <w:t xml:space="preserve"> legislativo, la persona hubiere</w:t>
      </w:r>
      <w:r w:rsidRPr="009C60CD">
        <w:rPr>
          <w:rFonts w:ascii="Tahoma" w:hAnsi="Tahoma" w:cs="Tahoma"/>
          <w:color w:val="000000"/>
          <w:shd w:val="clear" w:color="auto" w:fill="FEFEFE"/>
        </w:rPr>
        <w:t xml:space="preserve"> podido obtener su pensión ya que reunía los requisitos legales anteriores, dado que los nuevos resultan más gravosos. En ese sentido, el principio propende por la conservación de los requisitos de la norma anterior, para aquellos afiliados que antes de la entrada en vigencia de las leyes modificatorias del sentido original de la Ley 100 de 1993, reunían los requisitos que en cuanto a densidad de semanas exigía dicha disposición.</w:t>
      </w:r>
      <w:r w:rsidRPr="009C60CD">
        <w:rPr>
          <w:rFonts w:ascii="Tahoma" w:hAnsi="Tahoma" w:cs="Tahoma"/>
          <w:color w:val="000000"/>
          <w:shd w:val="clear" w:color="auto" w:fill="F1F1F1"/>
        </w:rPr>
        <w:t xml:space="preserve"> </w:t>
      </w:r>
    </w:p>
    <w:p w:rsidR="00A512B6" w:rsidRPr="009C60CD" w:rsidRDefault="00A512B6" w:rsidP="00A512B6">
      <w:pPr>
        <w:widowControl w:val="0"/>
        <w:autoSpaceDE w:val="0"/>
        <w:autoSpaceDN w:val="0"/>
        <w:adjustRightInd w:val="0"/>
        <w:spacing w:after="0" w:line="276" w:lineRule="auto"/>
        <w:jc w:val="both"/>
        <w:rPr>
          <w:rFonts w:ascii="Tahoma" w:hAnsi="Tahoma" w:cs="Tahoma"/>
          <w:color w:val="000000"/>
        </w:rPr>
      </w:pPr>
    </w:p>
    <w:p w:rsidR="00A512B6" w:rsidRPr="009C60CD" w:rsidRDefault="00A512B6" w:rsidP="00A512B6">
      <w:pPr>
        <w:spacing w:after="0" w:line="276" w:lineRule="auto"/>
        <w:ind w:firstLine="708"/>
        <w:jc w:val="both"/>
        <w:rPr>
          <w:rFonts w:ascii="Tahoma" w:hAnsi="Tahoma" w:cs="Tahoma"/>
          <w:color w:val="000000"/>
          <w:shd w:val="clear" w:color="auto" w:fill="FFFFFF"/>
        </w:rPr>
      </w:pPr>
      <w:r w:rsidRPr="009C60CD">
        <w:rPr>
          <w:rFonts w:ascii="Tahoma" w:hAnsi="Tahoma" w:cs="Tahoma"/>
          <w:color w:val="000000"/>
          <w:shd w:val="clear" w:color="auto" w:fill="F1F1F1"/>
        </w:rPr>
        <w:t xml:space="preserve">Así las cosas, para esta ponente, la operatividad de la condición más beneficiosa es procedente en los casos en que se ha cumplido la condición exigida por el régimen </w:t>
      </w:r>
      <w:r w:rsidR="000A0959">
        <w:rPr>
          <w:rFonts w:ascii="Tahoma" w:hAnsi="Tahoma" w:cs="Tahoma"/>
          <w:color w:val="000000"/>
          <w:shd w:val="clear" w:color="auto" w:fill="F1F1F1"/>
        </w:rPr>
        <w:t xml:space="preserve">anterior, pues lo que se busca </w:t>
      </w:r>
      <w:r w:rsidRPr="009C60CD">
        <w:rPr>
          <w:rFonts w:ascii="Tahoma" w:hAnsi="Tahoma" w:cs="Tahoma"/>
          <w:color w:val="000000"/>
          <w:shd w:val="clear" w:color="auto" w:fill="F1F1F1"/>
        </w:rPr>
        <w:t xml:space="preserve">con este principio es impedir la afectación de expectativas legítimas y ha señalado la Corte Constitucional, que </w:t>
      </w:r>
      <w:r w:rsidRPr="009C60CD">
        <w:rPr>
          <w:rFonts w:ascii="Tahoma" w:hAnsi="Tahoma" w:cs="Tahoma"/>
          <w:color w:val="000000"/>
          <w:shd w:val="clear" w:color="auto" w:fill="FFFFFF"/>
        </w:rPr>
        <w:t>una vez la jurisprudencia ha interpretado que la condición más beneficiosa admite sujetar la pensión de invalidez a reglas bajo cuya vigencia se contrajo una expectativa legítima, ninguna decisión judicial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w:t>
      </w:r>
      <w:r w:rsidR="000A0959">
        <w:rPr>
          <w:rFonts w:ascii="Tahoma" w:hAnsi="Tahoma" w:cs="Tahoma"/>
          <w:color w:val="000000"/>
          <w:shd w:val="clear" w:color="auto" w:fill="FFFFFF"/>
        </w:rPr>
        <w:t xml:space="preserve"> e igualdad de trato que están en</w:t>
      </w:r>
      <w:r w:rsidRPr="009C60CD">
        <w:rPr>
          <w:rFonts w:ascii="Tahoma" w:hAnsi="Tahoma" w:cs="Tahoma"/>
          <w:color w:val="000000"/>
          <w:shd w:val="clear" w:color="auto" w:fill="FFFFFF"/>
        </w:rPr>
        <w:t xml:space="preserve"> la base del respeto al precedente constitucional, y (iii) está en condiciones de desvirtuar la prohibición de retroceso injustificado en materia de derechos sociales fundamentales, establecida en los tratados internacionales de derechos humanos ratificados por Colombia (Sentencia SU-442 de 2016) y en mi humilde opinión, en el cambio de precedente no se aportan razones de esa naturaleza, en razón de lo cual me mantengo en la interpretación que he defendido hasta la fecha.</w:t>
      </w:r>
    </w:p>
    <w:p w:rsidR="00A512B6" w:rsidRPr="009C60CD" w:rsidRDefault="00A512B6" w:rsidP="00A512B6">
      <w:pPr>
        <w:pStyle w:val="Puesto"/>
        <w:spacing w:line="276" w:lineRule="auto"/>
        <w:jc w:val="both"/>
        <w:rPr>
          <w:rFonts w:ascii="Tahoma" w:hAnsi="Tahoma" w:cs="Tahoma"/>
          <w:b w:val="0"/>
          <w:sz w:val="22"/>
          <w:szCs w:val="22"/>
        </w:rPr>
      </w:pPr>
      <w:r w:rsidRPr="009C60CD">
        <w:rPr>
          <w:rFonts w:ascii="Tahoma" w:hAnsi="Tahoma" w:cs="Tahoma"/>
          <w:b w:val="0"/>
          <w:sz w:val="22"/>
          <w:szCs w:val="22"/>
        </w:rPr>
        <w:t xml:space="preserve">  </w:t>
      </w:r>
    </w:p>
    <w:p w:rsidR="00A512B6" w:rsidRPr="009C60CD" w:rsidRDefault="009C60CD" w:rsidP="00A512B6">
      <w:pPr>
        <w:pStyle w:val="Puesto"/>
        <w:spacing w:line="276" w:lineRule="auto"/>
        <w:ind w:firstLine="708"/>
        <w:jc w:val="both"/>
        <w:rPr>
          <w:rFonts w:ascii="Tahoma" w:hAnsi="Tahoma" w:cs="Tahoma"/>
          <w:b w:val="0"/>
          <w:spacing w:val="-2"/>
          <w:sz w:val="22"/>
          <w:szCs w:val="22"/>
        </w:rPr>
      </w:pPr>
      <w:r w:rsidRPr="009C60CD">
        <w:rPr>
          <w:rFonts w:ascii="Tahoma" w:hAnsi="Tahoma" w:cs="Tahoma"/>
          <w:b w:val="0"/>
          <w:sz w:val="22"/>
          <w:szCs w:val="22"/>
        </w:rPr>
        <w:t>En suma de lo dicho,</w:t>
      </w:r>
      <w:r w:rsidR="00A512B6" w:rsidRPr="009C60CD">
        <w:rPr>
          <w:rFonts w:ascii="Tahoma" w:hAnsi="Tahoma" w:cs="Tahoma"/>
          <w:b w:val="0"/>
          <w:sz w:val="22"/>
          <w:szCs w:val="22"/>
        </w:rPr>
        <w:t xml:space="preserve"> atendiendo</w:t>
      </w:r>
      <w:r w:rsidRPr="009C60CD">
        <w:rPr>
          <w:rFonts w:ascii="Tahoma" w:hAnsi="Tahoma" w:cs="Tahoma"/>
          <w:b w:val="0"/>
          <w:sz w:val="22"/>
          <w:szCs w:val="22"/>
        </w:rPr>
        <w:t xml:space="preserve"> a</w:t>
      </w:r>
      <w:r w:rsidR="00A512B6" w:rsidRPr="009C60CD">
        <w:rPr>
          <w:rFonts w:ascii="Tahoma" w:hAnsi="Tahoma" w:cs="Tahoma"/>
          <w:b w:val="0"/>
          <w:sz w:val="22"/>
          <w:szCs w:val="22"/>
        </w:rPr>
        <w:t xml:space="preserve"> la interpretación de la Corte Constitucional sobre la materia, la cual resulta má</w:t>
      </w:r>
      <w:r w:rsidRPr="009C60CD">
        <w:rPr>
          <w:rFonts w:ascii="Tahoma" w:hAnsi="Tahoma" w:cs="Tahoma"/>
          <w:b w:val="0"/>
          <w:sz w:val="22"/>
          <w:szCs w:val="22"/>
        </w:rPr>
        <w:t>s favorable para el afiliado incapacitado</w:t>
      </w:r>
      <w:r w:rsidR="00A512B6" w:rsidRPr="009C60CD">
        <w:rPr>
          <w:rFonts w:ascii="Tahoma" w:hAnsi="Tahoma" w:cs="Tahoma"/>
          <w:b w:val="0"/>
          <w:sz w:val="22"/>
          <w:szCs w:val="22"/>
        </w:rPr>
        <w:t>, a mi juicio es posible el s</w:t>
      </w:r>
      <w:r w:rsidRPr="009C60CD">
        <w:rPr>
          <w:rFonts w:ascii="Tahoma" w:hAnsi="Tahoma" w:cs="Tahoma"/>
          <w:b w:val="0"/>
          <w:sz w:val="22"/>
          <w:szCs w:val="22"/>
        </w:rPr>
        <w:t>alto de la Ley 860</w:t>
      </w:r>
      <w:r w:rsidR="00A512B6" w:rsidRPr="009C60CD">
        <w:rPr>
          <w:rFonts w:ascii="Tahoma" w:hAnsi="Tahoma" w:cs="Tahoma"/>
          <w:b w:val="0"/>
          <w:sz w:val="22"/>
          <w:szCs w:val="22"/>
        </w:rPr>
        <w:t xml:space="preserve"> de 2003 a los antiguos reglamentos del ISS (hoy COLPENSIONES), en la medida en que </w:t>
      </w:r>
      <w:r w:rsidR="00A512B6" w:rsidRPr="009C60CD">
        <w:rPr>
          <w:rFonts w:ascii="Tahoma" w:hAnsi="Tahoma" w:cs="Tahoma"/>
          <w:b w:val="0"/>
          <w:spacing w:val="-2"/>
          <w:sz w:val="22"/>
          <w:szCs w:val="22"/>
        </w:rPr>
        <w:t xml:space="preserve">el artículo 53 de la Constitución no restringe la aplicación de la condición más beneficiosa a sólo 2 normas aplicables al caso, como lo he venido señalando de tiempo atrás, a la luz de la interpretación que al respecto tiene la Corte Constitucional, tal como está en la sentencia T-566 de 2014, de modo que en mi criterio habría lugar al reconocimiento de la pensión, al encontrarse acreditado que el causante reunió el número mínimo de semanas cotizadas exigido en </w:t>
      </w:r>
      <w:r w:rsidRPr="009C60CD">
        <w:rPr>
          <w:rFonts w:ascii="Tahoma" w:hAnsi="Tahoma" w:cs="Tahoma"/>
          <w:b w:val="0"/>
          <w:spacing w:val="-2"/>
          <w:sz w:val="22"/>
          <w:szCs w:val="22"/>
        </w:rPr>
        <w:t>la Ley 100 (original).</w:t>
      </w:r>
    </w:p>
    <w:p w:rsidR="00A512B6" w:rsidRPr="009C60CD" w:rsidRDefault="00A512B6" w:rsidP="00A512B6">
      <w:pPr>
        <w:pStyle w:val="Puesto"/>
        <w:spacing w:line="240" w:lineRule="auto"/>
        <w:jc w:val="both"/>
        <w:rPr>
          <w:rFonts w:ascii="Tahoma" w:hAnsi="Tahoma" w:cs="Tahoma"/>
          <w:b w:val="0"/>
          <w:sz w:val="22"/>
          <w:szCs w:val="22"/>
        </w:rPr>
      </w:pPr>
    </w:p>
    <w:p w:rsidR="00A512B6" w:rsidRPr="009C60CD" w:rsidRDefault="00A512B6" w:rsidP="00A512B6">
      <w:pPr>
        <w:tabs>
          <w:tab w:val="left" w:pos="-720"/>
        </w:tabs>
        <w:suppressAutoHyphens/>
        <w:spacing w:line="276" w:lineRule="auto"/>
        <w:jc w:val="both"/>
        <w:rPr>
          <w:rFonts w:ascii="Tahoma" w:hAnsi="Tahoma" w:cs="Tahoma"/>
          <w:spacing w:val="-3"/>
          <w:kern w:val="2"/>
        </w:rPr>
      </w:pPr>
      <w:r w:rsidRPr="009C60CD">
        <w:rPr>
          <w:rFonts w:ascii="Tahoma" w:hAnsi="Tahoma" w:cs="Tahoma"/>
          <w:spacing w:val="-3"/>
          <w:kern w:val="2"/>
        </w:rPr>
        <w:tab/>
        <w:t xml:space="preserve">Por todo lo anterior, considero que en el presente asunto se encontraban reunidos los requisitos de orden legal para acceder al reconocimiento de la pensión reclamada y en esos precisos términos </w:t>
      </w:r>
      <w:r w:rsidR="000A0959">
        <w:rPr>
          <w:rFonts w:ascii="Tahoma" w:hAnsi="Tahoma" w:cs="Tahoma"/>
          <w:spacing w:val="-3"/>
          <w:kern w:val="2"/>
        </w:rPr>
        <w:t>debió confirmarse la sentencia de primer grado.</w:t>
      </w:r>
      <w:bookmarkStart w:id="0" w:name="_GoBack"/>
      <w:bookmarkEnd w:id="0"/>
    </w:p>
    <w:p w:rsidR="00A512B6" w:rsidRPr="009C60CD" w:rsidRDefault="00A512B6" w:rsidP="00A512B6">
      <w:pPr>
        <w:spacing w:after="0" w:line="276" w:lineRule="auto"/>
        <w:rPr>
          <w:rFonts w:ascii="Tahoma" w:hAnsi="Tahoma" w:cs="Tahoma"/>
          <w:b/>
          <w:bCs/>
          <w:iCs/>
        </w:rPr>
      </w:pPr>
    </w:p>
    <w:p w:rsidR="00A512B6" w:rsidRPr="009C60CD" w:rsidRDefault="00A512B6" w:rsidP="00A512B6">
      <w:pPr>
        <w:spacing w:after="0" w:line="276" w:lineRule="auto"/>
        <w:rPr>
          <w:rFonts w:ascii="Tahoma" w:hAnsi="Tahoma" w:cs="Tahoma"/>
          <w:b/>
          <w:bCs/>
          <w:iCs/>
        </w:rPr>
      </w:pPr>
    </w:p>
    <w:p w:rsidR="00A512B6" w:rsidRPr="009C60CD" w:rsidRDefault="00A512B6" w:rsidP="00A512B6">
      <w:pPr>
        <w:spacing w:after="0" w:line="276" w:lineRule="auto"/>
        <w:rPr>
          <w:rFonts w:ascii="Tahoma" w:hAnsi="Tahoma" w:cs="Tahoma"/>
          <w:b/>
          <w:bCs/>
          <w:iCs/>
        </w:rPr>
      </w:pPr>
      <w:r w:rsidRPr="009C60CD">
        <w:rPr>
          <w:rFonts w:ascii="Tahoma" w:hAnsi="Tahoma" w:cs="Tahoma"/>
          <w:b/>
          <w:bCs/>
          <w:iCs/>
        </w:rPr>
        <w:t xml:space="preserve">ANA LUCÍA CAICEDO CALDERÓN      </w:t>
      </w:r>
    </w:p>
    <w:p w:rsidR="00A512B6" w:rsidRPr="009C60CD" w:rsidRDefault="00A512B6" w:rsidP="00A512B6">
      <w:pPr>
        <w:spacing w:after="0" w:line="276" w:lineRule="auto"/>
        <w:rPr>
          <w:rFonts w:ascii="Tahoma" w:hAnsi="Tahoma" w:cs="Tahoma"/>
        </w:rPr>
      </w:pPr>
      <w:r w:rsidRPr="009C60CD">
        <w:rPr>
          <w:rFonts w:ascii="Tahoma" w:hAnsi="Tahoma" w:cs="Tahoma"/>
        </w:rPr>
        <w:t>Magistrada</w:t>
      </w:r>
    </w:p>
    <w:p w:rsidR="00A512B6" w:rsidRDefault="00A512B6" w:rsidP="00A512B6">
      <w:pPr>
        <w:spacing w:after="0" w:line="276" w:lineRule="auto"/>
        <w:rPr>
          <w:rFonts w:ascii="Tahoma" w:hAnsi="Tahoma" w:cs="Tahoma"/>
          <w:szCs w:val="24"/>
        </w:rPr>
      </w:pPr>
    </w:p>
    <w:p w:rsidR="00A512B6" w:rsidRDefault="00A512B6" w:rsidP="00A512B6"/>
    <w:p w:rsidR="00A7383E" w:rsidRDefault="00A7383E">
      <w:pPr>
        <w:rPr>
          <w:lang w:val="es-CO"/>
        </w:rPr>
      </w:pPr>
    </w:p>
    <w:p w:rsidR="00A512B6" w:rsidRPr="00E77233" w:rsidRDefault="00A512B6">
      <w:pPr>
        <w:rPr>
          <w:lang w:val="es-CO"/>
        </w:rPr>
      </w:pPr>
    </w:p>
    <w:sectPr w:rsidR="00A512B6" w:rsidRPr="00E77233" w:rsidSect="00933D9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E8" w:rsidRDefault="00CC66E8" w:rsidP="00D35D92">
      <w:pPr>
        <w:spacing w:line="240" w:lineRule="auto"/>
      </w:pPr>
      <w:r>
        <w:separator/>
      </w:r>
    </w:p>
  </w:endnote>
  <w:endnote w:type="continuationSeparator" w:id="0">
    <w:p w:rsidR="00CC66E8" w:rsidRDefault="00CC66E8" w:rsidP="00D35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E8" w:rsidRDefault="00CC66E8" w:rsidP="00D35D92">
      <w:pPr>
        <w:spacing w:line="240" w:lineRule="auto"/>
      </w:pPr>
      <w:r>
        <w:separator/>
      </w:r>
    </w:p>
  </w:footnote>
  <w:footnote w:type="continuationSeparator" w:id="0">
    <w:p w:rsidR="00CC66E8" w:rsidRDefault="00CC66E8" w:rsidP="00D35D92">
      <w:pPr>
        <w:spacing w:line="240" w:lineRule="auto"/>
      </w:pPr>
      <w:r>
        <w:continuationSeparator/>
      </w:r>
    </w:p>
  </w:footnote>
  <w:footnote w:id="1">
    <w:p w:rsidR="00A512B6" w:rsidRPr="009C60CD" w:rsidRDefault="00A512B6" w:rsidP="00A512B6">
      <w:pPr>
        <w:spacing w:line="360" w:lineRule="auto"/>
        <w:jc w:val="both"/>
        <w:rPr>
          <w:rFonts w:ascii="Tahoma" w:hAnsi="Tahoma" w:cs="Tahoma"/>
          <w:color w:val="000000"/>
          <w:sz w:val="20"/>
          <w:szCs w:val="20"/>
          <w:shd w:val="clear" w:color="auto" w:fill="F1F1F1"/>
        </w:rPr>
      </w:pPr>
      <w:r w:rsidRPr="009C60CD">
        <w:rPr>
          <w:rStyle w:val="Refdenotaalpie"/>
          <w:rFonts w:ascii="Tahoma" w:hAnsi="Tahoma" w:cs="Tahoma"/>
          <w:sz w:val="20"/>
          <w:szCs w:val="20"/>
        </w:rPr>
        <w:footnoteRef/>
      </w:r>
      <w:r w:rsidRPr="009C60CD">
        <w:rPr>
          <w:rFonts w:ascii="Tahoma" w:hAnsi="Tahoma" w:cs="Tahoma"/>
          <w:sz w:val="20"/>
          <w:szCs w:val="20"/>
        </w:rPr>
        <w:t xml:space="preserve"> </w:t>
      </w:r>
      <w:r w:rsidRPr="009C60CD">
        <w:rPr>
          <w:rFonts w:ascii="Tahoma" w:hAnsi="Tahoma" w:cs="Tahoma"/>
          <w:color w:val="000000"/>
          <w:sz w:val="20"/>
          <w:szCs w:val="20"/>
          <w:highlight w:val="lightGray"/>
        </w:rPr>
        <w:t xml:space="preserve">Sentencia </w:t>
      </w:r>
      <w:hyperlink r:id="rId1" w:anchor="Inicio" w:history="1">
        <w:r w:rsidRPr="009C60CD">
          <w:rPr>
            <w:rStyle w:val="Hipervnculo"/>
            <w:rFonts w:ascii="Tahoma" w:hAnsi="Tahoma" w:cs="Tahoma"/>
            <w:color w:val="000000"/>
            <w:sz w:val="20"/>
            <w:szCs w:val="20"/>
            <w:highlight w:val="lightGray"/>
            <w:shd w:val="clear" w:color="auto" w:fill="F1F1F1"/>
          </w:rPr>
          <w:t>44999</w:t>
        </w:r>
      </w:hyperlink>
      <w:r w:rsidRPr="009C60CD">
        <w:rPr>
          <w:rFonts w:ascii="Tahoma" w:hAnsi="Tahoma" w:cs="Tahoma"/>
          <w:color w:val="000000"/>
          <w:sz w:val="20"/>
          <w:szCs w:val="20"/>
          <w:highlight w:val="lightGray"/>
          <w:shd w:val="clear" w:color="auto" w:fill="F1F1F1"/>
        </w:rPr>
        <w:t> de 2012, M.P. Jorge Mauricio Burgos Ruiz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6D"/>
    <w:rsid w:val="00012217"/>
    <w:rsid w:val="00036DDA"/>
    <w:rsid w:val="0007394C"/>
    <w:rsid w:val="00074BC0"/>
    <w:rsid w:val="000A0959"/>
    <w:rsid w:val="000E5111"/>
    <w:rsid w:val="00294571"/>
    <w:rsid w:val="002E15BB"/>
    <w:rsid w:val="00306667"/>
    <w:rsid w:val="00487BB2"/>
    <w:rsid w:val="006E6AE9"/>
    <w:rsid w:val="00726EDD"/>
    <w:rsid w:val="00755A03"/>
    <w:rsid w:val="007741B5"/>
    <w:rsid w:val="00784189"/>
    <w:rsid w:val="00822994"/>
    <w:rsid w:val="00933D99"/>
    <w:rsid w:val="009C60CD"/>
    <w:rsid w:val="00A3729E"/>
    <w:rsid w:val="00A512B6"/>
    <w:rsid w:val="00A60FF5"/>
    <w:rsid w:val="00A7383E"/>
    <w:rsid w:val="00AF2968"/>
    <w:rsid w:val="00B7260E"/>
    <w:rsid w:val="00BA0649"/>
    <w:rsid w:val="00CC66E8"/>
    <w:rsid w:val="00D35D92"/>
    <w:rsid w:val="00D701AD"/>
    <w:rsid w:val="00E55B84"/>
    <w:rsid w:val="00E77233"/>
    <w:rsid w:val="00F31F81"/>
    <w:rsid w:val="00FA156D"/>
    <w:rsid w:val="00FC5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55BF3-9A48-4EDA-8ED7-1ACCF375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B6"/>
    <w:pPr>
      <w:spacing w:after="160" w:line="25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F2968"/>
    <w:pPr>
      <w:spacing w:line="240" w:lineRule="auto"/>
    </w:pPr>
  </w:style>
  <w:style w:type="character" w:customStyle="1" w:styleId="SinespaciadoCar">
    <w:name w:val="Sin espaciado Car"/>
    <w:link w:val="Sinespaciado"/>
    <w:uiPriority w:val="1"/>
    <w:locked/>
    <w:rsid w:val="00AF2968"/>
  </w:style>
  <w:style w:type="paragraph" w:styleId="Puesto">
    <w:name w:val="Title"/>
    <w:basedOn w:val="Normal"/>
    <w:link w:val="PuestoCar"/>
    <w:qFormat/>
    <w:rsid w:val="00D35D92"/>
    <w:pPr>
      <w:spacing w:after="0" w:line="360" w:lineRule="auto"/>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D35D92"/>
    <w:rPr>
      <w:rFonts w:ascii="Arial Narrow" w:eastAsia="Calibri" w:hAnsi="Arial Narrow" w:cs="Arial"/>
      <w:b/>
      <w:sz w:val="24"/>
      <w:szCs w:val="24"/>
      <w:lang w:eastAsia="es-ES"/>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D35D92"/>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35D9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D35D92"/>
    <w:rPr>
      <w:vertAlign w:val="superscript"/>
    </w:rPr>
  </w:style>
  <w:style w:type="character" w:styleId="Hipervnculo">
    <w:name w:val="Hyperlink"/>
    <w:uiPriority w:val="99"/>
    <w:unhideWhenUsed/>
    <w:rsid w:val="00D35D92"/>
    <w:rPr>
      <w:color w:val="0000FF"/>
      <w:u w:val="single"/>
    </w:rPr>
  </w:style>
  <w:style w:type="paragraph" w:styleId="Textodeglobo">
    <w:name w:val="Balloon Text"/>
    <w:basedOn w:val="Normal"/>
    <w:link w:val="TextodegloboCar"/>
    <w:uiPriority w:val="99"/>
    <w:semiHidden/>
    <w:unhideWhenUsed/>
    <w:rsid w:val="00074BC0"/>
    <w:pPr>
      <w:spacing w:after="0" w:line="240" w:lineRule="auto"/>
      <w:ind w:firstLine="709"/>
      <w:jc w:val="both"/>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f_csj_scl_44999(17_07_12)_2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4</cp:revision>
  <cp:lastPrinted>2018-06-12T20:58:00Z</cp:lastPrinted>
  <dcterms:created xsi:type="dcterms:W3CDTF">2018-06-12T16:40:00Z</dcterms:created>
  <dcterms:modified xsi:type="dcterms:W3CDTF">2018-06-12T20:58:00Z</dcterms:modified>
</cp:coreProperties>
</file>