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C31647" w:rsidRPr="00801EFA" w:rsidRDefault="00C31647" w:rsidP="00532899">
      <w:pPr>
        <w:pStyle w:val="Puesto"/>
        <w:spacing w:line="240" w:lineRule="auto"/>
        <w:jc w:val="both"/>
        <w:rPr>
          <w:rFonts w:ascii="Tahoma" w:hAnsi="Tahoma" w:cs="Tahoma"/>
          <w:b w:val="0"/>
          <w:sz w:val="18"/>
          <w:szCs w:val="18"/>
        </w:rPr>
      </w:pPr>
      <w:r w:rsidRPr="00AD6FFB">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Sentencia del </w:t>
      </w:r>
      <w:r w:rsidR="006938A4">
        <w:rPr>
          <w:rFonts w:ascii="Tahoma" w:hAnsi="Tahoma" w:cs="Tahoma"/>
          <w:b w:val="0"/>
          <w:sz w:val="18"/>
          <w:szCs w:val="18"/>
        </w:rPr>
        <w:t>9</w:t>
      </w:r>
      <w:r>
        <w:rPr>
          <w:rFonts w:ascii="Tahoma" w:hAnsi="Tahoma" w:cs="Tahoma"/>
          <w:b w:val="0"/>
          <w:sz w:val="18"/>
          <w:szCs w:val="18"/>
        </w:rPr>
        <w:t xml:space="preserve"> de julio de 2018</w:t>
      </w:r>
    </w:p>
    <w:p w:rsidR="00C31647" w:rsidRPr="00801EFA" w:rsidRDefault="00C31647" w:rsidP="00532899">
      <w:pPr>
        <w:pStyle w:val="Puesto"/>
        <w:spacing w:line="240" w:lineRule="auto"/>
        <w:jc w:val="both"/>
        <w:rPr>
          <w:rFonts w:ascii="Tahoma" w:hAnsi="Tahoma" w:cs="Tahoma"/>
          <w:b w:val="0"/>
          <w:sz w:val="18"/>
          <w:szCs w:val="18"/>
        </w:rPr>
      </w:pPr>
      <w:r w:rsidRPr="00801EFA">
        <w:rPr>
          <w:rFonts w:ascii="Tahoma" w:hAnsi="Tahoma" w:cs="Tahoma"/>
          <w:sz w:val="18"/>
          <w:szCs w:val="18"/>
        </w:rPr>
        <w:t>Radicación No.: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66001-31-05-00</w:t>
      </w:r>
      <w:r w:rsidR="006938A4">
        <w:rPr>
          <w:rFonts w:ascii="Tahoma" w:hAnsi="Tahoma" w:cs="Tahoma"/>
          <w:b w:val="0"/>
          <w:sz w:val="18"/>
          <w:szCs w:val="18"/>
        </w:rPr>
        <w:t>2</w:t>
      </w:r>
      <w:r w:rsidRPr="00801EFA">
        <w:rPr>
          <w:rFonts w:ascii="Tahoma" w:hAnsi="Tahoma" w:cs="Tahoma"/>
          <w:b w:val="0"/>
          <w:sz w:val="18"/>
          <w:szCs w:val="18"/>
        </w:rPr>
        <w:t>-201</w:t>
      </w:r>
      <w:r w:rsidR="006938A4">
        <w:rPr>
          <w:rFonts w:ascii="Tahoma" w:hAnsi="Tahoma" w:cs="Tahoma"/>
          <w:b w:val="0"/>
          <w:sz w:val="18"/>
          <w:szCs w:val="18"/>
        </w:rPr>
        <w:t>6</w:t>
      </w:r>
      <w:r w:rsidRPr="00801EFA">
        <w:rPr>
          <w:rFonts w:ascii="Tahoma" w:hAnsi="Tahoma" w:cs="Tahoma"/>
          <w:b w:val="0"/>
          <w:sz w:val="18"/>
          <w:szCs w:val="18"/>
        </w:rPr>
        <w:t>-00</w:t>
      </w:r>
      <w:r w:rsidR="006938A4">
        <w:rPr>
          <w:rFonts w:ascii="Tahoma" w:hAnsi="Tahoma" w:cs="Tahoma"/>
          <w:b w:val="0"/>
          <w:sz w:val="18"/>
          <w:szCs w:val="18"/>
        </w:rPr>
        <w:t>207</w:t>
      </w:r>
      <w:r w:rsidRPr="00801EFA">
        <w:rPr>
          <w:rFonts w:ascii="Tahoma" w:hAnsi="Tahoma" w:cs="Tahoma"/>
          <w:b w:val="0"/>
          <w:sz w:val="18"/>
          <w:szCs w:val="18"/>
        </w:rPr>
        <w:t>-01</w:t>
      </w:r>
    </w:p>
    <w:p w:rsidR="00C31647" w:rsidRPr="00801EFA" w:rsidRDefault="00C31647" w:rsidP="00532899">
      <w:pPr>
        <w:pStyle w:val="Puesto"/>
        <w:spacing w:line="240" w:lineRule="auto"/>
        <w:jc w:val="both"/>
        <w:rPr>
          <w:rFonts w:ascii="Tahoma" w:hAnsi="Tahoma" w:cs="Tahoma"/>
          <w:b w:val="0"/>
          <w:sz w:val="18"/>
          <w:szCs w:val="18"/>
        </w:rPr>
      </w:pPr>
      <w:r w:rsidRPr="00801EFA">
        <w:rPr>
          <w:rFonts w:ascii="Tahoma" w:hAnsi="Tahoma" w:cs="Tahoma"/>
          <w:sz w:val="18"/>
          <w:szCs w:val="18"/>
        </w:rPr>
        <w:t>Proceso: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Ordinario laboral </w:t>
      </w:r>
    </w:p>
    <w:p w:rsidR="00C31647" w:rsidRPr="00801EFA" w:rsidRDefault="00C31647" w:rsidP="00532899">
      <w:pPr>
        <w:pStyle w:val="Puesto"/>
        <w:spacing w:line="240" w:lineRule="auto"/>
        <w:jc w:val="both"/>
        <w:rPr>
          <w:rFonts w:ascii="Tahoma" w:hAnsi="Tahoma" w:cs="Tahoma"/>
          <w:b w:val="0"/>
          <w:sz w:val="18"/>
          <w:szCs w:val="18"/>
        </w:rPr>
      </w:pPr>
      <w:r w:rsidRPr="00801EFA">
        <w:rPr>
          <w:rFonts w:ascii="Tahoma" w:hAnsi="Tahoma" w:cs="Tahoma"/>
          <w:sz w:val="18"/>
          <w:szCs w:val="18"/>
        </w:rPr>
        <w:t>Demandante:</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006938A4">
        <w:rPr>
          <w:rFonts w:ascii="Tahoma" w:hAnsi="Tahoma" w:cs="Tahoma"/>
          <w:b w:val="0"/>
          <w:sz w:val="18"/>
          <w:szCs w:val="18"/>
        </w:rPr>
        <w:t>Hernán</w:t>
      </w:r>
      <w:r w:rsidR="00B0040D">
        <w:rPr>
          <w:rFonts w:ascii="Tahoma" w:hAnsi="Tahoma" w:cs="Tahoma"/>
          <w:b w:val="0"/>
          <w:sz w:val="18"/>
          <w:szCs w:val="18"/>
        </w:rPr>
        <w:t xml:space="preserve"> Albeiro Agudelo Rodríguez</w:t>
      </w:r>
    </w:p>
    <w:p w:rsidR="00C31647" w:rsidRPr="00801EFA" w:rsidRDefault="00C31647" w:rsidP="00532899">
      <w:pPr>
        <w:pStyle w:val="Puesto"/>
        <w:spacing w:line="240" w:lineRule="auto"/>
        <w:ind w:left="708" w:hanging="708"/>
        <w:jc w:val="both"/>
        <w:rPr>
          <w:rFonts w:ascii="Tahoma" w:hAnsi="Tahoma" w:cs="Tahoma"/>
          <w:b w:val="0"/>
          <w:sz w:val="18"/>
          <w:szCs w:val="18"/>
        </w:rPr>
      </w:pPr>
      <w:r w:rsidRPr="00801EFA">
        <w:rPr>
          <w:rFonts w:ascii="Tahoma" w:hAnsi="Tahoma" w:cs="Tahoma"/>
          <w:sz w:val="18"/>
          <w:szCs w:val="18"/>
        </w:rPr>
        <w:t>Demandado: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Colpensiones </w:t>
      </w:r>
    </w:p>
    <w:p w:rsidR="00C31647" w:rsidRPr="00801EFA" w:rsidRDefault="00C31647" w:rsidP="00532899">
      <w:pPr>
        <w:pStyle w:val="Puesto"/>
        <w:spacing w:line="240" w:lineRule="auto"/>
        <w:jc w:val="both"/>
        <w:rPr>
          <w:rFonts w:ascii="Tahoma" w:hAnsi="Tahoma" w:cs="Tahoma"/>
          <w:b w:val="0"/>
          <w:sz w:val="18"/>
          <w:szCs w:val="18"/>
        </w:rPr>
      </w:pPr>
      <w:r w:rsidRPr="003A5509">
        <w:rPr>
          <w:rFonts w:ascii="Tahoma" w:hAnsi="Tahoma" w:cs="Tahoma"/>
          <w:sz w:val="18"/>
          <w:szCs w:val="18"/>
        </w:rPr>
        <w:t>Magistrad</w:t>
      </w:r>
      <w:r w:rsidR="00532899">
        <w:rPr>
          <w:rFonts w:ascii="Tahoma" w:hAnsi="Tahoma" w:cs="Tahoma"/>
          <w:sz w:val="18"/>
          <w:szCs w:val="18"/>
        </w:rPr>
        <w:t>a</w:t>
      </w:r>
      <w:r w:rsidRPr="003A5509">
        <w:rPr>
          <w:rFonts w:ascii="Tahoma" w:hAnsi="Tahoma" w:cs="Tahoma"/>
          <w:sz w:val="18"/>
          <w:szCs w:val="18"/>
        </w:rPr>
        <w:t xml:space="preserve"> </w:t>
      </w:r>
      <w:r>
        <w:rPr>
          <w:rFonts w:ascii="Tahoma" w:hAnsi="Tahoma" w:cs="Tahoma"/>
          <w:sz w:val="18"/>
          <w:szCs w:val="18"/>
        </w:rPr>
        <w:t>p</w:t>
      </w:r>
      <w:r w:rsidRPr="003A5509">
        <w:rPr>
          <w:rFonts w:ascii="Tahoma" w:hAnsi="Tahoma" w:cs="Tahoma"/>
          <w:sz w:val="18"/>
          <w:szCs w:val="18"/>
        </w:rPr>
        <w:t>onente:</w:t>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Dr</w:t>
      </w:r>
      <w:r w:rsidR="00532899">
        <w:rPr>
          <w:rFonts w:ascii="Tahoma" w:hAnsi="Tahoma" w:cs="Tahoma"/>
          <w:b w:val="0"/>
          <w:sz w:val="18"/>
          <w:szCs w:val="18"/>
        </w:rPr>
        <w:t>a</w:t>
      </w:r>
      <w:r w:rsidRPr="00801EFA">
        <w:rPr>
          <w:rFonts w:ascii="Tahoma" w:hAnsi="Tahoma" w:cs="Tahoma"/>
          <w:b w:val="0"/>
          <w:sz w:val="18"/>
          <w:szCs w:val="18"/>
        </w:rPr>
        <w:t xml:space="preserve">. </w:t>
      </w:r>
      <w:r w:rsidR="00B0040D">
        <w:rPr>
          <w:rFonts w:ascii="Tahoma" w:hAnsi="Tahoma" w:cs="Tahoma"/>
          <w:b w:val="0"/>
          <w:sz w:val="18"/>
          <w:szCs w:val="18"/>
        </w:rPr>
        <w:t>Olga Lucía Hoyos Sepúlveda</w:t>
      </w:r>
      <w:r w:rsidR="00532899">
        <w:rPr>
          <w:rFonts w:ascii="Tahoma" w:hAnsi="Tahoma" w:cs="Tahoma"/>
          <w:b w:val="0"/>
          <w:sz w:val="18"/>
          <w:szCs w:val="18"/>
        </w:rPr>
        <w:t xml:space="preserve"> </w:t>
      </w:r>
      <w:r>
        <w:rPr>
          <w:rFonts w:ascii="Tahoma" w:hAnsi="Tahoma" w:cs="Tahoma"/>
          <w:b w:val="0"/>
          <w:sz w:val="18"/>
          <w:szCs w:val="18"/>
        </w:rPr>
        <w:t xml:space="preserve"> </w:t>
      </w:r>
    </w:p>
    <w:p w:rsidR="00C31647" w:rsidRPr="00801EFA" w:rsidRDefault="00C31647" w:rsidP="00532899">
      <w:pPr>
        <w:pStyle w:val="Puesto"/>
        <w:spacing w:line="240" w:lineRule="auto"/>
        <w:jc w:val="both"/>
        <w:rPr>
          <w:rFonts w:ascii="Tahoma" w:hAnsi="Tahoma" w:cs="Tahoma"/>
          <w:b w:val="0"/>
          <w:sz w:val="18"/>
          <w:szCs w:val="18"/>
        </w:rPr>
      </w:pPr>
      <w:r w:rsidRPr="003A5509">
        <w:rPr>
          <w:rFonts w:ascii="Tahoma" w:hAnsi="Tahoma" w:cs="Tahoma"/>
          <w:sz w:val="18"/>
          <w:szCs w:val="18"/>
        </w:rPr>
        <w:t>Magistrada que salva voto:</w:t>
      </w:r>
      <w:r>
        <w:rPr>
          <w:rFonts w:ascii="Tahoma" w:hAnsi="Tahoma" w:cs="Tahoma"/>
          <w:b w:val="0"/>
          <w:sz w:val="18"/>
          <w:szCs w:val="18"/>
        </w:rPr>
        <w:tab/>
        <w:t>Dra. Ana Lucia Caic</w:t>
      </w:r>
      <w:r w:rsidRPr="00801EFA">
        <w:rPr>
          <w:rFonts w:ascii="Tahoma" w:hAnsi="Tahoma" w:cs="Tahoma"/>
          <w:b w:val="0"/>
          <w:sz w:val="18"/>
          <w:szCs w:val="18"/>
        </w:rPr>
        <w:t>edo Calderón</w:t>
      </w:r>
    </w:p>
    <w:p w:rsidR="00C31647" w:rsidRDefault="00C31647" w:rsidP="00532899">
      <w:pPr>
        <w:pStyle w:val="Puesto"/>
        <w:spacing w:line="240" w:lineRule="auto"/>
        <w:ind w:left="2805" w:hanging="2805"/>
        <w:jc w:val="both"/>
        <w:rPr>
          <w:rFonts w:ascii="Tahoma" w:hAnsi="Tahoma" w:cs="Tahoma"/>
          <w:sz w:val="18"/>
          <w:szCs w:val="18"/>
        </w:rPr>
      </w:pPr>
    </w:p>
    <w:p w:rsidR="00C31647" w:rsidRPr="00801EFA" w:rsidRDefault="00C31647" w:rsidP="00532899">
      <w:pPr>
        <w:pStyle w:val="Puesto"/>
        <w:spacing w:line="240" w:lineRule="auto"/>
        <w:ind w:left="2805" w:hanging="2805"/>
        <w:jc w:val="both"/>
        <w:rPr>
          <w:rFonts w:ascii="Tahoma" w:hAnsi="Tahoma" w:cs="Tahoma"/>
          <w:b w:val="0"/>
          <w:sz w:val="18"/>
          <w:szCs w:val="18"/>
          <w:lang w:val="es-MX"/>
        </w:rPr>
      </w:pPr>
    </w:p>
    <w:p w:rsidR="00C31647" w:rsidRPr="00801EFA" w:rsidRDefault="00C31647" w:rsidP="00532899">
      <w:pPr>
        <w:spacing w:after="0"/>
        <w:jc w:val="center"/>
        <w:rPr>
          <w:rFonts w:ascii="Tahoma" w:hAnsi="Tahoma" w:cs="Tahoma"/>
          <w:b/>
          <w:sz w:val="24"/>
          <w:szCs w:val="24"/>
          <w:lang w:val="es-MX"/>
        </w:rPr>
      </w:pPr>
      <w:r w:rsidRPr="00EA6419">
        <w:rPr>
          <w:rFonts w:ascii="Tahoma" w:hAnsi="Tahoma" w:cs="Tahoma"/>
          <w:b/>
          <w:sz w:val="24"/>
          <w:szCs w:val="24"/>
          <w:lang w:val="es-MX"/>
        </w:rPr>
        <w:t>SALVAMENTO DE VOTO</w:t>
      </w:r>
    </w:p>
    <w:p w:rsidR="00532899" w:rsidRDefault="00532899" w:rsidP="00532899">
      <w:pPr>
        <w:spacing w:after="0"/>
        <w:ind w:firstLine="708"/>
        <w:jc w:val="both"/>
        <w:rPr>
          <w:rFonts w:ascii="Tahoma" w:hAnsi="Tahoma" w:cs="Tahoma"/>
          <w:lang w:val="es-MX"/>
        </w:rPr>
      </w:pPr>
    </w:p>
    <w:p w:rsidR="00C31647" w:rsidRDefault="00C31647" w:rsidP="00532899">
      <w:pPr>
        <w:spacing w:after="0"/>
        <w:ind w:firstLine="708"/>
        <w:jc w:val="both"/>
        <w:rPr>
          <w:rFonts w:ascii="Tahoma" w:hAnsi="Tahoma" w:cs="Tahoma"/>
          <w:lang w:val="es-MX"/>
        </w:rPr>
      </w:pPr>
      <w:r w:rsidRPr="00FB5D2E">
        <w:rPr>
          <w:rFonts w:ascii="Tahoma" w:hAnsi="Tahoma" w:cs="Tahoma"/>
          <w:lang w:val="es-MX"/>
        </w:rPr>
        <w:t>Con el respeto que me merecen mis compañeros de Sala, me aparto de la decisión mayoritaria tomada en este asunto, con fundamento en las siguientes consideraciones.</w:t>
      </w:r>
    </w:p>
    <w:p w:rsidR="00FB5D2E" w:rsidRPr="00FB5D2E" w:rsidRDefault="00FB5D2E" w:rsidP="00532899">
      <w:pPr>
        <w:spacing w:after="0"/>
        <w:ind w:firstLine="708"/>
        <w:jc w:val="both"/>
        <w:rPr>
          <w:rFonts w:ascii="Tahoma" w:hAnsi="Tahoma" w:cs="Tahoma"/>
          <w:lang w:val="es-MX"/>
        </w:rPr>
      </w:pPr>
    </w:p>
    <w:p w:rsidR="00532899" w:rsidRDefault="00532899" w:rsidP="00532899">
      <w:pPr>
        <w:pStyle w:val="Sinespaciado"/>
        <w:spacing w:line="276" w:lineRule="auto"/>
        <w:ind w:firstLine="709"/>
        <w:jc w:val="both"/>
        <w:rPr>
          <w:rFonts w:ascii="Tahoma" w:hAnsi="Tahoma" w:cs="Tahoma"/>
          <w:bCs/>
          <w:sz w:val="22"/>
          <w:szCs w:val="22"/>
        </w:rPr>
      </w:pPr>
      <w:r w:rsidRPr="000B5FE8">
        <w:rPr>
          <w:rFonts w:ascii="Tahoma" w:hAnsi="Tahoma" w:cs="Tahoma"/>
          <w:sz w:val="22"/>
          <w:szCs w:val="22"/>
        </w:rPr>
        <w:t>Lo primero que hay que precisar es que en este caso no est</w:t>
      </w:r>
      <w:r>
        <w:rPr>
          <w:rFonts w:ascii="Tahoma" w:hAnsi="Tahoma" w:cs="Tahoma"/>
          <w:sz w:val="22"/>
          <w:szCs w:val="22"/>
        </w:rPr>
        <w:t>aba e</w:t>
      </w:r>
      <w:r w:rsidRPr="000B5FE8">
        <w:rPr>
          <w:rFonts w:ascii="Tahoma" w:hAnsi="Tahoma" w:cs="Tahoma"/>
          <w:sz w:val="22"/>
          <w:szCs w:val="22"/>
        </w:rPr>
        <w:t xml:space="preserve">n discusión la pensión de </w:t>
      </w:r>
      <w:r w:rsidR="00B0040D">
        <w:rPr>
          <w:rFonts w:ascii="Tahoma" w:hAnsi="Tahoma" w:cs="Tahoma"/>
          <w:sz w:val="22"/>
          <w:szCs w:val="22"/>
        </w:rPr>
        <w:t>invalidez</w:t>
      </w:r>
      <w:r w:rsidRPr="000B5FE8">
        <w:rPr>
          <w:rFonts w:ascii="Tahoma" w:hAnsi="Tahoma" w:cs="Tahoma"/>
          <w:sz w:val="22"/>
          <w:szCs w:val="22"/>
        </w:rPr>
        <w:t xml:space="preserve"> que se reconoció de manera definitiva </w:t>
      </w:r>
      <w:r>
        <w:rPr>
          <w:rFonts w:ascii="Tahoma" w:hAnsi="Tahoma" w:cs="Tahoma"/>
          <w:sz w:val="22"/>
          <w:szCs w:val="22"/>
        </w:rPr>
        <w:t xml:space="preserve">a través de </w:t>
      </w:r>
      <w:r w:rsidRPr="000B5FE8">
        <w:rPr>
          <w:rFonts w:ascii="Tahoma" w:hAnsi="Tahoma" w:cs="Tahoma"/>
          <w:sz w:val="22"/>
          <w:szCs w:val="22"/>
        </w:rPr>
        <w:t>una sentencia de tutela</w:t>
      </w:r>
      <w:r>
        <w:rPr>
          <w:rFonts w:ascii="Tahoma" w:hAnsi="Tahoma" w:cs="Tahoma"/>
          <w:sz w:val="22"/>
          <w:szCs w:val="22"/>
        </w:rPr>
        <w:t xml:space="preserve">, la cual hizo tránsito a cosa juzgada; de modo que no había lugar a analizar si </w:t>
      </w:r>
      <w:r w:rsidR="00B0040D">
        <w:rPr>
          <w:rFonts w:ascii="Tahoma" w:hAnsi="Tahoma" w:cs="Tahoma"/>
          <w:sz w:val="22"/>
          <w:szCs w:val="22"/>
        </w:rPr>
        <w:t>el</w:t>
      </w:r>
      <w:r>
        <w:rPr>
          <w:rFonts w:ascii="Tahoma" w:hAnsi="Tahoma" w:cs="Tahoma"/>
          <w:sz w:val="22"/>
          <w:szCs w:val="22"/>
        </w:rPr>
        <w:t xml:space="preserve"> actor tenía derecho a la misma, como </w:t>
      </w:r>
      <w:r w:rsidR="00B0040D">
        <w:rPr>
          <w:rFonts w:ascii="Tahoma" w:hAnsi="Tahoma" w:cs="Tahoma"/>
          <w:sz w:val="22"/>
          <w:szCs w:val="22"/>
        </w:rPr>
        <w:t>acertadame</w:t>
      </w:r>
      <w:r>
        <w:rPr>
          <w:rFonts w:ascii="Tahoma" w:hAnsi="Tahoma" w:cs="Tahoma"/>
          <w:sz w:val="22"/>
          <w:szCs w:val="22"/>
        </w:rPr>
        <w:t xml:space="preserve">nte lo hizo la Jueza de instancia. Precisamente, en virtud de la orden de tutela </w:t>
      </w:r>
      <w:r w:rsidRPr="000B5FE8">
        <w:rPr>
          <w:rFonts w:ascii="Tahoma" w:hAnsi="Tahoma" w:cs="Tahoma"/>
          <w:bCs/>
          <w:sz w:val="22"/>
          <w:szCs w:val="22"/>
        </w:rPr>
        <w:t>Colpensiones reconoció al señor</w:t>
      </w:r>
      <w:r w:rsidR="00B0040D">
        <w:rPr>
          <w:rFonts w:ascii="Tahoma" w:hAnsi="Tahoma" w:cs="Tahoma"/>
          <w:bCs/>
          <w:sz w:val="22"/>
          <w:szCs w:val="22"/>
        </w:rPr>
        <w:t xml:space="preserve"> Hernán Agudelo </w:t>
      </w:r>
      <w:r w:rsidRPr="000B5FE8">
        <w:rPr>
          <w:rFonts w:ascii="Tahoma" w:hAnsi="Tahoma" w:cs="Tahoma"/>
          <w:bCs/>
          <w:sz w:val="22"/>
          <w:szCs w:val="22"/>
        </w:rPr>
        <w:t xml:space="preserve">la pensión de </w:t>
      </w:r>
      <w:r w:rsidR="00B0040D">
        <w:rPr>
          <w:rFonts w:ascii="Tahoma" w:hAnsi="Tahoma" w:cs="Tahoma"/>
          <w:bCs/>
          <w:sz w:val="22"/>
          <w:szCs w:val="22"/>
        </w:rPr>
        <w:t xml:space="preserve">invalidez </w:t>
      </w:r>
      <w:r w:rsidRPr="000B5FE8">
        <w:rPr>
          <w:rFonts w:ascii="Tahoma" w:hAnsi="Tahoma" w:cs="Tahoma"/>
          <w:bCs/>
          <w:sz w:val="22"/>
          <w:szCs w:val="22"/>
        </w:rPr>
        <w:t>a través de la Resolución GNR 3</w:t>
      </w:r>
      <w:r w:rsidR="00B0040D">
        <w:rPr>
          <w:rFonts w:ascii="Tahoma" w:hAnsi="Tahoma" w:cs="Tahoma"/>
          <w:bCs/>
          <w:sz w:val="22"/>
          <w:szCs w:val="22"/>
        </w:rPr>
        <w:t>3935 de</w:t>
      </w:r>
      <w:r w:rsidR="00A851E2">
        <w:rPr>
          <w:rFonts w:ascii="Tahoma" w:hAnsi="Tahoma" w:cs="Tahoma"/>
          <w:bCs/>
          <w:sz w:val="22"/>
          <w:szCs w:val="22"/>
        </w:rPr>
        <w:t xml:space="preserve"> 2016</w:t>
      </w:r>
      <w:r w:rsidRPr="000B5FE8">
        <w:rPr>
          <w:rFonts w:ascii="Tahoma" w:hAnsi="Tahoma" w:cs="Tahoma"/>
          <w:bCs/>
          <w:sz w:val="22"/>
          <w:szCs w:val="22"/>
        </w:rPr>
        <w:t>, a partir del</w:t>
      </w:r>
      <w:r>
        <w:rPr>
          <w:rFonts w:ascii="Tahoma" w:hAnsi="Tahoma" w:cs="Tahoma"/>
          <w:bCs/>
          <w:sz w:val="22"/>
          <w:szCs w:val="22"/>
        </w:rPr>
        <w:t xml:space="preserve"> 1º </w:t>
      </w:r>
      <w:r w:rsidR="00A851E2">
        <w:rPr>
          <w:rFonts w:ascii="Tahoma" w:hAnsi="Tahoma" w:cs="Tahoma"/>
          <w:bCs/>
          <w:sz w:val="22"/>
          <w:szCs w:val="22"/>
        </w:rPr>
        <w:t xml:space="preserve">de febrero </w:t>
      </w:r>
      <w:r>
        <w:rPr>
          <w:rFonts w:ascii="Tahoma" w:hAnsi="Tahoma" w:cs="Tahoma"/>
          <w:bCs/>
          <w:sz w:val="22"/>
          <w:szCs w:val="22"/>
        </w:rPr>
        <w:t xml:space="preserve">de </w:t>
      </w:r>
      <w:r w:rsidR="00A851E2">
        <w:rPr>
          <w:rFonts w:ascii="Tahoma" w:hAnsi="Tahoma" w:cs="Tahoma"/>
          <w:bCs/>
          <w:sz w:val="22"/>
          <w:szCs w:val="22"/>
        </w:rPr>
        <w:t xml:space="preserve">esa anualidad, </w:t>
      </w:r>
      <w:r>
        <w:rPr>
          <w:rFonts w:ascii="Tahoma" w:hAnsi="Tahoma" w:cs="Tahoma"/>
          <w:bCs/>
          <w:sz w:val="22"/>
          <w:szCs w:val="22"/>
        </w:rPr>
        <w:t>en virtud del principio de la condición más beneficiosa (</w:t>
      </w:r>
      <w:proofErr w:type="spellStart"/>
      <w:r>
        <w:rPr>
          <w:rFonts w:ascii="Tahoma" w:hAnsi="Tahoma" w:cs="Tahoma"/>
          <w:bCs/>
          <w:sz w:val="22"/>
          <w:szCs w:val="22"/>
        </w:rPr>
        <w:t>fl</w:t>
      </w:r>
      <w:proofErr w:type="spellEnd"/>
      <w:r>
        <w:rPr>
          <w:rFonts w:ascii="Tahoma" w:hAnsi="Tahoma" w:cs="Tahoma"/>
          <w:bCs/>
          <w:sz w:val="22"/>
          <w:szCs w:val="22"/>
        </w:rPr>
        <w:t xml:space="preserve">. </w:t>
      </w:r>
      <w:r w:rsidR="00A851E2">
        <w:rPr>
          <w:rFonts w:ascii="Tahoma" w:hAnsi="Tahoma" w:cs="Tahoma"/>
          <w:bCs/>
          <w:sz w:val="22"/>
          <w:szCs w:val="22"/>
        </w:rPr>
        <w:t>28</w:t>
      </w:r>
      <w:r>
        <w:rPr>
          <w:rFonts w:ascii="Tahoma" w:hAnsi="Tahoma" w:cs="Tahoma"/>
          <w:bCs/>
          <w:sz w:val="22"/>
          <w:szCs w:val="22"/>
        </w:rPr>
        <w:t xml:space="preserve"> s.s.), de modo que el asunto a determinar en el caso de marras era la fecha a partir de la cual aquella tenía derecho a percibir la aludida prestación.</w:t>
      </w:r>
    </w:p>
    <w:p w:rsidR="00532899" w:rsidRDefault="00532899" w:rsidP="00532899">
      <w:pPr>
        <w:tabs>
          <w:tab w:val="left" w:pos="748"/>
        </w:tabs>
        <w:spacing w:after="0"/>
        <w:ind w:firstLine="709"/>
        <w:jc w:val="both"/>
        <w:rPr>
          <w:rFonts w:ascii="Tahoma" w:hAnsi="Tahoma" w:cs="Tahoma"/>
          <w:bCs/>
        </w:rPr>
      </w:pPr>
    </w:p>
    <w:p w:rsidR="00532899" w:rsidRDefault="00532899" w:rsidP="00532899">
      <w:pPr>
        <w:tabs>
          <w:tab w:val="left" w:pos="748"/>
        </w:tabs>
        <w:spacing w:after="0"/>
        <w:ind w:firstLine="709"/>
        <w:jc w:val="both"/>
        <w:rPr>
          <w:rFonts w:ascii="Tahoma" w:hAnsi="Tahoma" w:cs="Tahoma"/>
          <w:bCs/>
        </w:rPr>
      </w:pPr>
      <w:r>
        <w:rPr>
          <w:rFonts w:ascii="Tahoma" w:hAnsi="Tahoma" w:cs="Tahoma"/>
          <w:bCs/>
        </w:rPr>
        <w:t xml:space="preserve">Para ello, basta con indicar que la Sala de Casación Laboral de la Corte Suprema de Justicia, mediante sentencia de tutela STL 4333 del 4 de abril 2018, ordenó a esta Corporación volver a emitir un fallo en el que se dispusiera el reconocimiento de una prestación, concedida en aplicación del aludido principio, atendiendo lo dispuesto en la norma con base en la cual se otorgó el derecho, pues en aquella ocasión, con ponencia de quien aquí cumple igual encargo, se dijo que al concederse la gracia pensional por una interpretación constitucional favorable, la entidad demandada debía cancelarla desde la ejecutoria de la sentencia. </w:t>
      </w:r>
    </w:p>
    <w:p w:rsidR="00532899" w:rsidRDefault="00532899" w:rsidP="00532899">
      <w:pPr>
        <w:tabs>
          <w:tab w:val="left" w:pos="748"/>
        </w:tabs>
        <w:spacing w:after="0"/>
        <w:ind w:firstLine="709"/>
        <w:jc w:val="both"/>
        <w:rPr>
          <w:rFonts w:ascii="Tahoma" w:hAnsi="Tahoma" w:cs="Tahoma"/>
          <w:bCs/>
        </w:rPr>
      </w:pPr>
    </w:p>
    <w:p w:rsidR="00532899" w:rsidRDefault="00532899" w:rsidP="00532899">
      <w:pPr>
        <w:tabs>
          <w:tab w:val="left" w:pos="748"/>
        </w:tabs>
        <w:spacing w:after="0"/>
        <w:ind w:firstLine="709"/>
        <w:jc w:val="both"/>
        <w:rPr>
          <w:rFonts w:ascii="Tahoma" w:hAnsi="Tahoma" w:cs="Tahoma"/>
          <w:spacing w:val="-4"/>
        </w:rPr>
      </w:pPr>
      <w:r>
        <w:rPr>
          <w:rFonts w:ascii="Tahoma" w:hAnsi="Tahoma" w:cs="Tahoma"/>
          <w:bCs/>
        </w:rPr>
        <w:t xml:space="preserve">Como sustento del fallo constitucional en mención, </w:t>
      </w:r>
      <w:r w:rsidRPr="00E00D63">
        <w:rPr>
          <w:rFonts w:ascii="Tahoma" w:hAnsi="Tahoma" w:cs="Tahoma"/>
          <w:bCs/>
        </w:rPr>
        <w:t xml:space="preserve">la Corte Suprema citó </w:t>
      </w:r>
      <w:r>
        <w:rPr>
          <w:rFonts w:ascii="Tahoma" w:hAnsi="Tahoma" w:cs="Tahoma"/>
          <w:bCs/>
        </w:rPr>
        <w:t xml:space="preserve">la sentencia </w:t>
      </w:r>
      <w:r w:rsidRPr="00E00D63">
        <w:rPr>
          <w:rFonts w:ascii="Tahoma" w:hAnsi="Tahoma" w:cs="Tahoma"/>
          <w:spacing w:val="-4"/>
        </w:rPr>
        <w:t>STL18582-2016 del 14 de diciembre de 2016</w:t>
      </w:r>
      <w:r>
        <w:rPr>
          <w:rFonts w:ascii="Tahoma" w:hAnsi="Tahoma" w:cs="Tahoma"/>
          <w:spacing w:val="-4"/>
        </w:rPr>
        <w:t>, en la que, en algunos de sus apartes, se señaló lo siguiente:</w:t>
      </w:r>
    </w:p>
    <w:p w:rsidR="00532899" w:rsidRDefault="00532899" w:rsidP="00532899">
      <w:pPr>
        <w:tabs>
          <w:tab w:val="left" w:pos="748"/>
        </w:tabs>
        <w:spacing w:after="0"/>
        <w:ind w:firstLine="709"/>
        <w:jc w:val="both"/>
        <w:rPr>
          <w:rFonts w:ascii="Tahoma" w:hAnsi="Tahoma" w:cs="Tahoma"/>
          <w:spacing w:val="-4"/>
        </w:rPr>
      </w:pPr>
    </w:p>
    <w:p w:rsidR="00532899" w:rsidRPr="00EC795F" w:rsidRDefault="00532899" w:rsidP="00532899">
      <w:pPr>
        <w:spacing w:after="0" w:line="240" w:lineRule="auto"/>
        <w:ind w:left="708" w:right="618"/>
        <w:jc w:val="both"/>
        <w:rPr>
          <w:rFonts w:ascii="Arial Narrow" w:hAnsi="Arial Narrow" w:cs="Arial"/>
          <w:i/>
          <w:spacing w:val="-4"/>
        </w:rPr>
      </w:pPr>
      <w:r>
        <w:rPr>
          <w:rFonts w:ascii="Arial Narrow" w:hAnsi="Arial Narrow" w:cs="Arial"/>
          <w:i/>
          <w:spacing w:val="-4"/>
        </w:rPr>
        <w:t>“</w:t>
      </w:r>
      <w:r w:rsidRPr="00EC795F">
        <w:rPr>
          <w:rFonts w:ascii="Arial Narrow" w:hAnsi="Arial Narrow" w:cs="Arial"/>
          <w:i/>
          <w:spacing w:val="-4"/>
        </w:rPr>
        <w:t>Lo anterior, independientemente de la fecha en que se promulgue el fallo, por cuanto la condición de invalidez  «</w:t>
      </w:r>
      <w:r w:rsidRPr="00EC795F">
        <w:rPr>
          <w:rFonts w:ascii="Arial Narrow" w:hAnsi="Arial Narrow" w:cs="Estrangelo Edessa"/>
          <w:i/>
          <w:spacing w:val="-4"/>
        </w:rPr>
        <w:t>no se adquiere con la sentencia que declara la existencia del derecho pensional e impone unas específicas y concretas condenas a su deudor, por no ser ella un acto, forma o solemnidad constitutiva del derecho</w:t>
      </w:r>
      <w:r w:rsidRPr="00EC795F">
        <w:rPr>
          <w:rFonts w:ascii="Arial Narrow" w:hAnsi="Arial Narrow" w:cs="Arial"/>
          <w:i/>
          <w:spacing w:val="-4"/>
        </w:rPr>
        <w:t xml:space="preserve">» (sentencia CSJ </w:t>
      </w:r>
      <w:r w:rsidRPr="00EC795F">
        <w:rPr>
          <w:rFonts w:ascii="Arial Narrow" w:hAnsi="Arial Narrow" w:cs="Estrangelo Edessa"/>
          <w:i/>
          <w:spacing w:val="-4"/>
        </w:rPr>
        <w:t>SL392-2013),</w:t>
      </w:r>
      <w:r w:rsidRPr="00EC795F">
        <w:rPr>
          <w:rFonts w:ascii="Arial Narrow" w:hAnsi="Arial Narrow" w:cs="Arial"/>
          <w:i/>
          <w:spacing w:val="-4"/>
        </w:rPr>
        <w:t xml:space="preserve"> por tanto contrario a lo que aduce el Tribunal ya se había producido la causa que daba origen al derecho.</w:t>
      </w:r>
      <w:r>
        <w:rPr>
          <w:rFonts w:ascii="Arial Narrow" w:hAnsi="Arial Narrow" w:cs="Arial"/>
          <w:i/>
          <w:spacing w:val="-4"/>
        </w:rPr>
        <w:t>”</w:t>
      </w:r>
      <w:r w:rsidRPr="00EC795F">
        <w:rPr>
          <w:rFonts w:ascii="Arial Narrow" w:hAnsi="Arial Narrow" w:cs="Arial"/>
          <w:i/>
          <w:spacing w:val="-4"/>
        </w:rPr>
        <w:t xml:space="preserve"> </w:t>
      </w:r>
    </w:p>
    <w:p w:rsidR="00532899" w:rsidRPr="00EC795F" w:rsidRDefault="00532899" w:rsidP="00532899">
      <w:pPr>
        <w:pStyle w:val="Textoindependiente25"/>
        <w:spacing w:line="240" w:lineRule="auto"/>
        <w:ind w:left="708" w:right="618"/>
        <w:rPr>
          <w:rFonts w:ascii="Arial Narrow" w:hAnsi="Arial Narrow"/>
          <w:b w:val="0"/>
          <w:bCs/>
          <w:i/>
          <w:spacing w:val="-4"/>
          <w:sz w:val="24"/>
          <w:szCs w:val="24"/>
        </w:rPr>
      </w:pPr>
    </w:p>
    <w:p w:rsidR="00532899" w:rsidRPr="00EC795F" w:rsidRDefault="00532899" w:rsidP="00532899">
      <w:pPr>
        <w:spacing w:after="0" w:line="240" w:lineRule="auto"/>
        <w:ind w:left="708" w:right="618"/>
        <w:jc w:val="both"/>
        <w:rPr>
          <w:rFonts w:ascii="Arial Narrow" w:hAnsi="Arial Narrow" w:cs="Arial"/>
          <w:i/>
          <w:spacing w:val="-4"/>
        </w:rPr>
      </w:pPr>
      <w:r w:rsidRPr="00EC795F">
        <w:rPr>
          <w:rFonts w:ascii="Arial Narrow" w:hAnsi="Arial Narrow" w:cs="Arial"/>
          <w:i/>
          <w:spacing w:val="-4"/>
        </w:rPr>
        <w:t>(…)</w:t>
      </w:r>
    </w:p>
    <w:p w:rsidR="00532899" w:rsidRPr="00EC795F" w:rsidRDefault="00532899" w:rsidP="00532899">
      <w:pPr>
        <w:spacing w:after="0" w:line="240" w:lineRule="auto"/>
        <w:ind w:left="708" w:right="618"/>
        <w:jc w:val="both"/>
        <w:rPr>
          <w:rFonts w:ascii="Arial Narrow" w:hAnsi="Arial Narrow" w:cs="Arial"/>
          <w:i/>
          <w:spacing w:val="-4"/>
        </w:rPr>
      </w:pPr>
    </w:p>
    <w:p w:rsidR="00532899" w:rsidRPr="00EC795F" w:rsidRDefault="00532899" w:rsidP="00532899">
      <w:pPr>
        <w:spacing w:after="0" w:line="240" w:lineRule="auto"/>
        <w:ind w:left="708" w:right="618"/>
        <w:jc w:val="both"/>
        <w:rPr>
          <w:rFonts w:ascii="Arial Narrow" w:hAnsi="Arial Narrow" w:cs="Arial"/>
          <w:i/>
          <w:spacing w:val="-4"/>
        </w:rPr>
      </w:pPr>
      <w:r>
        <w:rPr>
          <w:rFonts w:ascii="Arial Narrow" w:hAnsi="Arial Narrow" w:cs="Arial"/>
          <w:i/>
          <w:spacing w:val="-4"/>
        </w:rPr>
        <w:t>“</w:t>
      </w:r>
      <w:r w:rsidRPr="00EC795F">
        <w:rPr>
          <w:rFonts w:ascii="Arial Narrow" w:hAnsi="Arial Narrow" w:cs="Arial"/>
          <w:i/>
          <w:spacing w:val="-4"/>
        </w:rPr>
        <w:t>Así las cosas, y a la luz del criterio trazado, resulta evidente que, si bien es cierto que, en términos legales la actora, no cumplió los requisitos exigidos por la ley bajo la cual se estructuró el estado de invalidez, y se realizó un análisis interpretativo amplio de la norma, y se aplicó la jurisprudencia pertinente al caso, también lo es que el Tribunal se apartó, sin justificación alguna, del precedente sentado por esta Corporación para estos casos especialísimos, lo que conllevó por demás a que conculcara los derechos fundamentales de la accionante quien atraviesa un grave estado de salud.</w:t>
      </w:r>
      <w:r>
        <w:rPr>
          <w:rFonts w:ascii="Arial Narrow" w:hAnsi="Arial Narrow" w:cs="Arial"/>
          <w:i/>
          <w:spacing w:val="-4"/>
        </w:rPr>
        <w:t>”</w:t>
      </w:r>
    </w:p>
    <w:p w:rsidR="00532899" w:rsidRPr="00EC795F" w:rsidRDefault="00532899" w:rsidP="00532899">
      <w:pPr>
        <w:tabs>
          <w:tab w:val="left" w:pos="748"/>
        </w:tabs>
        <w:spacing w:after="0"/>
        <w:ind w:left="708" w:right="618"/>
        <w:jc w:val="both"/>
        <w:rPr>
          <w:rFonts w:ascii="Arial Narrow" w:hAnsi="Arial Narrow" w:cs="Tahoma"/>
          <w:bCs/>
        </w:rPr>
      </w:pPr>
    </w:p>
    <w:p w:rsidR="00532899" w:rsidRDefault="00532899" w:rsidP="00532899">
      <w:pPr>
        <w:tabs>
          <w:tab w:val="left" w:pos="748"/>
        </w:tabs>
        <w:spacing w:after="0"/>
        <w:ind w:firstLine="709"/>
        <w:jc w:val="both"/>
        <w:rPr>
          <w:rFonts w:ascii="Tahoma" w:hAnsi="Tahoma" w:cs="Tahoma"/>
          <w:bCs/>
        </w:rPr>
      </w:pPr>
      <w:r>
        <w:rPr>
          <w:rFonts w:ascii="Tahoma" w:hAnsi="Tahoma" w:cs="Tahoma"/>
          <w:bCs/>
        </w:rPr>
        <w:t xml:space="preserve">De esta manera, frente a la identidad de supuestos fácticos del caso resuelto por el máximo órgano de la especialidad laboral y el presente, la debió avalar los argumentos expuestos por </w:t>
      </w:r>
      <w:r w:rsidR="00A851E2">
        <w:rPr>
          <w:rFonts w:ascii="Tahoma" w:hAnsi="Tahoma" w:cs="Tahoma"/>
          <w:bCs/>
        </w:rPr>
        <w:t xml:space="preserve">la Jueza de instancia </w:t>
      </w:r>
      <w:r>
        <w:rPr>
          <w:rFonts w:ascii="Tahoma" w:hAnsi="Tahoma" w:cs="Tahoma"/>
          <w:bCs/>
        </w:rPr>
        <w:t xml:space="preserve">y, en consecuencia, como la pensión de sobrevivientes se reconoció con base en el Acuerdo 049 de 1990, era menester remitirse al </w:t>
      </w:r>
      <w:r w:rsidR="003569A1">
        <w:rPr>
          <w:rFonts w:ascii="Tahoma" w:hAnsi="Tahoma" w:cs="Tahoma"/>
          <w:bCs/>
        </w:rPr>
        <w:t xml:space="preserve">primer inciso del </w:t>
      </w:r>
      <w:r>
        <w:rPr>
          <w:rFonts w:ascii="Tahoma" w:hAnsi="Tahoma" w:cs="Tahoma"/>
          <w:bCs/>
        </w:rPr>
        <w:t xml:space="preserve">artículo </w:t>
      </w:r>
      <w:r w:rsidR="00A851E2">
        <w:rPr>
          <w:rFonts w:ascii="Tahoma" w:hAnsi="Tahoma" w:cs="Tahoma"/>
          <w:bCs/>
        </w:rPr>
        <w:t>10</w:t>
      </w:r>
      <w:r>
        <w:rPr>
          <w:rFonts w:ascii="Tahoma" w:hAnsi="Tahoma" w:cs="Tahoma"/>
          <w:bCs/>
        </w:rPr>
        <w:t xml:space="preserve"> de dicha normativa a efectos de establecer la fecha de disfrute de la misma, norma que en su tenor literal establece:</w:t>
      </w:r>
    </w:p>
    <w:p w:rsidR="00A851E2" w:rsidRDefault="00A851E2" w:rsidP="00A851E2">
      <w:pPr>
        <w:tabs>
          <w:tab w:val="left" w:pos="748"/>
        </w:tabs>
        <w:spacing w:after="0"/>
        <w:ind w:left="709" w:right="760"/>
        <w:jc w:val="both"/>
        <w:rPr>
          <w:rFonts w:ascii="Arial Narrow" w:hAnsi="Arial Narrow" w:cs="Helvetica"/>
          <w:b/>
          <w:bCs/>
          <w:i/>
          <w:sz w:val="18"/>
          <w:szCs w:val="18"/>
        </w:rPr>
      </w:pPr>
      <w:bookmarkStart w:id="0" w:name="10"/>
    </w:p>
    <w:p w:rsidR="00532899" w:rsidRPr="00A851E2" w:rsidRDefault="00A851E2" w:rsidP="00A851E2">
      <w:pPr>
        <w:tabs>
          <w:tab w:val="left" w:pos="748"/>
        </w:tabs>
        <w:spacing w:after="0"/>
        <w:ind w:left="709" w:right="760"/>
        <w:jc w:val="both"/>
        <w:rPr>
          <w:rFonts w:ascii="Arial Narrow" w:hAnsi="Arial Narrow" w:cs="Helvetica"/>
          <w:b/>
          <w:bCs/>
          <w:i/>
          <w:sz w:val="18"/>
          <w:szCs w:val="18"/>
        </w:rPr>
      </w:pPr>
      <w:r w:rsidRPr="00A851E2">
        <w:rPr>
          <w:rFonts w:ascii="Arial Narrow" w:hAnsi="Arial Narrow" w:cs="Helvetica"/>
          <w:b/>
          <w:bCs/>
          <w:i/>
          <w:sz w:val="18"/>
          <w:szCs w:val="18"/>
        </w:rPr>
        <w:lastRenderedPageBreak/>
        <w:t>ARTÍCULO 10. DISFRUTE DE LA PENSION DE INVALIDEZ POR RIESGO COMUN.</w:t>
      </w:r>
      <w:bookmarkEnd w:id="0"/>
      <w:r w:rsidRPr="00A851E2">
        <w:rPr>
          <w:rFonts w:ascii="Arial Narrow" w:hAnsi="Arial Narrow" w:cs="Helvetica"/>
          <w:b/>
          <w:bCs/>
          <w:i/>
          <w:sz w:val="18"/>
          <w:szCs w:val="18"/>
        </w:rPr>
        <w:t> </w:t>
      </w:r>
      <w:r w:rsidRPr="00A851E2">
        <w:rPr>
          <w:rFonts w:ascii="Arial Narrow" w:hAnsi="Arial Narrow" w:cs="Helvetica"/>
          <w:bCs/>
          <w:i/>
          <w:sz w:val="18"/>
          <w:szCs w:val="18"/>
        </w:rPr>
        <w:t>La pensión de invalidez por riesgo común, se reconocerá a solicitud de parte interesada y comenzará a pagarse en forma periódica y mensual desde la fecha en que se estructure tal estado. Cuando el beneficiario estuviere en goce de subsidio por incapacidad temporal, el pago de la pensión de invalidez comenzará a cubrirse al expirar el derecho al mencionado subsidio.</w:t>
      </w:r>
    </w:p>
    <w:p w:rsidR="00A851E2" w:rsidRDefault="00A851E2" w:rsidP="00532899">
      <w:pPr>
        <w:tabs>
          <w:tab w:val="left" w:pos="748"/>
        </w:tabs>
        <w:spacing w:after="0"/>
        <w:ind w:firstLine="709"/>
        <w:jc w:val="both"/>
        <w:rPr>
          <w:rFonts w:ascii="Tahoma" w:hAnsi="Tahoma" w:cs="Tahoma"/>
          <w:bCs/>
        </w:rPr>
      </w:pPr>
    </w:p>
    <w:p w:rsidR="00532899" w:rsidRDefault="00532899" w:rsidP="00532899">
      <w:pPr>
        <w:tabs>
          <w:tab w:val="left" w:pos="748"/>
        </w:tabs>
        <w:spacing w:after="0"/>
        <w:ind w:firstLine="709"/>
        <w:jc w:val="both"/>
        <w:rPr>
          <w:rFonts w:ascii="Tahoma" w:hAnsi="Tahoma" w:cs="Tahoma"/>
          <w:bCs/>
        </w:rPr>
      </w:pPr>
      <w:r>
        <w:rPr>
          <w:rFonts w:ascii="Tahoma" w:hAnsi="Tahoma" w:cs="Tahoma"/>
          <w:bCs/>
        </w:rPr>
        <w:t>Por lo tanto, al haber</w:t>
      </w:r>
      <w:r w:rsidR="003569A1">
        <w:rPr>
          <w:rFonts w:ascii="Tahoma" w:hAnsi="Tahoma" w:cs="Tahoma"/>
          <w:bCs/>
        </w:rPr>
        <w:t>se estructurado la invalidez d</w:t>
      </w:r>
      <w:r>
        <w:rPr>
          <w:rFonts w:ascii="Tahoma" w:hAnsi="Tahoma" w:cs="Tahoma"/>
          <w:bCs/>
        </w:rPr>
        <w:t>el señor Hern</w:t>
      </w:r>
      <w:r w:rsidR="003569A1">
        <w:rPr>
          <w:rFonts w:ascii="Tahoma" w:hAnsi="Tahoma" w:cs="Tahoma"/>
          <w:bCs/>
        </w:rPr>
        <w:t>á</w:t>
      </w:r>
      <w:r>
        <w:rPr>
          <w:rFonts w:ascii="Tahoma" w:hAnsi="Tahoma" w:cs="Tahoma"/>
          <w:bCs/>
        </w:rPr>
        <w:t>n</w:t>
      </w:r>
      <w:r w:rsidR="003569A1">
        <w:rPr>
          <w:rFonts w:ascii="Tahoma" w:hAnsi="Tahoma" w:cs="Tahoma"/>
          <w:bCs/>
        </w:rPr>
        <w:t xml:space="preserve"> Albeiro Agudelo </w:t>
      </w:r>
      <w:r>
        <w:rPr>
          <w:rFonts w:ascii="Tahoma" w:hAnsi="Tahoma" w:cs="Tahoma"/>
          <w:bCs/>
        </w:rPr>
        <w:t xml:space="preserve">el </w:t>
      </w:r>
      <w:r w:rsidR="003569A1">
        <w:rPr>
          <w:rFonts w:ascii="Tahoma" w:hAnsi="Tahoma" w:cs="Tahoma"/>
          <w:bCs/>
        </w:rPr>
        <w:t>9 de noviembre de 2013</w:t>
      </w:r>
      <w:r>
        <w:rPr>
          <w:rFonts w:ascii="Tahoma" w:hAnsi="Tahoma" w:cs="Tahoma"/>
          <w:bCs/>
        </w:rPr>
        <w:t xml:space="preserve"> y haberse ordenado el reconocimiento de la pensión de manera definitiva en el fallo de tutela emitido por la Sala Civil Familia de este Tribunal el 2</w:t>
      </w:r>
      <w:r w:rsidR="00FB746F">
        <w:rPr>
          <w:rFonts w:ascii="Tahoma" w:hAnsi="Tahoma" w:cs="Tahoma"/>
          <w:bCs/>
        </w:rPr>
        <w:t>7</w:t>
      </w:r>
      <w:r>
        <w:rPr>
          <w:rFonts w:ascii="Tahoma" w:hAnsi="Tahoma" w:cs="Tahoma"/>
          <w:bCs/>
        </w:rPr>
        <w:t xml:space="preserve"> de octubre de 2015 (</w:t>
      </w:r>
      <w:proofErr w:type="spellStart"/>
      <w:r>
        <w:rPr>
          <w:rFonts w:ascii="Tahoma" w:hAnsi="Tahoma" w:cs="Tahoma"/>
          <w:bCs/>
        </w:rPr>
        <w:t>fl</w:t>
      </w:r>
      <w:proofErr w:type="spellEnd"/>
      <w:r>
        <w:rPr>
          <w:rFonts w:ascii="Tahoma" w:hAnsi="Tahoma" w:cs="Tahoma"/>
          <w:bCs/>
        </w:rPr>
        <w:t xml:space="preserve">. </w:t>
      </w:r>
      <w:r w:rsidR="00FB746F">
        <w:rPr>
          <w:rFonts w:ascii="Tahoma" w:hAnsi="Tahoma" w:cs="Tahoma"/>
          <w:bCs/>
        </w:rPr>
        <w:t>19</w:t>
      </w:r>
      <w:r>
        <w:rPr>
          <w:rFonts w:ascii="Tahoma" w:hAnsi="Tahoma" w:cs="Tahoma"/>
          <w:bCs/>
        </w:rPr>
        <w:t xml:space="preserve"> y s.s.), era la fecha de </w:t>
      </w:r>
      <w:r w:rsidR="00FB746F">
        <w:rPr>
          <w:rFonts w:ascii="Tahoma" w:hAnsi="Tahoma" w:cs="Tahoma"/>
          <w:bCs/>
        </w:rPr>
        <w:t xml:space="preserve">estructuración </w:t>
      </w:r>
      <w:r>
        <w:rPr>
          <w:rFonts w:ascii="Tahoma" w:hAnsi="Tahoma" w:cs="Tahoma"/>
          <w:bCs/>
        </w:rPr>
        <w:t>a partir de la cual debía reconocerse la prestación, más aún si en aquella sentencia constitucional en aparte alguno se plasmó una orden relativa al momento en que se debía disfrutar la pensión, precisamente porque la norma que contempla el derecho expresamente lo dispone.</w:t>
      </w:r>
    </w:p>
    <w:p w:rsidR="00532899" w:rsidRDefault="00532899" w:rsidP="00532899">
      <w:pPr>
        <w:tabs>
          <w:tab w:val="left" w:pos="748"/>
        </w:tabs>
        <w:spacing w:after="0"/>
        <w:ind w:firstLine="709"/>
        <w:jc w:val="both"/>
        <w:rPr>
          <w:rFonts w:ascii="Tahoma" w:hAnsi="Tahoma" w:cs="Tahoma"/>
          <w:bCs/>
        </w:rPr>
      </w:pPr>
    </w:p>
    <w:p w:rsidR="00532899" w:rsidRDefault="00532899" w:rsidP="00532899">
      <w:pPr>
        <w:spacing w:after="0"/>
        <w:ind w:firstLine="708"/>
        <w:jc w:val="both"/>
        <w:rPr>
          <w:rFonts w:ascii="Tahoma" w:hAnsi="Tahoma" w:cs="Tahoma"/>
          <w:color w:val="000000"/>
        </w:rPr>
      </w:pPr>
      <w:r>
        <w:rPr>
          <w:rFonts w:ascii="Tahoma" w:hAnsi="Tahoma" w:cs="Tahoma"/>
          <w:bCs/>
        </w:rPr>
        <w:t xml:space="preserve">En virtud de lo brevemente discurrido, considero que debió </w:t>
      </w:r>
      <w:r w:rsidR="00FB746F">
        <w:rPr>
          <w:rFonts w:ascii="Tahoma" w:hAnsi="Tahoma" w:cs="Tahoma"/>
          <w:bCs/>
        </w:rPr>
        <w:t xml:space="preserve">confirmarse </w:t>
      </w:r>
      <w:r>
        <w:rPr>
          <w:rFonts w:ascii="Tahoma" w:hAnsi="Tahoma" w:cs="Tahoma"/>
          <w:bCs/>
        </w:rPr>
        <w:t>la sentencia de primer grado</w:t>
      </w:r>
      <w:bookmarkStart w:id="1" w:name="_GoBack"/>
      <w:bookmarkEnd w:id="1"/>
      <w:r w:rsidRPr="00722036">
        <w:rPr>
          <w:rFonts w:ascii="Tahoma" w:hAnsi="Tahoma" w:cs="Tahoma"/>
          <w:color w:val="000000"/>
        </w:rPr>
        <w:t>.</w:t>
      </w:r>
    </w:p>
    <w:p w:rsidR="001A53E6" w:rsidRPr="00532899" w:rsidRDefault="001A53E6" w:rsidP="00532899">
      <w:pPr>
        <w:pStyle w:val="Textoindependiente"/>
        <w:spacing w:line="276" w:lineRule="auto"/>
        <w:ind w:firstLine="709"/>
        <w:rPr>
          <w:rFonts w:ascii="Tahoma" w:hAnsi="Tahoma" w:cs="Tahoma"/>
          <w:sz w:val="22"/>
          <w:szCs w:val="22"/>
        </w:rPr>
      </w:pPr>
    </w:p>
    <w:p w:rsidR="00C31647" w:rsidRPr="00FB5D2E" w:rsidRDefault="00C31647" w:rsidP="00532899">
      <w:pPr>
        <w:spacing w:after="0"/>
        <w:ind w:firstLine="709"/>
        <w:jc w:val="both"/>
        <w:rPr>
          <w:rFonts w:ascii="Tahoma" w:hAnsi="Tahoma" w:cs="Tahoma"/>
        </w:rPr>
      </w:pPr>
      <w:r w:rsidRPr="00FB5D2E">
        <w:rPr>
          <w:rFonts w:ascii="Tahoma" w:hAnsi="Tahoma" w:cs="Tahoma"/>
        </w:rPr>
        <w:t>En estos términos dejo planteadas las razones del disenso frente a la posición mayoritaria expresada en la sentencia de la referencia.</w:t>
      </w:r>
    </w:p>
    <w:p w:rsidR="004C3370" w:rsidRPr="00FB5D2E" w:rsidRDefault="004C3370" w:rsidP="00532899">
      <w:pPr>
        <w:spacing w:after="0"/>
        <w:jc w:val="both"/>
        <w:rPr>
          <w:rFonts w:ascii="Tahoma" w:hAnsi="Tahoma" w:cs="Tahoma"/>
        </w:rPr>
      </w:pPr>
    </w:p>
    <w:p w:rsidR="00C31647" w:rsidRDefault="00C31647" w:rsidP="00532899">
      <w:pPr>
        <w:spacing w:after="0"/>
        <w:jc w:val="both"/>
        <w:rPr>
          <w:rFonts w:ascii="Tahoma" w:hAnsi="Tahoma" w:cs="Tahoma"/>
        </w:rPr>
      </w:pPr>
    </w:p>
    <w:p w:rsidR="00532899" w:rsidRDefault="00532899" w:rsidP="00532899">
      <w:pPr>
        <w:spacing w:after="0"/>
        <w:jc w:val="both"/>
        <w:rPr>
          <w:rFonts w:ascii="Tahoma" w:hAnsi="Tahoma" w:cs="Tahoma"/>
        </w:rPr>
      </w:pPr>
    </w:p>
    <w:p w:rsidR="00532899" w:rsidRDefault="00532899" w:rsidP="00532899">
      <w:pPr>
        <w:spacing w:after="0"/>
        <w:jc w:val="both"/>
        <w:rPr>
          <w:rFonts w:ascii="Tahoma" w:hAnsi="Tahoma" w:cs="Tahoma"/>
        </w:rPr>
      </w:pPr>
    </w:p>
    <w:p w:rsidR="00532899" w:rsidRPr="00FB5D2E" w:rsidRDefault="00532899" w:rsidP="00532899">
      <w:pPr>
        <w:spacing w:after="0"/>
        <w:jc w:val="both"/>
        <w:rPr>
          <w:rFonts w:ascii="Tahoma" w:hAnsi="Tahoma" w:cs="Tahoma"/>
        </w:rPr>
      </w:pPr>
    </w:p>
    <w:p w:rsidR="00C31647" w:rsidRPr="00FB5D2E" w:rsidRDefault="00C31647" w:rsidP="00532899">
      <w:pPr>
        <w:spacing w:after="0" w:line="240" w:lineRule="auto"/>
        <w:jc w:val="center"/>
        <w:rPr>
          <w:rFonts w:ascii="Tahoma" w:hAnsi="Tahoma" w:cs="Tahoma"/>
          <w:b/>
        </w:rPr>
      </w:pPr>
      <w:r w:rsidRPr="00FB5D2E">
        <w:rPr>
          <w:rFonts w:ascii="Tahoma" w:hAnsi="Tahoma" w:cs="Tahoma"/>
          <w:b/>
        </w:rPr>
        <w:t>ANA LUCÍA CAICEDO CALDERÓN</w:t>
      </w:r>
    </w:p>
    <w:p w:rsidR="00C31647" w:rsidRPr="00FB5D2E" w:rsidRDefault="00C31647" w:rsidP="00532899">
      <w:pPr>
        <w:spacing w:after="0" w:line="240" w:lineRule="auto"/>
        <w:jc w:val="center"/>
        <w:rPr>
          <w:rFonts w:ascii="Tahoma" w:hAnsi="Tahoma" w:cs="Tahoma"/>
          <w:b/>
        </w:rPr>
      </w:pPr>
      <w:r w:rsidRPr="00FB5D2E">
        <w:rPr>
          <w:rFonts w:ascii="Tahoma" w:hAnsi="Tahoma" w:cs="Tahoma"/>
          <w:b/>
        </w:rPr>
        <w:t>Magistrada</w:t>
      </w:r>
    </w:p>
    <w:p w:rsidR="009F69A2" w:rsidRDefault="009F69A2" w:rsidP="00532899">
      <w:pPr>
        <w:spacing w:after="0"/>
      </w:pPr>
    </w:p>
    <w:sectPr w:rsidR="009F69A2" w:rsidSect="00262B63">
      <w:footerReference w:type="even" r:id="rId7"/>
      <w:footerReference w:type="default" r:id="rId8"/>
      <w:pgSz w:w="12242" w:h="18722" w:code="14"/>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4D" w:rsidRDefault="001E504D" w:rsidP="00C31647">
      <w:pPr>
        <w:spacing w:after="0" w:line="240" w:lineRule="auto"/>
      </w:pPr>
      <w:r>
        <w:separator/>
      </w:r>
    </w:p>
  </w:endnote>
  <w:endnote w:type="continuationSeparator" w:id="0">
    <w:p w:rsidR="001E504D" w:rsidRDefault="001E504D" w:rsidP="00C3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A0" w:rsidRDefault="00BD06E0" w:rsidP="007947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71A0" w:rsidRDefault="001E504D" w:rsidP="002071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A0" w:rsidRDefault="00BD06E0" w:rsidP="007947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746F">
      <w:rPr>
        <w:rStyle w:val="Nmerodepgina"/>
        <w:noProof/>
      </w:rPr>
      <w:t>2</w:t>
    </w:r>
    <w:r>
      <w:rPr>
        <w:rStyle w:val="Nmerodepgina"/>
      </w:rPr>
      <w:fldChar w:fldCharType="end"/>
    </w:r>
  </w:p>
  <w:p w:rsidR="002071A0" w:rsidRDefault="001E504D" w:rsidP="002071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4D" w:rsidRDefault="001E504D" w:rsidP="00C31647">
      <w:pPr>
        <w:spacing w:after="0" w:line="240" w:lineRule="auto"/>
      </w:pPr>
      <w:r>
        <w:separator/>
      </w:r>
    </w:p>
  </w:footnote>
  <w:footnote w:type="continuationSeparator" w:id="0">
    <w:p w:rsidR="001E504D" w:rsidRDefault="001E504D" w:rsidP="00C31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47"/>
    <w:rsid w:val="00056FC6"/>
    <w:rsid w:val="001A53E6"/>
    <w:rsid w:val="001E504D"/>
    <w:rsid w:val="00262B63"/>
    <w:rsid w:val="003569A1"/>
    <w:rsid w:val="00386B74"/>
    <w:rsid w:val="004C3370"/>
    <w:rsid w:val="00532899"/>
    <w:rsid w:val="005B5F47"/>
    <w:rsid w:val="00676245"/>
    <w:rsid w:val="006938A4"/>
    <w:rsid w:val="00734BC8"/>
    <w:rsid w:val="007D68A4"/>
    <w:rsid w:val="008579C3"/>
    <w:rsid w:val="009F69A2"/>
    <w:rsid w:val="00A851E2"/>
    <w:rsid w:val="00B0040D"/>
    <w:rsid w:val="00B915BD"/>
    <w:rsid w:val="00BD06E0"/>
    <w:rsid w:val="00C31647"/>
    <w:rsid w:val="00D14F7D"/>
    <w:rsid w:val="00DB237F"/>
    <w:rsid w:val="00FB5D2E"/>
    <w:rsid w:val="00FB746F"/>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18D10-4610-4882-A443-C991E725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47"/>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C3164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PuestoCar">
    <w:name w:val="Puesto Car"/>
    <w:basedOn w:val="Fuentedeprrafopredeter"/>
    <w:link w:val="Puesto"/>
    <w:rsid w:val="00C31647"/>
    <w:rPr>
      <w:rFonts w:ascii="Arial" w:eastAsia="Times New Roman" w:hAnsi="Arial" w:cs="Arial"/>
      <w:b/>
      <w:sz w:val="24"/>
      <w:szCs w:val="24"/>
      <w:lang w:eastAsia="es-ES"/>
    </w:rPr>
  </w:style>
  <w:style w:type="paragraph" w:styleId="Piedepgina">
    <w:name w:val="footer"/>
    <w:basedOn w:val="Normal"/>
    <w:link w:val="PiedepginaCar"/>
    <w:rsid w:val="00C31647"/>
    <w:pPr>
      <w:tabs>
        <w:tab w:val="center" w:pos="4252"/>
        <w:tab w:val="right" w:pos="8504"/>
      </w:tabs>
    </w:pPr>
  </w:style>
  <w:style w:type="character" w:customStyle="1" w:styleId="PiedepginaCar">
    <w:name w:val="Pie de página Car"/>
    <w:basedOn w:val="Fuentedeprrafopredeter"/>
    <w:link w:val="Piedepgina"/>
    <w:rsid w:val="00C31647"/>
    <w:rPr>
      <w:rFonts w:ascii="Calibri" w:eastAsia="Calibri" w:hAnsi="Calibri" w:cs="Times New Roman"/>
      <w:lang w:val="es-CO"/>
    </w:rPr>
  </w:style>
  <w:style w:type="character" w:styleId="Nmerodepgina">
    <w:name w:val="page number"/>
    <w:basedOn w:val="Fuentedeprrafopredeter"/>
    <w:rsid w:val="00C31647"/>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nhideWhenUsed/>
    <w:rsid w:val="00C31647"/>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C31647"/>
    <w:rPr>
      <w:rFonts w:ascii="Times New Roman" w:eastAsia="Times New Roman" w:hAnsi="Times New Roman" w:cs="Times New Roman"/>
      <w:sz w:val="20"/>
      <w:szCs w:val="20"/>
      <w:lang w:eastAsia="es-ES"/>
    </w:rPr>
  </w:style>
  <w:style w:type="character" w:styleId="Refdenotaalpie">
    <w:name w:val="footnote reference"/>
    <w:unhideWhenUsed/>
    <w:rsid w:val="00C31647"/>
    <w:rPr>
      <w:vertAlign w:val="superscript"/>
    </w:rPr>
  </w:style>
  <w:style w:type="paragraph" w:styleId="Textoindependiente">
    <w:name w:val="Body Text"/>
    <w:basedOn w:val="Normal"/>
    <w:link w:val="TextoindependienteCar"/>
    <w:rsid w:val="00676245"/>
    <w:pPr>
      <w:autoSpaceDE w:val="0"/>
      <w:autoSpaceDN w:val="0"/>
      <w:adjustRightInd w:val="0"/>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676245"/>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734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4BC8"/>
    <w:rPr>
      <w:rFonts w:ascii="Segoe UI" w:eastAsia="Calibri" w:hAnsi="Segoe UI" w:cs="Segoe UI"/>
      <w:sz w:val="18"/>
      <w:szCs w:val="18"/>
      <w:lang w:val="es-CO"/>
    </w:rPr>
  </w:style>
  <w:style w:type="paragraph" w:styleId="Textonotaalfinal">
    <w:name w:val="endnote text"/>
    <w:basedOn w:val="Normal"/>
    <w:link w:val="TextonotaalfinalCar"/>
    <w:uiPriority w:val="99"/>
    <w:semiHidden/>
    <w:unhideWhenUsed/>
    <w:rsid w:val="00734BC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34BC8"/>
    <w:rPr>
      <w:rFonts w:ascii="Calibri" w:eastAsia="Calibri" w:hAnsi="Calibri" w:cs="Times New Roman"/>
      <w:sz w:val="20"/>
      <w:szCs w:val="20"/>
      <w:lang w:val="es-CO"/>
    </w:rPr>
  </w:style>
  <w:style w:type="character" w:styleId="Refdenotaalfinal">
    <w:name w:val="endnote reference"/>
    <w:basedOn w:val="Fuentedeprrafopredeter"/>
    <w:uiPriority w:val="99"/>
    <w:semiHidden/>
    <w:unhideWhenUsed/>
    <w:rsid w:val="00734BC8"/>
    <w:rPr>
      <w:vertAlign w:val="superscript"/>
    </w:rPr>
  </w:style>
  <w:style w:type="paragraph" w:styleId="Sinespaciado">
    <w:name w:val="No Spacing"/>
    <w:link w:val="SinespaciadoCar"/>
    <w:uiPriority w:val="1"/>
    <w:qFormat/>
    <w:rsid w:val="00532899"/>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532899"/>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532899"/>
    <w:pPr>
      <w:spacing w:after="0" w:line="480" w:lineRule="auto"/>
      <w:jc w:val="both"/>
    </w:pPr>
    <w:rPr>
      <w:rFonts w:ascii="Arial Black" w:eastAsia="Times New Roman" w:hAnsi="Arial Black"/>
      <w:b/>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7589-2208-4B2B-8355-9FD172CC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764</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5</cp:revision>
  <cp:lastPrinted>2018-07-13T20:48:00Z</cp:lastPrinted>
  <dcterms:created xsi:type="dcterms:W3CDTF">2018-07-10T15:05:00Z</dcterms:created>
  <dcterms:modified xsi:type="dcterms:W3CDTF">2018-07-16T13:28:00Z</dcterms:modified>
</cp:coreProperties>
</file>