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35DC2" w:rsidRPr="00FF0A79" w:rsidRDefault="00235DC2" w:rsidP="00235DC2">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946C1D">
        <w:rPr>
          <w:rFonts w:ascii="Tahoma" w:hAnsi="Tahoma" w:cs="Tahoma"/>
          <w:b w:val="0"/>
          <w:sz w:val="18"/>
          <w:szCs w:val="18"/>
        </w:rPr>
        <w:t>18</w:t>
      </w:r>
      <w:r w:rsidR="0020784A">
        <w:rPr>
          <w:rFonts w:ascii="Tahoma" w:hAnsi="Tahoma" w:cs="Tahoma"/>
          <w:b w:val="0"/>
          <w:sz w:val="18"/>
          <w:szCs w:val="18"/>
        </w:rPr>
        <w:t xml:space="preserve"> de julio </w:t>
      </w:r>
      <w:r>
        <w:rPr>
          <w:rFonts w:ascii="Tahoma" w:hAnsi="Tahoma" w:cs="Tahoma"/>
          <w:b w:val="0"/>
          <w:sz w:val="18"/>
          <w:szCs w:val="18"/>
        </w:rPr>
        <w:t>de 2018</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Pr>
          <w:rFonts w:ascii="Tahoma" w:hAnsi="Tahoma" w:cs="Tahoma"/>
          <w:b w:val="0"/>
          <w:sz w:val="18"/>
          <w:szCs w:val="18"/>
        </w:rPr>
        <w:tab/>
      </w:r>
      <w:r w:rsidRPr="00FF0A79">
        <w:rPr>
          <w:rFonts w:ascii="Tahoma" w:hAnsi="Tahoma" w:cs="Tahoma"/>
          <w:b w:val="0"/>
          <w:sz w:val="18"/>
          <w:szCs w:val="18"/>
        </w:rPr>
        <w:t>66001-31-05-00</w:t>
      </w:r>
      <w:r w:rsidR="00946C1D">
        <w:rPr>
          <w:rFonts w:ascii="Tahoma" w:hAnsi="Tahoma" w:cs="Tahoma"/>
          <w:b w:val="0"/>
          <w:sz w:val="18"/>
          <w:szCs w:val="18"/>
        </w:rPr>
        <w:t>1</w:t>
      </w:r>
      <w:r w:rsidRPr="00FF0A79">
        <w:rPr>
          <w:rFonts w:ascii="Tahoma" w:hAnsi="Tahoma" w:cs="Tahoma"/>
          <w:b w:val="0"/>
          <w:sz w:val="18"/>
          <w:szCs w:val="18"/>
        </w:rPr>
        <w:t>-201</w:t>
      </w:r>
      <w:r w:rsidR="00946C1D">
        <w:rPr>
          <w:rFonts w:ascii="Tahoma" w:hAnsi="Tahoma" w:cs="Tahoma"/>
          <w:b w:val="0"/>
          <w:sz w:val="18"/>
          <w:szCs w:val="18"/>
        </w:rPr>
        <w:t>7</w:t>
      </w:r>
      <w:r w:rsidRPr="00FF0A79">
        <w:rPr>
          <w:rFonts w:ascii="Tahoma" w:hAnsi="Tahoma" w:cs="Tahoma"/>
          <w:b w:val="0"/>
          <w:sz w:val="18"/>
          <w:szCs w:val="18"/>
        </w:rPr>
        <w:t>-00</w:t>
      </w:r>
      <w:r w:rsidR="00946C1D">
        <w:rPr>
          <w:rFonts w:ascii="Tahoma" w:hAnsi="Tahoma" w:cs="Tahoma"/>
          <w:b w:val="0"/>
          <w:sz w:val="18"/>
          <w:szCs w:val="18"/>
        </w:rPr>
        <w:t>326</w:t>
      </w:r>
      <w:r w:rsidRPr="00FF0A79">
        <w:rPr>
          <w:rFonts w:ascii="Tahoma" w:hAnsi="Tahoma" w:cs="Tahoma"/>
          <w:b w:val="0"/>
          <w:sz w:val="18"/>
          <w:szCs w:val="18"/>
        </w:rPr>
        <w:t xml:space="preserve">-01 </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Pr>
          <w:rFonts w:ascii="Tahoma" w:hAnsi="Tahoma" w:cs="Tahoma"/>
          <w:b w:val="0"/>
          <w:sz w:val="18"/>
          <w:szCs w:val="18"/>
        </w:rPr>
        <w:t xml:space="preserve">:                 </w:t>
      </w:r>
      <w:r w:rsidRPr="00FF0A79">
        <w:rPr>
          <w:rFonts w:ascii="Tahoma" w:hAnsi="Tahoma" w:cs="Tahoma"/>
          <w:b w:val="0"/>
          <w:sz w:val="18"/>
          <w:szCs w:val="18"/>
        </w:rPr>
        <w:tab/>
      </w:r>
      <w:proofErr w:type="spellStart"/>
      <w:r w:rsidR="00946C1D">
        <w:rPr>
          <w:rFonts w:ascii="Tahoma" w:hAnsi="Tahoma" w:cs="Tahoma"/>
          <w:b w:val="0"/>
          <w:sz w:val="18"/>
          <w:szCs w:val="18"/>
        </w:rPr>
        <w:t>Deissy</w:t>
      </w:r>
      <w:proofErr w:type="spellEnd"/>
      <w:r w:rsidR="00946C1D">
        <w:rPr>
          <w:rFonts w:ascii="Tahoma" w:hAnsi="Tahoma" w:cs="Tahoma"/>
          <w:b w:val="0"/>
          <w:sz w:val="18"/>
          <w:szCs w:val="18"/>
        </w:rPr>
        <w:t xml:space="preserve"> Urrea Mosquera y otra</w:t>
      </w:r>
    </w:p>
    <w:p w:rsidR="00235DC2" w:rsidRPr="00FF0A79" w:rsidRDefault="00235DC2" w:rsidP="00235DC2">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235DC2" w:rsidRPr="00FF0A79" w:rsidRDefault="00235DC2" w:rsidP="00235DC2">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0062AA">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 xml:space="preserve">Dr. </w:t>
      </w:r>
      <w:r w:rsidR="000062AA">
        <w:rPr>
          <w:rFonts w:ascii="Tahoma" w:hAnsi="Tahoma" w:cs="Tahoma"/>
          <w:b w:val="0"/>
          <w:sz w:val="18"/>
          <w:szCs w:val="18"/>
        </w:rPr>
        <w:t xml:space="preserve">Julio César Salazar Muñoz </w:t>
      </w:r>
    </w:p>
    <w:p w:rsidR="00235DC2" w:rsidRPr="00FF0A79" w:rsidRDefault="00235DC2" w:rsidP="00235DC2">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Magistrada que salva voto:</w:t>
      </w:r>
      <w:r w:rsidRPr="00FF0A79">
        <w:rPr>
          <w:rFonts w:ascii="Tahoma" w:hAnsi="Tahoma" w:cs="Tahoma"/>
          <w:b w:val="0"/>
          <w:sz w:val="18"/>
          <w:szCs w:val="18"/>
        </w:rPr>
        <w:tab/>
        <w:t>Dra. Ana Lucia Caicedo Calderón</w:t>
      </w:r>
    </w:p>
    <w:p w:rsidR="00235DC2" w:rsidRDefault="00235DC2" w:rsidP="00235DC2">
      <w:pPr>
        <w:rPr>
          <w:lang w:eastAsia="es-MX"/>
        </w:rPr>
      </w:pPr>
    </w:p>
    <w:p w:rsidR="00497E61" w:rsidRDefault="00497E61" w:rsidP="00235DC2">
      <w:pPr>
        <w:rPr>
          <w:lang w:eastAsia="es-MX"/>
        </w:rPr>
      </w:pPr>
    </w:p>
    <w:p w:rsidR="00497E61" w:rsidRPr="00404139" w:rsidRDefault="00497E61" w:rsidP="00235DC2">
      <w:pPr>
        <w:rPr>
          <w:lang w:eastAsia="es-MX"/>
        </w:rPr>
      </w:pPr>
    </w:p>
    <w:p w:rsidR="00235DC2" w:rsidRPr="0084707C" w:rsidRDefault="00235DC2" w:rsidP="00235DC2">
      <w:pPr>
        <w:pStyle w:val="Ttulo1"/>
        <w:widowControl/>
        <w:autoSpaceDE/>
        <w:autoSpaceDN/>
        <w:adjustRightInd/>
        <w:spacing w:line="276" w:lineRule="auto"/>
        <w:rPr>
          <w:rFonts w:ascii="Tahoma" w:hAnsi="Tahoma" w:cs="Tahoma"/>
          <w:bCs/>
          <w:sz w:val="22"/>
          <w:szCs w:val="22"/>
          <w:u w:val="single"/>
        </w:rPr>
      </w:pPr>
      <w:r w:rsidRPr="0084707C">
        <w:rPr>
          <w:rFonts w:ascii="Tahoma" w:hAnsi="Tahoma" w:cs="Tahoma"/>
          <w:bCs/>
          <w:sz w:val="22"/>
          <w:szCs w:val="22"/>
          <w:u w:val="single"/>
        </w:rPr>
        <w:t>SALVAMENTO DE VOTO</w:t>
      </w:r>
    </w:p>
    <w:p w:rsidR="00235DC2" w:rsidRPr="0084707C" w:rsidRDefault="00235DC2" w:rsidP="00235DC2">
      <w:pPr>
        <w:spacing w:line="276" w:lineRule="auto"/>
        <w:ind w:firstLine="709"/>
        <w:jc w:val="both"/>
        <w:rPr>
          <w:rFonts w:ascii="Tahoma" w:hAnsi="Tahoma" w:cs="Tahoma"/>
          <w:b/>
          <w:bCs/>
          <w:sz w:val="22"/>
          <w:szCs w:val="22"/>
        </w:rPr>
      </w:pPr>
    </w:p>
    <w:p w:rsidR="00235DC2" w:rsidRPr="00404139" w:rsidRDefault="00235DC2" w:rsidP="00235DC2">
      <w:pPr>
        <w:spacing w:line="276" w:lineRule="auto"/>
        <w:ind w:firstLine="709"/>
        <w:jc w:val="both"/>
        <w:rPr>
          <w:rFonts w:ascii="Tahoma" w:hAnsi="Tahoma" w:cs="Tahoma"/>
          <w:sz w:val="22"/>
          <w:szCs w:val="22"/>
        </w:rPr>
      </w:pPr>
      <w:r w:rsidRPr="00404139">
        <w:rPr>
          <w:rFonts w:ascii="Tahoma" w:hAnsi="Tahoma" w:cs="Tahoma"/>
          <w:sz w:val="22"/>
          <w:szCs w:val="22"/>
        </w:rPr>
        <w:t xml:space="preserve">Con mi acostumbrado respeto, manifiesto mi inconformidad frente a la sentencia mayoritaria por cuanto considero que en el presente caso había lugar a aplicar el principio de condición más beneficiosa a efectos de conceder la pensión de </w:t>
      </w:r>
      <w:r>
        <w:rPr>
          <w:rFonts w:ascii="Tahoma" w:hAnsi="Tahoma" w:cs="Tahoma"/>
          <w:sz w:val="22"/>
          <w:szCs w:val="22"/>
        </w:rPr>
        <w:t xml:space="preserve">sobrevivientes </w:t>
      </w:r>
      <w:r w:rsidRPr="00404139">
        <w:rPr>
          <w:rFonts w:ascii="Tahoma" w:hAnsi="Tahoma" w:cs="Tahoma"/>
          <w:sz w:val="22"/>
          <w:szCs w:val="22"/>
        </w:rPr>
        <w:t xml:space="preserve">deprecada en la demanda por las siguientes razones: </w:t>
      </w:r>
    </w:p>
    <w:p w:rsidR="00235DC2" w:rsidRPr="00404139" w:rsidRDefault="00235DC2" w:rsidP="00235DC2">
      <w:pPr>
        <w:spacing w:line="276" w:lineRule="auto"/>
        <w:ind w:firstLine="709"/>
        <w:jc w:val="both"/>
        <w:rPr>
          <w:rFonts w:ascii="Tahoma" w:hAnsi="Tahoma" w:cs="Tahoma"/>
          <w:sz w:val="22"/>
          <w:szCs w:val="22"/>
        </w:rPr>
      </w:pPr>
    </w:p>
    <w:p w:rsidR="00235DC2" w:rsidRPr="00404139" w:rsidRDefault="00235DC2" w:rsidP="00235DC2">
      <w:pPr>
        <w:spacing w:line="276" w:lineRule="auto"/>
        <w:ind w:firstLine="708"/>
        <w:jc w:val="both"/>
        <w:rPr>
          <w:rFonts w:ascii="Tahoma" w:hAnsi="Tahoma" w:cs="Tahoma"/>
          <w:color w:val="FF0000"/>
          <w:sz w:val="22"/>
          <w:szCs w:val="22"/>
        </w:rPr>
      </w:pPr>
      <w:r w:rsidRPr="00404139">
        <w:rPr>
          <w:rFonts w:ascii="Tahoma" w:hAnsi="Tahoma" w:cs="Tahoma"/>
          <w:sz w:val="22"/>
          <w:szCs w:val="22"/>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404139">
        <w:rPr>
          <w:rFonts w:ascii="Tahoma" w:hAnsi="Tahoma" w:cs="Tahoma"/>
          <w:b/>
          <w:sz w:val="22"/>
          <w:szCs w:val="22"/>
        </w:rPr>
        <w:t xml:space="preserve"> </w:t>
      </w:r>
      <w:r w:rsidRPr="00404139">
        <w:rPr>
          <w:rFonts w:ascii="Tahoma" w:hAnsi="Tahoma" w:cs="Tahoma"/>
          <w:spacing w:val="-2"/>
          <w:sz w:val="22"/>
          <w:szCs w:val="22"/>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404139">
        <w:rPr>
          <w:rStyle w:val="Refdenotaalpie"/>
          <w:rFonts w:ascii="Tahoma" w:hAnsi="Tahoma" w:cs="Tahoma"/>
          <w:spacing w:val="-2"/>
          <w:sz w:val="22"/>
          <w:szCs w:val="22"/>
        </w:rPr>
        <w:footnoteReference w:id="1"/>
      </w:r>
      <w:r w:rsidRPr="00404139">
        <w:rPr>
          <w:rFonts w:ascii="Tahoma" w:hAnsi="Tahoma" w:cs="Tahoma"/>
          <w:spacing w:val="-2"/>
          <w:sz w:val="22"/>
          <w:szCs w:val="22"/>
        </w:rPr>
        <w:t xml:space="preserve">. </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2003 y el 26 de diciembre de 2006, </w:t>
      </w:r>
      <w:r w:rsidRPr="00404139">
        <w:rPr>
          <w:rFonts w:ascii="Tahoma" w:hAnsi="Tahoma" w:cs="Tahoma"/>
          <w:i/>
          <w:spacing w:val="-2"/>
          <w:sz w:val="22"/>
          <w:szCs w:val="22"/>
        </w:rPr>
        <w:t>-y si se da ese requisito, se puede entrar a analizar otros señalados en la misma providencia-</w:t>
      </w:r>
      <w:r w:rsidRPr="00404139">
        <w:rPr>
          <w:rFonts w:ascii="Tahoma" w:hAnsi="Tahoma" w:cs="Tahoma"/>
          <w:spacing w:val="-2"/>
          <w:sz w:val="22"/>
          <w:szCs w:val="22"/>
        </w:rPr>
        <w:t>.</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z w:val="22"/>
          <w:szCs w:val="22"/>
        </w:rPr>
      </w:pPr>
      <w:r w:rsidRPr="00404139">
        <w:rPr>
          <w:rFonts w:ascii="Tahoma" w:hAnsi="Tahoma" w:cs="Tahoma"/>
          <w:spacing w:val="-2"/>
          <w:sz w:val="22"/>
          <w:szCs w:val="22"/>
        </w:rPr>
        <w:t xml:space="preserve">Tal como lo he expuesto en distintos salvamentos de voto, no comparto aquella </w:t>
      </w:r>
      <w:r w:rsidRPr="00404139">
        <w:rPr>
          <w:rFonts w:ascii="Tahoma" w:hAnsi="Tahoma" w:cs="Tahoma"/>
          <w:sz w:val="22"/>
          <w:szCs w:val="22"/>
        </w:rPr>
        <w:t xml:space="preserve">nueva restricción a la aplicación del principio de la condición más beneficiosa en el tránsito legislativo de la Ley 100 original a la Ley 860 de 2003, pues impone una limitación temporal e </w:t>
      </w:r>
      <w:r w:rsidRPr="00404139">
        <w:rPr>
          <w:rFonts w:ascii="Tahoma" w:hAnsi="Tahoma" w:cs="Tahoma"/>
          <w:color w:val="000000"/>
          <w:sz w:val="22"/>
          <w:szCs w:val="22"/>
        </w:rPr>
        <w:t xml:space="preserve">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404139">
        <w:rPr>
          <w:rFonts w:ascii="Tahoma" w:hAnsi="Tahoma" w:cs="Tahoma"/>
          <w:sz w:val="22"/>
          <w:szCs w:val="22"/>
        </w:rPr>
        <w:t>la Ley 860 de 2003, y la misma cantidad en el año anterior a la estructuración, las cuales no se dan en el caso de marras.</w:t>
      </w:r>
    </w:p>
    <w:p w:rsidR="00235DC2" w:rsidRPr="00404139" w:rsidRDefault="00235DC2" w:rsidP="00235DC2">
      <w:pPr>
        <w:spacing w:line="276" w:lineRule="auto"/>
        <w:ind w:firstLine="709"/>
        <w:jc w:val="both"/>
        <w:rPr>
          <w:rFonts w:ascii="Tahoma" w:hAnsi="Tahoma" w:cs="Tahoma"/>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 xml:space="preserve">No obstante, el caso puede analizarse a la luz del Acuerdo 049 de 1990 que, si bien no es la norma inmediatamente anterior, se acompasa al precedente de la Corte Constitucional, quien a través de la sentencia SU-442 del 18 de agosto de 2016 </w:t>
      </w:r>
      <w:r w:rsidRPr="00404139">
        <w:rPr>
          <w:rFonts w:ascii="Tahoma" w:hAnsi="Tahoma" w:cs="Tahoma"/>
          <w:i/>
          <w:spacing w:val="-2"/>
          <w:sz w:val="22"/>
          <w:szCs w:val="22"/>
        </w:rPr>
        <w:t>–en la que se analizó una pensión de invalidez-</w:t>
      </w:r>
      <w:r w:rsidRPr="00404139">
        <w:rPr>
          <w:rFonts w:ascii="Tahoma" w:hAnsi="Tahoma" w:cs="Tahoma"/>
          <w:spacing w:val="-2"/>
          <w:sz w:val="22"/>
          <w:szCs w:val="22"/>
        </w:rPr>
        <w:t xml:space="preserve">, unificó los </w:t>
      </w:r>
      <w:r w:rsidRPr="00404139">
        <w:rPr>
          <w:rFonts w:ascii="Tahoma" w:hAnsi="Tahoma" w:cs="Tahoma"/>
          <w:spacing w:val="-2"/>
          <w:sz w:val="22"/>
          <w:szCs w:val="22"/>
        </w:rPr>
        <w:lastRenderedPageBreak/>
        <w:t xml:space="preserve">criterios en relación con la aplicación de la condición más beneficiosa, reiterando los precedentes anteriores y precisando que </w:t>
      </w:r>
      <w:r w:rsidRPr="00404139">
        <w:rPr>
          <w:rFonts w:ascii="Tahoma" w:hAnsi="Tahoma" w:cs="Tahoma"/>
          <w:i/>
          <w:spacing w:val="-2"/>
          <w:sz w:val="22"/>
          <w:szCs w:val="22"/>
        </w:rPr>
        <w:t>“Si bien el legislador podía introducir ajustes o incluso reformas estructurales al sistema pensional, debía hacerlo en un marco de respeto por los derechos adquiridos y las expectativas legítimas”</w:t>
      </w:r>
      <w:r w:rsidRPr="00404139">
        <w:rPr>
          <w:rFonts w:ascii="Tahoma" w:hAnsi="Tahoma" w:cs="Tahoma"/>
          <w:spacing w:val="-2"/>
          <w:sz w:val="22"/>
          <w:szCs w:val="22"/>
        </w:rPr>
        <w:t xml:space="preserve">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w:t>
      </w:r>
      <w:r w:rsidRPr="00404139">
        <w:rPr>
          <w:rFonts w:ascii="Tahoma" w:hAnsi="Tahoma" w:cs="Tahoma"/>
          <w:i/>
          <w:spacing w:val="-2"/>
          <w:sz w:val="22"/>
          <w:szCs w:val="22"/>
        </w:rPr>
        <w:t>“no puede hablarse de un detrimento para la sostenibilidad financiera del sistema pensional”.</w:t>
      </w:r>
    </w:p>
    <w:p w:rsidR="00235DC2" w:rsidRPr="00404139" w:rsidRDefault="00235DC2" w:rsidP="00235DC2">
      <w:pPr>
        <w:spacing w:line="276" w:lineRule="auto"/>
        <w:ind w:firstLine="708"/>
        <w:jc w:val="both"/>
        <w:rPr>
          <w:rFonts w:ascii="Tahoma" w:hAnsi="Tahoma" w:cs="Tahoma"/>
          <w:sz w:val="22"/>
          <w:szCs w:val="22"/>
        </w:rPr>
      </w:pPr>
    </w:p>
    <w:p w:rsidR="00235DC2" w:rsidRPr="00404139" w:rsidRDefault="00235DC2" w:rsidP="00235DC2">
      <w:pPr>
        <w:spacing w:line="276" w:lineRule="auto"/>
        <w:jc w:val="both"/>
        <w:rPr>
          <w:rFonts w:ascii="Tahoma" w:hAnsi="Tahoma" w:cs="Tahoma"/>
          <w:spacing w:val="-2"/>
          <w:sz w:val="22"/>
          <w:szCs w:val="22"/>
        </w:rPr>
      </w:pPr>
      <w:r w:rsidRPr="00404139">
        <w:rPr>
          <w:rFonts w:ascii="Tahoma" w:hAnsi="Tahoma" w:cs="Tahoma"/>
          <w:spacing w:val="-2"/>
          <w:sz w:val="22"/>
          <w:szCs w:val="22"/>
        </w:rPr>
        <w:tab/>
        <w:t>Este precedente de la Corte Constitucional ha sido acogido por la</w:t>
      </w:r>
      <w:r w:rsidR="00497E61">
        <w:rPr>
          <w:rFonts w:ascii="Tahoma" w:hAnsi="Tahoma" w:cs="Tahoma"/>
          <w:spacing w:val="-2"/>
          <w:sz w:val="22"/>
          <w:szCs w:val="22"/>
        </w:rPr>
        <w:t xml:space="preserve"> suscrita Magistrada </w:t>
      </w:r>
      <w:r w:rsidRPr="00404139">
        <w:rPr>
          <w:rFonts w:ascii="Tahoma" w:hAnsi="Tahoma" w:cs="Tahoma"/>
          <w:spacing w:val="-2"/>
          <w:sz w:val="22"/>
          <w:szCs w:val="22"/>
        </w:rPr>
        <w:t xml:space="preserve">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sistema general de seguridad social. </w:t>
      </w:r>
    </w:p>
    <w:p w:rsidR="00235DC2" w:rsidRPr="00404139" w:rsidRDefault="00235DC2" w:rsidP="00235DC2">
      <w:pPr>
        <w:spacing w:line="276" w:lineRule="auto"/>
        <w:jc w:val="both"/>
        <w:rPr>
          <w:rFonts w:ascii="Tahoma" w:hAnsi="Tahoma" w:cs="Tahoma"/>
          <w:spacing w:val="-2"/>
          <w:sz w:val="22"/>
          <w:szCs w:val="22"/>
        </w:rPr>
      </w:pPr>
    </w:p>
    <w:p w:rsidR="00235DC2" w:rsidRPr="00404139" w:rsidRDefault="00235DC2" w:rsidP="00235DC2">
      <w:pPr>
        <w:spacing w:line="276" w:lineRule="auto"/>
        <w:jc w:val="both"/>
        <w:rPr>
          <w:rFonts w:ascii="Tahoma" w:hAnsi="Tahoma" w:cs="Tahoma"/>
          <w:spacing w:val="-2"/>
          <w:sz w:val="22"/>
          <w:szCs w:val="22"/>
        </w:rPr>
      </w:pPr>
      <w:r w:rsidRPr="00404139">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235DC2" w:rsidRPr="00404139" w:rsidRDefault="00235DC2" w:rsidP="00235DC2">
      <w:pPr>
        <w:spacing w:line="276" w:lineRule="auto"/>
        <w:jc w:val="both"/>
        <w:rPr>
          <w:rFonts w:ascii="Tahoma" w:hAnsi="Tahoma" w:cs="Tahoma"/>
          <w:spacing w:val="-2"/>
          <w:sz w:val="22"/>
          <w:szCs w:val="22"/>
        </w:rPr>
      </w:pPr>
    </w:p>
    <w:p w:rsidR="00235DC2" w:rsidRPr="00404139" w:rsidRDefault="00235DC2" w:rsidP="00235DC2">
      <w:pPr>
        <w:pStyle w:val="Textoindependiente31"/>
        <w:spacing w:line="276" w:lineRule="auto"/>
        <w:ind w:firstLine="851"/>
        <w:rPr>
          <w:rFonts w:ascii="Tahoma" w:hAnsi="Tahoma" w:cs="Tahoma"/>
          <w:sz w:val="22"/>
          <w:szCs w:val="22"/>
        </w:rPr>
      </w:pPr>
      <w:r w:rsidRPr="00404139">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235DC2" w:rsidRPr="00404139" w:rsidRDefault="00235DC2" w:rsidP="00235DC2">
      <w:pPr>
        <w:pStyle w:val="Sinespaciado"/>
        <w:spacing w:line="276" w:lineRule="auto"/>
      </w:pPr>
    </w:p>
    <w:p w:rsidR="00235DC2" w:rsidRPr="00404139" w:rsidRDefault="00235DC2" w:rsidP="00497E61">
      <w:pPr>
        <w:overflowPunct w:val="0"/>
        <w:autoSpaceDE w:val="0"/>
        <w:autoSpaceDN w:val="0"/>
        <w:adjustRightInd w:val="0"/>
        <w:spacing w:line="276" w:lineRule="auto"/>
        <w:ind w:left="709" w:right="193"/>
        <w:jc w:val="both"/>
        <w:textAlignment w:val="baseline"/>
        <w:rPr>
          <w:rFonts w:ascii="Arial Narrow" w:hAnsi="Arial Narrow" w:cs="Tahoma"/>
          <w:i/>
          <w:sz w:val="22"/>
          <w:szCs w:val="22"/>
        </w:rPr>
      </w:pPr>
      <w:r w:rsidRPr="00404139">
        <w:rPr>
          <w:rFonts w:ascii="Arial Narrow" w:hAnsi="Arial Narrow" w:cs="Tahoma"/>
          <w:i/>
          <w:sz w:val="22"/>
          <w:szCs w:val="22"/>
        </w:rPr>
        <w:t>“</w:t>
      </w:r>
      <w:r w:rsidRPr="00404139">
        <w:rPr>
          <w:rFonts w:ascii="Arial Narrow" w:hAnsi="Arial Narrow" w:cs="Arial Narrow"/>
          <w:sz w:val="22"/>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404139">
        <w:rPr>
          <w:rFonts w:ascii="Arial Narrow" w:hAnsi="Arial Narrow" w:cs="Tahoma"/>
          <w:i/>
          <w:sz w:val="22"/>
          <w:szCs w:val="22"/>
        </w:rPr>
        <w:t xml:space="preserve">”. </w:t>
      </w:r>
    </w:p>
    <w:p w:rsidR="00235DC2" w:rsidRPr="00404139" w:rsidRDefault="00235DC2" w:rsidP="00235DC2">
      <w:pPr>
        <w:spacing w:line="276" w:lineRule="auto"/>
        <w:ind w:firstLine="709"/>
        <w:jc w:val="both"/>
        <w:rPr>
          <w:rFonts w:ascii="Tahoma" w:hAnsi="Tahoma" w:cs="Tahoma"/>
          <w:spacing w:val="-2"/>
          <w:sz w:val="22"/>
          <w:szCs w:val="22"/>
        </w:rPr>
      </w:pPr>
    </w:p>
    <w:p w:rsidR="00235DC2" w:rsidRPr="00404139"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En virtud de lo anterior deb</w:t>
      </w:r>
      <w:r>
        <w:rPr>
          <w:rFonts w:ascii="Tahoma" w:hAnsi="Tahoma" w:cs="Tahoma"/>
          <w:spacing w:val="-2"/>
          <w:sz w:val="22"/>
          <w:szCs w:val="22"/>
        </w:rPr>
        <w:t>ió</w:t>
      </w:r>
      <w:r w:rsidRPr="00404139">
        <w:rPr>
          <w:rFonts w:ascii="Tahoma" w:hAnsi="Tahoma" w:cs="Tahoma"/>
          <w:spacing w:val="-2"/>
          <w:sz w:val="22"/>
          <w:szCs w:val="22"/>
        </w:rPr>
        <w:t xml:space="preserve"> </w:t>
      </w:r>
      <w:r w:rsidR="00497E61">
        <w:rPr>
          <w:rFonts w:ascii="Tahoma" w:hAnsi="Tahoma" w:cs="Tahoma"/>
          <w:spacing w:val="-2"/>
          <w:sz w:val="22"/>
          <w:szCs w:val="22"/>
        </w:rPr>
        <w:t xml:space="preserve">revocarse </w:t>
      </w:r>
      <w:r w:rsidRPr="00404139">
        <w:rPr>
          <w:rFonts w:ascii="Tahoma" w:hAnsi="Tahoma" w:cs="Tahoma"/>
          <w:spacing w:val="-2"/>
          <w:sz w:val="22"/>
          <w:szCs w:val="22"/>
        </w:rPr>
        <w:t>la sentencia de primera instancia</w:t>
      </w:r>
      <w:r w:rsidR="00497E61">
        <w:rPr>
          <w:rFonts w:ascii="Tahoma" w:hAnsi="Tahoma" w:cs="Tahoma"/>
          <w:spacing w:val="-2"/>
          <w:sz w:val="22"/>
          <w:szCs w:val="22"/>
        </w:rPr>
        <w:t>,</w:t>
      </w:r>
      <w:r w:rsidRPr="00404139">
        <w:rPr>
          <w:rFonts w:ascii="Tahoma" w:hAnsi="Tahoma" w:cs="Tahoma"/>
          <w:spacing w:val="-2"/>
          <w:sz w:val="22"/>
          <w:szCs w:val="22"/>
        </w:rPr>
        <w:t xml:space="preserve"> pues tal como se puede apreciar en la historia laboral visible a folio </w:t>
      </w:r>
      <w:r w:rsidR="00497E61">
        <w:rPr>
          <w:rFonts w:ascii="Tahoma" w:hAnsi="Tahoma" w:cs="Tahoma"/>
          <w:spacing w:val="-2"/>
          <w:sz w:val="22"/>
          <w:szCs w:val="22"/>
        </w:rPr>
        <w:t>31</w:t>
      </w:r>
      <w:r w:rsidRPr="00404139">
        <w:rPr>
          <w:rFonts w:ascii="Tahoma" w:hAnsi="Tahoma" w:cs="Tahoma"/>
          <w:spacing w:val="-2"/>
          <w:sz w:val="22"/>
          <w:szCs w:val="22"/>
        </w:rPr>
        <w:t xml:space="preserve">, </w:t>
      </w:r>
      <w:r>
        <w:rPr>
          <w:rFonts w:ascii="Tahoma" w:hAnsi="Tahoma" w:cs="Tahoma"/>
          <w:spacing w:val="-2"/>
          <w:sz w:val="22"/>
          <w:szCs w:val="22"/>
        </w:rPr>
        <w:t xml:space="preserve">antes del </w:t>
      </w:r>
      <w:r w:rsidR="0020784A">
        <w:rPr>
          <w:rFonts w:ascii="Tahoma" w:hAnsi="Tahoma" w:cs="Tahoma"/>
          <w:spacing w:val="-2"/>
          <w:sz w:val="22"/>
          <w:szCs w:val="22"/>
        </w:rPr>
        <w:t xml:space="preserve">1º de abril de 1994 </w:t>
      </w:r>
      <w:r w:rsidRPr="00404139">
        <w:rPr>
          <w:rFonts w:ascii="Tahoma" w:hAnsi="Tahoma" w:cs="Tahoma"/>
          <w:spacing w:val="-2"/>
          <w:sz w:val="22"/>
          <w:szCs w:val="22"/>
        </w:rPr>
        <w:t xml:space="preserve">el </w:t>
      </w:r>
      <w:r w:rsidR="00497E61">
        <w:rPr>
          <w:rFonts w:ascii="Tahoma" w:hAnsi="Tahoma" w:cs="Tahoma"/>
          <w:spacing w:val="-2"/>
          <w:sz w:val="22"/>
          <w:szCs w:val="22"/>
        </w:rPr>
        <w:t>causante tenía 347</w:t>
      </w:r>
      <w:r w:rsidR="0020784A">
        <w:rPr>
          <w:rFonts w:ascii="Tahoma" w:hAnsi="Tahoma" w:cs="Tahoma"/>
          <w:spacing w:val="-2"/>
          <w:sz w:val="22"/>
          <w:szCs w:val="22"/>
        </w:rPr>
        <w:t>,4</w:t>
      </w:r>
      <w:r w:rsidR="00497E61">
        <w:rPr>
          <w:rFonts w:ascii="Tahoma" w:hAnsi="Tahoma" w:cs="Tahoma"/>
          <w:spacing w:val="-2"/>
          <w:sz w:val="22"/>
          <w:szCs w:val="22"/>
        </w:rPr>
        <w:t>4</w:t>
      </w:r>
      <w:r w:rsidR="0020784A">
        <w:rPr>
          <w:rFonts w:ascii="Tahoma" w:hAnsi="Tahoma" w:cs="Tahoma"/>
          <w:spacing w:val="-2"/>
          <w:sz w:val="22"/>
          <w:szCs w:val="22"/>
        </w:rPr>
        <w:t xml:space="preserve"> </w:t>
      </w:r>
      <w:r w:rsidRPr="00404139">
        <w:rPr>
          <w:rFonts w:ascii="Tahoma" w:hAnsi="Tahoma" w:cs="Tahoma"/>
          <w:spacing w:val="-2"/>
          <w:sz w:val="22"/>
          <w:szCs w:val="22"/>
        </w:rPr>
        <w:t>semanas cotizadas</w:t>
      </w:r>
      <w:r w:rsidR="0020784A">
        <w:rPr>
          <w:rFonts w:ascii="Tahoma" w:hAnsi="Tahoma" w:cs="Tahoma"/>
          <w:spacing w:val="-2"/>
          <w:sz w:val="22"/>
          <w:szCs w:val="22"/>
        </w:rPr>
        <w:t>,  suficientes para conceder la gracia pensional deprecada.</w:t>
      </w:r>
    </w:p>
    <w:p w:rsidR="0020784A" w:rsidRDefault="00235DC2" w:rsidP="00235DC2">
      <w:pPr>
        <w:spacing w:line="276" w:lineRule="auto"/>
        <w:ind w:firstLine="709"/>
        <w:jc w:val="both"/>
        <w:rPr>
          <w:rFonts w:ascii="Tahoma" w:hAnsi="Tahoma" w:cs="Tahoma"/>
          <w:spacing w:val="-2"/>
          <w:sz w:val="22"/>
          <w:szCs w:val="22"/>
        </w:rPr>
      </w:pPr>
      <w:r w:rsidRPr="00404139">
        <w:rPr>
          <w:rFonts w:ascii="Tahoma" w:hAnsi="Tahoma" w:cs="Tahoma"/>
          <w:spacing w:val="-2"/>
          <w:sz w:val="22"/>
          <w:szCs w:val="22"/>
        </w:rPr>
        <w:tab/>
      </w:r>
    </w:p>
    <w:p w:rsidR="00497E61" w:rsidRDefault="00497E61" w:rsidP="00235DC2">
      <w:pPr>
        <w:spacing w:line="276" w:lineRule="auto"/>
        <w:ind w:firstLine="709"/>
        <w:jc w:val="both"/>
        <w:rPr>
          <w:rFonts w:ascii="Tahoma" w:hAnsi="Tahoma" w:cs="Tahoma"/>
          <w:spacing w:val="-2"/>
          <w:sz w:val="22"/>
          <w:szCs w:val="22"/>
        </w:rPr>
      </w:pPr>
    </w:p>
    <w:p w:rsidR="00497E61" w:rsidRDefault="00497E61" w:rsidP="00235DC2">
      <w:pPr>
        <w:spacing w:line="276" w:lineRule="auto"/>
        <w:ind w:firstLine="709"/>
        <w:jc w:val="both"/>
        <w:rPr>
          <w:rFonts w:ascii="Tahoma" w:hAnsi="Tahoma" w:cs="Tahoma"/>
          <w:spacing w:val="-2"/>
          <w:sz w:val="22"/>
          <w:szCs w:val="22"/>
        </w:rPr>
      </w:pPr>
    </w:p>
    <w:p w:rsidR="00235DC2" w:rsidRPr="00404139" w:rsidRDefault="00235DC2" w:rsidP="00235DC2">
      <w:pPr>
        <w:pStyle w:val="Textoindependiente"/>
        <w:spacing w:line="276" w:lineRule="auto"/>
        <w:ind w:firstLine="709"/>
        <w:rPr>
          <w:rFonts w:ascii="Tahoma" w:hAnsi="Tahoma" w:cs="Tahoma"/>
          <w:sz w:val="22"/>
          <w:szCs w:val="22"/>
          <w:lang w:val="es-ES"/>
        </w:rPr>
      </w:pPr>
      <w:bookmarkStart w:id="0" w:name="_GoBack"/>
      <w:bookmarkEnd w:id="0"/>
      <w:r w:rsidRPr="00404139">
        <w:rPr>
          <w:rFonts w:ascii="Tahoma" w:hAnsi="Tahoma" w:cs="Tahoma"/>
          <w:sz w:val="22"/>
          <w:szCs w:val="22"/>
          <w:lang w:val="es-ES"/>
        </w:rPr>
        <w:lastRenderedPageBreak/>
        <w:t>En estos términos sustento mi salvamento de voto.</w:t>
      </w:r>
    </w:p>
    <w:p w:rsidR="00235DC2" w:rsidRPr="00404139" w:rsidRDefault="00235DC2" w:rsidP="00235DC2">
      <w:pPr>
        <w:pStyle w:val="Textoindependiente"/>
        <w:autoSpaceDE/>
        <w:autoSpaceDN/>
        <w:adjustRightInd/>
        <w:spacing w:line="276" w:lineRule="auto"/>
        <w:ind w:firstLine="709"/>
        <w:rPr>
          <w:rFonts w:ascii="Tahoma" w:hAnsi="Tahoma" w:cs="Tahoma"/>
          <w:sz w:val="22"/>
          <w:szCs w:val="22"/>
          <w:lang w:val="es-ES"/>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widowControl w:val="0"/>
        <w:autoSpaceDE w:val="0"/>
        <w:autoSpaceDN w:val="0"/>
        <w:adjustRightInd w:val="0"/>
        <w:spacing w:line="276" w:lineRule="auto"/>
        <w:ind w:firstLine="709"/>
        <w:jc w:val="both"/>
        <w:rPr>
          <w:rFonts w:ascii="Tahoma" w:hAnsi="Tahoma" w:cs="Tahoma"/>
          <w:sz w:val="22"/>
          <w:szCs w:val="22"/>
        </w:rPr>
      </w:pPr>
    </w:p>
    <w:p w:rsidR="00235DC2" w:rsidRPr="00404139" w:rsidRDefault="00235DC2" w:rsidP="00235DC2">
      <w:pPr>
        <w:pStyle w:val="Ttulo3"/>
        <w:spacing w:line="276" w:lineRule="auto"/>
        <w:ind w:firstLine="709"/>
        <w:rPr>
          <w:rFonts w:ascii="Tahoma" w:hAnsi="Tahoma" w:cs="Tahoma"/>
          <w:sz w:val="22"/>
          <w:szCs w:val="22"/>
        </w:rPr>
      </w:pPr>
      <w:r w:rsidRPr="00404139">
        <w:rPr>
          <w:rFonts w:ascii="Tahoma" w:hAnsi="Tahoma" w:cs="Tahoma"/>
          <w:sz w:val="22"/>
          <w:szCs w:val="22"/>
        </w:rPr>
        <w:t>ANA LUCÍA CAICEDO CALDERÓN</w:t>
      </w:r>
    </w:p>
    <w:p w:rsidR="00235DC2" w:rsidRDefault="00235DC2" w:rsidP="00235DC2"/>
    <w:p w:rsidR="009F69A2" w:rsidRDefault="009F69A2"/>
    <w:sectPr w:rsidR="009F69A2" w:rsidSect="00CE6C1D">
      <w:footerReference w:type="even" r:id="rId6"/>
      <w:footerReference w:type="default" r:id="rId7"/>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A38" w:rsidRDefault="00487A38" w:rsidP="00235DC2">
      <w:r>
        <w:separator/>
      </w:r>
    </w:p>
  </w:endnote>
  <w:endnote w:type="continuationSeparator" w:id="0">
    <w:p w:rsidR="00487A38" w:rsidRDefault="00487A38" w:rsidP="0023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360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487A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360F1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7E61">
      <w:rPr>
        <w:rStyle w:val="Nmerodepgina"/>
        <w:noProof/>
      </w:rPr>
      <w:t>3</w:t>
    </w:r>
    <w:r>
      <w:rPr>
        <w:rStyle w:val="Nmerodepgina"/>
      </w:rPr>
      <w:fldChar w:fldCharType="end"/>
    </w:r>
  </w:p>
  <w:p w:rsidR="00F0306B" w:rsidRDefault="00487A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A38" w:rsidRDefault="00487A38" w:rsidP="00235DC2">
      <w:r>
        <w:separator/>
      </w:r>
    </w:p>
  </w:footnote>
  <w:footnote w:type="continuationSeparator" w:id="0">
    <w:p w:rsidR="00487A38" w:rsidRDefault="00487A38" w:rsidP="00235DC2">
      <w:r>
        <w:continuationSeparator/>
      </w:r>
    </w:p>
  </w:footnote>
  <w:footnote w:id="1">
    <w:p w:rsidR="00235DC2" w:rsidRDefault="00235DC2" w:rsidP="00235DC2">
      <w:pPr>
        <w:tabs>
          <w:tab w:val="left" w:pos="8789"/>
        </w:tabs>
        <w:ind w:right="51"/>
        <w:jc w:val="both"/>
        <w:rPr>
          <w:sz w:val="16"/>
          <w:szCs w:val="16"/>
        </w:rPr>
      </w:pPr>
      <w:r w:rsidRPr="00F57ACA">
        <w:rPr>
          <w:rStyle w:val="Refdenotaalpie"/>
          <w:sz w:val="16"/>
          <w:szCs w:val="16"/>
        </w:rPr>
        <w:footnoteRef/>
      </w:r>
      <w:r w:rsidRPr="00F57ACA">
        <w:rPr>
          <w:sz w:val="16"/>
          <w:szCs w:val="16"/>
        </w:rPr>
        <w:t xml:space="preserve"> </w:t>
      </w:r>
      <w:r w:rsidRPr="00F57ACA">
        <w:rPr>
          <w:rFonts w:ascii="Tahoma" w:hAnsi="Tahoma" w:cs="Tahoma"/>
          <w:spacing w:val="-2"/>
          <w:sz w:val="16"/>
          <w:szCs w:val="16"/>
        </w:rPr>
        <w:t>En esa oportunidad indicó el Tribunal Constitucional lo siguiente:</w:t>
      </w:r>
    </w:p>
    <w:p w:rsidR="00235DC2" w:rsidRDefault="00235DC2" w:rsidP="00235DC2">
      <w:pPr>
        <w:tabs>
          <w:tab w:val="left" w:pos="8789"/>
        </w:tabs>
        <w:ind w:right="51"/>
        <w:jc w:val="both"/>
        <w:rPr>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“Tenemos entonces que la Sala Laboral de la Corte Suprema de Justicia ha conceptuado que la aplicación del principio de la condición más beneficiosa no puede extralimitarse y convertirse en una búsqueda histórica de las normas que pueden resultar aplicables al caso, más allá de la vigente al momento de ocurrir la muerte del afiliado y la inmediatamente anterior a esta.</w:t>
      </w:r>
    </w:p>
    <w:p w:rsidR="00235DC2" w:rsidRPr="00F57ACA" w:rsidRDefault="00235DC2" w:rsidP="00235DC2">
      <w:pPr>
        <w:tabs>
          <w:tab w:val="left" w:pos="8789"/>
        </w:tabs>
        <w:ind w:right="51"/>
        <w:jc w:val="both"/>
        <w:rPr>
          <w:rFonts w:ascii="Arial Narrow" w:hAnsi="Arial Narrow"/>
          <w:i/>
          <w:iCs/>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Aunque esta Sala encuentra razonable dicha posición, no comparte la interpretación que la Sala Laboral de la Corte Suprema de Justicia hace del principio de la condición más beneficiosa, habida cuenta que ni en la Constitución Política, artículo 53, ni en la jurisprudencia constitucional, el concepto acuñado y desarrollado en torno a dicho principio es restringido el análisis de únicamente dos disposiciones normativas que pueden ser aplicadas a un caso concreto. (…)”</w:t>
      </w:r>
    </w:p>
    <w:p w:rsidR="00235DC2" w:rsidRPr="00F57ACA" w:rsidRDefault="00235DC2" w:rsidP="00235DC2">
      <w:pPr>
        <w:jc w:val="both"/>
        <w:rPr>
          <w:rFonts w:ascii="Tahoma" w:hAnsi="Tahoma" w:cs="Tahoma"/>
          <w:spacing w:val="-2"/>
          <w:sz w:val="16"/>
          <w:szCs w:val="16"/>
        </w:rPr>
      </w:pPr>
    </w:p>
    <w:p w:rsidR="00235DC2" w:rsidRPr="00F57ACA" w:rsidRDefault="00235DC2" w:rsidP="00235DC2">
      <w:pPr>
        <w:tabs>
          <w:tab w:val="left" w:pos="567"/>
        </w:tabs>
        <w:jc w:val="both"/>
        <w:rPr>
          <w:rFonts w:ascii="Tahoma" w:hAnsi="Tahoma" w:cs="Tahoma"/>
          <w:spacing w:val="-2"/>
          <w:sz w:val="16"/>
          <w:szCs w:val="16"/>
        </w:rPr>
      </w:pPr>
      <w:r w:rsidRPr="00F57ACA">
        <w:rPr>
          <w:rFonts w:ascii="Tahoma" w:hAnsi="Tahoma" w:cs="Tahoma"/>
          <w:spacing w:val="-2"/>
          <w:sz w:val="16"/>
          <w:szCs w:val="16"/>
        </w:rPr>
        <w:t>Más adelante expresó:</w:t>
      </w:r>
    </w:p>
    <w:p w:rsidR="00235DC2" w:rsidRPr="00F57ACA" w:rsidRDefault="00235DC2" w:rsidP="00235DC2">
      <w:pPr>
        <w:jc w:val="both"/>
        <w:rPr>
          <w:rFonts w:ascii="Tahoma" w:hAnsi="Tahoma" w:cs="Tahoma"/>
          <w:spacing w:val="-2"/>
          <w:sz w:val="16"/>
          <w:szCs w:val="16"/>
        </w:rPr>
      </w:pPr>
    </w:p>
    <w:p w:rsidR="00235DC2" w:rsidRPr="00F57ACA" w:rsidRDefault="00235DC2" w:rsidP="00235DC2">
      <w:pPr>
        <w:tabs>
          <w:tab w:val="left" w:pos="8789"/>
        </w:tabs>
        <w:ind w:right="51"/>
        <w:jc w:val="both"/>
        <w:rPr>
          <w:rFonts w:ascii="Arial Narrow" w:hAnsi="Arial Narrow"/>
          <w:i/>
          <w:iCs/>
          <w:sz w:val="16"/>
          <w:szCs w:val="16"/>
        </w:rPr>
      </w:pPr>
      <w:r w:rsidRPr="00F57ACA">
        <w:rPr>
          <w:rFonts w:ascii="Arial Narrow" w:hAnsi="Arial Narrow"/>
          <w:i/>
          <w:iCs/>
          <w:sz w:val="16"/>
          <w:szCs w:val="16"/>
        </w:rPr>
        <w:t>“Ahora bien, con fundamento en lo citado, lo que sí comparte esta Sala en relación con la posición de la Corte Suprema de Justicia es aquel criterio según el cual, por parte del afiliado fallecido deben dejarse causados los requisitos que exige aquella norma que resulta más beneficiosa a la situación particular, tal como se pudo observar en los casos referidos a la obtención de la pensión de sobrevivientes, donde se ha señalado que aun cuando el fallecimiento ocurrió en vigencia de la Ley 100 de 1993, la aplicación del Acuerdo 049 de 1990 es factible siempre y cuando se cumpla el número y densidad de semanas cotizadas exigidas por esta norma, con anterioridad a la entrada en vigencia de la Ley 100. Por tanto, en razón a que esta última tesis es la que ha acogido la jurisprudencia constitucional y, en efecto, es la que más garantiza los derechos fundamentales a la seguridad social y al mínimo de los ciudadanos, la Sala optará por aplicarla.”</w:t>
      </w:r>
    </w:p>
    <w:p w:rsidR="00235DC2" w:rsidRPr="00F57ACA" w:rsidRDefault="00235DC2" w:rsidP="00235DC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C2"/>
    <w:rsid w:val="000062AA"/>
    <w:rsid w:val="00056FC6"/>
    <w:rsid w:val="0020784A"/>
    <w:rsid w:val="00235DC2"/>
    <w:rsid w:val="00360F1F"/>
    <w:rsid w:val="00487A38"/>
    <w:rsid w:val="00497E61"/>
    <w:rsid w:val="007D68A4"/>
    <w:rsid w:val="008579C3"/>
    <w:rsid w:val="00946C1D"/>
    <w:rsid w:val="009F69A2"/>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E58ED-A694-42AD-8538-0868B193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DC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235DC2"/>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235DC2"/>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DC2"/>
    <w:rPr>
      <w:rFonts w:ascii="Arial" w:eastAsia="Times New Roman" w:hAnsi="Arial" w:cs="Arial"/>
      <w:b/>
      <w:sz w:val="28"/>
      <w:szCs w:val="24"/>
      <w:lang w:eastAsia="es-ES"/>
    </w:rPr>
  </w:style>
  <w:style w:type="character" w:customStyle="1" w:styleId="Ttulo3Car">
    <w:name w:val="Título 3 Car"/>
    <w:basedOn w:val="Fuentedeprrafopredeter"/>
    <w:link w:val="Ttulo3"/>
    <w:rsid w:val="00235DC2"/>
    <w:rPr>
      <w:rFonts w:ascii="Arial" w:eastAsia="Times New Roman" w:hAnsi="Arial" w:cs="Arial"/>
      <w:b/>
      <w:sz w:val="24"/>
      <w:szCs w:val="24"/>
      <w:lang w:eastAsia="es-ES"/>
    </w:rPr>
  </w:style>
  <w:style w:type="paragraph" w:styleId="Textoindependiente">
    <w:name w:val="Body Text"/>
    <w:basedOn w:val="Normal"/>
    <w:link w:val="TextoindependienteCar"/>
    <w:rsid w:val="00235DC2"/>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235DC2"/>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235DC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235DC2"/>
    <w:rPr>
      <w:rFonts w:ascii="Arial" w:eastAsia="Times New Roman" w:hAnsi="Arial" w:cs="Arial"/>
      <w:b/>
      <w:sz w:val="24"/>
      <w:szCs w:val="24"/>
      <w:lang w:eastAsia="es-ES"/>
    </w:rPr>
  </w:style>
  <w:style w:type="paragraph" w:styleId="Piedepgina">
    <w:name w:val="footer"/>
    <w:basedOn w:val="Normal"/>
    <w:link w:val="PiedepginaCar"/>
    <w:rsid w:val="00235DC2"/>
    <w:pPr>
      <w:tabs>
        <w:tab w:val="center" w:pos="4419"/>
        <w:tab w:val="right" w:pos="8838"/>
      </w:tabs>
    </w:pPr>
  </w:style>
  <w:style w:type="character" w:customStyle="1" w:styleId="PiedepginaCar">
    <w:name w:val="Pie de página Car"/>
    <w:basedOn w:val="Fuentedeprrafopredeter"/>
    <w:link w:val="Piedepgina"/>
    <w:rsid w:val="00235DC2"/>
    <w:rPr>
      <w:rFonts w:ascii="Times New Roman" w:eastAsia="Times New Roman" w:hAnsi="Times New Roman" w:cs="Times New Roman"/>
      <w:sz w:val="24"/>
      <w:szCs w:val="24"/>
      <w:lang w:eastAsia="es-ES"/>
    </w:rPr>
  </w:style>
  <w:style w:type="character" w:styleId="Nmerodepgina">
    <w:name w:val="page number"/>
    <w:basedOn w:val="Fuentedeprrafopredeter"/>
    <w:rsid w:val="00235DC2"/>
  </w:style>
  <w:style w:type="paragraph" w:customStyle="1" w:styleId="Textoindependiente31">
    <w:name w:val="Texto independiente 31"/>
    <w:basedOn w:val="Normal"/>
    <w:rsid w:val="00235DC2"/>
    <w:pPr>
      <w:spacing w:line="360" w:lineRule="auto"/>
      <w:jc w:val="both"/>
    </w:pPr>
    <w:rPr>
      <w:rFonts w:ascii="Arial" w:hAnsi="Arial"/>
      <w:szCs w:val="20"/>
      <w:lang w:val="es-ES_tradnl"/>
    </w:rPr>
  </w:style>
  <w:style w:type="paragraph" w:styleId="Sinespaciado">
    <w:name w:val="No Spacing"/>
    <w:link w:val="SinespaciadoCar"/>
    <w:uiPriority w:val="1"/>
    <w:qFormat/>
    <w:rsid w:val="00235DC2"/>
    <w:pPr>
      <w:spacing w:after="0" w:line="240" w:lineRule="auto"/>
    </w:pPr>
    <w:rPr>
      <w:lang w:val="es-ES_tradnl"/>
    </w:rPr>
  </w:style>
  <w:style w:type="character" w:styleId="Refdenotaalpie">
    <w:name w:val="footnote reference"/>
    <w:rsid w:val="00235DC2"/>
    <w:rPr>
      <w:vertAlign w:val="superscript"/>
    </w:rPr>
  </w:style>
  <w:style w:type="paragraph" w:styleId="Textonotapie">
    <w:name w:val="footnote text"/>
    <w:basedOn w:val="Normal"/>
    <w:link w:val="TextonotapieCar"/>
    <w:rsid w:val="00235DC2"/>
    <w:rPr>
      <w:sz w:val="20"/>
      <w:szCs w:val="20"/>
    </w:rPr>
  </w:style>
  <w:style w:type="character" w:customStyle="1" w:styleId="TextonotapieCar">
    <w:name w:val="Texto nota pie Car"/>
    <w:basedOn w:val="Fuentedeprrafopredeter"/>
    <w:link w:val="Textonotapie"/>
    <w:rsid w:val="00235DC2"/>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235DC2"/>
    <w:rPr>
      <w:lang w:val="es-ES_tradnl"/>
    </w:rPr>
  </w:style>
  <w:style w:type="paragraph" w:styleId="Textodeglobo">
    <w:name w:val="Balloon Text"/>
    <w:basedOn w:val="Normal"/>
    <w:link w:val="TextodegloboCar"/>
    <w:uiPriority w:val="99"/>
    <w:semiHidden/>
    <w:unhideWhenUsed/>
    <w:rsid w:val="002078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784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1179</Words>
  <Characters>6488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cp:revision>
  <cp:lastPrinted>2018-08-08T15:57:00Z</cp:lastPrinted>
  <dcterms:created xsi:type="dcterms:W3CDTF">2018-08-08T15:07:00Z</dcterms:created>
  <dcterms:modified xsi:type="dcterms:W3CDTF">2018-08-08T16:00:00Z</dcterms:modified>
</cp:coreProperties>
</file>